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napToGrid w:val="0"/>
        <w:spacing w:line="360" w:lineRule="auto"/>
        <w:ind w:firstLine="480" w:firstLineChars="200"/>
        <w:rPr>
          <w:rFonts w:ascii="宋体" w:hAnsi="宋体"/>
          <w:highlight w:val="none"/>
        </w:rPr>
      </w:pPr>
    </w:p>
    <w:p>
      <w:pPr>
        <w:pStyle w:val="27"/>
        <w:snapToGrid w:val="0"/>
        <w:spacing w:line="360" w:lineRule="auto"/>
        <w:ind w:firstLine="480" w:firstLineChars="200"/>
        <w:rPr>
          <w:rFonts w:ascii="宋体" w:hAnsi="宋体"/>
          <w:highlight w:val="none"/>
        </w:rPr>
      </w:pPr>
    </w:p>
    <w:p>
      <w:pPr>
        <w:pStyle w:val="27"/>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r>
        <w:rPr>
          <w:rFonts w:hint="eastAsia" w:asciiTheme="minorEastAsia" w:hAnsiTheme="minorEastAsia" w:eastAsiaTheme="minorEastAsia"/>
          <w:sz w:val="44"/>
          <w:szCs w:val="44"/>
          <w:highlight w:val="none"/>
          <w:lang w:eastAsia="zh-CN"/>
        </w:rPr>
        <w:t>环大周塘区块配套基础设施提升工程一北岸大道至鲍家道路沿线改造提升工程</w:t>
      </w:r>
    </w:p>
    <w:p>
      <w:pPr>
        <w:pStyle w:val="8"/>
        <w:kinsoku w:val="0"/>
        <w:spacing w:before="2"/>
        <w:ind w:left="0"/>
        <w:rPr>
          <w:sz w:val="23"/>
          <w:szCs w:val="23"/>
          <w:highlight w:val="none"/>
        </w:rPr>
      </w:pPr>
    </w:p>
    <w:p>
      <w:pPr>
        <w:pStyle w:val="9"/>
        <w:ind w:firstLine="210"/>
        <w:rPr>
          <w:highlight w:val="none"/>
        </w:rPr>
      </w:pPr>
    </w:p>
    <w:p>
      <w:pPr>
        <w:rPr>
          <w:highlight w:val="none"/>
        </w:rPr>
      </w:pPr>
    </w:p>
    <w:p>
      <w:pPr>
        <w:pStyle w:val="8"/>
        <w:tabs>
          <w:tab w:val="left" w:pos="5834"/>
        </w:tabs>
        <w:kinsoku w:val="0"/>
        <w:spacing w:before="14"/>
        <w:ind w:left="0" w:right="175"/>
        <w:jc w:val="center"/>
        <w:rPr>
          <w:sz w:val="28"/>
          <w:szCs w:val="28"/>
          <w:highlight w:val="none"/>
        </w:rPr>
      </w:pPr>
      <w:r>
        <w:rPr>
          <w:rFonts w:hint="eastAsia"/>
          <w:spacing w:val="-1"/>
          <w:sz w:val="28"/>
          <w:szCs w:val="28"/>
          <w:highlight w:val="none"/>
        </w:rPr>
        <w:t>（招标编号：三招建备【202</w:t>
      </w:r>
      <w:r>
        <w:rPr>
          <w:rFonts w:hint="eastAsia"/>
          <w:spacing w:val="-1"/>
          <w:sz w:val="28"/>
          <w:szCs w:val="28"/>
          <w:highlight w:val="none"/>
          <w:lang w:val="en-US" w:eastAsia="zh-CN"/>
        </w:rPr>
        <w:t>4</w:t>
      </w:r>
      <w:r>
        <w:rPr>
          <w:rFonts w:hint="eastAsia"/>
          <w:spacing w:val="-1"/>
          <w:sz w:val="28"/>
          <w:szCs w:val="28"/>
          <w:highlight w:val="none"/>
        </w:rPr>
        <w:t>】</w:t>
      </w:r>
      <w:r>
        <w:rPr>
          <w:rFonts w:hint="eastAsia"/>
          <w:spacing w:val="-1"/>
          <w:sz w:val="28"/>
          <w:szCs w:val="28"/>
          <w:highlight w:val="none"/>
          <w:lang w:val="en-US" w:eastAsia="zh-CN"/>
        </w:rPr>
        <w:t>069</w:t>
      </w:r>
      <w:r>
        <w:rPr>
          <w:rFonts w:hint="eastAsia"/>
          <w:spacing w:val="-1"/>
          <w:sz w:val="28"/>
          <w:szCs w:val="28"/>
          <w:highlight w:val="none"/>
        </w:rPr>
        <w:t>号</w:t>
      </w:r>
      <w:r>
        <w:rPr>
          <w:rFonts w:hint="eastAsia"/>
          <w:sz w:val="28"/>
          <w:szCs w:val="28"/>
          <w:highlight w:val="none"/>
        </w:rPr>
        <w:t>）</w:t>
      </w:r>
    </w:p>
    <w:p>
      <w:pPr>
        <w:pStyle w:val="8"/>
        <w:kinsoku w:val="0"/>
        <w:ind w:left="0"/>
        <w:rPr>
          <w:sz w:val="20"/>
          <w:szCs w:val="20"/>
          <w:highlight w:val="none"/>
        </w:rPr>
      </w:pPr>
    </w:p>
    <w:p>
      <w:pPr>
        <w:pStyle w:val="8"/>
        <w:kinsoku w:val="0"/>
        <w:ind w:left="0"/>
        <w:rPr>
          <w:sz w:val="20"/>
          <w:szCs w:val="20"/>
          <w:highlight w:val="none"/>
        </w:rPr>
      </w:pPr>
    </w:p>
    <w:p>
      <w:pPr>
        <w:pStyle w:val="8"/>
        <w:kinsoku w:val="0"/>
        <w:ind w:left="0"/>
        <w:rPr>
          <w:sz w:val="20"/>
          <w:szCs w:val="20"/>
          <w:highlight w:val="none"/>
        </w:rPr>
      </w:pPr>
    </w:p>
    <w:p>
      <w:pPr>
        <w:pStyle w:val="8"/>
        <w:kinsoku w:val="0"/>
        <w:ind w:left="0"/>
        <w:rPr>
          <w:sz w:val="20"/>
          <w:szCs w:val="20"/>
          <w:highlight w:val="none"/>
        </w:rPr>
      </w:pPr>
    </w:p>
    <w:p>
      <w:pPr>
        <w:pStyle w:val="8"/>
        <w:kinsoku w:val="0"/>
        <w:ind w:left="0"/>
        <w:rPr>
          <w:sz w:val="20"/>
          <w:szCs w:val="20"/>
          <w:highlight w:val="none"/>
        </w:rPr>
      </w:pPr>
    </w:p>
    <w:p>
      <w:pPr>
        <w:pStyle w:val="8"/>
        <w:kinsoku w:val="0"/>
        <w:spacing w:before="106"/>
        <w:ind w:right="4"/>
        <w:jc w:val="center"/>
        <w:rPr>
          <w:b/>
          <w:bCs/>
          <w:kern w:val="2"/>
          <w:sz w:val="96"/>
          <w:highlight w:val="none"/>
        </w:rPr>
      </w:pPr>
    </w:p>
    <w:p>
      <w:pPr>
        <w:pStyle w:val="8"/>
        <w:kinsoku w:val="0"/>
        <w:spacing w:before="106"/>
        <w:ind w:right="4"/>
        <w:jc w:val="center"/>
        <w:rPr>
          <w:b/>
          <w:bCs/>
          <w:kern w:val="2"/>
          <w:sz w:val="96"/>
          <w:highlight w:val="none"/>
        </w:rPr>
      </w:pPr>
      <w:r>
        <w:rPr>
          <w:rFonts w:hint="eastAsia"/>
          <w:b/>
          <w:bCs/>
          <w:kern w:val="2"/>
          <w:sz w:val="96"/>
          <w:highlight w:val="none"/>
        </w:rPr>
        <w:t>招标文件</w:t>
      </w:r>
    </w:p>
    <w:p>
      <w:pPr>
        <w:pStyle w:val="9"/>
        <w:ind w:firstLine="210"/>
        <w:rPr>
          <w:highlight w:val="none"/>
        </w:rPr>
      </w:pPr>
    </w:p>
    <w:p>
      <w:pPr>
        <w:pStyle w:val="9"/>
        <w:ind w:firstLine="210"/>
        <w:rPr>
          <w:highlight w:val="none"/>
        </w:rPr>
      </w:pPr>
    </w:p>
    <w:p>
      <w:pPr>
        <w:pStyle w:val="8"/>
        <w:kinsoku w:val="0"/>
        <w:ind w:left="0"/>
        <w:rPr>
          <w:sz w:val="44"/>
          <w:szCs w:val="44"/>
          <w:highlight w:val="none"/>
        </w:rPr>
      </w:pPr>
    </w:p>
    <w:p>
      <w:pPr>
        <w:pStyle w:val="9"/>
        <w:ind w:firstLine="440"/>
        <w:rPr>
          <w:sz w:val="44"/>
          <w:szCs w:val="44"/>
          <w:highlight w:val="none"/>
        </w:rPr>
      </w:pPr>
    </w:p>
    <w:p>
      <w:pPr>
        <w:rPr>
          <w:highlight w:val="none"/>
        </w:rPr>
      </w:pPr>
    </w:p>
    <w:p>
      <w:pPr>
        <w:rPr>
          <w:highlight w:val="none"/>
        </w:rPr>
      </w:pPr>
    </w:p>
    <w:p>
      <w:pPr>
        <w:pStyle w:val="8"/>
        <w:kinsoku w:val="0"/>
        <w:spacing w:before="8" w:line="360" w:lineRule="auto"/>
        <w:ind w:left="0"/>
        <w:jc w:val="center"/>
        <w:rPr>
          <w:sz w:val="33"/>
          <w:szCs w:val="33"/>
          <w:highlight w:val="none"/>
        </w:rPr>
      </w:pPr>
    </w:p>
    <w:p>
      <w:pPr>
        <w:pStyle w:val="8"/>
        <w:tabs>
          <w:tab w:val="left" w:pos="2593"/>
        </w:tabs>
        <w:kinsoku w:val="0"/>
        <w:spacing w:line="360" w:lineRule="auto"/>
        <w:ind w:left="0" w:firstLine="1120" w:firstLineChars="400"/>
        <w:jc w:val="distribute"/>
        <w:rPr>
          <w:rFonts w:hint="eastAsia" w:eastAsia="宋体"/>
          <w:sz w:val="28"/>
          <w:szCs w:val="28"/>
          <w:highlight w:val="none"/>
          <w:lang w:eastAsia="zh-CN"/>
        </w:rPr>
      </w:pPr>
      <w:r>
        <w:rPr>
          <w:rFonts w:hint="eastAsia"/>
          <w:sz w:val="28"/>
          <w:szCs w:val="28"/>
          <w:highlight w:val="none"/>
        </w:rPr>
        <w:t>招标人：</w:t>
      </w:r>
      <w:r>
        <w:rPr>
          <w:rFonts w:hint="eastAsia"/>
          <w:sz w:val="28"/>
          <w:szCs w:val="28"/>
          <w:highlight w:val="none"/>
          <w:lang w:eastAsia="zh-CN"/>
        </w:rPr>
        <w:t>三门海润金鳞湖经济开发有限公司</w:t>
      </w:r>
    </w:p>
    <w:p>
      <w:pPr>
        <w:ind w:firstLine="1120" w:firstLineChars="400"/>
        <w:jc w:val="distribute"/>
        <w:rPr>
          <w:sz w:val="28"/>
          <w:szCs w:val="28"/>
          <w:highlight w:val="none"/>
        </w:rPr>
      </w:pPr>
    </w:p>
    <w:p>
      <w:pPr>
        <w:pStyle w:val="8"/>
        <w:tabs>
          <w:tab w:val="left" w:pos="2593"/>
        </w:tabs>
        <w:kinsoku w:val="0"/>
        <w:spacing w:line="360" w:lineRule="auto"/>
        <w:ind w:left="0" w:firstLine="1120" w:firstLineChars="400"/>
        <w:jc w:val="distribute"/>
        <w:rPr>
          <w:rFonts w:hint="eastAsia" w:eastAsia="宋体"/>
          <w:sz w:val="28"/>
          <w:szCs w:val="28"/>
          <w:highlight w:val="none"/>
          <w:u w:val="single"/>
          <w:lang w:eastAsia="zh-CN"/>
        </w:rPr>
      </w:pPr>
      <w:r>
        <w:rPr>
          <w:rFonts w:hint="eastAsia"/>
          <w:sz w:val="28"/>
          <w:szCs w:val="28"/>
          <w:highlight w:val="none"/>
        </w:rPr>
        <w:t>招标代理机构：</w:t>
      </w:r>
      <w:r>
        <w:rPr>
          <w:rFonts w:hint="eastAsia"/>
          <w:sz w:val="28"/>
          <w:szCs w:val="28"/>
          <w:highlight w:val="none"/>
          <w:lang w:eastAsia="zh-CN"/>
        </w:rPr>
        <w:t>浙江揽丰工程咨询有限公司</w:t>
      </w:r>
    </w:p>
    <w:p>
      <w:pPr>
        <w:pStyle w:val="9"/>
        <w:ind w:firstLine="840" w:firstLineChars="400"/>
        <w:jc w:val="distribute"/>
        <w:rPr>
          <w:highlight w:val="none"/>
        </w:rPr>
      </w:pPr>
    </w:p>
    <w:p>
      <w:pPr>
        <w:pStyle w:val="9"/>
        <w:ind w:left="0" w:firstLine="1120" w:firstLineChars="400"/>
        <w:jc w:val="distribute"/>
        <w:rPr>
          <w:highlight w:val="none"/>
        </w:rPr>
      </w:pPr>
      <w:r>
        <w:rPr>
          <w:sz w:val="28"/>
          <w:szCs w:val="28"/>
          <w:highlight w:val="none"/>
        </w:rPr>
        <w:t>行业</w:t>
      </w:r>
      <w:r>
        <w:rPr>
          <w:rFonts w:hint="eastAsia"/>
          <w:sz w:val="28"/>
          <w:szCs w:val="28"/>
          <w:highlight w:val="none"/>
        </w:rPr>
        <w:t>主</w:t>
      </w:r>
      <w:r>
        <w:rPr>
          <w:sz w:val="28"/>
          <w:szCs w:val="28"/>
          <w:highlight w:val="none"/>
        </w:rPr>
        <w:t>管部门</w:t>
      </w:r>
      <w:r>
        <w:rPr>
          <w:rFonts w:hint="eastAsia"/>
          <w:sz w:val="28"/>
          <w:szCs w:val="28"/>
          <w:highlight w:val="none"/>
        </w:rPr>
        <w:t>:三门县住房和城乡建设局</w:t>
      </w:r>
    </w:p>
    <w:p>
      <w:pPr>
        <w:pStyle w:val="8"/>
        <w:tabs>
          <w:tab w:val="left" w:pos="3611"/>
          <w:tab w:val="left" w:pos="4626"/>
          <w:tab w:val="left" w:pos="5642"/>
        </w:tabs>
        <w:kinsoku w:val="0"/>
        <w:spacing w:before="14" w:line="360" w:lineRule="auto"/>
        <w:ind w:left="0" w:right="175"/>
        <w:rPr>
          <w:color w:val="0000FF"/>
          <w:sz w:val="28"/>
          <w:szCs w:val="28"/>
          <w:highlight w:val="none"/>
          <w:u w:val="single"/>
        </w:rPr>
      </w:pPr>
    </w:p>
    <w:p>
      <w:pPr>
        <w:pStyle w:val="8"/>
        <w:tabs>
          <w:tab w:val="left" w:pos="3611"/>
          <w:tab w:val="left" w:pos="4626"/>
          <w:tab w:val="left" w:pos="5642"/>
        </w:tabs>
        <w:kinsoku w:val="0"/>
        <w:spacing w:before="14" w:line="360" w:lineRule="auto"/>
        <w:ind w:left="2877" w:right="175" w:firstLine="301" w:firstLineChars="100"/>
        <w:rPr>
          <w:rFonts w:hint="eastAsia" w:ascii="宋体" w:hAnsi="宋体"/>
          <w:b/>
          <w:bCs/>
          <w:sz w:val="30"/>
          <w:szCs w:val="30"/>
          <w:highlight w:val="none"/>
        </w:rPr>
      </w:pPr>
    </w:p>
    <w:p>
      <w:pPr>
        <w:pStyle w:val="8"/>
        <w:tabs>
          <w:tab w:val="left" w:pos="3611"/>
          <w:tab w:val="left" w:pos="4626"/>
          <w:tab w:val="left" w:pos="5642"/>
        </w:tabs>
        <w:kinsoku w:val="0"/>
        <w:spacing w:before="14" w:line="360" w:lineRule="auto"/>
        <w:ind w:left="2877" w:right="175" w:firstLine="301" w:firstLineChars="100"/>
        <w:rPr>
          <w:sz w:val="28"/>
          <w:szCs w:val="28"/>
          <w:highlight w:val="none"/>
        </w:rPr>
        <w:sectPr>
          <w:pgSz w:w="11906" w:h="16838"/>
          <w:pgMar w:top="1446" w:right="1434" w:bottom="1298" w:left="1434" w:header="720" w:footer="720" w:gutter="0"/>
          <w:cols w:space="0" w:num="1"/>
        </w:sect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eastAsia="zh-CN"/>
        </w:rPr>
        <w:t>八</w:t>
      </w:r>
      <w:r>
        <w:rPr>
          <w:rFonts w:hint="eastAsia" w:ascii="宋体" w:hAnsi="宋体"/>
          <w:b/>
          <w:bCs/>
          <w:sz w:val="30"/>
          <w:szCs w:val="30"/>
          <w:highlight w:val="none"/>
        </w:rPr>
        <w:t>月</w:t>
      </w:r>
    </w:p>
    <w:tbl>
      <w:tblPr>
        <w:tblStyle w:val="22"/>
        <w:tblW w:w="9260" w:type="dxa"/>
        <w:tblInd w:w="87" w:type="dxa"/>
        <w:tblLayout w:type="fixed"/>
        <w:tblCellMar>
          <w:top w:w="0" w:type="dxa"/>
          <w:left w:w="108" w:type="dxa"/>
          <w:bottom w:w="0" w:type="dxa"/>
          <w:right w:w="108" w:type="dxa"/>
        </w:tblCellMar>
      </w:tblPr>
      <w:tblGrid>
        <w:gridCol w:w="9260"/>
      </w:tblGrid>
      <w:tr>
        <w:tblPrEx>
          <w:tblCellMar>
            <w:top w:w="0" w:type="dxa"/>
            <w:left w:w="108" w:type="dxa"/>
            <w:bottom w:w="0" w:type="dxa"/>
            <w:right w:w="108" w:type="dxa"/>
          </w:tblCellMar>
        </w:tblPrEx>
        <w:trPr>
          <w:trHeight w:val="12735" w:hRule="atLeast"/>
        </w:trPr>
        <w:tc>
          <w:tcPr>
            <w:tcW w:w="9260" w:type="dxa"/>
          </w:tcPr>
          <w:p>
            <w:pPr>
              <w:jc w:val="center"/>
              <w:rPr>
                <w:rFonts w:ascii="宋体" w:hAnsi="宋体"/>
                <w:b/>
                <w:bCs/>
                <w:sz w:val="48"/>
                <w:szCs w:val="48"/>
                <w:highlight w:val="none"/>
              </w:rPr>
            </w:pPr>
            <w:bookmarkStart w:id="0" w:name="bookmark1"/>
            <w:bookmarkEnd w:id="0"/>
            <w:bookmarkStart w:id="1" w:name="_Toc13432"/>
            <w:bookmarkStart w:id="2" w:name="_Toc22828050"/>
          </w:p>
          <w:p>
            <w:pPr>
              <w:jc w:val="center"/>
              <w:rPr>
                <w:rFonts w:ascii="宋体" w:hAnsi="宋体"/>
                <w:b/>
                <w:bCs/>
                <w:sz w:val="48"/>
                <w:szCs w:val="48"/>
                <w:highlight w:val="none"/>
              </w:rPr>
            </w:pPr>
            <w:r>
              <w:rPr>
                <w:rFonts w:hint="eastAsia" w:ascii="宋体" w:hAnsi="宋体"/>
                <w:b/>
                <w:bCs/>
                <w:sz w:val="48"/>
                <w:szCs w:val="48"/>
                <w:highlight w:val="none"/>
              </w:rPr>
              <w:t>三   门   县</w:t>
            </w:r>
          </w:p>
          <w:p>
            <w:pPr>
              <w:jc w:val="center"/>
              <w:rPr>
                <w:rFonts w:ascii="宋体" w:hAnsi="宋体"/>
                <w:b/>
                <w:bCs/>
                <w:sz w:val="48"/>
                <w:szCs w:val="48"/>
                <w:highlight w:val="none"/>
              </w:rPr>
            </w:pPr>
          </w:p>
          <w:p>
            <w:pPr>
              <w:jc w:val="center"/>
              <w:rPr>
                <w:rFonts w:ascii="宋体" w:hAnsi="宋体"/>
                <w:b/>
                <w:bCs/>
                <w:spacing w:val="120"/>
                <w:sz w:val="48"/>
                <w:szCs w:val="48"/>
                <w:highlight w:val="none"/>
              </w:rPr>
            </w:pPr>
            <w:r>
              <w:rPr>
                <w:rFonts w:hint="eastAsia" w:ascii="宋体" w:hAnsi="宋体"/>
                <w:b/>
                <w:bCs/>
                <w:spacing w:val="120"/>
                <w:sz w:val="48"/>
                <w:szCs w:val="48"/>
                <w:highlight w:val="none"/>
              </w:rPr>
              <w:t>建设工程招标文件</w:t>
            </w:r>
          </w:p>
          <w:p>
            <w:pPr>
              <w:spacing w:line="460" w:lineRule="exact"/>
              <w:jc w:val="center"/>
              <w:rPr>
                <w:rFonts w:ascii="宋体" w:hAnsi="宋体"/>
                <w:b/>
                <w:sz w:val="30"/>
                <w:szCs w:val="30"/>
                <w:highlight w:val="none"/>
              </w:rPr>
            </w:pPr>
          </w:p>
          <w:p>
            <w:pPr>
              <w:spacing w:line="500" w:lineRule="exact"/>
              <w:jc w:val="center"/>
              <w:rPr>
                <w:rFonts w:ascii="宋体" w:hAnsi="宋体"/>
                <w:b/>
                <w:bCs/>
                <w:sz w:val="36"/>
                <w:szCs w:val="36"/>
                <w:highlight w:val="none"/>
              </w:rPr>
            </w:pPr>
            <w:r>
              <w:rPr>
                <w:rFonts w:hint="eastAsia" w:ascii="宋体" w:hAnsi="宋体"/>
                <w:b/>
                <w:sz w:val="30"/>
                <w:szCs w:val="30"/>
                <w:highlight w:val="none"/>
              </w:rPr>
              <w:t>（备案登记号：</w:t>
            </w:r>
            <w:r>
              <w:rPr>
                <w:b/>
                <w:sz w:val="32"/>
                <w:szCs w:val="32"/>
                <w:highlight w:val="none"/>
              </w:rPr>
              <w:t>三招建</w:t>
            </w:r>
            <w:r>
              <w:rPr>
                <w:rFonts w:hint="eastAsia"/>
                <w:b/>
                <w:sz w:val="32"/>
                <w:szCs w:val="32"/>
                <w:highlight w:val="none"/>
              </w:rPr>
              <w:t>备</w:t>
            </w:r>
            <w:r>
              <w:rPr>
                <w:b/>
                <w:sz w:val="32"/>
                <w:szCs w:val="32"/>
                <w:highlight w:val="none"/>
              </w:rPr>
              <w:t>【20</w:t>
            </w:r>
            <w:r>
              <w:rPr>
                <w:rFonts w:hint="eastAsia"/>
                <w:b/>
                <w:sz w:val="32"/>
                <w:szCs w:val="32"/>
                <w:highlight w:val="none"/>
              </w:rPr>
              <w:t>2</w:t>
            </w:r>
            <w:r>
              <w:rPr>
                <w:rFonts w:hint="eastAsia"/>
                <w:b/>
                <w:sz w:val="32"/>
                <w:szCs w:val="32"/>
                <w:highlight w:val="none"/>
                <w:lang w:val="en-US" w:eastAsia="zh-CN"/>
              </w:rPr>
              <w:t>4</w:t>
            </w:r>
            <w:r>
              <w:rPr>
                <w:b/>
                <w:sz w:val="32"/>
                <w:szCs w:val="32"/>
                <w:highlight w:val="none"/>
              </w:rPr>
              <w:t>】</w:t>
            </w:r>
            <w:r>
              <w:rPr>
                <w:rFonts w:hint="eastAsia"/>
                <w:b/>
                <w:sz w:val="32"/>
                <w:szCs w:val="32"/>
                <w:highlight w:val="none"/>
                <w:lang w:val="en-US" w:eastAsia="zh-CN"/>
              </w:rPr>
              <w:t xml:space="preserve">069 </w:t>
            </w:r>
            <w:r>
              <w:rPr>
                <w:rFonts w:hint="eastAsia"/>
                <w:b/>
                <w:sz w:val="32"/>
                <w:szCs w:val="32"/>
                <w:highlight w:val="none"/>
              </w:rPr>
              <w:t>号</w:t>
            </w:r>
            <w:r>
              <w:rPr>
                <w:rFonts w:ascii="宋体" w:hAnsi="宋体"/>
                <w:b/>
                <w:sz w:val="30"/>
                <w:szCs w:val="30"/>
                <w:highlight w:val="none"/>
              </w:rPr>
              <w:t xml:space="preserve">  </w:t>
            </w:r>
            <w:r>
              <w:rPr>
                <w:rFonts w:hint="eastAsia" w:ascii="宋体" w:hAnsi="宋体"/>
                <w:b/>
                <w:sz w:val="30"/>
                <w:szCs w:val="30"/>
                <w:highlight w:val="none"/>
              </w:rPr>
              <w:t>）</w:t>
            </w:r>
          </w:p>
          <w:p>
            <w:pPr>
              <w:spacing w:line="500" w:lineRule="exact"/>
              <w:rPr>
                <w:rFonts w:ascii="宋体" w:hAnsi="宋体"/>
                <w:b/>
                <w:bCs/>
                <w:sz w:val="36"/>
                <w:szCs w:val="36"/>
                <w:highlight w:val="none"/>
              </w:rPr>
            </w:pPr>
          </w:p>
          <w:p>
            <w:pPr>
              <w:spacing w:line="640" w:lineRule="exact"/>
              <w:ind w:left="2576" w:leftChars="451" w:hanging="1494" w:hangingChars="496"/>
              <w:rPr>
                <w:rFonts w:hint="eastAsia" w:ascii="宋体" w:hAnsi="宋体" w:eastAsia="宋体"/>
                <w:b/>
                <w:bCs/>
                <w:sz w:val="30"/>
                <w:szCs w:val="30"/>
                <w:highlight w:val="none"/>
                <w:lang w:eastAsia="zh-CN"/>
              </w:rPr>
            </w:pPr>
            <w:bookmarkStart w:id="3" w:name="_Toc450657515"/>
            <w:bookmarkStart w:id="4" w:name="_Toc445724915"/>
            <w:r>
              <w:rPr>
                <w:rFonts w:hint="eastAsia" w:ascii="宋体" w:hAnsi="宋体"/>
                <w:b/>
                <w:bCs/>
                <w:sz w:val="30"/>
                <w:szCs w:val="30"/>
                <w:highlight w:val="none"/>
              </w:rPr>
              <w:t>项目名称：</w:t>
            </w:r>
            <w:bookmarkEnd w:id="3"/>
            <w:bookmarkEnd w:id="4"/>
            <w:r>
              <w:rPr>
                <w:rFonts w:hint="eastAsia" w:ascii="宋体" w:hAnsi="宋体"/>
                <w:b/>
                <w:bCs/>
                <w:sz w:val="30"/>
                <w:szCs w:val="30"/>
                <w:highlight w:val="none"/>
                <w:lang w:eastAsia="zh-CN"/>
              </w:rPr>
              <w:t>环大周塘区块配套基础设施提升工程一北岸大道至鲍家道路沿线改造提升工程</w:t>
            </w:r>
          </w:p>
          <w:p>
            <w:pPr>
              <w:pStyle w:val="8"/>
              <w:rPr>
                <w:highlight w:val="none"/>
              </w:rPr>
            </w:pPr>
          </w:p>
          <w:p>
            <w:pPr>
              <w:pStyle w:val="8"/>
              <w:rPr>
                <w:highlight w:val="none"/>
              </w:rPr>
            </w:pPr>
          </w:p>
          <w:p>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 标 人：</w:t>
            </w:r>
            <w:r>
              <w:rPr>
                <w:rFonts w:hint="eastAsia" w:ascii="宋体" w:hAnsi="宋体"/>
                <w:b/>
                <w:bCs/>
                <w:sz w:val="30"/>
                <w:szCs w:val="30"/>
                <w:highlight w:val="none"/>
                <w:lang w:eastAsia="zh-CN"/>
              </w:rPr>
              <w:t>三门海润金鳞湖经济开发有限公司</w:t>
            </w:r>
            <w:r>
              <w:rPr>
                <w:rFonts w:hint="eastAsia" w:ascii="宋体" w:hAnsi="宋体"/>
                <w:b/>
                <w:bCs/>
                <w:sz w:val="30"/>
                <w:szCs w:val="30"/>
                <w:highlight w:val="none"/>
              </w:rPr>
              <w:t xml:space="preserve">（盖章） </w:t>
            </w:r>
          </w:p>
          <w:p>
            <w:pPr>
              <w:spacing w:line="640" w:lineRule="exact"/>
              <w:ind w:left="144" w:firstLine="810" w:firstLineChars="269"/>
              <w:rPr>
                <w:rFonts w:hint="eastAsia" w:ascii="宋体" w:hAnsi="宋体" w:eastAsia="宋体"/>
                <w:b/>
                <w:bCs/>
                <w:sz w:val="30"/>
                <w:highlight w:val="none"/>
                <w:lang w:eastAsia="zh-CN"/>
              </w:rPr>
            </w:pPr>
            <w:r>
              <w:rPr>
                <w:rFonts w:hint="eastAsia" w:ascii="宋体" w:hAnsi="宋体"/>
                <w:b/>
                <w:bCs/>
                <w:sz w:val="30"/>
                <w:highlight w:val="none"/>
              </w:rPr>
              <w:t>联 系 人：</w:t>
            </w:r>
            <w:r>
              <w:rPr>
                <w:rFonts w:hint="eastAsia" w:ascii="宋体" w:hAnsi="宋体"/>
                <w:b/>
                <w:bCs/>
                <w:sz w:val="30"/>
                <w:highlight w:val="none"/>
                <w:lang w:eastAsia="zh-CN"/>
              </w:rPr>
              <w:t>何杰</w:t>
            </w:r>
            <w:r>
              <w:rPr>
                <w:rFonts w:hint="eastAsia" w:ascii="宋体" w:hAnsi="宋体"/>
                <w:b/>
                <w:bCs/>
                <w:sz w:val="30"/>
                <w:highlight w:val="none"/>
                <w:lang w:val="en-US" w:eastAsia="zh-CN"/>
              </w:rPr>
              <w:t xml:space="preserve"> </w:t>
            </w:r>
          </w:p>
          <w:p>
            <w:pPr>
              <w:spacing w:line="640" w:lineRule="exact"/>
              <w:ind w:left="144" w:firstLine="810" w:firstLineChars="269"/>
              <w:rPr>
                <w:rFonts w:hint="eastAsia" w:ascii="宋体" w:hAnsi="宋体" w:eastAsia="宋体"/>
                <w:b/>
                <w:bCs/>
                <w:sz w:val="30"/>
                <w:szCs w:val="30"/>
                <w:highlight w:val="none"/>
                <w:lang w:eastAsia="zh-CN"/>
              </w:rPr>
            </w:pPr>
            <w:r>
              <w:rPr>
                <w:rFonts w:hint="eastAsia" w:ascii="宋体" w:hAnsi="宋体"/>
                <w:b/>
                <w:bCs/>
                <w:sz w:val="30"/>
                <w:szCs w:val="30"/>
                <w:highlight w:val="none"/>
              </w:rPr>
              <w:t>联系电话：</w:t>
            </w:r>
            <w:r>
              <w:rPr>
                <w:rFonts w:hint="eastAsia" w:ascii="宋体" w:hAnsi="宋体"/>
                <w:b/>
                <w:bCs/>
                <w:sz w:val="30"/>
                <w:szCs w:val="30"/>
                <w:highlight w:val="none"/>
                <w:lang w:eastAsia="zh-CN"/>
              </w:rPr>
              <w:t>13867633622</w:t>
            </w:r>
          </w:p>
          <w:p>
            <w:pPr>
              <w:spacing w:line="440" w:lineRule="exact"/>
              <w:ind w:left="144" w:firstLine="810" w:firstLineChars="269"/>
              <w:rPr>
                <w:rFonts w:ascii="宋体" w:hAnsi="宋体"/>
                <w:b/>
                <w:bCs/>
                <w:sz w:val="30"/>
                <w:szCs w:val="30"/>
                <w:highlight w:val="none"/>
              </w:rPr>
            </w:pPr>
          </w:p>
          <w:p>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招标代理：</w:t>
            </w:r>
            <w:r>
              <w:rPr>
                <w:rFonts w:hint="eastAsia" w:ascii="宋体" w:hAnsi="宋体"/>
                <w:b/>
                <w:bCs/>
                <w:sz w:val="30"/>
                <w:szCs w:val="30"/>
                <w:highlight w:val="none"/>
                <w:lang w:eastAsia="zh-CN"/>
              </w:rPr>
              <w:t>浙江揽丰工程咨询有限公司</w:t>
            </w:r>
            <w:r>
              <w:rPr>
                <w:rFonts w:hint="eastAsia" w:ascii="宋体" w:hAnsi="宋体"/>
                <w:b/>
                <w:bCs/>
                <w:sz w:val="30"/>
                <w:szCs w:val="30"/>
                <w:highlight w:val="none"/>
              </w:rPr>
              <w:t>（盖章）</w:t>
            </w:r>
          </w:p>
          <w:p>
            <w:pPr>
              <w:spacing w:line="640" w:lineRule="exact"/>
              <w:ind w:left="144" w:firstLine="810" w:firstLineChars="269"/>
              <w:rPr>
                <w:rFonts w:hint="eastAsia" w:ascii="宋体" w:hAnsi="宋体"/>
                <w:b/>
                <w:bCs/>
                <w:sz w:val="30"/>
                <w:szCs w:val="30"/>
                <w:highlight w:val="none"/>
                <w:lang w:eastAsia="zh-CN"/>
              </w:rPr>
            </w:pPr>
            <w:r>
              <w:rPr>
                <w:rFonts w:hint="eastAsia" w:ascii="宋体" w:hAnsi="宋体"/>
                <w:b/>
                <w:bCs/>
                <w:sz w:val="30"/>
                <w:szCs w:val="30"/>
                <w:highlight w:val="none"/>
              </w:rPr>
              <w:t>联 系 人：</w:t>
            </w:r>
            <w:r>
              <w:rPr>
                <w:rFonts w:hint="eastAsia" w:ascii="宋体" w:hAnsi="宋体"/>
                <w:b/>
                <w:bCs/>
                <w:sz w:val="30"/>
                <w:szCs w:val="30"/>
                <w:highlight w:val="none"/>
                <w:lang w:eastAsia="zh-CN"/>
              </w:rPr>
              <w:t>赵懿</w:t>
            </w:r>
          </w:p>
          <w:p>
            <w:pPr>
              <w:spacing w:line="640" w:lineRule="exact"/>
              <w:ind w:left="144" w:firstLine="810" w:firstLineChars="269"/>
              <w:rPr>
                <w:rFonts w:hint="eastAsia" w:ascii="宋体" w:hAnsi="宋体" w:eastAsia="宋体"/>
                <w:b/>
                <w:bCs/>
                <w:sz w:val="30"/>
                <w:szCs w:val="30"/>
                <w:highlight w:val="none"/>
                <w:lang w:eastAsia="zh-CN"/>
              </w:rPr>
            </w:pPr>
            <w:r>
              <w:rPr>
                <w:rFonts w:hint="eastAsia" w:ascii="宋体" w:hAnsi="宋体"/>
                <w:b/>
                <w:bCs/>
                <w:sz w:val="30"/>
                <w:szCs w:val="30"/>
                <w:highlight w:val="none"/>
              </w:rPr>
              <w:t>联系电话：</w:t>
            </w:r>
            <w:r>
              <w:rPr>
                <w:rFonts w:hint="eastAsia" w:ascii="宋体" w:hAnsi="宋体"/>
                <w:b/>
                <w:bCs/>
                <w:sz w:val="30"/>
                <w:szCs w:val="30"/>
                <w:highlight w:val="none"/>
                <w:lang w:eastAsia="zh-CN"/>
              </w:rPr>
              <w:t>0576-83597828</w:t>
            </w:r>
          </w:p>
          <w:p>
            <w:pPr>
              <w:spacing w:line="640" w:lineRule="exact"/>
              <w:ind w:left="144" w:firstLine="810" w:firstLineChars="269"/>
              <w:rPr>
                <w:rFonts w:ascii="宋体" w:hAnsi="宋体"/>
                <w:b/>
                <w:bCs/>
                <w:sz w:val="30"/>
                <w:szCs w:val="30"/>
                <w:highlight w:val="none"/>
              </w:rPr>
            </w:pPr>
          </w:p>
          <w:p>
            <w:pPr>
              <w:spacing w:line="640" w:lineRule="exact"/>
              <w:ind w:left="144" w:firstLine="797" w:firstLineChars="296"/>
              <w:rPr>
                <w:rFonts w:ascii="宋体" w:hAnsi="宋体"/>
                <w:b/>
                <w:bCs/>
                <w:sz w:val="30"/>
                <w:szCs w:val="30"/>
                <w:highlight w:val="none"/>
              </w:rPr>
            </w:pPr>
            <w:r>
              <w:rPr>
                <w:rFonts w:hint="eastAsia" w:ascii="宋体" w:hAnsi="宋体"/>
                <w:b/>
                <w:bCs/>
                <w:spacing w:val="-16"/>
                <w:sz w:val="30"/>
                <w:szCs w:val="30"/>
                <w:highlight w:val="none"/>
              </w:rPr>
              <w:t>行业主管部门：</w:t>
            </w:r>
            <w:r>
              <w:rPr>
                <w:rFonts w:hint="eastAsia" w:ascii="宋体" w:hAnsi="宋体"/>
                <w:b/>
                <w:bCs/>
                <w:sz w:val="30"/>
                <w:szCs w:val="30"/>
                <w:highlight w:val="none"/>
              </w:rPr>
              <w:t>三门县住房和城乡建设局（盖章）</w:t>
            </w:r>
          </w:p>
          <w:p>
            <w:pPr>
              <w:spacing w:line="640" w:lineRule="exact"/>
              <w:ind w:left="144" w:firstLine="891" w:firstLineChars="296"/>
              <w:rPr>
                <w:rFonts w:ascii="宋体" w:hAnsi="宋体"/>
                <w:b/>
                <w:bCs/>
                <w:sz w:val="30"/>
                <w:szCs w:val="30"/>
                <w:highlight w:val="none"/>
              </w:rPr>
            </w:pPr>
            <w:r>
              <w:rPr>
                <w:rFonts w:hint="eastAsia" w:ascii="宋体" w:hAnsi="宋体"/>
                <w:b/>
                <w:bCs/>
                <w:sz w:val="30"/>
                <w:szCs w:val="30"/>
                <w:highlight w:val="none"/>
              </w:rPr>
              <w:t xml:space="preserve">          </w:t>
            </w:r>
          </w:p>
          <w:p>
            <w:pPr>
              <w:spacing w:line="440" w:lineRule="exact"/>
              <w:jc w:val="center"/>
              <w:rPr>
                <w:rFonts w:ascii="宋体" w:hAnsi="宋体"/>
                <w:b/>
                <w:bCs/>
                <w:sz w:val="30"/>
                <w:szCs w:val="30"/>
                <w:highlight w:val="none"/>
              </w:r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eastAsia="zh-CN"/>
              </w:rPr>
              <w:t>八</w:t>
            </w:r>
            <w:r>
              <w:rPr>
                <w:rFonts w:hint="eastAsia" w:ascii="宋体" w:hAnsi="宋体"/>
                <w:b/>
                <w:bCs/>
                <w:sz w:val="30"/>
                <w:szCs w:val="30"/>
                <w:highlight w:val="none"/>
              </w:rPr>
              <w:t>月</w:t>
            </w:r>
          </w:p>
        </w:tc>
      </w:tr>
    </w:tbl>
    <w:p>
      <w:pPr>
        <w:pStyle w:val="28"/>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pPr>
        <w:pStyle w:val="15"/>
        <w:tabs>
          <w:tab w:val="right" w:leader="dot" w:pos="8900"/>
        </w:tabs>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_Toc3516 </w:instrText>
      </w:r>
      <w:r>
        <w:rPr>
          <w:highlight w:val="none"/>
        </w:rPr>
        <w:fldChar w:fldCharType="separate"/>
      </w:r>
      <w:r>
        <w:rPr>
          <w:rFonts w:hint="eastAsia"/>
          <w:highlight w:val="none"/>
        </w:rPr>
        <w:t>第一章</w:t>
      </w:r>
      <w:r>
        <w:rPr>
          <w:highlight w:val="none"/>
        </w:rPr>
        <w:t xml:space="preserve"> </w:t>
      </w:r>
      <w:r>
        <w:rPr>
          <w:rFonts w:hint="eastAsia"/>
          <w:highlight w:val="none"/>
        </w:rPr>
        <w:t>招标公告</w:t>
      </w:r>
      <w:r>
        <w:tab/>
      </w:r>
      <w:r>
        <w:fldChar w:fldCharType="begin"/>
      </w:r>
      <w:r>
        <w:instrText xml:space="preserve"> PAGEREF _Toc3516 \h </w:instrText>
      </w:r>
      <w:r>
        <w:fldChar w:fldCharType="separate"/>
      </w:r>
      <w:r>
        <w:t>5</w:t>
      </w:r>
      <w:r>
        <w:fldChar w:fldCharType="end"/>
      </w:r>
      <w:r>
        <w:rPr>
          <w:highlight w:val="none"/>
        </w:rPr>
        <w:fldChar w:fldCharType="end"/>
      </w:r>
    </w:p>
    <w:p>
      <w:pPr>
        <w:pStyle w:val="15"/>
        <w:tabs>
          <w:tab w:val="right" w:leader="dot" w:pos="8900"/>
        </w:tabs>
      </w:pPr>
      <w:r>
        <w:rPr>
          <w:bCs/>
          <w:highlight w:val="none"/>
          <w:lang w:val="zh-CN"/>
        </w:rPr>
        <w:fldChar w:fldCharType="begin"/>
      </w:r>
      <w:r>
        <w:rPr>
          <w:bCs/>
          <w:highlight w:val="none"/>
          <w:lang w:val="zh-CN"/>
        </w:rPr>
        <w:instrText xml:space="preserve"> HYPERLINK \l _Toc3493 </w:instrText>
      </w:r>
      <w:r>
        <w:rPr>
          <w:bCs/>
          <w:highlight w:val="none"/>
          <w:lang w:val="zh-CN"/>
        </w:rPr>
        <w:fldChar w:fldCharType="separate"/>
      </w:r>
      <w:r>
        <w:rPr>
          <w:rFonts w:hint="eastAsia"/>
          <w:highlight w:val="none"/>
        </w:rPr>
        <w:t>第二章</w:t>
      </w:r>
      <w:r>
        <w:rPr>
          <w:highlight w:val="none"/>
        </w:rPr>
        <w:t xml:space="preserve"> </w:t>
      </w:r>
      <w:r>
        <w:rPr>
          <w:rFonts w:hint="eastAsia"/>
          <w:highlight w:val="none"/>
        </w:rPr>
        <w:t>投标人须知</w:t>
      </w:r>
      <w:r>
        <w:tab/>
      </w:r>
      <w:r>
        <w:fldChar w:fldCharType="begin"/>
      </w:r>
      <w:r>
        <w:instrText xml:space="preserve"> PAGEREF _Toc3493 \h </w:instrText>
      </w:r>
      <w:r>
        <w:fldChar w:fldCharType="separate"/>
      </w:r>
      <w:r>
        <w:t>8</w:t>
      </w:r>
      <w:r>
        <w:fldChar w:fldCharType="end"/>
      </w:r>
      <w:r>
        <w:rPr>
          <w:bCs/>
          <w:highlight w:val="none"/>
          <w:lang w:val="zh-CN"/>
        </w:rPr>
        <w:fldChar w:fldCharType="end"/>
      </w:r>
    </w:p>
    <w:p>
      <w:pPr>
        <w:pStyle w:val="15"/>
        <w:tabs>
          <w:tab w:val="right" w:leader="dot" w:pos="8900"/>
        </w:tabs>
      </w:pPr>
      <w:r>
        <w:rPr>
          <w:bCs/>
          <w:highlight w:val="none"/>
          <w:lang w:val="zh-CN"/>
        </w:rPr>
        <w:fldChar w:fldCharType="begin"/>
      </w:r>
      <w:r>
        <w:rPr>
          <w:bCs/>
          <w:highlight w:val="none"/>
          <w:lang w:val="zh-CN"/>
        </w:rPr>
        <w:instrText xml:space="preserve"> HYPERLINK \l _Toc24639 </w:instrText>
      </w:r>
      <w:r>
        <w:rPr>
          <w:bCs/>
          <w:highlight w:val="none"/>
          <w:lang w:val="zh-CN"/>
        </w:rPr>
        <w:fldChar w:fldCharType="separate"/>
      </w:r>
      <w:r>
        <w:rPr>
          <w:rFonts w:hint="eastAsia"/>
          <w:highlight w:val="none"/>
        </w:rPr>
        <w:t>第三章</w:t>
      </w:r>
      <w:r>
        <w:rPr>
          <w:highlight w:val="none"/>
        </w:rPr>
        <w:t xml:space="preserve"> </w:t>
      </w:r>
      <w:r>
        <w:rPr>
          <w:rFonts w:hint="eastAsia"/>
          <w:highlight w:val="none"/>
        </w:rPr>
        <w:t>评标办法</w:t>
      </w:r>
      <w:r>
        <w:tab/>
      </w:r>
      <w:r>
        <w:fldChar w:fldCharType="begin"/>
      </w:r>
      <w:r>
        <w:instrText xml:space="preserve"> PAGEREF _Toc24639 \h </w:instrText>
      </w:r>
      <w:r>
        <w:fldChar w:fldCharType="separate"/>
      </w:r>
      <w:r>
        <w:t>32</w:t>
      </w:r>
      <w:r>
        <w:fldChar w:fldCharType="end"/>
      </w:r>
      <w:r>
        <w:rPr>
          <w:bCs/>
          <w:highlight w:val="none"/>
          <w:lang w:val="zh-CN"/>
        </w:rPr>
        <w:fldChar w:fldCharType="end"/>
      </w:r>
    </w:p>
    <w:p>
      <w:pPr>
        <w:pStyle w:val="15"/>
        <w:tabs>
          <w:tab w:val="right" w:leader="dot" w:pos="8900"/>
        </w:tabs>
      </w:pPr>
      <w:r>
        <w:rPr>
          <w:bCs/>
          <w:highlight w:val="none"/>
          <w:lang w:val="zh-CN"/>
        </w:rPr>
        <w:fldChar w:fldCharType="begin"/>
      </w:r>
      <w:r>
        <w:rPr>
          <w:bCs/>
          <w:highlight w:val="none"/>
          <w:lang w:val="zh-CN"/>
        </w:rPr>
        <w:instrText xml:space="preserve"> HYPERLINK \l _Toc24801 </w:instrText>
      </w:r>
      <w:r>
        <w:rPr>
          <w:bCs/>
          <w:highlight w:val="none"/>
          <w:lang w:val="zh-CN"/>
        </w:rPr>
        <w:fldChar w:fldCharType="separate"/>
      </w:r>
      <w:r>
        <w:rPr>
          <w:rFonts w:hint="eastAsia"/>
          <w:highlight w:val="none"/>
        </w:rPr>
        <w:t>第四章</w:t>
      </w:r>
      <w:r>
        <w:rPr>
          <w:highlight w:val="none"/>
        </w:rPr>
        <w:t xml:space="preserve"> </w:t>
      </w:r>
      <w:r>
        <w:rPr>
          <w:rFonts w:hint="eastAsia"/>
          <w:highlight w:val="none"/>
        </w:rPr>
        <w:t>合同条款及格式</w:t>
      </w:r>
      <w:r>
        <w:tab/>
      </w:r>
      <w:r>
        <w:fldChar w:fldCharType="begin"/>
      </w:r>
      <w:r>
        <w:instrText xml:space="preserve"> PAGEREF _Toc24801 \h </w:instrText>
      </w:r>
      <w:r>
        <w:fldChar w:fldCharType="separate"/>
      </w:r>
      <w:r>
        <w:t>35</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_Toc26457 </w:instrText>
      </w:r>
      <w:r>
        <w:rPr>
          <w:bCs/>
          <w:highlight w:val="none"/>
          <w:lang w:val="zh-CN"/>
        </w:rPr>
        <w:fldChar w:fldCharType="separate"/>
      </w:r>
      <w:r>
        <w:rPr>
          <w:szCs w:val="32"/>
          <w:highlight w:val="none"/>
        </w:rPr>
        <w:t>第一部分　　合同协议书</w:t>
      </w:r>
      <w:r>
        <w:tab/>
      </w:r>
      <w:r>
        <w:fldChar w:fldCharType="begin"/>
      </w:r>
      <w:r>
        <w:instrText xml:space="preserve"> PAGEREF _Toc26457 \h </w:instrText>
      </w:r>
      <w:r>
        <w:fldChar w:fldCharType="separate"/>
      </w:r>
      <w:r>
        <w:t>36</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_Toc9672 </w:instrText>
      </w:r>
      <w:r>
        <w:rPr>
          <w:bCs/>
          <w:highlight w:val="none"/>
          <w:lang w:val="zh-CN"/>
        </w:rPr>
        <w:fldChar w:fldCharType="separate"/>
      </w:r>
      <w:r>
        <w:rPr>
          <w:rFonts w:hint="eastAsia" w:ascii="宋体" w:hAnsi="宋体" w:eastAsia="宋体" w:cs="宋体"/>
          <w:szCs w:val="24"/>
          <w:highlight w:val="none"/>
        </w:rPr>
        <w:t>第二部分   通用合同条款</w:t>
      </w:r>
      <w:r>
        <w:tab/>
      </w:r>
      <w:r>
        <w:fldChar w:fldCharType="begin"/>
      </w:r>
      <w:r>
        <w:instrText xml:space="preserve"> PAGEREF _Toc9672 \h </w:instrText>
      </w:r>
      <w:r>
        <w:fldChar w:fldCharType="separate"/>
      </w:r>
      <w:r>
        <w:t>39</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_Toc29736 </w:instrText>
      </w:r>
      <w:r>
        <w:rPr>
          <w:bCs/>
          <w:highlight w:val="none"/>
          <w:lang w:val="zh-CN"/>
        </w:rPr>
        <w:fldChar w:fldCharType="separate"/>
      </w:r>
      <w:r>
        <w:rPr>
          <w:rFonts w:hint="eastAsia" w:ascii="宋体" w:hAnsi="宋体" w:eastAsia="宋体" w:cs="宋体"/>
          <w:szCs w:val="24"/>
          <w:highlight w:val="none"/>
        </w:rPr>
        <w:t>第三部分　　专用合同条款</w:t>
      </w:r>
      <w:r>
        <w:tab/>
      </w:r>
      <w:r>
        <w:fldChar w:fldCharType="begin"/>
      </w:r>
      <w:r>
        <w:instrText xml:space="preserve"> PAGEREF _Toc29736 \h </w:instrText>
      </w:r>
      <w:r>
        <w:fldChar w:fldCharType="separate"/>
      </w:r>
      <w:r>
        <w:t>39</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_Toc11888 </w:instrText>
      </w:r>
      <w:r>
        <w:rPr>
          <w:bCs/>
          <w:highlight w:val="none"/>
          <w:lang w:val="zh-CN"/>
        </w:rPr>
        <w:fldChar w:fldCharType="separate"/>
      </w:r>
      <w:r>
        <w:rPr>
          <w:rFonts w:hint="eastAsia" w:ascii="宋体" w:hAnsi="宋体" w:eastAsia="宋体" w:cs="宋体"/>
          <w:szCs w:val="32"/>
          <w:highlight w:val="none"/>
        </w:rPr>
        <w:t>第四部分    工程建设项目廉政责任书</w:t>
      </w:r>
      <w:r>
        <w:tab/>
      </w:r>
      <w:r>
        <w:fldChar w:fldCharType="begin"/>
      </w:r>
      <w:r>
        <w:instrText xml:space="preserve"> PAGEREF _Toc11888 \h </w:instrText>
      </w:r>
      <w:r>
        <w:fldChar w:fldCharType="separate"/>
      </w:r>
      <w:r>
        <w:t>69</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_Toc2068 </w:instrText>
      </w:r>
      <w:r>
        <w:rPr>
          <w:bCs/>
          <w:highlight w:val="none"/>
          <w:lang w:val="zh-CN"/>
        </w:rPr>
        <w:fldChar w:fldCharType="separate"/>
      </w:r>
      <w:r>
        <w:rPr>
          <w:rFonts w:hint="eastAsia" w:ascii="宋体" w:hAnsi="宋体" w:eastAsia="宋体" w:cs="宋体"/>
          <w:szCs w:val="32"/>
          <w:highlight w:val="none"/>
        </w:rPr>
        <w:t>第五部分    安全生产协议书</w:t>
      </w:r>
      <w:r>
        <w:tab/>
      </w:r>
      <w:r>
        <w:fldChar w:fldCharType="begin"/>
      </w:r>
      <w:r>
        <w:instrText xml:space="preserve"> PAGEREF _Toc2068 \h </w:instrText>
      </w:r>
      <w:r>
        <w:fldChar w:fldCharType="separate"/>
      </w:r>
      <w:r>
        <w:t>71</w:t>
      </w:r>
      <w:r>
        <w:fldChar w:fldCharType="end"/>
      </w:r>
      <w:r>
        <w:rPr>
          <w:bCs/>
          <w:highlight w:val="none"/>
          <w:lang w:val="zh-CN"/>
        </w:rPr>
        <w:fldChar w:fldCharType="end"/>
      </w:r>
    </w:p>
    <w:p>
      <w:pPr>
        <w:pStyle w:val="15"/>
        <w:tabs>
          <w:tab w:val="right" w:leader="dot" w:pos="8900"/>
        </w:tabs>
      </w:pPr>
      <w:r>
        <w:rPr>
          <w:bCs/>
          <w:highlight w:val="none"/>
          <w:lang w:val="zh-CN"/>
        </w:rPr>
        <w:fldChar w:fldCharType="begin"/>
      </w:r>
      <w:r>
        <w:rPr>
          <w:bCs/>
          <w:highlight w:val="none"/>
          <w:lang w:val="zh-CN"/>
        </w:rPr>
        <w:instrText xml:space="preserve"> HYPERLINK \l _Toc14241 </w:instrText>
      </w:r>
      <w:r>
        <w:rPr>
          <w:bCs/>
          <w:highlight w:val="none"/>
          <w:lang w:val="zh-CN"/>
        </w:rPr>
        <w:fldChar w:fldCharType="separate"/>
      </w:r>
      <w:r>
        <w:rPr>
          <w:rFonts w:hint="eastAsia"/>
          <w:highlight w:val="none"/>
        </w:rPr>
        <w:t>第五章  工程量清单编制</w:t>
      </w:r>
      <w:r>
        <w:tab/>
      </w:r>
      <w:r>
        <w:fldChar w:fldCharType="begin"/>
      </w:r>
      <w:r>
        <w:instrText xml:space="preserve"> PAGEREF _Toc14241 \h </w:instrText>
      </w:r>
      <w:r>
        <w:fldChar w:fldCharType="separate"/>
      </w:r>
      <w:r>
        <w:t>74</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_Toc12733 </w:instrText>
      </w:r>
      <w:r>
        <w:rPr>
          <w:bCs/>
          <w:highlight w:val="none"/>
          <w:lang w:val="zh-CN"/>
        </w:rPr>
        <w:fldChar w:fldCharType="separate"/>
      </w:r>
      <w:r>
        <w:rPr>
          <w:highlight w:val="none"/>
        </w:rPr>
        <w:t>1. 投标报价组成</w:t>
      </w:r>
      <w:r>
        <w:tab/>
      </w:r>
      <w:r>
        <w:fldChar w:fldCharType="begin"/>
      </w:r>
      <w:r>
        <w:instrText xml:space="preserve"> PAGEREF _Toc12733 \h </w:instrText>
      </w:r>
      <w:r>
        <w:fldChar w:fldCharType="separate"/>
      </w:r>
      <w:r>
        <w:t>74</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_Toc11920 </w:instrText>
      </w:r>
      <w:r>
        <w:rPr>
          <w:bCs/>
          <w:highlight w:val="none"/>
          <w:lang w:val="zh-CN"/>
        </w:rPr>
        <w:fldChar w:fldCharType="separate"/>
      </w:r>
      <w:r>
        <w:rPr>
          <w:highlight w:val="none"/>
        </w:rPr>
        <w:t>2. 投标报价要求</w:t>
      </w:r>
      <w:r>
        <w:tab/>
      </w:r>
      <w:r>
        <w:fldChar w:fldCharType="begin"/>
      </w:r>
      <w:r>
        <w:instrText xml:space="preserve"> PAGEREF _Toc11920 \h </w:instrText>
      </w:r>
      <w:r>
        <w:fldChar w:fldCharType="separate"/>
      </w:r>
      <w:r>
        <w:t>75</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_Toc9807 </w:instrText>
      </w:r>
      <w:r>
        <w:rPr>
          <w:bCs/>
          <w:highlight w:val="none"/>
          <w:lang w:val="zh-CN"/>
        </w:rPr>
        <w:fldChar w:fldCharType="separate"/>
      </w:r>
      <w:r>
        <w:rPr>
          <w:highlight w:val="none"/>
        </w:rPr>
        <w:t>3. 工程量清单与计价表</w:t>
      </w:r>
      <w:r>
        <w:tab/>
      </w:r>
      <w:r>
        <w:fldChar w:fldCharType="begin"/>
      </w:r>
      <w:r>
        <w:instrText xml:space="preserve"> PAGEREF _Toc9807 \h </w:instrText>
      </w:r>
      <w:r>
        <w:fldChar w:fldCharType="separate"/>
      </w:r>
      <w:r>
        <w:t>76</w:t>
      </w:r>
      <w:r>
        <w:fldChar w:fldCharType="end"/>
      </w:r>
      <w:r>
        <w:rPr>
          <w:bCs/>
          <w:highlight w:val="none"/>
          <w:lang w:val="zh-CN"/>
        </w:rPr>
        <w:fldChar w:fldCharType="end"/>
      </w:r>
    </w:p>
    <w:p>
      <w:pPr>
        <w:pStyle w:val="15"/>
        <w:tabs>
          <w:tab w:val="right" w:leader="dot" w:pos="8900"/>
        </w:tabs>
      </w:pPr>
      <w:r>
        <w:rPr>
          <w:bCs/>
          <w:highlight w:val="none"/>
          <w:lang w:val="zh-CN"/>
        </w:rPr>
        <w:fldChar w:fldCharType="begin"/>
      </w:r>
      <w:r>
        <w:rPr>
          <w:bCs/>
          <w:highlight w:val="none"/>
          <w:lang w:val="zh-CN"/>
        </w:rPr>
        <w:instrText xml:space="preserve"> HYPERLINK \l _Toc9564 </w:instrText>
      </w:r>
      <w:r>
        <w:rPr>
          <w:bCs/>
          <w:highlight w:val="none"/>
          <w:lang w:val="zh-CN"/>
        </w:rPr>
        <w:fldChar w:fldCharType="separate"/>
      </w:r>
      <w:r>
        <w:rPr>
          <w:rFonts w:hint="eastAsia"/>
          <w:highlight w:val="none"/>
        </w:rPr>
        <w:t>第六章</w:t>
      </w:r>
      <w:r>
        <w:rPr>
          <w:highlight w:val="none"/>
        </w:rPr>
        <w:t xml:space="preserve">  </w:t>
      </w:r>
      <w:r>
        <w:rPr>
          <w:rFonts w:hint="eastAsia"/>
          <w:highlight w:val="none"/>
        </w:rPr>
        <w:t>图纸</w:t>
      </w:r>
      <w:r>
        <w:tab/>
      </w:r>
      <w:r>
        <w:fldChar w:fldCharType="begin"/>
      </w:r>
      <w:r>
        <w:instrText xml:space="preserve"> PAGEREF _Toc9564 \h </w:instrText>
      </w:r>
      <w:r>
        <w:fldChar w:fldCharType="separate"/>
      </w:r>
      <w:r>
        <w:t>79</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_Toc8842 </w:instrText>
      </w:r>
      <w:r>
        <w:rPr>
          <w:bCs/>
          <w:highlight w:val="none"/>
          <w:lang w:val="zh-CN"/>
        </w:rPr>
        <w:fldChar w:fldCharType="separate"/>
      </w:r>
      <w:r>
        <w:rPr>
          <w:rFonts w:hint="eastAsia"/>
          <w:highlight w:val="none"/>
        </w:rPr>
        <w:t>1. 工程概况</w:t>
      </w:r>
      <w:r>
        <w:tab/>
      </w:r>
      <w:r>
        <w:fldChar w:fldCharType="begin"/>
      </w:r>
      <w:r>
        <w:instrText xml:space="preserve"> PAGEREF _Toc8842 \h </w:instrText>
      </w:r>
      <w:r>
        <w:fldChar w:fldCharType="separate"/>
      </w:r>
      <w:r>
        <w:t>80</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_Toc29813 </w:instrText>
      </w:r>
      <w:r>
        <w:rPr>
          <w:bCs/>
          <w:highlight w:val="none"/>
          <w:lang w:val="zh-CN"/>
        </w:rPr>
        <w:fldChar w:fldCharType="separate"/>
      </w:r>
      <w:r>
        <w:rPr>
          <w:rFonts w:hint="eastAsia"/>
          <w:highlight w:val="none"/>
        </w:rPr>
        <w:t>2. 技术规范及标准</w:t>
      </w:r>
      <w:r>
        <w:tab/>
      </w:r>
      <w:r>
        <w:fldChar w:fldCharType="begin"/>
      </w:r>
      <w:r>
        <w:instrText xml:space="preserve"> PAGEREF _Toc29813 \h </w:instrText>
      </w:r>
      <w:r>
        <w:fldChar w:fldCharType="separate"/>
      </w:r>
      <w:r>
        <w:t>80</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_Toc14593 </w:instrText>
      </w:r>
      <w:r>
        <w:rPr>
          <w:bCs/>
          <w:highlight w:val="none"/>
          <w:lang w:val="zh-CN"/>
        </w:rPr>
        <w:fldChar w:fldCharType="separate"/>
      </w:r>
      <w:r>
        <w:rPr>
          <w:rFonts w:hint="eastAsia"/>
          <w:highlight w:val="none"/>
        </w:rPr>
        <w:t>3</w:t>
      </w:r>
      <w:r>
        <w:rPr>
          <w:highlight w:val="none"/>
        </w:rPr>
        <w:t>．材料质量要求</w:t>
      </w:r>
      <w:r>
        <w:tab/>
      </w:r>
      <w:r>
        <w:fldChar w:fldCharType="begin"/>
      </w:r>
      <w:r>
        <w:instrText xml:space="preserve"> PAGEREF _Toc14593 \h </w:instrText>
      </w:r>
      <w:r>
        <w:fldChar w:fldCharType="separate"/>
      </w:r>
      <w:r>
        <w:t>81</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_Toc14434 </w:instrText>
      </w:r>
      <w:r>
        <w:rPr>
          <w:bCs/>
          <w:highlight w:val="none"/>
          <w:lang w:val="zh-CN"/>
        </w:rPr>
        <w:fldChar w:fldCharType="separate"/>
      </w:r>
      <w:r>
        <w:rPr>
          <w:rFonts w:hint="eastAsia"/>
          <w:highlight w:val="none"/>
        </w:rPr>
        <w:t>4</w:t>
      </w:r>
      <w:r>
        <w:rPr>
          <w:highlight w:val="none"/>
        </w:rPr>
        <w:t>．工程管理的要求</w:t>
      </w:r>
      <w:r>
        <w:tab/>
      </w:r>
      <w:r>
        <w:fldChar w:fldCharType="begin"/>
      </w:r>
      <w:r>
        <w:instrText xml:space="preserve"> PAGEREF _Toc14434 \h </w:instrText>
      </w:r>
      <w:r>
        <w:fldChar w:fldCharType="separate"/>
      </w:r>
      <w:r>
        <w:t>82</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_Toc8031 </w:instrText>
      </w:r>
      <w:r>
        <w:rPr>
          <w:bCs/>
          <w:highlight w:val="none"/>
          <w:lang w:val="zh-CN"/>
        </w:rPr>
        <w:fldChar w:fldCharType="separate"/>
      </w:r>
      <w:r>
        <w:rPr>
          <w:highlight w:val="none"/>
        </w:rPr>
        <w:t>5．其他</w:t>
      </w:r>
      <w:r>
        <w:tab/>
      </w:r>
      <w:r>
        <w:fldChar w:fldCharType="begin"/>
      </w:r>
      <w:r>
        <w:instrText xml:space="preserve"> PAGEREF _Toc8031 \h </w:instrText>
      </w:r>
      <w:r>
        <w:fldChar w:fldCharType="separate"/>
      </w:r>
      <w:r>
        <w:t>82</w:t>
      </w:r>
      <w:r>
        <w:fldChar w:fldCharType="end"/>
      </w:r>
      <w:r>
        <w:rPr>
          <w:bCs/>
          <w:highlight w:val="none"/>
          <w:lang w:val="zh-CN"/>
        </w:rPr>
        <w:fldChar w:fldCharType="end"/>
      </w:r>
    </w:p>
    <w:p>
      <w:pPr>
        <w:pStyle w:val="15"/>
        <w:tabs>
          <w:tab w:val="right" w:leader="dot" w:pos="8900"/>
        </w:tabs>
      </w:pPr>
      <w:r>
        <w:rPr>
          <w:bCs/>
          <w:highlight w:val="none"/>
          <w:lang w:val="zh-CN"/>
        </w:rPr>
        <w:fldChar w:fldCharType="begin"/>
      </w:r>
      <w:r>
        <w:rPr>
          <w:bCs/>
          <w:highlight w:val="none"/>
          <w:lang w:val="zh-CN"/>
        </w:rPr>
        <w:instrText xml:space="preserve"> HYPERLINK \l _Toc5753 </w:instrText>
      </w:r>
      <w:r>
        <w:rPr>
          <w:bCs/>
          <w:highlight w:val="none"/>
          <w:lang w:val="zh-CN"/>
        </w:rPr>
        <w:fldChar w:fldCharType="separate"/>
      </w:r>
      <w:r>
        <w:rPr>
          <w:rFonts w:hint="eastAsia"/>
          <w:bCs w:val="0"/>
          <w:highlight w:val="none"/>
        </w:rPr>
        <w:t>第八章</w:t>
      </w:r>
      <w:r>
        <w:rPr>
          <w:bCs w:val="0"/>
          <w:highlight w:val="none"/>
        </w:rPr>
        <w:t xml:space="preserve">  </w:t>
      </w:r>
      <w:r>
        <w:rPr>
          <w:rFonts w:hint="eastAsia"/>
          <w:bCs w:val="0"/>
          <w:highlight w:val="none"/>
        </w:rPr>
        <w:t>投标文件格式</w:t>
      </w:r>
      <w:r>
        <w:tab/>
      </w:r>
      <w:r>
        <w:fldChar w:fldCharType="begin"/>
      </w:r>
      <w:r>
        <w:instrText xml:space="preserve"> PAGEREF _Toc5753 \h </w:instrText>
      </w:r>
      <w:r>
        <w:fldChar w:fldCharType="separate"/>
      </w:r>
      <w:r>
        <w:t>84</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_Toc23212 </w:instrText>
      </w:r>
      <w:r>
        <w:rPr>
          <w:bCs/>
          <w:highlight w:val="none"/>
          <w:lang w:val="zh-CN"/>
        </w:rPr>
        <w:fldChar w:fldCharType="separate"/>
      </w:r>
      <w:r>
        <w:rPr>
          <w:rFonts w:hint="eastAsia"/>
          <w:szCs w:val="28"/>
          <w:highlight w:val="none"/>
        </w:rPr>
        <w:t>一、项目负责人简历表</w:t>
      </w:r>
      <w:r>
        <w:tab/>
      </w:r>
      <w:r>
        <w:fldChar w:fldCharType="begin"/>
      </w:r>
      <w:r>
        <w:instrText xml:space="preserve"> PAGEREF _Toc23212 \h </w:instrText>
      </w:r>
      <w:r>
        <w:fldChar w:fldCharType="separate"/>
      </w:r>
      <w:r>
        <w:t>85</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_Toc18561 </w:instrText>
      </w:r>
      <w:r>
        <w:rPr>
          <w:bCs/>
          <w:highlight w:val="none"/>
          <w:lang w:val="zh-CN"/>
        </w:rPr>
        <w:fldChar w:fldCharType="separate"/>
      </w:r>
      <w:r>
        <w:rPr>
          <w:rFonts w:hint="eastAsia"/>
          <w:szCs w:val="28"/>
          <w:highlight w:val="none"/>
        </w:rPr>
        <w:t>二、技术负责人简历表</w:t>
      </w:r>
      <w:r>
        <w:tab/>
      </w:r>
      <w:r>
        <w:fldChar w:fldCharType="begin"/>
      </w:r>
      <w:r>
        <w:instrText xml:space="preserve"> PAGEREF _Toc18561 \h </w:instrText>
      </w:r>
      <w:r>
        <w:fldChar w:fldCharType="separate"/>
      </w:r>
      <w:r>
        <w:t>86</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_Toc27371 </w:instrText>
      </w:r>
      <w:r>
        <w:rPr>
          <w:bCs/>
          <w:highlight w:val="none"/>
          <w:lang w:val="zh-CN"/>
        </w:rPr>
        <w:fldChar w:fldCharType="separate"/>
      </w:r>
      <w:r>
        <w:rPr>
          <w:rFonts w:hint="eastAsia"/>
          <w:szCs w:val="28"/>
          <w:highlight w:val="none"/>
        </w:rPr>
        <w:t>三、主要施工机械设备表</w:t>
      </w:r>
      <w:r>
        <w:tab/>
      </w:r>
      <w:r>
        <w:fldChar w:fldCharType="begin"/>
      </w:r>
      <w:r>
        <w:instrText xml:space="preserve"> PAGEREF _Toc27371 \h </w:instrText>
      </w:r>
      <w:r>
        <w:fldChar w:fldCharType="separate"/>
      </w:r>
      <w:r>
        <w:t>87</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_Toc11873 </w:instrText>
      </w:r>
      <w:r>
        <w:rPr>
          <w:bCs/>
          <w:highlight w:val="none"/>
          <w:lang w:val="zh-CN"/>
        </w:rPr>
        <w:fldChar w:fldCharType="separate"/>
      </w:r>
      <w:r>
        <w:rPr>
          <w:rFonts w:hint="eastAsia"/>
          <w:szCs w:val="28"/>
          <w:highlight w:val="none"/>
        </w:rPr>
        <w:t>四、台州市建设工程投标人资格自查表</w:t>
      </w:r>
      <w:r>
        <w:tab/>
      </w:r>
      <w:r>
        <w:fldChar w:fldCharType="begin"/>
      </w:r>
      <w:r>
        <w:instrText xml:space="preserve"> PAGEREF _Toc11873 \h </w:instrText>
      </w:r>
      <w:r>
        <w:fldChar w:fldCharType="separate"/>
      </w:r>
      <w:r>
        <w:t>88</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_Toc22671 </w:instrText>
      </w:r>
      <w:r>
        <w:rPr>
          <w:bCs/>
          <w:highlight w:val="none"/>
          <w:lang w:val="zh-CN"/>
        </w:rPr>
        <w:fldChar w:fldCharType="separate"/>
      </w:r>
      <w:r>
        <w:rPr>
          <w:rFonts w:hint="eastAsia"/>
          <w:szCs w:val="28"/>
          <w:highlight w:val="none"/>
        </w:rPr>
        <w:t>五、台州市建设工程投标项目负责人资格自查表</w:t>
      </w:r>
      <w:r>
        <w:tab/>
      </w:r>
      <w:r>
        <w:fldChar w:fldCharType="begin"/>
      </w:r>
      <w:r>
        <w:instrText xml:space="preserve"> PAGEREF _Toc22671 \h </w:instrText>
      </w:r>
      <w:r>
        <w:fldChar w:fldCharType="separate"/>
      </w:r>
      <w:r>
        <w:t>89</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_Toc24135 </w:instrText>
      </w:r>
      <w:r>
        <w:rPr>
          <w:bCs/>
          <w:highlight w:val="none"/>
          <w:lang w:val="zh-CN"/>
        </w:rPr>
        <w:fldChar w:fldCharType="separate"/>
      </w:r>
      <w:r>
        <w:rPr>
          <w:rFonts w:hint="eastAsia" w:ascii="黑体" w:hAnsi="黑体" w:eastAsia="黑体" w:cs="黑体"/>
          <w:szCs w:val="28"/>
          <w:highlight w:val="none"/>
        </w:rPr>
        <w:t>六、台州市建设工程投标人及项目负责人资信分自查表</w:t>
      </w:r>
      <w:r>
        <w:tab/>
      </w:r>
      <w:r>
        <w:fldChar w:fldCharType="begin"/>
      </w:r>
      <w:r>
        <w:instrText xml:space="preserve"> PAGEREF _Toc24135 \h </w:instrText>
      </w:r>
      <w:r>
        <w:fldChar w:fldCharType="separate"/>
      </w:r>
      <w:r>
        <w:t>90</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_Toc23180 </w:instrText>
      </w:r>
      <w:r>
        <w:rPr>
          <w:bCs/>
          <w:highlight w:val="none"/>
          <w:lang w:val="zh-CN"/>
        </w:rPr>
        <w:fldChar w:fldCharType="separate"/>
      </w:r>
      <w:r>
        <w:rPr>
          <w:rFonts w:hint="eastAsia" w:ascii="黑体" w:hAnsi="黑体" w:eastAsia="黑体" w:cs="黑体"/>
          <w:szCs w:val="28"/>
          <w:highlight w:val="none"/>
        </w:rPr>
        <w:t>七、台州市建设工程诚信投标承诺书</w:t>
      </w:r>
      <w:r>
        <w:tab/>
      </w:r>
      <w:r>
        <w:fldChar w:fldCharType="begin"/>
      </w:r>
      <w:r>
        <w:instrText xml:space="preserve"> PAGEREF _Toc23180 \h </w:instrText>
      </w:r>
      <w:r>
        <w:fldChar w:fldCharType="separate"/>
      </w:r>
      <w:r>
        <w:t>91</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_Toc12002 </w:instrText>
      </w:r>
      <w:r>
        <w:rPr>
          <w:bCs/>
          <w:highlight w:val="none"/>
          <w:lang w:val="zh-CN"/>
        </w:rPr>
        <w:fldChar w:fldCharType="separate"/>
      </w:r>
      <w:r>
        <w:rPr>
          <w:rFonts w:hint="eastAsia"/>
          <w:szCs w:val="28"/>
          <w:highlight w:val="none"/>
        </w:rPr>
        <w:t>八、法定代表人授权委托书</w:t>
      </w:r>
      <w:r>
        <w:tab/>
      </w:r>
      <w:r>
        <w:fldChar w:fldCharType="begin"/>
      </w:r>
      <w:r>
        <w:instrText xml:space="preserve"> PAGEREF _Toc12002 \h </w:instrText>
      </w:r>
      <w:r>
        <w:fldChar w:fldCharType="separate"/>
      </w:r>
      <w:r>
        <w:t>92</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_Toc16924 </w:instrText>
      </w:r>
      <w:r>
        <w:rPr>
          <w:bCs/>
          <w:highlight w:val="none"/>
          <w:lang w:val="zh-CN"/>
        </w:rPr>
        <w:fldChar w:fldCharType="separate"/>
      </w:r>
      <w:r>
        <w:rPr>
          <w:rFonts w:hint="eastAsia"/>
          <w:szCs w:val="28"/>
          <w:highlight w:val="none"/>
        </w:rPr>
        <w:t>九、台州市建设工程安全生产任职资格承诺书</w:t>
      </w:r>
      <w:r>
        <w:tab/>
      </w:r>
      <w:r>
        <w:fldChar w:fldCharType="begin"/>
      </w:r>
      <w:r>
        <w:instrText xml:space="preserve"> PAGEREF _Toc16924 \h </w:instrText>
      </w:r>
      <w:r>
        <w:fldChar w:fldCharType="separate"/>
      </w:r>
      <w:r>
        <w:t>93</w:t>
      </w:r>
      <w:r>
        <w:fldChar w:fldCharType="end"/>
      </w:r>
      <w:r>
        <w:rPr>
          <w:bCs/>
          <w:highlight w:val="none"/>
          <w:lang w:val="zh-CN"/>
        </w:rPr>
        <w:fldChar w:fldCharType="end"/>
      </w:r>
    </w:p>
    <w:p>
      <w:pPr>
        <w:pStyle w:val="19"/>
        <w:tabs>
          <w:tab w:val="right" w:leader="dot" w:pos="8900"/>
        </w:tabs>
        <w:rPr>
          <w:rFonts w:hint="default" w:eastAsia="宋体"/>
          <w:lang w:val="en-US" w:eastAsia="zh-CN"/>
        </w:rPr>
      </w:pPr>
      <w:r>
        <w:rPr>
          <w:bCs/>
          <w:highlight w:val="none"/>
          <w:lang w:val="zh-CN"/>
        </w:rPr>
        <w:fldChar w:fldCharType="begin"/>
      </w:r>
      <w:r>
        <w:rPr>
          <w:bCs/>
          <w:highlight w:val="none"/>
          <w:lang w:val="zh-CN"/>
        </w:rPr>
        <w:instrText xml:space="preserve"> HYPERLINK \l _Toc21678 </w:instrText>
      </w:r>
      <w:r>
        <w:rPr>
          <w:bCs/>
          <w:highlight w:val="none"/>
          <w:lang w:val="zh-CN"/>
        </w:rPr>
        <w:fldChar w:fldCharType="separate"/>
      </w:r>
      <w:r>
        <w:rPr>
          <w:rFonts w:hint="eastAsia"/>
          <w:szCs w:val="28"/>
          <w:highlight w:val="none"/>
        </w:rPr>
        <w:t>十、</w:t>
      </w:r>
      <w:r>
        <w:rPr>
          <w:bCs/>
          <w:highlight w:val="none"/>
          <w:lang w:val="zh-CN"/>
        </w:rPr>
        <w:fldChar w:fldCharType="end"/>
      </w:r>
      <w:r>
        <w:rPr>
          <w:rFonts w:hint="eastAsia"/>
          <w:szCs w:val="28"/>
          <w:highlight w:val="none"/>
        </w:rPr>
        <w:t>停工证明</w:t>
      </w:r>
      <w:r>
        <w:tab/>
      </w:r>
      <w:r>
        <w:rPr>
          <w:rFonts w:hint="eastAsia"/>
          <w:lang w:val="en-US" w:eastAsia="zh-CN"/>
        </w:rPr>
        <w:t>94</w:t>
      </w:r>
    </w:p>
    <w:p>
      <w:pPr>
        <w:pStyle w:val="19"/>
        <w:tabs>
          <w:tab w:val="right" w:leader="dot" w:pos="8900"/>
        </w:tabs>
      </w:pPr>
      <w:r>
        <w:rPr>
          <w:bCs/>
          <w:highlight w:val="none"/>
          <w:lang w:val="zh-CN"/>
        </w:rPr>
        <w:fldChar w:fldCharType="begin"/>
      </w:r>
      <w:r>
        <w:rPr>
          <w:bCs/>
          <w:highlight w:val="none"/>
          <w:lang w:val="zh-CN"/>
        </w:rPr>
        <w:instrText xml:space="preserve"> HYPERLINK \l _Toc12900 </w:instrText>
      </w:r>
      <w:r>
        <w:rPr>
          <w:bCs/>
          <w:highlight w:val="none"/>
          <w:lang w:val="zh-CN"/>
        </w:rPr>
        <w:fldChar w:fldCharType="separate"/>
      </w:r>
      <w:r>
        <w:rPr>
          <w:rFonts w:hint="eastAsia"/>
          <w:szCs w:val="28"/>
          <w:highlight w:val="none"/>
        </w:rPr>
        <w:t>十</w:t>
      </w:r>
      <w:r>
        <w:rPr>
          <w:rFonts w:hint="eastAsia"/>
          <w:szCs w:val="28"/>
          <w:highlight w:val="none"/>
          <w:lang w:val="en-US" w:eastAsia="zh-CN"/>
        </w:rPr>
        <w:t>一</w:t>
      </w:r>
      <w:r>
        <w:rPr>
          <w:rFonts w:hint="eastAsia"/>
          <w:szCs w:val="28"/>
          <w:highlight w:val="none"/>
        </w:rPr>
        <w:t>．未验收证明</w:t>
      </w:r>
      <w:r>
        <w:tab/>
      </w:r>
      <w:r>
        <w:fldChar w:fldCharType="begin"/>
      </w:r>
      <w:r>
        <w:instrText xml:space="preserve"> PAGEREF _Toc12900 \h </w:instrText>
      </w:r>
      <w:r>
        <w:fldChar w:fldCharType="separate"/>
      </w:r>
      <w:r>
        <w:t>9</w:t>
      </w:r>
      <w:r>
        <w:rPr>
          <w:rFonts w:hint="eastAsia"/>
          <w:lang w:val="en-US" w:eastAsia="zh-CN"/>
        </w:rPr>
        <w:t>5</w:t>
      </w:r>
      <w:r>
        <w:fldChar w:fldCharType="end"/>
      </w:r>
      <w:r>
        <w:rPr>
          <w:bCs/>
          <w:highlight w:val="none"/>
          <w:lang w:val="zh-CN"/>
        </w:rPr>
        <w:fldChar w:fldCharType="end"/>
      </w:r>
    </w:p>
    <w:p>
      <w:pPr>
        <w:pStyle w:val="19"/>
        <w:tabs>
          <w:tab w:val="right" w:leader="dot" w:pos="8900"/>
        </w:tabs>
      </w:pPr>
      <w:r>
        <w:rPr>
          <w:bCs/>
          <w:highlight w:val="none"/>
          <w:lang w:val="zh-CN"/>
        </w:rPr>
        <w:fldChar w:fldCharType="begin"/>
      </w:r>
      <w:r>
        <w:rPr>
          <w:bCs/>
          <w:highlight w:val="none"/>
          <w:lang w:val="zh-CN"/>
        </w:rPr>
        <w:instrText xml:space="preserve"> HYPERLINK \l _Toc3244 </w:instrText>
      </w:r>
      <w:r>
        <w:rPr>
          <w:bCs/>
          <w:highlight w:val="none"/>
          <w:lang w:val="zh-CN"/>
        </w:rPr>
        <w:fldChar w:fldCharType="separate"/>
      </w:r>
      <w:r>
        <w:rPr>
          <w:rFonts w:hint="eastAsia"/>
          <w:szCs w:val="28"/>
          <w:highlight w:val="none"/>
        </w:rPr>
        <w:t>十</w:t>
      </w:r>
      <w:r>
        <w:rPr>
          <w:rFonts w:hint="eastAsia"/>
          <w:szCs w:val="28"/>
          <w:highlight w:val="none"/>
          <w:lang w:val="en-US" w:eastAsia="zh-CN"/>
        </w:rPr>
        <w:t>二</w:t>
      </w:r>
      <w:r>
        <w:rPr>
          <w:rFonts w:hint="eastAsia"/>
          <w:szCs w:val="28"/>
          <w:highlight w:val="none"/>
        </w:rPr>
        <w:t>．法定代表人身份证明</w:t>
      </w:r>
      <w:r>
        <w:tab/>
      </w:r>
      <w:r>
        <w:fldChar w:fldCharType="begin"/>
      </w:r>
      <w:r>
        <w:instrText xml:space="preserve"> PAGEREF _Toc3244 \h </w:instrText>
      </w:r>
      <w:r>
        <w:fldChar w:fldCharType="separate"/>
      </w:r>
      <w:r>
        <w:t>9</w:t>
      </w:r>
      <w:r>
        <w:rPr>
          <w:rFonts w:hint="eastAsia"/>
          <w:lang w:val="en-US" w:eastAsia="zh-CN"/>
        </w:rPr>
        <w:t>6</w:t>
      </w:r>
      <w:r>
        <w:fldChar w:fldCharType="end"/>
      </w:r>
      <w:r>
        <w:rPr>
          <w:bCs/>
          <w:highlight w:val="none"/>
          <w:lang w:val="zh-CN"/>
        </w:rPr>
        <w:fldChar w:fldCharType="end"/>
      </w:r>
    </w:p>
    <w:p>
      <w:pPr>
        <w:ind w:firstLine="480" w:firstLineChars="200"/>
        <w:rPr>
          <w:highlight w:val="none"/>
        </w:rPr>
      </w:pPr>
      <w:r>
        <w:rPr>
          <w:bCs/>
          <w:highlight w:val="none"/>
          <w:lang w:val="zh-CN"/>
        </w:rPr>
        <w:fldChar w:fldCharType="end"/>
      </w:r>
    </w:p>
    <w:p>
      <w:pPr>
        <w:rPr>
          <w:highlight w:val="none"/>
        </w:rPr>
        <w:sectPr>
          <w:footerReference r:id="rId3" w:type="default"/>
          <w:pgSz w:w="12240" w:h="15840"/>
          <w:pgMar w:top="1503" w:right="1639" w:bottom="1304" w:left="1701" w:header="0" w:footer="919" w:gutter="0"/>
          <w:pgNumType w:start="1"/>
          <w:cols w:space="720" w:num="1"/>
        </w:sectPr>
      </w:pPr>
    </w:p>
    <w:p>
      <w:pPr>
        <w:widowControl/>
        <w:spacing w:line="440" w:lineRule="exact"/>
        <w:jc w:val="center"/>
        <w:rPr>
          <w:sz w:val="28"/>
          <w:szCs w:val="28"/>
          <w:highlight w:val="none"/>
        </w:rPr>
      </w:pPr>
      <w:bookmarkStart w:id="5" w:name="_Toc45697219"/>
      <w:r>
        <w:rPr>
          <w:rFonts w:hint="eastAsia"/>
          <w:sz w:val="28"/>
          <w:szCs w:val="28"/>
          <w:highlight w:val="none"/>
        </w:rPr>
        <w:t>三门县公共资源交易不见面开标大厅试运行投标人须知</w:t>
      </w:r>
    </w:p>
    <w:p>
      <w:pPr>
        <w:spacing w:line="440" w:lineRule="exact"/>
        <w:ind w:firstLine="480" w:firstLineChars="200"/>
        <w:rPr>
          <w:highlight w:val="none"/>
        </w:rPr>
      </w:pPr>
      <w:r>
        <w:rPr>
          <w:rFonts w:hint="eastAsia"/>
          <w:highlight w:val="none"/>
        </w:rPr>
        <w:t>1、三门县公共资源交易不见面开标大厅（以下简称：不见面开标系统）登录方式：插入CA锁并登录交易系统—业务办理—开评标—进入不见面开标系统。</w:t>
      </w:r>
    </w:p>
    <w:p>
      <w:pPr>
        <w:spacing w:line="440" w:lineRule="exact"/>
        <w:ind w:firstLine="480" w:firstLineChars="200"/>
        <w:rPr>
          <w:highlight w:val="none"/>
        </w:rPr>
      </w:pPr>
      <w:r>
        <w:rPr>
          <w:rFonts w:hint="eastAsia"/>
          <w:highlight w:val="none"/>
        </w:rPr>
        <w:t>2、不见面开标系统对投标人终端要求：详见《</w:t>
      </w:r>
      <w:r>
        <w:rPr>
          <w:highlight w:val="none"/>
        </w:rPr>
        <w:t>三门县不见面开标大厅投标人操作手册</w:t>
      </w:r>
      <w:r>
        <w:rPr>
          <w:rFonts w:hint="eastAsia"/>
          <w:highlight w:val="none"/>
        </w:rPr>
        <w:t>》。</w:t>
      </w:r>
    </w:p>
    <w:p>
      <w:pPr>
        <w:spacing w:line="440" w:lineRule="exact"/>
        <w:ind w:firstLine="480" w:firstLineChars="200"/>
        <w:rPr>
          <w:highlight w:val="none"/>
        </w:rPr>
      </w:pPr>
      <w:r>
        <w:rPr>
          <w:rFonts w:hint="eastAsia"/>
          <w:highlight w:val="none"/>
        </w:rPr>
        <w:t>特别提示：IE浏览器需安装插件，请按提示自行安装相关插件并按要求进行相关插件的设置。</w:t>
      </w:r>
    </w:p>
    <w:p>
      <w:pPr>
        <w:spacing w:line="440" w:lineRule="exact"/>
        <w:ind w:firstLine="480" w:firstLineChars="200"/>
        <w:rPr>
          <w:highlight w:val="none"/>
        </w:rPr>
      </w:pPr>
      <w:r>
        <w:rPr>
          <w:rFonts w:hint="eastAsia"/>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440" w:lineRule="exact"/>
        <w:ind w:firstLine="480" w:firstLineChars="200"/>
        <w:rPr>
          <w:highlight w:val="none"/>
        </w:rPr>
      </w:pPr>
      <w:r>
        <w:rPr>
          <w:rFonts w:hint="eastAsia"/>
          <w:highlight w:val="none"/>
        </w:rPr>
        <w:t>4、不见面开标系统需使用数字证书（CA）操作，未取得数字证书（CA）的，请前往“三门县公共资源交易专用数字证书用户自助申报系统”自助办理（网址：http://www.tseal.cn/tcloud/smxztb。</w:t>
      </w:r>
    </w:p>
    <w:p>
      <w:pPr>
        <w:spacing w:line="440" w:lineRule="exact"/>
        <w:ind w:firstLine="472" w:firstLineChars="200"/>
        <w:rPr>
          <w:highlight w:val="none"/>
        </w:rPr>
      </w:pPr>
      <w:r>
        <w:rPr>
          <w:rFonts w:hint="eastAsia"/>
          <w:spacing w:val="-2"/>
          <w:highlight w:val="none"/>
        </w:rPr>
        <w:t>5、</w:t>
      </w:r>
      <w:r>
        <w:rPr>
          <w:spacing w:val="-2"/>
          <w:highlight w:val="none"/>
        </w:rPr>
        <w:t>不见面开标项目投标文件均用专用招投标工具软件编制</w:t>
      </w:r>
      <w:r>
        <w:rPr>
          <w:rFonts w:hint="eastAsia"/>
          <w:spacing w:val="-2"/>
          <w:highlight w:val="none"/>
        </w:rPr>
        <w:t>，软件下载地址见网站下载中心，</w:t>
      </w:r>
      <w:r>
        <w:rPr>
          <w:rFonts w:hint="eastAsia"/>
          <w:highlight w:val="none"/>
        </w:rPr>
        <w:t>投标工具锁申请地址：</w:t>
      </w:r>
      <w:r>
        <w:rPr>
          <w:highlight w:val="none"/>
        </w:rPr>
        <w:fldChar w:fldCharType="begin"/>
      </w:r>
      <w:r>
        <w:rPr>
          <w:highlight w:val="none"/>
        </w:rPr>
        <w:instrText xml:space="preserve"> HYPERLINK "http://commkey.pminfo.cn/RegisterRockey/Login/Login.aspx" </w:instrText>
      </w:r>
      <w:r>
        <w:rPr>
          <w:highlight w:val="none"/>
        </w:rPr>
        <w:fldChar w:fldCharType="separate"/>
      </w:r>
      <w:r>
        <w:rPr>
          <w:rStyle w:val="25"/>
          <w:color w:val="auto"/>
          <w:highlight w:val="none"/>
        </w:rPr>
        <w:t>http://commkey.pminfo.cn/R</w:t>
      </w:r>
      <w:bookmarkStart w:id="6" w:name="_Hlt44403249"/>
      <w:bookmarkStart w:id="7" w:name="_Hlt44403250"/>
      <w:r>
        <w:rPr>
          <w:rStyle w:val="25"/>
          <w:color w:val="auto"/>
          <w:highlight w:val="none"/>
        </w:rPr>
        <w:t>e</w:t>
      </w:r>
      <w:bookmarkEnd w:id="6"/>
      <w:bookmarkEnd w:id="7"/>
      <w:r>
        <w:rPr>
          <w:rStyle w:val="25"/>
          <w:color w:val="auto"/>
          <w:highlight w:val="none"/>
        </w:rPr>
        <w:t>gisterRockey/Login/Login.aspx</w:t>
      </w:r>
      <w:r>
        <w:rPr>
          <w:rStyle w:val="25"/>
          <w:color w:val="auto"/>
          <w:highlight w:val="none"/>
        </w:rPr>
        <w:fldChar w:fldCharType="end"/>
      </w:r>
      <w:r>
        <w:rPr>
          <w:rFonts w:hint="eastAsia"/>
          <w:spacing w:val="-2"/>
          <w:highlight w:val="none"/>
        </w:rPr>
        <w:t>。</w:t>
      </w:r>
    </w:p>
    <w:p>
      <w:pPr>
        <w:spacing w:line="440" w:lineRule="exact"/>
        <w:ind w:firstLine="480" w:firstLineChars="200"/>
        <w:rPr>
          <w:highlight w:val="none"/>
        </w:rPr>
      </w:pPr>
      <w:r>
        <w:rPr>
          <w:rFonts w:hint="eastAsia"/>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440" w:lineRule="exact"/>
        <w:ind w:firstLine="480" w:firstLineChars="200"/>
        <w:rPr>
          <w:highlight w:val="none"/>
        </w:rPr>
      </w:pPr>
      <w:r>
        <w:rPr>
          <w:rFonts w:hint="eastAsia"/>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440" w:lineRule="exact"/>
        <w:ind w:firstLine="480" w:firstLineChars="200"/>
        <w:rPr>
          <w:highlight w:val="none"/>
        </w:rPr>
      </w:pPr>
      <w:r>
        <w:rPr>
          <w:rFonts w:hint="eastAsia"/>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440" w:lineRule="exact"/>
        <w:ind w:firstLine="480" w:firstLineChars="200"/>
        <w:rPr>
          <w:highlight w:val="none"/>
        </w:rPr>
      </w:pPr>
      <w:r>
        <w:rPr>
          <w:rFonts w:hint="eastAsia"/>
          <w:highlight w:val="none"/>
        </w:rPr>
        <w:t>重要事项说明：</w:t>
      </w:r>
    </w:p>
    <w:p>
      <w:pPr>
        <w:spacing w:line="440" w:lineRule="exact"/>
        <w:ind w:firstLine="480" w:firstLineChars="200"/>
        <w:rPr>
          <w:highlight w:val="none"/>
        </w:rPr>
      </w:pPr>
      <w:r>
        <w:rPr>
          <w:rFonts w:hint="eastAsia"/>
          <w:highlight w:val="none"/>
        </w:rPr>
        <w:t>（1）开标项目的时间均以国家授时中心发布的时间为准。</w:t>
      </w:r>
    </w:p>
    <w:p>
      <w:pPr>
        <w:spacing w:line="440" w:lineRule="exact"/>
        <w:ind w:firstLine="480" w:firstLineChars="200"/>
        <w:rPr>
          <w:highlight w:val="none"/>
        </w:rPr>
      </w:pPr>
      <w:r>
        <w:rPr>
          <w:rFonts w:hint="eastAsia"/>
          <w:highlight w:val="none"/>
        </w:rPr>
        <w:t>（2）投标文件递交截止时间前，各投标人的授权委托人或法人代表应提前进入不见面交易系统进行在线签到，</w:t>
      </w:r>
      <w:r>
        <w:rPr>
          <w:rFonts w:hint="eastAsia" w:ascii="黑体" w:hAnsi="黑体" w:eastAsia="黑体"/>
          <w:b/>
          <w:highlight w:val="none"/>
        </w:rPr>
        <w:t>未完成签到的，将无法解密投标文件，并视为放弃投标</w:t>
      </w:r>
      <w:r>
        <w:rPr>
          <w:rFonts w:hint="eastAsia"/>
          <w:highlight w:val="none"/>
        </w:rPr>
        <w:t>。</w:t>
      </w:r>
    </w:p>
    <w:p>
      <w:pPr>
        <w:spacing w:line="440" w:lineRule="exact"/>
        <w:ind w:firstLine="480" w:firstLineChars="200"/>
        <w:rPr>
          <w:highlight w:val="none"/>
        </w:rPr>
      </w:pPr>
      <w:r>
        <w:rPr>
          <w:rFonts w:hint="eastAsia"/>
          <w:highlight w:val="none"/>
        </w:rPr>
        <w:t>（3）投标人未在规定时间内解密、解密失败或解密超时，视为放弃投标。</w:t>
      </w:r>
    </w:p>
    <w:p>
      <w:pPr>
        <w:spacing w:line="440" w:lineRule="exact"/>
        <w:ind w:firstLine="480" w:firstLineChars="200"/>
        <w:rPr>
          <w:highlight w:val="none"/>
        </w:rPr>
      </w:pPr>
      <w:r>
        <w:rPr>
          <w:rFonts w:hint="eastAsia"/>
          <w:highlight w:val="none"/>
        </w:rPr>
        <w:t>（4）若投标人已申请多把CA锁，请注意使用差别，确保制作上传加密投标文件和开标解密时使用的CA锁是一致的，否则造成解密失败的，由投标人负责。</w:t>
      </w:r>
    </w:p>
    <w:p>
      <w:pPr>
        <w:spacing w:line="440" w:lineRule="exact"/>
        <w:ind w:firstLine="480" w:firstLineChars="200"/>
        <w:rPr>
          <w:highlight w:val="none"/>
        </w:rPr>
      </w:pPr>
      <w:r>
        <w:rPr>
          <w:rFonts w:hint="eastAsia"/>
          <w:highlight w:val="none"/>
        </w:rPr>
        <w:t>（5）如有疑问，请咨询品茗公司技术服务电话，技术服务电话：章宏涛  13968512856。QQ“三门交易平台交流群”（群号：146117595），进行业务咨询。此群也将作为不见面开标的备用远程交互群。</w:t>
      </w:r>
    </w:p>
    <w:p>
      <w:pPr>
        <w:pStyle w:val="2"/>
        <w:ind w:left="6" w:firstLine="880" w:firstLineChars="200"/>
        <w:rPr>
          <w:highlight w:val="none"/>
        </w:rPr>
      </w:pPr>
    </w:p>
    <w:p>
      <w:pPr>
        <w:pStyle w:val="2"/>
        <w:ind w:left="6" w:firstLine="880" w:firstLineChars="200"/>
        <w:rPr>
          <w:highlight w:val="none"/>
        </w:rPr>
      </w:pPr>
    </w:p>
    <w:p>
      <w:pPr>
        <w:pStyle w:val="2"/>
        <w:ind w:left="6" w:firstLine="880" w:firstLineChars="200"/>
        <w:rPr>
          <w:highlight w:val="none"/>
        </w:rPr>
      </w:pPr>
    </w:p>
    <w:p>
      <w:pPr>
        <w:pStyle w:val="2"/>
        <w:ind w:left="6" w:firstLine="880" w:firstLineChars="200"/>
        <w:rPr>
          <w:highlight w:val="none"/>
        </w:rPr>
      </w:pPr>
    </w:p>
    <w:p>
      <w:pPr>
        <w:pStyle w:val="2"/>
        <w:ind w:left="6" w:firstLine="880" w:firstLineChars="200"/>
        <w:rPr>
          <w:highlight w:val="none"/>
        </w:rPr>
      </w:pPr>
    </w:p>
    <w:p>
      <w:pPr>
        <w:pStyle w:val="2"/>
        <w:ind w:left="6" w:firstLine="880" w:firstLineChars="200"/>
        <w:rPr>
          <w:highlight w:val="none"/>
        </w:rPr>
      </w:pPr>
    </w:p>
    <w:p>
      <w:pPr>
        <w:pStyle w:val="2"/>
        <w:ind w:left="6" w:firstLine="880" w:firstLineChars="200"/>
        <w:rPr>
          <w:highlight w:val="none"/>
        </w:rPr>
      </w:pPr>
    </w:p>
    <w:p>
      <w:pPr>
        <w:pStyle w:val="2"/>
        <w:ind w:left="6" w:firstLine="880" w:firstLineChars="200"/>
        <w:rPr>
          <w:highlight w:val="none"/>
        </w:rPr>
      </w:pPr>
    </w:p>
    <w:p>
      <w:pPr>
        <w:rPr>
          <w:highlight w:val="none"/>
        </w:rPr>
      </w:pPr>
    </w:p>
    <w:p>
      <w:pPr>
        <w:pStyle w:val="8"/>
        <w:rPr>
          <w:highlight w:val="none"/>
        </w:rPr>
      </w:pPr>
    </w:p>
    <w:p>
      <w:pPr>
        <w:pStyle w:val="2"/>
        <w:ind w:left="6" w:firstLine="880" w:firstLineChars="200"/>
        <w:rPr>
          <w:highlight w:val="none"/>
        </w:rPr>
      </w:pPr>
    </w:p>
    <w:p>
      <w:pPr>
        <w:rPr>
          <w:highlight w:val="none"/>
        </w:rPr>
      </w:pPr>
    </w:p>
    <w:p>
      <w:pPr>
        <w:pStyle w:val="2"/>
        <w:ind w:left="6" w:firstLine="880" w:firstLineChars="200"/>
        <w:rPr>
          <w:highlight w:val="none"/>
        </w:rPr>
      </w:pPr>
    </w:p>
    <w:p>
      <w:pPr>
        <w:pStyle w:val="2"/>
        <w:ind w:left="6" w:firstLine="880" w:firstLineChars="200"/>
        <w:rPr>
          <w:highlight w:val="none"/>
        </w:rPr>
      </w:pPr>
      <w:bookmarkStart w:id="8" w:name="_Toc3516"/>
      <w:r>
        <w:rPr>
          <w:rFonts w:hint="eastAsia"/>
          <w:highlight w:val="none"/>
        </w:rPr>
        <w:t>第一章</w:t>
      </w:r>
      <w:r>
        <w:rPr>
          <w:highlight w:val="none"/>
        </w:rPr>
        <w:t xml:space="preserve"> </w:t>
      </w:r>
      <w:r>
        <w:rPr>
          <w:rFonts w:hint="eastAsia"/>
          <w:highlight w:val="none"/>
        </w:rPr>
        <w:t>招标公告</w:t>
      </w:r>
      <w:bookmarkEnd w:id="8"/>
    </w:p>
    <w:p>
      <w:pPr>
        <w:spacing w:line="480" w:lineRule="exact"/>
        <w:ind w:firstLine="562" w:firstLineChars="200"/>
        <w:jc w:val="center"/>
        <w:rPr>
          <w:rFonts w:hint="eastAsia" w:eastAsia="宋体"/>
          <w:b/>
          <w:sz w:val="28"/>
          <w:szCs w:val="28"/>
          <w:highlight w:val="none"/>
          <w:lang w:eastAsia="zh-CN"/>
        </w:rPr>
      </w:pPr>
      <w:r>
        <w:rPr>
          <w:rFonts w:hint="eastAsia"/>
          <w:b/>
          <w:sz w:val="28"/>
          <w:szCs w:val="28"/>
          <w:highlight w:val="none"/>
          <w:lang w:eastAsia="zh-CN"/>
        </w:rPr>
        <w:t>环大周塘区块配套基础设施提升工程一北岸大道至鲍家道路沿线改造提升工程</w:t>
      </w:r>
    </w:p>
    <w:p>
      <w:pPr>
        <w:spacing w:line="480" w:lineRule="exact"/>
        <w:ind w:firstLine="562" w:firstLineChars="200"/>
        <w:jc w:val="center"/>
        <w:rPr>
          <w:b/>
          <w:sz w:val="28"/>
          <w:szCs w:val="28"/>
          <w:highlight w:val="none"/>
        </w:rPr>
      </w:pPr>
      <w:r>
        <w:rPr>
          <w:rFonts w:hint="eastAsia"/>
          <w:b/>
          <w:sz w:val="28"/>
          <w:szCs w:val="28"/>
          <w:highlight w:val="none"/>
        </w:rPr>
        <w:t>招标公告</w:t>
      </w:r>
    </w:p>
    <w:p>
      <w:pPr>
        <w:spacing w:line="480" w:lineRule="exact"/>
        <w:rPr>
          <w:rFonts w:ascii="宋体" w:hAnsi="宋体"/>
          <w:b/>
          <w:sz w:val="28"/>
          <w:szCs w:val="28"/>
          <w:highlight w:val="none"/>
        </w:rPr>
      </w:pPr>
      <w:r>
        <w:rPr>
          <w:rFonts w:ascii="宋体" w:hAnsi="宋体"/>
          <w:b/>
          <w:sz w:val="28"/>
          <w:szCs w:val="28"/>
          <w:highlight w:val="none"/>
        </w:rPr>
        <w:t>1.招标条件</w:t>
      </w:r>
    </w:p>
    <w:p>
      <w:pPr>
        <w:pStyle w:val="8"/>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rPr>
          <w:highlight w:val="none"/>
        </w:rPr>
      </w:pPr>
      <w:r>
        <w:rPr>
          <w:rFonts w:hint="eastAsia"/>
          <w:spacing w:val="-1"/>
          <w:highlight w:val="none"/>
          <w:u w:val="single"/>
          <w:lang w:eastAsia="zh-CN"/>
        </w:rPr>
        <w:t>环大周塘区块配套基础设施提升工程一北岸大道至鲍家道路沿线改造提升工程</w:t>
      </w:r>
      <w:r>
        <w:rPr>
          <w:rFonts w:hint="eastAsia"/>
          <w:spacing w:val="-1"/>
          <w:highlight w:val="none"/>
        </w:rPr>
        <w:t>已</w:t>
      </w:r>
      <w:r>
        <w:rPr>
          <w:rFonts w:hint="eastAsia"/>
          <w:spacing w:val="-1"/>
          <w:highlight w:val="none"/>
          <w:u w:val="single"/>
        </w:rPr>
        <w:t xml:space="preserve"> 三门县发展和改革局</w:t>
      </w:r>
      <w:r>
        <w:rPr>
          <w:rFonts w:hint="eastAsia"/>
          <w:spacing w:val="-5"/>
          <w:highlight w:val="none"/>
        </w:rPr>
        <w:t>以</w:t>
      </w:r>
      <w:r>
        <w:rPr>
          <w:rFonts w:hint="eastAsia"/>
          <w:spacing w:val="-4"/>
          <w:highlight w:val="none"/>
          <w:u w:val="single"/>
          <w:lang w:eastAsia="zh-CN"/>
        </w:rPr>
        <w:t>240</w:t>
      </w:r>
      <w:r>
        <w:rPr>
          <w:rFonts w:hint="eastAsia"/>
          <w:spacing w:val="-4"/>
          <w:highlight w:val="none"/>
          <w:u w:val="single"/>
          <w:lang w:val="en-US" w:eastAsia="zh-CN"/>
        </w:rPr>
        <w:t>8</w:t>
      </w:r>
      <w:r>
        <w:rPr>
          <w:rFonts w:hint="eastAsia"/>
          <w:spacing w:val="-4"/>
          <w:highlight w:val="none"/>
          <w:u w:val="single"/>
          <w:lang w:eastAsia="zh-CN"/>
        </w:rPr>
        <w:t>-31022-04-01-</w:t>
      </w:r>
      <w:r>
        <w:rPr>
          <w:rFonts w:hint="eastAsia"/>
          <w:spacing w:val="-4"/>
          <w:highlight w:val="none"/>
          <w:u w:val="single"/>
          <w:lang w:val="en-US" w:eastAsia="zh-CN"/>
        </w:rPr>
        <w:t>455003</w:t>
      </w:r>
      <w:r>
        <w:rPr>
          <w:rFonts w:hint="eastAsia" w:ascii="宋体" w:hAnsi="宋体" w:cs="宋体"/>
          <w:szCs w:val="21"/>
          <w:highlight w:val="none"/>
          <w:u w:val="single"/>
        </w:rPr>
        <w:t>号</w:t>
      </w:r>
      <w:r>
        <w:rPr>
          <w:rFonts w:hint="eastAsia"/>
          <w:spacing w:val="-4"/>
          <w:highlight w:val="none"/>
        </w:rPr>
        <w:t>批准建设，建设资金来</w:t>
      </w:r>
      <w:r>
        <w:rPr>
          <w:spacing w:val="-97"/>
          <w:highlight w:val="none"/>
        </w:rPr>
        <w:t xml:space="preserve"> </w:t>
      </w:r>
      <w:r>
        <w:rPr>
          <w:rFonts w:hint="eastAsia"/>
          <w:spacing w:val="-1"/>
          <w:highlight w:val="none"/>
        </w:rPr>
        <w:t>自</w:t>
      </w:r>
      <w:r>
        <w:rPr>
          <w:rFonts w:hint="eastAsia"/>
          <w:spacing w:val="-12"/>
          <w:highlight w:val="none"/>
          <w:u w:val="single"/>
        </w:rPr>
        <w:t xml:space="preserve"> </w:t>
      </w:r>
      <w:r>
        <w:rPr>
          <w:rFonts w:hint="eastAsia" w:ascii="宋体" w:hAnsi="宋体" w:cs="宋体"/>
          <w:szCs w:val="21"/>
          <w:highlight w:val="none"/>
          <w:u w:val="single"/>
          <w:lang w:eastAsia="zh-CN"/>
        </w:rPr>
        <w:t>上级拨款</w:t>
      </w:r>
      <w:r>
        <w:rPr>
          <w:rFonts w:hint="eastAsia"/>
          <w:spacing w:val="-12"/>
          <w:highlight w:val="none"/>
          <w:u w:val="single"/>
        </w:rPr>
        <w:t xml:space="preserve"> </w:t>
      </w:r>
      <w:r>
        <w:rPr>
          <w:rFonts w:hint="eastAsia"/>
          <w:spacing w:val="-12"/>
          <w:highlight w:val="none"/>
        </w:rPr>
        <w:t>，出资比例为</w:t>
      </w:r>
      <w:r>
        <w:rPr>
          <w:rFonts w:hint="eastAsia"/>
          <w:spacing w:val="-12"/>
          <w:highlight w:val="none"/>
          <w:u w:val="single"/>
        </w:rPr>
        <w:t xml:space="preserve"> </w:t>
      </w:r>
      <w:r>
        <w:rPr>
          <w:rFonts w:hint="eastAsia" w:ascii="宋体" w:hAnsi="宋体" w:eastAsia="宋体" w:cs="宋体"/>
          <w:color w:val="FF0000"/>
          <w:spacing w:val="-5"/>
          <w:sz w:val="24"/>
          <w:szCs w:val="24"/>
          <w:u w:val="single" w:color="auto"/>
          <w:lang w:val="en-US" w:eastAsia="zh-CN"/>
        </w:rPr>
        <w:t xml:space="preserve"> </w:t>
      </w:r>
      <w:r>
        <w:rPr>
          <w:rFonts w:hint="eastAsia" w:eastAsia="宋体"/>
          <w:spacing w:val="-12"/>
          <w:highlight w:val="none"/>
          <w:u w:val="single"/>
          <w:lang w:val="en-US" w:eastAsia="zh-CN"/>
        </w:rPr>
        <w:t>三门县社会事业产业发展集团有限公司全额出资</w:t>
      </w:r>
      <w:r>
        <w:rPr>
          <w:rFonts w:hint="eastAsia"/>
          <w:spacing w:val="-6"/>
          <w:highlight w:val="none"/>
        </w:rPr>
        <w:t>，项目业主为</w:t>
      </w:r>
      <w:r>
        <w:rPr>
          <w:spacing w:val="-6"/>
          <w:highlight w:val="none"/>
          <w:u w:val="single"/>
        </w:rPr>
        <w:t xml:space="preserve"> </w:t>
      </w:r>
      <w:r>
        <w:rPr>
          <w:rFonts w:hint="eastAsia" w:ascii="宋体" w:hAnsi="宋体" w:cs="宋体"/>
          <w:szCs w:val="21"/>
          <w:highlight w:val="none"/>
          <w:u w:val="single"/>
          <w:lang w:eastAsia="zh-CN"/>
        </w:rPr>
        <w:t>三门海润金鳞湖经济开发有限公司</w:t>
      </w:r>
      <w:r>
        <w:rPr>
          <w:spacing w:val="-6"/>
          <w:highlight w:val="none"/>
          <w:u w:val="single"/>
        </w:rPr>
        <w:t xml:space="preserve"> </w:t>
      </w:r>
      <w:r>
        <w:rPr>
          <w:rFonts w:hint="eastAsia"/>
          <w:spacing w:val="-6"/>
          <w:highlight w:val="none"/>
        </w:rPr>
        <w:t>，招标人为</w:t>
      </w:r>
      <w:r>
        <w:rPr>
          <w:rFonts w:hint="eastAsia" w:ascii="宋体" w:hAnsi="宋体" w:cs="宋体"/>
          <w:szCs w:val="21"/>
          <w:highlight w:val="none"/>
          <w:u w:val="single"/>
          <w:lang w:eastAsia="zh-CN"/>
        </w:rPr>
        <w:t>三门海润金鳞湖经济开发有限公司</w:t>
      </w:r>
      <w:r>
        <w:rPr>
          <w:spacing w:val="-6"/>
          <w:highlight w:val="none"/>
          <w:u w:val="single"/>
        </w:rPr>
        <w:t xml:space="preserve"> </w:t>
      </w:r>
      <w:r>
        <w:rPr>
          <w:rFonts w:hint="eastAsia"/>
          <w:spacing w:val="-6"/>
          <w:highlight w:val="none"/>
        </w:rPr>
        <w:t>，委托代理机构为</w:t>
      </w:r>
      <w:r>
        <w:rPr>
          <w:spacing w:val="-6"/>
          <w:highlight w:val="none"/>
          <w:u w:val="single"/>
        </w:rPr>
        <w:t xml:space="preserve">  </w:t>
      </w:r>
      <w:r>
        <w:rPr>
          <w:rFonts w:hint="eastAsia" w:ascii="宋体" w:hAnsi="宋体" w:cs="宋体"/>
          <w:szCs w:val="21"/>
          <w:highlight w:val="none"/>
          <w:u w:val="single"/>
          <w:lang w:eastAsia="zh-CN"/>
        </w:rPr>
        <w:t>浙江揽丰工程咨询有限公司</w:t>
      </w:r>
      <w:r>
        <w:rPr>
          <w:spacing w:val="-6"/>
          <w:highlight w:val="none"/>
          <w:u w:val="single"/>
        </w:rPr>
        <w:t xml:space="preserve"> </w:t>
      </w:r>
      <w:r>
        <w:rPr>
          <w:rFonts w:hint="eastAsia"/>
          <w:spacing w:val="-4"/>
          <w:highlight w:val="none"/>
        </w:rPr>
        <w:t>。项目已具备招标</w:t>
      </w:r>
      <w:r>
        <w:rPr>
          <w:spacing w:val="-95"/>
          <w:highlight w:val="none"/>
        </w:rPr>
        <w:t xml:space="preserve"> </w:t>
      </w:r>
      <w:r>
        <w:rPr>
          <w:rFonts w:hint="eastAsia"/>
          <w:highlight w:val="none"/>
        </w:rPr>
        <w:t>条件，现对该项目的</w:t>
      </w:r>
      <w:r>
        <w:rPr>
          <w:highlight w:val="none"/>
          <w:u w:val="single"/>
        </w:rPr>
        <w:t xml:space="preserve"> </w:t>
      </w:r>
      <w:r>
        <w:rPr>
          <w:rFonts w:hint="eastAsia"/>
          <w:spacing w:val="-1"/>
          <w:highlight w:val="none"/>
          <w:u w:val="single"/>
          <w:lang w:eastAsia="zh-CN"/>
        </w:rPr>
        <w:t>环大周塘区块配套基础设施提升工程一北岸大道至鲍家道路沿线改造提升工程</w:t>
      </w:r>
      <w:r>
        <w:rPr>
          <w:rFonts w:hint="eastAsia"/>
          <w:highlight w:val="none"/>
          <w:u w:val="single"/>
        </w:rPr>
        <w:t xml:space="preserve"> </w:t>
      </w:r>
      <w:r>
        <w:rPr>
          <w:rFonts w:hint="eastAsia"/>
          <w:highlight w:val="none"/>
        </w:rPr>
        <w:t>的施工进行公开招标。</w:t>
      </w:r>
    </w:p>
    <w:p>
      <w:pPr>
        <w:spacing w:line="480" w:lineRule="exact"/>
        <w:rPr>
          <w:rFonts w:ascii="宋体" w:hAnsi="宋体"/>
          <w:b/>
          <w:sz w:val="28"/>
          <w:szCs w:val="28"/>
          <w:highlight w:val="none"/>
        </w:rPr>
      </w:pPr>
      <w:r>
        <w:rPr>
          <w:rFonts w:ascii="宋体" w:hAnsi="宋体"/>
          <w:b/>
          <w:sz w:val="28"/>
          <w:szCs w:val="28"/>
          <w:highlight w:val="none"/>
        </w:rPr>
        <w:t>2.项目概况与招标范围</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int="eastAsia" w:ascii="宋体" w:hAnsi="宋体" w:eastAsia="宋体"/>
          <w:highlight w:val="none"/>
          <w:lang w:eastAsia="zh-CN"/>
        </w:rPr>
      </w:pPr>
      <w:r>
        <w:rPr>
          <w:rFonts w:ascii="宋体" w:hAnsi="宋体"/>
          <w:highlight w:val="none"/>
        </w:rPr>
        <w:t>2.1</w:t>
      </w:r>
      <w:r>
        <w:rPr>
          <w:rFonts w:hint="eastAsia" w:ascii="宋体" w:hAnsi="宋体"/>
          <w:highlight w:val="none"/>
        </w:rPr>
        <w:t>项目概况：本项目工程概算</w:t>
      </w:r>
      <w:r>
        <w:rPr>
          <w:rFonts w:hint="eastAsia" w:ascii="宋体" w:hAnsi="宋体"/>
          <w:highlight w:val="none"/>
          <w:u w:val="single"/>
          <w:lang w:val="en-US" w:eastAsia="zh-CN"/>
        </w:rPr>
        <w:t>860</w:t>
      </w:r>
      <w:r>
        <w:rPr>
          <w:rFonts w:hint="eastAsia" w:ascii="宋体" w:hAnsi="宋体"/>
          <w:highlight w:val="none"/>
        </w:rPr>
        <w:t>万元，建设规模：</w:t>
      </w:r>
      <w:r>
        <w:rPr>
          <w:rFonts w:hint="eastAsia" w:ascii="宋体" w:hAnsi="宋体"/>
          <w:highlight w:val="none"/>
          <w:u w:val="single"/>
          <w:lang w:eastAsia="zh-CN"/>
        </w:rPr>
        <w:t>许青线沿线绿化种植、园路铺装、广场、雕塑、景墙及各主要景观节点建设，照明及雾森系统安装工程等。</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2.2</w:t>
      </w:r>
      <w:r>
        <w:rPr>
          <w:rFonts w:hint="eastAsia" w:ascii="宋体" w:hAnsi="宋体"/>
          <w:highlight w:val="none"/>
        </w:rPr>
        <w:t>招标范围：</w:t>
      </w:r>
      <w:r>
        <w:rPr>
          <w:rFonts w:ascii="宋体" w:hAnsi="宋体"/>
          <w:highlight w:val="none"/>
          <w:u w:val="single"/>
        </w:rPr>
        <w:t xml:space="preserve"> </w:t>
      </w:r>
      <w:r>
        <w:rPr>
          <w:rFonts w:hint="eastAsia" w:ascii="宋体" w:hAnsi="宋体" w:cs="宋体"/>
          <w:szCs w:val="21"/>
          <w:highlight w:val="none"/>
          <w:u w:val="single"/>
        </w:rPr>
        <w:t>招标人提供的施工图纸范围内及预算审核书中所包含的所有内容</w:t>
      </w:r>
      <w:r>
        <w:rPr>
          <w:rFonts w:hint="eastAsia"/>
          <w:highlight w:val="none"/>
          <w:u w:val="single"/>
        </w:rPr>
        <w:t>。具体详见施工图纸及工程量清单。</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hint="eastAsia" w:ascii="宋体" w:hAnsi="宋体"/>
          <w:highlight w:val="none"/>
        </w:rPr>
        <w:t>本次招标建安工程造</w:t>
      </w:r>
      <w:r>
        <w:rPr>
          <w:rFonts w:hint="eastAsia" w:ascii="宋体" w:hAnsi="宋体"/>
          <w:highlight w:val="none"/>
          <w:u w:val="single"/>
        </w:rPr>
        <w:t>价</w:t>
      </w:r>
      <w:r>
        <w:rPr>
          <w:rFonts w:hint="eastAsia" w:ascii="宋体" w:hAnsi="宋体"/>
          <w:highlight w:val="none"/>
          <w:u w:val="single"/>
          <w:lang w:val="en-US" w:eastAsia="zh-CN"/>
        </w:rPr>
        <w:t>8220953</w:t>
      </w:r>
      <w:r>
        <w:rPr>
          <w:rFonts w:hint="eastAsia" w:ascii="宋体" w:hAnsi="宋体"/>
          <w:highlight w:val="none"/>
          <w:u w:val="single"/>
        </w:rPr>
        <w:t>元</w:t>
      </w:r>
      <w:r>
        <w:rPr>
          <w:rFonts w:ascii="宋体" w:hAnsi="宋体"/>
          <w:highlight w:val="none"/>
          <w:u w:val="single"/>
        </w:rPr>
        <w:t xml:space="preserve">  </w:t>
      </w:r>
      <w:r>
        <w:rPr>
          <w:rFonts w:hint="eastAsia" w:ascii="宋体" w:hAnsi="宋体"/>
          <w:highlight w:val="none"/>
        </w:rPr>
        <w:t>。</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u w:val="single"/>
        </w:rPr>
      </w:pPr>
      <w:r>
        <w:rPr>
          <w:rFonts w:ascii="宋体" w:hAnsi="宋体"/>
          <w:color w:val="auto"/>
          <w:highlight w:val="none"/>
        </w:rPr>
        <w:t>2.3</w:t>
      </w:r>
      <w:r>
        <w:rPr>
          <w:rFonts w:hint="eastAsia" w:ascii="宋体" w:hAnsi="宋体"/>
          <w:color w:val="auto"/>
          <w:highlight w:val="none"/>
        </w:rPr>
        <w:t>施工总工期：</w:t>
      </w:r>
      <w:r>
        <w:rPr>
          <w:rFonts w:hint="eastAsia" w:ascii="宋体" w:hAnsi="宋体" w:cs="宋体"/>
          <w:color w:val="auto"/>
          <w:szCs w:val="21"/>
          <w:highlight w:val="none"/>
        </w:rPr>
        <w:t>不超过</w:t>
      </w:r>
      <w:r>
        <w:rPr>
          <w:rFonts w:hint="eastAsia" w:ascii="宋体" w:hAnsi="宋体" w:cs="宋体"/>
          <w:color w:val="auto"/>
          <w:szCs w:val="21"/>
          <w:highlight w:val="none"/>
          <w:u w:val="single"/>
          <w:lang w:val="en-US" w:eastAsia="zh-CN"/>
        </w:rPr>
        <w:t>120</w:t>
      </w:r>
      <w:r>
        <w:rPr>
          <w:rFonts w:hint="eastAsia" w:ascii="宋体" w:hAnsi="宋体" w:cs="宋体"/>
          <w:color w:val="auto"/>
          <w:szCs w:val="21"/>
          <w:highlight w:val="none"/>
        </w:rPr>
        <w:t>日历天（投标人在投标文件中必须明确工期天数）</w:t>
      </w:r>
      <w:r>
        <w:rPr>
          <w:rFonts w:hint="eastAsia" w:ascii="宋体" w:hAnsi="宋体"/>
          <w:color w:val="auto"/>
          <w:highlight w:val="none"/>
        </w:rPr>
        <w:t>。</w:t>
      </w:r>
    </w:p>
    <w:p>
      <w:pPr>
        <w:spacing w:line="480" w:lineRule="exact"/>
        <w:rPr>
          <w:rFonts w:ascii="宋体" w:hAnsi="宋体"/>
          <w:b/>
          <w:sz w:val="28"/>
          <w:szCs w:val="28"/>
          <w:highlight w:val="none"/>
        </w:rPr>
      </w:pPr>
      <w:r>
        <w:rPr>
          <w:rFonts w:ascii="宋体" w:hAnsi="宋体"/>
          <w:b/>
          <w:sz w:val="28"/>
          <w:szCs w:val="28"/>
          <w:highlight w:val="none"/>
        </w:rPr>
        <w:t>3.投标人资格要求</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highlight w:val="none"/>
        </w:rPr>
      </w:pPr>
      <w:r>
        <w:rPr>
          <w:rFonts w:hint="eastAsia" w:ascii="宋体" w:hAnsi="宋体"/>
          <w:highlight w:val="none"/>
        </w:rPr>
        <w:t>（一）投标人：</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3.1</w:t>
      </w:r>
      <w:r>
        <w:rPr>
          <w:rFonts w:hint="eastAsia" w:ascii="宋体" w:hAnsi="宋体"/>
          <w:highlight w:val="none"/>
        </w:rPr>
        <w:t>具备</w:t>
      </w:r>
      <w:r>
        <w:rPr>
          <w:rFonts w:ascii="宋体" w:hAnsi="宋体"/>
          <w:highlight w:val="none"/>
          <w:u w:val="single"/>
        </w:rPr>
        <w:tab/>
      </w:r>
      <w:r>
        <w:rPr>
          <w:rFonts w:hint="eastAsia"/>
          <w:szCs w:val="21"/>
          <w:highlight w:val="none"/>
          <w:u w:val="single"/>
        </w:rPr>
        <w:t>具备</w:t>
      </w:r>
      <w:r>
        <w:rPr>
          <w:rFonts w:hint="eastAsia"/>
          <w:szCs w:val="21"/>
          <w:highlight w:val="none"/>
          <w:u w:val="single"/>
          <w:lang w:eastAsia="zh-CN"/>
        </w:rPr>
        <w:t>市政公用</w:t>
      </w:r>
      <w:r>
        <w:rPr>
          <w:rFonts w:hint="eastAsia"/>
          <w:szCs w:val="21"/>
          <w:highlight w:val="none"/>
          <w:u w:val="single"/>
        </w:rPr>
        <w:t>施工总承包三级及以上</w:t>
      </w:r>
      <w:r>
        <w:rPr>
          <w:rFonts w:ascii="宋体" w:hAnsi="宋体"/>
          <w:highlight w:val="none"/>
          <w:u w:val="single"/>
        </w:rPr>
        <w:t xml:space="preserve"> </w:t>
      </w:r>
      <w:r>
        <w:rPr>
          <w:rFonts w:hint="eastAsia" w:ascii="宋体" w:hAnsi="宋体"/>
          <w:highlight w:val="none"/>
        </w:rPr>
        <w:t>资质</w:t>
      </w:r>
      <w:r>
        <w:rPr>
          <w:rFonts w:hint="eastAsia" w:ascii="宋体" w:hAnsi="宋体"/>
          <w:b/>
          <w:bCs/>
          <w:highlight w:val="none"/>
          <w:lang w:eastAsia="zh-CN"/>
        </w:rPr>
        <w:t>（对应资质应在“浙江省建筑市场监管公共服务系统”上动态核查结果处于“合格”状态）</w:t>
      </w:r>
      <w:r>
        <w:rPr>
          <w:rFonts w:hint="eastAsia" w:ascii="宋体" w:hAnsi="宋体"/>
          <w:highlight w:val="none"/>
        </w:rPr>
        <w:t>；</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2</w:t>
      </w:r>
      <w:r>
        <w:rPr>
          <w:rFonts w:ascii="宋体" w:hAnsi="宋体"/>
          <w:highlight w:val="none"/>
        </w:rPr>
        <w:t>本次招标</w:t>
      </w:r>
      <w:r>
        <w:rPr>
          <w:rFonts w:hint="eastAsia" w:ascii="宋体" w:hAnsi="宋体"/>
          <w:highlight w:val="none"/>
        </w:rPr>
        <w:t>不接受联合体投标。</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highlight w:val="none"/>
        </w:rPr>
      </w:pPr>
      <w:r>
        <w:rPr>
          <w:rFonts w:hint="eastAsia" w:hAnsi="宋体"/>
          <w:highlight w:val="none"/>
        </w:rPr>
        <w:t>（二）拟派项目负责人：</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3拟派项目负责人具有注册在投标人单位的</w:t>
      </w:r>
      <w:r>
        <w:rPr>
          <w:rFonts w:hint="eastAsia"/>
          <w:szCs w:val="21"/>
          <w:highlight w:val="none"/>
          <w:u w:val="single"/>
          <w:lang w:eastAsia="zh-CN"/>
        </w:rPr>
        <w:t>市政</w:t>
      </w:r>
      <w:r>
        <w:rPr>
          <w:rFonts w:hint="eastAsia"/>
          <w:szCs w:val="21"/>
          <w:highlight w:val="none"/>
          <w:u w:val="single"/>
        </w:rPr>
        <w:t>工程专业二级及以上</w:t>
      </w:r>
      <w:r>
        <w:rPr>
          <w:rFonts w:hint="eastAsia" w:ascii="宋体" w:hAnsi="宋体"/>
          <w:highlight w:val="none"/>
        </w:rPr>
        <w:t>建造师执业资格,无在建工程。</w:t>
      </w:r>
    </w:p>
    <w:p>
      <w:pPr>
        <w:spacing w:line="480" w:lineRule="exact"/>
        <w:rPr>
          <w:rFonts w:ascii="宋体" w:hAnsi="宋体"/>
          <w:b/>
          <w:sz w:val="28"/>
          <w:szCs w:val="28"/>
          <w:highlight w:val="none"/>
        </w:rPr>
      </w:pPr>
      <w:r>
        <w:rPr>
          <w:rFonts w:ascii="宋体" w:hAnsi="宋体"/>
          <w:b/>
          <w:sz w:val="28"/>
          <w:szCs w:val="28"/>
          <w:highlight w:val="none"/>
        </w:rPr>
        <w:t>4.招投标方式</w:t>
      </w:r>
    </w:p>
    <w:p>
      <w:pPr>
        <w:spacing w:line="480" w:lineRule="exact"/>
        <w:ind w:firstLine="480" w:firstLineChars="200"/>
        <w:rPr>
          <w:rFonts w:ascii="宋体" w:hAnsi="宋体"/>
          <w:highlight w:val="none"/>
        </w:rPr>
      </w:pPr>
      <w:r>
        <w:rPr>
          <w:rFonts w:ascii="宋体" w:hAnsi="宋体"/>
          <w:highlight w:val="none"/>
        </w:rPr>
        <w:t>4.1公开招标</w:t>
      </w:r>
      <w:r>
        <w:rPr>
          <w:rFonts w:hint="eastAsia" w:ascii="宋体" w:hAnsi="宋体"/>
          <w:highlight w:val="none"/>
        </w:rPr>
        <w:t>。</w:t>
      </w:r>
    </w:p>
    <w:p>
      <w:pPr>
        <w:spacing w:line="480" w:lineRule="exact"/>
        <w:rPr>
          <w:rFonts w:ascii="宋体" w:hAnsi="宋体"/>
          <w:b/>
          <w:sz w:val="28"/>
          <w:szCs w:val="28"/>
          <w:highlight w:val="none"/>
        </w:rPr>
      </w:pPr>
      <w:r>
        <w:rPr>
          <w:rFonts w:ascii="宋体" w:hAnsi="宋体"/>
          <w:b/>
          <w:sz w:val="28"/>
          <w:szCs w:val="28"/>
          <w:highlight w:val="none"/>
        </w:rPr>
        <w:t>5.招标文件的获取</w:t>
      </w:r>
    </w:p>
    <w:p>
      <w:pPr>
        <w:snapToGrid w:val="0"/>
        <w:spacing w:line="480" w:lineRule="exact"/>
        <w:ind w:firstLine="480" w:firstLineChars="200"/>
        <w:rPr>
          <w:rFonts w:ascii="宋体" w:hAnsi="宋体"/>
          <w:highlight w:val="none"/>
        </w:rPr>
      </w:pPr>
      <w:r>
        <w:rPr>
          <w:rFonts w:ascii="宋体" w:hAnsi="宋体"/>
          <w:highlight w:val="none"/>
        </w:rPr>
        <w:t>5.1</w:t>
      </w:r>
      <w:r>
        <w:rPr>
          <w:rFonts w:hint="eastAsia" w:ascii="宋体" w:hAnsi="宋体"/>
          <w:highlight w:val="none"/>
        </w:rPr>
        <w:t>本项目招标文件（含图纸）和补充（答疑、澄清）、修改文件以网上下载方式发放，</w:t>
      </w:r>
      <w:r>
        <w:rPr>
          <w:rFonts w:hint="eastAsia" w:ascii="宋体" w:hAnsi="宋体" w:cs="宋体"/>
          <w:szCs w:val="21"/>
          <w:highlight w:val="none"/>
        </w:rPr>
        <w:t>http://www.sanmen.gov.cn/col/col1229610743/index.html</w:t>
      </w:r>
      <w:r>
        <w:rPr>
          <w:rFonts w:hint="eastAsia" w:ascii="宋体" w:hAnsi="宋体"/>
          <w:highlight w:val="none"/>
        </w:rPr>
        <w:t>。</w:t>
      </w:r>
    </w:p>
    <w:p>
      <w:pPr>
        <w:wordWrap w:val="0"/>
        <w:snapToGrid w:val="0"/>
        <w:spacing w:line="480" w:lineRule="exact"/>
        <w:ind w:firstLine="480" w:firstLineChars="200"/>
        <w:rPr>
          <w:rFonts w:ascii="宋体" w:hAnsi="宋体"/>
          <w:highlight w:val="none"/>
        </w:rPr>
      </w:pPr>
      <w:r>
        <w:rPr>
          <w:rFonts w:ascii="宋体" w:hAnsi="宋体"/>
          <w:highlight w:val="none"/>
        </w:rPr>
        <w:t>5.2</w:t>
      </w:r>
      <w:r>
        <w:rPr>
          <w:rFonts w:hint="eastAsia" w:ascii="宋体" w:hAnsi="宋体"/>
          <w:highlight w:val="none"/>
        </w:rPr>
        <w:t>招标文件下载网址：潜在投标人登录</w:t>
      </w:r>
      <w:r>
        <w:rPr>
          <w:rFonts w:hint="eastAsia" w:ascii="宋体" w:hAnsi="宋体" w:cs="宋体"/>
          <w:szCs w:val="21"/>
          <w:highlight w:val="none"/>
        </w:rPr>
        <w:t>http://www.sanmen.gov.cn/col/col1229610743/index.html</w:t>
      </w:r>
      <w:r>
        <w:rPr>
          <w:rFonts w:hint="eastAsia" w:ascii="宋体" w:hAnsi="宋体"/>
          <w:highlight w:val="none"/>
        </w:rPr>
        <w:t>自行下载招标文件、工程量清单、投标工具和施工图纸。</w:t>
      </w:r>
    </w:p>
    <w:p>
      <w:pPr>
        <w:snapToGrid w:val="0"/>
        <w:spacing w:line="480" w:lineRule="exact"/>
        <w:ind w:firstLine="480" w:firstLineChars="200"/>
        <w:rPr>
          <w:rFonts w:ascii="宋体" w:hAnsi="宋体"/>
          <w:highlight w:val="none"/>
        </w:rPr>
      </w:pPr>
      <w:r>
        <w:rPr>
          <w:rFonts w:ascii="宋体" w:hAnsi="宋体"/>
          <w:highlight w:val="none"/>
        </w:rPr>
        <w:t>5.3</w:t>
      </w:r>
      <w:r>
        <w:rPr>
          <w:rFonts w:hint="eastAsia" w:ascii="宋体" w:hAnsi="宋体"/>
          <w:highlight w:val="none"/>
        </w:rPr>
        <w:t>招标文件网上下载时间：公告发布之日起至投标文件递交截止时间。</w:t>
      </w:r>
    </w:p>
    <w:p>
      <w:pPr>
        <w:widowControl/>
        <w:autoSpaceDE/>
        <w:autoSpaceDN/>
        <w:adjustRightInd/>
        <w:spacing w:line="480" w:lineRule="exact"/>
        <w:ind w:firstLine="480" w:firstLineChars="200"/>
        <w:rPr>
          <w:highlight w:val="none"/>
        </w:rPr>
      </w:pPr>
      <w:r>
        <w:rPr>
          <w:rFonts w:hint="eastAsia" w:ascii="宋体" w:hAnsi="宋体"/>
          <w:highlight w:val="none"/>
        </w:rPr>
        <w:t>5.4</w:t>
      </w:r>
      <w:r>
        <w:rPr>
          <w:rFonts w:hint="eastAsia" w:ascii="宋体" w:hAnsi="宋体" w:cs="宋体"/>
          <w:szCs w:val="21"/>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szCs w:val="21"/>
          <w:highlight w:val="none"/>
          <w:u w:val="single"/>
        </w:rPr>
        <w:t>http://www.tseal.cn/tcloud/smxztb</w:t>
      </w:r>
      <w:r>
        <w:rPr>
          <w:rFonts w:hint="eastAsia" w:ascii="宋体" w:hAnsi="宋体" w:cs="宋体"/>
          <w:szCs w:val="21"/>
          <w:highlight w:val="none"/>
        </w:rPr>
        <w:t>。</w:t>
      </w:r>
    </w:p>
    <w:p>
      <w:pPr>
        <w:spacing w:line="480" w:lineRule="exact"/>
        <w:rPr>
          <w:rFonts w:ascii="宋体" w:hAnsi="宋体"/>
          <w:b/>
          <w:sz w:val="28"/>
          <w:szCs w:val="28"/>
          <w:highlight w:val="none"/>
        </w:rPr>
      </w:pPr>
      <w:r>
        <w:rPr>
          <w:rFonts w:ascii="宋体" w:hAnsi="宋体"/>
          <w:b/>
          <w:sz w:val="28"/>
          <w:szCs w:val="28"/>
          <w:highlight w:val="none"/>
        </w:rPr>
        <w:t>6.投标文件的递交</w:t>
      </w:r>
    </w:p>
    <w:p>
      <w:pPr>
        <w:widowControl/>
        <w:autoSpaceDE/>
        <w:autoSpaceDN/>
        <w:adjustRightInd/>
        <w:spacing w:line="480" w:lineRule="exact"/>
        <w:ind w:firstLine="480" w:firstLineChars="200"/>
        <w:rPr>
          <w:rFonts w:ascii="宋体" w:hAnsi="宋体" w:cs="宋体"/>
          <w:szCs w:val="21"/>
          <w:highlight w:val="none"/>
        </w:rPr>
      </w:pPr>
      <w:r>
        <w:rPr>
          <w:rFonts w:ascii="宋体" w:hAnsi="宋体"/>
          <w:highlight w:val="none"/>
        </w:rPr>
        <w:t>6.1</w:t>
      </w:r>
      <w:r>
        <w:rPr>
          <w:rFonts w:hint="eastAsia" w:ascii="宋体" w:hAnsi="宋体"/>
          <w:highlight w:val="none"/>
        </w:rPr>
        <w:t>投标文件递交的截止时间（投标截止时间，下同）为</w:t>
      </w:r>
      <w:r>
        <w:rPr>
          <w:rFonts w:ascii="宋体" w:hAnsi="宋体"/>
          <w:highlight w:val="none"/>
          <w:u w:val="single"/>
        </w:rPr>
        <w:t xml:space="preserve"> </w:t>
      </w:r>
      <w:r>
        <w:rPr>
          <w:rFonts w:hint="eastAsia" w:ascii="宋体" w:hAnsi="宋体"/>
          <w:highlight w:val="none"/>
          <w:u w:val="single"/>
        </w:rPr>
        <w:t>202</w:t>
      </w:r>
      <w:r>
        <w:rPr>
          <w:rFonts w:hint="eastAsia" w:ascii="宋体" w:hAnsi="宋体"/>
          <w:highlight w:val="none"/>
          <w:u w:val="single"/>
          <w:lang w:val="en-US" w:eastAsia="zh-CN"/>
        </w:rPr>
        <w:t>4</w:t>
      </w:r>
      <w:r>
        <w:rPr>
          <w:rFonts w:ascii="宋体" w:hAnsi="宋体"/>
          <w:highlight w:val="none"/>
          <w:u w:val="single"/>
        </w:rPr>
        <w:t xml:space="preserve"> </w:t>
      </w:r>
      <w:r>
        <w:rPr>
          <w:rFonts w:hint="eastAsia" w:ascii="宋体" w:hAnsi="宋体"/>
          <w:highlight w:val="none"/>
        </w:rPr>
        <w:t>年</w:t>
      </w:r>
      <w:r>
        <w:rPr>
          <w:rFonts w:hint="eastAsia" w:ascii="宋体" w:hAnsi="宋体"/>
          <w:highlight w:val="none"/>
          <w:u w:val="single"/>
          <w:lang w:val="en-US" w:eastAsia="zh-CN"/>
        </w:rPr>
        <w:t xml:space="preserve">  </w:t>
      </w:r>
      <w:r>
        <w:rPr>
          <w:rFonts w:hint="eastAsia" w:ascii="宋体" w:hAnsi="宋体"/>
          <w:highlight w:val="none"/>
        </w:rPr>
        <w:t>月</w:t>
      </w:r>
      <w:r>
        <w:rPr>
          <w:rFonts w:hint="eastAsia" w:ascii="宋体" w:hAnsi="宋体"/>
          <w:highlight w:val="none"/>
          <w:u w:val="single"/>
          <w:lang w:val="en-US" w:eastAsia="zh-CN"/>
        </w:rPr>
        <w:t xml:space="preserve">  </w:t>
      </w:r>
      <w:r>
        <w:rPr>
          <w:rFonts w:hint="eastAsia" w:ascii="宋体" w:hAnsi="宋体"/>
          <w:highlight w:val="none"/>
        </w:rPr>
        <w:t>日</w:t>
      </w:r>
      <w:r>
        <w:rPr>
          <w:rFonts w:ascii="宋体" w:hAnsi="宋体"/>
          <w:highlight w:val="none"/>
          <w:u w:val="single"/>
        </w:rPr>
        <w:t xml:space="preserve"> </w:t>
      </w:r>
      <w:r>
        <w:rPr>
          <w:rFonts w:hint="eastAsia" w:ascii="宋体" w:hAnsi="宋体"/>
          <w:highlight w:val="none"/>
          <w:u w:val="single"/>
        </w:rPr>
        <w:t>9</w:t>
      </w:r>
      <w:r>
        <w:rPr>
          <w:rFonts w:ascii="宋体" w:hAnsi="宋体"/>
          <w:highlight w:val="none"/>
          <w:u w:val="single"/>
        </w:rPr>
        <w:t xml:space="preserve">  </w:t>
      </w:r>
      <w:r>
        <w:rPr>
          <w:rFonts w:hint="eastAsia" w:ascii="宋体" w:hAnsi="宋体"/>
          <w:highlight w:val="none"/>
        </w:rPr>
        <w:t>时</w:t>
      </w:r>
      <w:r>
        <w:rPr>
          <w:rFonts w:ascii="宋体" w:hAnsi="宋体"/>
          <w:highlight w:val="none"/>
          <w:u w:val="single"/>
        </w:rPr>
        <w:t xml:space="preserve">  </w:t>
      </w:r>
      <w:r>
        <w:rPr>
          <w:rFonts w:hint="eastAsia" w:ascii="宋体" w:hAnsi="宋体"/>
          <w:highlight w:val="none"/>
          <w:u w:val="single"/>
        </w:rPr>
        <w:t>00</w:t>
      </w:r>
      <w:r>
        <w:rPr>
          <w:rFonts w:ascii="宋体" w:hAnsi="宋体"/>
          <w:highlight w:val="none"/>
          <w:u w:val="single"/>
        </w:rPr>
        <w:t xml:space="preserve"> </w:t>
      </w:r>
      <w:r>
        <w:rPr>
          <w:rFonts w:hint="eastAsia" w:ascii="宋体" w:hAnsi="宋体"/>
          <w:highlight w:val="none"/>
        </w:rPr>
        <w:t>分</w:t>
      </w:r>
      <w:r>
        <w:rPr>
          <w:rFonts w:hint="eastAsia" w:ascii="宋体" w:hAnsi="宋体"/>
          <w:spacing w:val="-1"/>
          <w:highlight w:val="none"/>
        </w:rPr>
        <w:t>，</w:t>
      </w:r>
      <w:r>
        <w:rPr>
          <w:rFonts w:hint="eastAsia" w:ascii="宋体" w:hAnsi="宋体" w:cs="宋体"/>
          <w:szCs w:val="21"/>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pPr>
        <w:pStyle w:val="8"/>
        <w:tabs>
          <w:tab w:val="left" w:pos="8381"/>
        </w:tabs>
        <w:kinsoku w:val="0"/>
        <w:snapToGrid w:val="0"/>
        <w:spacing w:line="480" w:lineRule="exact"/>
        <w:ind w:left="0" w:firstLine="480" w:firstLineChars="200"/>
        <w:rPr>
          <w:rFonts w:ascii="宋体" w:hAnsi="宋体" w:cs="宋体"/>
          <w:szCs w:val="21"/>
          <w:highlight w:val="none"/>
        </w:rPr>
      </w:pPr>
      <w:r>
        <w:rPr>
          <w:rFonts w:hint="eastAsia" w:ascii="宋体" w:hAnsi="宋体"/>
          <w:highlight w:val="none"/>
        </w:rPr>
        <w:t>6.2</w:t>
      </w:r>
      <w:r>
        <w:rPr>
          <w:rFonts w:hint="eastAsia" w:ascii="宋体" w:hAnsi="宋体" w:cs="宋体"/>
          <w:szCs w:val="21"/>
          <w:highlight w:val="none"/>
        </w:rPr>
        <w:t>逾期上传的或者未上传指定系统的，招标人不予受理。</w:t>
      </w:r>
    </w:p>
    <w:p>
      <w:pPr>
        <w:spacing w:line="480" w:lineRule="exact"/>
        <w:rPr>
          <w:rFonts w:ascii="宋体" w:hAnsi="宋体"/>
          <w:b/>
          <w:sz w:val="32"/>
          <w:szCs w:val="32"/>
          <w:highlight w:val="none"/>
        </w:rPr>
      </w:pPr>
      <w:r>
        <w:rPr>
          <w:rFonts w:hint="eastAsia" w:ascii="宋体" w:hAnsi="宋体"/>
          <w:b/>
          <w:sz w:val="28"/>
          <w:szCs w:val="28"/>
          <w:highlight w:val="none"/>
        </w:rPr>
        <w:t>7.发布公告的媒介</w:t>
      </w:r>
      <w:r>
        <w:rPr>
          <w:rFonts w:hint="eastAsia" w:ascii="宋体" w:hAnsi="宋体"/>
          <w:b/>
          <w:sz w:val="32"/>
          <w:szCs w:val="32"/>
          <w:highlight w:val="none"/>
        </w:rPr>
        <w:t>   </w:t>
      </w:r>
    </w:p>
    <w:p>
      <w:pPr>
        <w:widowControl/>
        <w:wordWrap w:val="0"/>
        <w:autoSpaceDE/>
        <w:autoSpaceDN/>
        <w:adjustRightInd/>
        <w:spacing w:line="440" w:lineRule="exact"/>
        <w:ind w:firstLine="480" w:firstLineChars="200"/>
        <w:rPr>
          <w:rFonts w:ascii="宋体" w:hAnsi="宋体" w:cs="宋体"/>
          <w:szCs w:val="21"/>
          <w:highlight w:val="none"/>
        </w:rPr>
      </w:pPr>
      <w:r>
        <w:rPr>
          <w:rFonts w:hint="eastAsia" w:ascii="宋体" w:hAnsi="宋体" w:cs="宋体"/>
          <w:szCs w:val="21"/>
          <w:highlight w:val="none"/>
        </w:rPr>
        <w:t>本次招标公告同时在三门县公共资源交易网（网址：</w:t>
      </w:r>
      <w:r>
        <w:rPr>
          <w:rFonts w:ascii="宋体" w:hAnsi="宋体" w:cs="宋体"/>
          <w:szCs w:val="21"/>
          <w:highlight w:val="none"/>
        </w:rPr>
        <w:t>http://www.sanmen.gov.cn/col/col1229610743/index.html</w:t>
      </w:r>
      <w:r>
        <w:rPr>
          <w:rFonts w:hint="eastAsia" w:ascii="宋体" w:hAnsi="宋体" w:cs="宋体"/>
          <w:szCs w:val="21"/>
          <w:highlight w:val="none"/>
        </w:rPr>
        <w:t>）和浙江省公共资源交易服务平台</w:t>
      </w:r>
      <w:r>
        <w:rPr>
          <w:rFonts w:hint="eastAsia" w:ascii="宋体" w:hAnsi="宋体" w:cs="宋体"/>
          <w:szCs w:val="21"/>
          <w:highlight w:val="none"/>
          <w:u w:val="single"/>
        </w:rPr>
        <w:t>https://ggzy.zj.gov.cn</w:t>
      </w:r>
      <w:r>
        <w:rPr>
          <w:rFonts w:hint="eastAsia" w:ascii="宋体" w:hAnsi="宋体" w:cs="宋体"/>
          <w:szCs w:val="21"/>
          <w:highlight w:val="none"/>
        </w:rPr>
        <w:t>上发布。</w:t>
      </w:r>
    </w:p>
    <w:p>
      <w:pPr>
        <w:pStyle w:val="9"/>
        <w:ind w:firstLine="210"/>
        <w:rPr>
          <w:highlight w:val="none"/>
        </w:rPr>
      </w:pPr>
    </w:p>
    <w:p>
      <w:pPr>
        <w:spacing w:line="480" w:lineRule="exact"/>
        <w:rPr>
          <w:rFonts w:ascii="宋体" w:hAnsi="宋体"/>
          <w:b/>
          <w:sz w:val="28"/>
          <w:szCs w:val="28"/>
          <w:highlight w:val="none"/>
        </w:rPr>
      </w:pPr>
      <w:r>
        <w:rPr>
          <w:rFonts w:hint="eastAsia" w:ascii="宋体" w:hAnsi="宋体"/>
          <w:b/>
          <w:sz w:val="28"/>
          <w:szCs w:val="28"/>
          <w:highlight w:val="none"/>
        </w:rPr>
        <w:t>8</w:t>
      </w:r>
      <w:r>
        <w:rPr>
          <w:rFonts w:ascii="宋体" w:hAnsi="宋体"/>
          <w:b/>
          <w:sz w:val="28"/>
          <w:szCs w:val="28"/>
          <w:highlight w:val="none"/>
        </w:rPr>
        <w:t>.联系方式</w:t>
      </w:r>
    </w:p>
    <w:p>
      <w:pPr>
        <w:spacing w:line="480" w:lineRule="exact"/>
        <w:rPr>
          <w:rFonts w:ascii="宋体" w:hAnsi="宋体"/>
          <w:b/>
          <w:sz w:val="28"/>
          <w:szCs w:val="28"/>
          <w:highlight w:val="none"/>
        </w:rPr>
      </w:pPr>
      <w:r>
        <w:rPr>
          <w:rFonts w:hint="eastAsia" w:ascii="宋体" w:hAnsi="宋体"/>
          <w:b/>
          <w:sz w:val="28"/>
          <w:szCs w:val="28"/>
          <w:highlight w:val="none"/>
        </w:rPr>
        <w:t>8</w:t>
      </w:r>
      <w:r>
        <w:rPr>
          <w:rFonts w:ascii="宋体" w:hAnsi="宋体"/>
          <w:b/>
          <w:sz w:val="28"/>
          <w:szCs w:val="28"/>
          <w:highlight w:val="none"/>
        </w:rPr>
        <w:t>.联系方式</w:t>
      </w:r>
    </w:p>
    <w:p>
      <w:pPr>
        <w:spacing w:before="112" w:line="218" w:lineRule="auto"/>
        <w:ind w:left="490"/>
        <w:rPr>
          <w:rFonts w:ascii="宋体" w:hAnsi="宋体" w:eastAsia="宋体" w:cs="宋体"/>
          <w:sz w:val="21"/>
          <w:szCs w:val="21"/>
        </w:rPr>
      </w:pPr>
      <w:r>
        <w:rPr>
          <w:rFonts w:ascii="宋体" w:hAnsi="宋体" w:eastAsia="宋体" w:cs="宋体"/>
          <w:spacing w:val="-3"/>
          <w:sz w:val="21"/>
          <w:szCs w:val="21"/>
        </w:rPr>
        <w:t>招 标</w:t>
      </w:r>
      <w:r>
        <w:rPr>
          <w:rFonts w:ascii="宋体" w:hAnsi="宋体" w:eastAsia="宋体" w:cs="宋体"/>
          <w:spacing w:val="16"/>
          <w:sz w:val="21"/>
          <w:szCs w:val="21"/>
        </w:rPr>
        <w:t xml:space="preserve"> </w:t>
      </w:r>
      <w:r>
        <w:rPr>
          <w:rFonts w:ascii="宋体" w:hAnsi="宋体" w:eastAsia="宋体" w:cs="宋体"/>
          <w:spacing w:val="-3"/>
          <w:sz w:val="21"/>
          <w:szCs w:val="21"/>
        </w:rPr>
        <w:t>人：</w:t>
      </w:r>
      <w:r>
        <w:rPr>
          <w:rFonts w:hint="eastAsia" w:cs="宋体"/>
          <w:i w:val="0"/>
          <w:iCs w:val="0"/>
          <w:caps w:val="0"/>
          <w:color w:val="000000"/>
          <w:spacing w:val="0"/>
          <w:sz w:val="21"/>
          <w:szCs w:val="21"/>
          <w:highlight w:val="none"/>
          <w:u w:val="single"/>
          <w:shd w:val="clear" w:color="auto" w:fill="FFFFFF"/>
          <w:lang w:eastAsia="zh-CN"/>
        </w:rPr>
        <w:t>三门海润金鳞湖经济开发有限公司</w:t>
      </w:r>
      <w:r>
        <w:rPr>
          <w:rFonts w:hint="eastAsia" w:cs="宋体"/>
          <w:i w:val="0"/>
          <w:iCs w:val="0"/>
          <w:caps w:val="0"/>
          <w:color w:val="000000"/>
          <w:spacing w:val="0"/>
          <w:sz w:val="21"/>
          <w:szCs w:val="21"/>
          <w:highlight w:val="none"/>
          <w:u w:val="none"/>
          <w:shd w:val="clear" w:color="auto" w:fill="FFFFFF"/>
          <w:lang w:val="en-US" w:eastAsia="zh-CN"/>
        </w:rPr>
        <w:t xml:space="preserve">    </w:t>
      </w:r>
      <w:r>
        <w:rPr>
          <w:rFonts w:ascii="宋体" w:hAnsi="宋体" w:eastAsia="宋体" w:cs="宋体"/>
          <w:spacing w:val="-3"/>
          <w:sz w:val="21"/>
          <w:szCs w:val="21"/>
        </w:rPr>
        <w:t>招标代理机构：</w:t>
      </w:r>
      <w:r>
        <w:rPr>
          <w:rFonts w:hint="eastAsia" w:cs="宋体"/>
          <w:i w:val="0"/>
          <w:iCs w:val="0"/>
          <w:caps w:val="0"/>
          <w:color w:val="000000"/>
          <w:spacing w:val="0"/>
          <w:sz w:val="21"/>
          <w:szCs w:val="21"/>
          <w:highlight w:val="none"/>
          <w:u w:val="single"/>
          <w:shd w:val="clear" w:color="auto" w:fill="FFFFFF"/>
          <w:lang w:eastAsia="zh-CN"/>
        </w:rPr>
        <w:t>浙江揽丰工程咨询有限公司</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64" w:firstLineChars="300"/>
        <w:jc w:val="both"/>
        <w:textAlignment w:val="auto"/>
        <w:rPr>
          <w:rFonts w:ascii="宋体" w:hAnsi="宋体" w:eastAsia="宋体" w:cs="宋体"/>
          <w:sz w:val="21"/>
          <w:szCs w:val="21"/>
        </w:rPr>
      </w:pPr>
      <w:r>
        <w:rPr>
          <w:rFonts w:ascii="宋体" w:hAnsi="宋体" w:eastAsia="宋体" w:cs="宋体"/>
          <w:spacing w:val="-11"/>
          <w:sz w:val="21"/>
          <w:szCs w:val="21"/>
        </w:rPr>
        <w:t>地</w:t>
      </w:r>
      <w:r>
        <w:rPr>
          <w:rFonts w:ascii="宋体" w:hAnsi="宋体" w:eastAsia="宋体" w:cs="宋体"/>
          <w:spacing w:val="3"/>
          <w:sz w:val="21"/>
          <w:szCs w:val="21"/>
        </w:rPr>
        <w:t xml:space="preserve">    </w:t>
      </w:r>
      <w:r>
        <w:rPr>
          <w:rFonts w:ascii="宋体" w:hAnsi="宋体" w:eastAsia="宋体" w:cs="宋体"/>
          <w:spacing w:val="-11"/>
          <w:sz w:val="21"/>
          <w:szCs w:val="21"/>
        </w:rPr>
        <w:t>址</w:t>
      </w:r>
      <w:r>
        <w:rPr>
          <w:rFonts w:ascii="宋体" w:hAnsi="宋体" w:eastAsia="宋体" w:cs="宋体"/>
          <w:spacing w:val="-85"/>
          <w:sz w:val="21"/>
          <w:szCs w:val="21"/>
        </w:rPr>
        <w:t xml:space="preserve"> </w:t>
      </w:r>
      <w:r>
        <w:rPr>
          <w:rFonts w:ascii="宋体" w:hAnsi="宋体" w:eastAsia="宋体" w:cs="宋体"/>
          <w:spacing w:val="-11"/>
          <w:sz w:val="21"/>
          <w:szCs w:val="21"/>
        </w:rPr>
        <w:t>：</w:t>
      </w:r>
      <w:r>
        <w:rPr>
          <w:rFonts w:hint="eastAsia" w:ascii="宋体" w:hAnsi="宋体" w:eastAsia="宋体" w:cs="宋体"/>
          <w:i w:val="0"/>
          <w:iCs w:val="0"/>
          <w:caps w:val="0"/>
          <w:color w:val="000000"/>
          <w:spacing w:val="0"/>
          <w:sz w:val="21"/>
          <w:szCs w:val="21"/>
          <w:highlight w:val="none"/>
          <w:u w:val="single"/>
          <w:shd w:val="clear" w:color="auto" w:fill="FFFFFF"/>
          <w:lang w:eastAsia="zh-CN"/>
        </w:rPr>
        <w:t>三门县</w:t>
      </w:r>
      <w:r>
        <w:rPr>
          <w:rFonts w:hint="eastAsia" w:cs="宋体"/>
          <w:i w:val="0"/>
          <w:iCs w:val="0"/>
          <w:caps w:val="0"/>
          <w:color w:val="000000"/>
          <w:spacing w:val="0"/>
          <w:sz w:val="21"/>
          <w:szCs w:val="21"/>
          <w:highlight w:val="none"/>
          <w:u w:val="single"/>
          <w:shd w:val="clear" w:color="auto" w:fill="FFFFFF"/>
          <w:lang w:eastAsia="zh-CN"/>
        </w:rPr>
        <w:t>海润街道</w:t>
      </w:r>
      <w:r>
        <w:rPr>
          <w:rFonts w:ascii="宋体" w:hAnsi="宋体" w:eastAsia="宋体" w:cs="宋体"/>
          <w:spacing w:val="1"/>
          <w:sz w:val="21"/>
          <w:szCs w:val="21"/>
          <w:u w:val="single" w:color="auto"/>
        </w:rPr>
        <w:t xml:space="preserve">  </w:t>
      </w:r>
      <w:r>
        <w:rPr>
          <w:rFonts w:hint="eastAsia" w:eastAsia="宋体" w:cs="宋体"/>
          <w:spacing w:val="1"/>
          <w:sz w:val="21"/>
          <w:szCs w:val="21"/>
          <w:u w:val="single" w:color="auto"/>
          <w:lang w:val="en-US" w:eastAsia="zh-CN"/>
        </w:rPr>
        <w:t xml:space="preserve">              </w:t>
      </w:r>
      <w:r>
        <w:rPr>
          <w:rFonts w:hint="eastAsia" w:eastAsia="宋体" w:cs="宋体"/>
          <w:spacing w:val="1"/>
          <w:sz w:val="21"/>
          <w:szCs w:val="21"/>
          <w:u w:val="none" w:color="auto"/>
          <w:lang w:val="en-US" w:eastAsia="zh-CN"/>
        </w:rPr>
        <w:t xml:space="preserve">   </w:t>
      </w:r>
      <w:r>
        <w:rPr>
          <w:rFonts w:ascii="宋体" w:hAnsi="宋体" w:eastAsia="宋体" w:cs="宋体"/>
          <w:spacing w:val="-102"/>
          <w:sz w:val="21"/>
          <w:szCs w:val="21"/>
        </w:rPr>
        <w:t xml:space="preserve"> </w:t>
      </w:r>
      <w:r>
        <w:rPr>
          <w:rFonts w:hint="eastAsia" w:eastAsia="宋体" w:cs="宋体"/>
          <w:spacing w:val="-102"/>
          <w:sz w:val="21"/>
          <w:szCs w:val="21"/>
          <w:lang w:val="en-US" w:eastAsia="zh-CN"/>
        </w:rPr>
        <w:t xml:space="preserve">                                                                                                                                                                                                                                                                                               </w:t>
      </w:r>
      <w:r>
        <w:rPr>
          <w:rFonts w:ascii="宋体" w:hAnsi="宋体" w:eastAsia="宋体" w:cs="宋体"/>
          <w:spacing w:val="-11"/>
          <w:sz w:val="21"/>
          <w:szCs w:val="21"/>
        </w:rPr>
        <w:t>地</w:t>
      </w:r>
      <w:r>
        <w:rPr>
          <w:rFonts w:ascii="宋体" w:hAnsi="宋体" w:eastAsia="宋体" w:cs="宋体"/>
          <w:spacing w:val="2"/>
          <w:sz w:val="21"/>
          <w:szCs w:val="21"/>
        </w:rPr>
        <w:t xml:space="preserve">  </w:t>
      </w:r>
      <w:r>
        <w:rPr>
          <w:rFonts w:hint="eastAsia" w:eastAsia="宋体" w:cs="宋体"/>
          <w:spacing w:val="2"/>
          <w:sz w:val="21"/>
          <w:szCs w:val="21"/>
          <w:lang w:val="en-US" w:eastAsia="zh-CN"/>
        </w:rPr>
        <w:t xml:space="preserve"> </w:t>
      </w:r>
      <w:r>
        <w:rPr>
          <w:rFonts w:ascii="宋体" w:hAnsi="宋体" w:eastAsia="宋体" w:cs="宋体"/>
          <w:spacing w:val="-11"/>
          <w:sz w:val="21"/>
          <w:szCs w:val="21"/>
        </w:rPr>
        <w:t>址</w:t>
      </w:r>
      <w:r>
        <w:rPr>
          <w:rFonts w:ascii="宋体" w:hAnsi="宋体" w:eastAsia="宋体" w:cs="宋体"/>
          <w:spacing w:val="-87"/>
          <w:sz w:val="21"/>
          <w:szCs w:val="21"/>
        </w:rPr>
        <w:t xml:space="preserve"> </w:t>
      </w:r>
      <w:r>
        <w:rPr>
          <w:rFonts w:ascii="宋体" w:hAnsi="宋体" w:eastAsia="宋体" w:cs="宋体"/>
          <w:spacing w:val="-11"/>
          <w:sz w:val="21"/>
          <w:szCs w:val="21"/>
        </w:rPr>
        <w:t>：</w:t>
      </w:r>
      <w:r>
        <w:rPr>
          <w:rFonts w:hint="eastAsia" w:cs="宋体"/>
          <w:i w:val="0"/>
          <w:iCs w:val="0"/>
          <w:caps w:val="0"/>
          <w:color w:val="000000"/>
          <w:spacing w:val="0"/>
          <w:sz w:val="21"/>
          <w:szCs w:val="21"/>
          <w:highlight w:val="none"/>
          <w:u w:val="single"/>
          <w:shd w:val="clear" w:color="auto" w:fill="FFFFFF"/>
          <w:lang w:eastAsia="zh-CN"/>
        </w:rPr>
        <w:t>三门县海游街道景城小区三幢二单元806</w:t>
      </w:r>
    </w:p>
    <w:p>
      <w:pPr>
        <w:spacing w:before="155" w:line="221" w:lineRule="auto"/>
        <w:ind w:left="490"/>
        <w:rPr>
          <w:rFonts w:ascii="宋体" w:hAnsi="宋体" w:eastAsia="宋体" w:cs="宋体"/>
          <w:sz w:val="21"/>
          <w:szCs w:val="21"/>
        </w:rPr>
      </w:pPr>
      <w:r>
        <w:rPr>
          <w:rFonts w:ascii="宋体" w:hAnsi="宋体" w:eastAsia="宋体" w:cs="宋体"/>
          <w:spacing w:val="-17"/>
          <w:sz w:val="21"/>
          <w:szCs w:val="21"/>
        </w:rPr>
        <w:t>联</w:t>
      </w:r>
      <w:r>
        <w:rPr>
          <w:rFonts w:ascii="宋体" w:hAnsi="宋体" w:eastAsia="宋体" w:cs="宋体"/>
          <w:spacing w:val="18"/>
          <w:sz w:val="21"/>
          <w:szCs w:val="21"/>
        </w:rPr>
        <w:t xml:space="preserve"> </w:t>
      </w:r>
      <w:r>
        <w:rPr>
          <w:rFonts w:ascii="宋体" w:hAnsi="宋体" w:eastAsia="宋体" w:cs="宋体"/>
          <w:spacing w:val="-17"/>
          <w:sz w:val="21"/>
          <w:szCs w:val="21"/>
        </w:rPr>
        <w:t>系</w:t>
      </w:r>
      <w:r>
        <w:rPr>
          <w:rFonts w:ascii="宋体" w:hAnsi="宋体" w:eastAsia="宋体" w:cs="宋体"/>
          <w:spacing w:val="13"/>
          <w:sz w:val="21"/>
          <w:szCs w:val="21"/>
        </w:rPr>
        <w:t xml:space="preserve"> </w:t>
      </w:r>
      <w:r>
        <w:rPr>
          <w:rFonts w:ascii="宋体" w:hAnsi="宋体" w:eastAsia="宋体" w:cs="宋体"/>
          <w:spacing w:val="-17"/>
          <w:sz w:val="21"/>
          <w:szCs w:val="21"/>
        </w:rPr>
        <w:t>人</w:t>
      </w:r>
      <w:r>
        <w:rPr>
          <w:rFonts w:ascii="宋体" w:hAnsi="宋体" w:eastAsia="宋体" w:cs="宋体"/>
          <w:spacing w:val="-90"/>
          <w:sz w:val="21"/>
          <w:szCs w:val="21"/>
        </w:rPr>
        <w:t xml:space="preserve"> </w:t>
      </w:r>
      <w:r>
        <w:rPr>
          <w:rFonts w:ascii="宋体" w:hAnsi="宋体" w:eastAsia="宋体" w:cs="宋体"/>
          <w:spacing w:val="-17"/>
          <w:sz w:val="21"/>
          <w:szCs w:val="21"/>
        </w:rPr>
        <w:t>：</w:t>
      </w:r>
      <w:r>
        <w:rPr>
          <w:rFonts w:ascii="宋体" w:hAnsi="宋体" w:eastAsia="宋体" w:cs="宋体"/>
          <w:spacing w:val="1"/>
          <w:sz w:val="21"/>
          <w:szCs w:val="21"/>
          <w:u w:val="single" w:color="auto"/>
        </w:rPr>
        <w:t xml:space="preserve"> </w:t>
      </w:r>
      <w:r>
        <w:rPr>
          <w:rFonts w:hint="eastAsia" w:cs="宋体"/>
          <w:color w:val="000000"/>
          <w:sz w:val="21"/>
          <w:szCs w:val="21"/>
          <w:highlight w:val="none"/>
          <w:u w:val="single"/>
          <w:lang w:eastAsia="zh-CN"/>
        </w:rPr>
        <w:t>何杰</w:t>
      </w:r>
      <w:r>
        <w:rPr>
          <w:rFonts w:hint="eastAsia" w:ascii="宋体" w:hAnsi="宋体" w:eastAsia="宋体" w:cs="宋体"/>
          <w:i w:val="0"/>
          <w:iCs w:val="0"/>
          <w:caps w:val="0"/>
          <w:color w:val="000000"/>
          <w:spacing w:val="0"/>
          <w:sz w:val="21"/>
          <w:szCs w:val="21"/>
          <w:highlight w:val="none"/>
          <w:u w:val="single"/>
          <w:shd w:val="clear" w:color="auto" w:fill="FFFFFF"/>
        </w:rPr>
        <w:t> </w:t>
      </w:r>
      <w:r>
        <w:rPr>
          <w:rFonts w:ascii="宋体" w:hAnsi="宋体" w:eastAsia="宋体" w:cs="宋体"/>
          <w:spacing w:val="1"/>
          <w:sz w:val="21"/>
          <w:szCs w:val="21"/>
          <w:u w:val="single" w:color="auto"/>
        </w:rPr>
        <w:t xml:space="preserve">    </w:t>
      </w:r>
      <w:r>
        <w:rPr>
          <w:rFonts w:ascii="宋体" w:hAnsi="宋体" w:eastAsia="宋体" w:cs="宋体"/>
          <w:spacing w:val="1"/>
          <w:sz w:val="21"/>
          <w:szCs w:val="21"/>
          <w:u w:val="none" w:color="auto"/>
        </w:rPr>
        <w:t xml:space="preserve">     </w:t>
      </w:r>
      <w:r>
        <w:rPr>
          <w:rFonts w:hint="eastAsia" w:ascii="宋体" w:hAnsi="宋体" w:eastAsia="宋体" w:cs="宋体"/>
          <w:spacing w:val="1"/>
          <w:sz w:val="21"/>
          <w:szCs w:val="21"/>
          <w:u w:val="none" w:color="auto"/>
          <w:lang w:val="en-US" w:eastAsia="zh-CN"/>
        </w:rPr>
        <w:t xml:space="preserve">                 </w:t>
      </w:r>
      <w:r>
        <w:rPr>
          <w:rFonts w:ascii="宋体" w:hAnsi="宋体" w:eastAsia="宋体" w:cs="宋体"/>
          <w:spacing w:val="-104"/>
          <w:sz w:val="21"/>
          <w:szCs w:val="21"/>
        </w:rPr>
        <w:t xml:space="preserve"> </w:t>
      </w:r>
      <w:r>
        <w:rPr>
          <w:rFonts w:ascii="宋体" w:hAnsi="宋体" w:eastAsia="宋体" w:cs="宋体"/>
          <w:spacing w:val="-17"/>
          <w:sz w:val="21"/>
          <w:szCs w:val="21"/>
        </w:rPr>
        <w:t>联</w:t>
      </w:r>
      <w:r>
        <w:rPr>
          <w:rFonts w:ascii="宋体" w:hAnsi="宋体" w:eastAsia="宋体" w:cs="宋体"/>
          <w:spacing w:val="14"/>
          <w:sz w:val="21"/>
          <w:szCs w:val="21"/>
        </w:rPr>
        <w:t xml:space="preserve"> </w:t>
      </w:r>
      <w:r>
        <w:rPr>
          <w:rFonts w:ascii="宋体" w:hAnsi="宋体" w:eastAsia="宋体" w:cs="宋体"/>
          <w:spacing w:val="-17"/>
          <w:sz w:val="21"/>
          <w:szCs w:val="21"/>
        </w:rPr>
        <w:t>系</w:t>
      </w:r>
      <w:r>
        <w:rPr>
          <w:rFonts w:ascii="宋体" w:hAnsi="宋体" w:eastAsia="宋体" w:cs="宋体"/>
          <w:spacing w:val="13"/>
          <w:sz w:val="21"/>
          <w:szCs w:val="21"/>
        </w:rPr>
        <w:t xml:space="preserve"> </w:t>
      </w:r>
      <w:r>
        <w:rPr>
          <w:rFonts w:ascii="宋体" w:hAnsi="宋体" w:eastAsia="宋体" w:cs="宋体"/>
          <w:spacing w:val="-17"/>
          <w:sz w:val="21"/>
          <w:szCs w:val="21"/>
        </w:rPr>
        <w:t>人</w:t>
      </w:r>
      <w:r>
        <w:rPr>
          <w:rFonts w:ascii="宋体" w:hAnsi="宋体" w:eastAsia="宋体" w:cs="宋体"/>
          <w:spacing w:val="-90"/>
          <w:sz w:val="21"/>
          <w:szCs w:val="21"/>
        </w:rPr>
        <w:t xml:space="preserve"> </w:t>
      </w:r>
      <w:r>
        <w:rPr>
          <w:rFonts w:ascii="宋体" w:hAnsi="宋体" w:eastAsia="宋体" w:cs="宋体"/>
          <w:spacing w:val="-17"/>
          <w:sz w:val="21"/>
          <w:szCs w:val="21"/>
        </w:rPr>
        <w:t>：</w:t>
      </w:r>
      <w:r>
        <w:rPr>
          <w:rFonts w:ascii="宋体" w:hAnsi="宋体" w:eastAsia="宋体" w:cs="宋体"/>
          <w:sz w:val="21"/>
          <w:szCs w:val="21"/>
          <w:u w:val="single" w:color="auto"/>
        </w:rPr>
        <w:t xml:space="preserve">     </w:t>
      </w:r>
      <w:r>
        <w:rPr>
          <w:rFonts w:hint="eastAsia" w:cs="宋体"/>
          <w:i w:val="0"/>
          <w:iCs w:val="0"/>
          <w:caps w:val="0"/>
          <w:color w:val="000000"/>
          <w:spacing w:val="0"/>
          <w:sz w:val="21"/>
          <w:szCs w:val="21"/>
          <w:highlight w:val="none"/>
          <w:u w:val="single"/>
          <w:shd w:val="clear" w:color="auto" w:fill="FFFFFF"/>
          <w:lang w:eastAsia="zh-CN"/>
        </w:rPr>
        <w:t>赵懿</w:t>
      </w:r>
      <w:r>
        <w:rPr>
          <w:rFonts w:ascii="宋体" w:hAnsi="宋体" w:eastAsia="宋体" w:cs="宋体"/>
          <w:sz w:val="21"/>
          <w:szCs w:val="21"/>
          <w:u w:val="single" w:color="auto"/>
        </w:rPr>
        <w:t xml:space="preserve">            </w:t>
      </w:r>
    </w:p>
    <w:p>
      <w:pPr>
        <w:spacing w:before="164" w:line="221" w:lineRule="auto"/>
        <w:ind w:left="516"/>
        <w:rPr>
          <w:rFonts w:ascii="宋体" w:hAnsi="宋体" w:eastAsia="宋体" w:cs="宋体"/>
          <w:sz w:val="21"/>
          <w:szCs w:val="21"/>
        </w:rPr>
      </w:pPr>
      <w:r>
        <w:rPr>
          <w:rFonts w:ascii="宋体" w:hAnsi="宋体" w:eastAsia="宋体" w:cs="宋体"/>
          <w:spacing w:val="-26"/>
          <w:sz w:val="21"/>
          <w:szCs w:val="21"/>
        </w:rPr>
        <w:t>电</w:t>
      </w:r>
      <w:r>
        <w:rPr>
          <w:rFonts w:ascii="宋体" w:hAnsi="宋体" w:eastAsia="宋体" w:cs="宋体"/>
          <w:spacing w:val="2"/>
          <w:sz w:val="21"/>
          <w:szCs w:val="21"/>
        </w:rPr>
        <w:t xml:space="preserve">      </w:t>
      </w:r>
      <w:r>
        <w:rPr>
          <w:rFonts w:ascii="宋体" w:hAnsi="宋体" w:eastAsia="宋体" w:cs="宋体"/>
          <w:spacing w:val="-26"/>
          <w:sz w:val="21"/>
          <w:szCs w:val="21"/>
        </w:rPr>
        <w:t>话</w:t>
      </w:r>
      <w:r>
        <w:rPr>
          <w:rFonts w:ascii="宋体" w:hAnsi="宋体" w:eastAsia="宋体" w:cs="宋体"/>
          <w:spacing w:val="-89"/>
          <w:sz w:val="21"/>
          <w:szCs w:val="21"/>
        </w:rPr>
        <w:t xml:space="preserve"> </w:t>
      </w:r>
      <w:r>
        <w:rPr>
          <w:rFonts w:ascii="宋体" w:hAnsi="宋体" w:eastAsia="宋体" w:cs="宋体"/>
          <w:spacing w:val="-26"/>
          <w:sz w:val="21"/>
          <w:szCs w:val="21"/>
        </w:rPr>
        <w:t>：</w:t>
      </w:r>
      <w:r>
        <w:rPr>
          <w:rFonts w:ascii="宋体" w:hAnsi="宋体" w:eastAsia="宋体" w:cs="宋体"/>
          <w:spacing w:val="1"/>
          <w:sz w:val="21"/>
          <w:szCs w:val="21"/>
          <w:u w:val="single" w:color="auto"/>
        </w:rPr>
        <w:t xml:space="preserve"> </w:t>
      </w:r>
      <w:r>
        <w:rPr>
          <w:rFonts w:hint="eastAsia" w:ascii="宋体" w:hAnsi="宋体" w:eastAsia="宋体" w:cs="宋体"/>
          <w:i w:val="0"/>
          <w:iCs w:val="0"/>
          <w:caps w:val="0"/>
          <w:color w:val="000000"/>
          <w:spacing w:val="0"/>
          <w:sz w:val="21"/>
          <w:szCs w:val="21"/>
          <w:highlight w:val="none"/>
          <w:u w:val="single"/>
          <w:shd w:val="clear" w:color="auto" w:fill="FFFFFF"/>
          <w:lang w:eastAsia="zh-CN"/>
        </w:rPr>
        <w:t xml:space="preserve">13867633622 </w:t>
      </w:r>
      <w:r>
        <w:rPr>
          <w:rFonts w:ascii="宋体" w:hAnsi="宋体" w:eastAsia="宋体" w:cs="宋体"/>
          <w:spacing w:val="1"/>
          <w:sz w:val="21"/>
          <w:szCs w:val="21"/>
          <w:u w:val="single" w:color="auto"/>
        </w:rPr>
        <w:t xml:space="preserve">     </w:t>
      </w:r>
      <w:r>
        <w:rPr>
          <w:rFonts w:ascii="宋体" w:hAnsi="宋体" w:eastAsia="宋体" w:cs="宋体"/>
          <w:spacing w:val="1"/>
          <w:sz w:val="21"/>
          <w:szCs w:val="21"/>
          <w:u w:val="none" w:color="auto"/>
        </w:rPr>
        <w:t xml:space="preserve">    </w:t>
      </w:r>
      <w:r>
        <w:rPr>
          <w:rFonts w:hint="eastAsia" w:ascii="宋体" w:hAnsi="宋体" w:eastAsia="宋体" w:cs="宋体"/>
          <w:spacing w:val="1"/>
          <w:sz w:val="21"/>
          <w:szCs w:val="21"/>
          <w:u w:val="none" w:color="auto"/>
          <w:lang w:val="en-US" w:eastAsia="zh-CN"/>
        </w:rPr>
        <w:t xml:space="preserve">         </w:t>
      </w:r>
      <w:r>
        <w:rPr>
          <w:rFonts w:ascii="宋体" w:hAnsi="宋体" w:eastAsia="宋体" w:cs="宋体"/>
          <w:spacing w:val="-75"/>
          <w:sz w:val="21"/>
          <w:szCs w:val="21"/>
          <w:u w:val="none" w:color="auto"/>
        </w:rPr>
        <w:t xml:space="preserve"> </w:t>
      </w:r>
      <w:r>
        <w:rPr>
          <w:rFonts w:ascii="宋体" w:hAnsi="宋体" w:eastAsia="宋体" w:cs="宋体"/>
          <w:spacing w:val="-26"/>
          <w:sz w:val="21"/>
          <w:szCs w:val="21"/>
        </w:rPr>
        <w:t>电</w:t>
      </w:r>
      <w:r>
        <w:rPr>
          <w:rFonts w:ascii="宋体" w:hAnsi="宋体" w:eastAsia="宋体" w:cs="宋体"/>
          <w:spacing w:val="2"/>
          <w:sz w:val="21"/>
          <w:szCs w:val="21"/>
        </w:rPr>
        <w:t xml:space="preserve">      </w:t>
      </w:r>
      <w:r>
        <w:rPr>
          <w:rFonts w:ascii="宋体" w:hAnsi="宋体" w:eastAsia="宋体" w:cs="宋体"/>
          <w:spacing w:val="-26"/>
          <w:sz w:val="21"/>
          <w:szCs w:val="21"/>
        </w:rPr>
        <w:t>话</w:t>
      </w:r>
      <w:r>
        <w:rPr>
          <w:rFonts w:ascii="宋体" w:hAnsi="宋体" w:eastAsia="宋体" w:cs="宋体"/>
          <w:spacing w:val="-88"/>
          <w:sz w:val="21"/>
          <w:szCs w:val="21"/>
        </w:rPr>
        <w:t xml:space="preserve"> </w:t>
      </w:r>
      <w:r>
        <w:rPr>
          <w:rFonts w:ascii="宋体" w:hAnsi="宋体" w:eastAsia="宋体" w:cs="宋体"/>
          <w:spacing w:val="-26"/>
          <w:sz w:val="21"/>
          <w:szCs w:val="21"/>
        </w:rPr>
        <w:t>：</w:t>
      </w:r>
      <w:r>
        <w:rPr>
          <w:rFonts w:ascii="宋体" w:hAnsi="宋体" w:eastAsia="宋体" w:cs="宋体"/>
          <w:sz w:val="21"/>
          <w:szCs w:val="21"/>
          <w:u w:val="single" w:color="auto"/>
        </w:rPr>
        <w:t xml:space="preserve"> </w:t>
      </w:r>
      <w:r>
        <w:rPr>
          <w:rFonts w:hint="eastAsia" w:cs="宋体"/>
          <w:color w:val="000000"/>
          <w:sz w:val="21"/>
          <w:szCs w:val="21"/>
          <w:highlight w:val="none"/>
          <w:u w:val="single"/>
          <w:lang w:val="en-US" w:eastAsia="zh-CN"/>
        </w:rPr>
        <w:t>0576-83597828</w:t>
      </w:r>
      <w:r>
        <w:rPr>
          <w:rFonts w:ascii="宋体" w:hAnsi="宋体" w:eastAsia="宋体" w:cs="宋体"/>
          <w:sz w:val="21"/>
          <w:szCs w:val="21"/>
          <w:u w:val="single" w:color="auto"/>
        </w:rPr>
        <w:t xml:space="preserve">         </w:t>
      </w:r>
    </w:p>
    <w:p>
      <w:pPr>
        <w:spacing w:before="164" w:line="219" w:lineRule="auto"/>
        <w:ind w:left="508"/>
        <w:rPr>
          <w:rFonts w:ascii="宋体" w:hAnsi="宋体" w:eastAsia="宋体" w:cs="宋体"/>
          <w:sz w:val="21"/>
          <w:szCs w:val="21"/>
        </w:rPr>
      </w:pPr>
      <w:r>
        <w:rPr>
          <w:rFonts w:ascii="宋体" w:hAnsi="宋体" w:eastAsia="宋体" w:cs="宋体"/>
          <w:spacing w:val="-13"/>
          <w:sz w:val="21"/>
          <w:szCs w:val="21"/>
        </w:rPr>
        <w:t>邮</w:t>
      </w:r>
      <w:r>
        <w:rPr>
          <w:rFonts w:ascii="宋体" w:hAnsi="宋体" w:eastAsia="宋体" w:cs="宋体"/>
          <w:spacing w:val="2"/>
          <w:sz w:val="21"/>
          <w:szCs w:val="21"/>
        </w:rPr>
        <w:t xml:space="preserve">      </w:t>
      </w:r>
      <w:r>
        <w:rPr>
          <w:rFonts w:ascii="宋体" w:hAnsi="宋体" w:eastAsia="宋体" w:cs="宋体"/>
          <w:spacing w:val="-13"/>
          <w:sz w:val="21"/>
          <w:szCs w:val="21"/>
        </w:rPr>
        <w:t>箱</w:t>
      </w:r>
      <w:r>
        <w:rPr>
          <w:rFonts w:ascii="宋体" w:hAnsi="宋体" w:eastAsia="宋体" w:cs="宋体"/>
          <w:spacing w:val="-89"/>
          <w:sz w:val="21"/>
          <w:szCs w:val="21"/>
        </w:rPr>
        <w:t xml:space="preserve"> </w:t>
      </w:r>
      <w:r>
        <w:rPr>
          <w:rFonts w:ascii="宋体" w:hAnsi="宋体" w:eastAsia="宋体" w:cs="宋体"/>
          <w:spacing w:val="-13"/>
          <w:sz w:val="21"/>
          <w:szCs w:val="21"/>
        </w:rPr>
        <w:t>：</w:t>
      </w:r>
      <w:r>
        <w:rPr>
          <w:rFonts w:ascii="宋体" w:hAnsi="宋体" w:eastAsia="宋体" w:cs="宋体"/>
          <w:spacing w:val="-13"/>
          <w:sz w:val="21"/>
          <w:szCs w:val="21"/>
          <w:u w:val="single" w:color="auto"/>
        </w:rPr>
        <w:t xml:space="preserve">       </w:t>
      </w:r>
      <w:r>
        <w:rPr>
          <w:rFonts w:hint="eastAsia" w:ascii="宋体" w:hAnsi="宋体" w:eastAsia="宋体" w:cs="宋体"/>
          <w:spacing w:val="-13"/>
          <w:sz w:val="21"/>
          <w:szCs w:val="21"/>
          <w:u w:val="single" w:color="auto"/>
          <w:lang w:val="en-US" w:eastAsia="zh-CN"/>
        </w:rPr>
        <w:t>/</w:t>
      </w:r>
      <w:r>
        <w:rPr>
          <w:rFonts w:ascii="宋体" w:hAnsi="宋体" w:eastAsia="宋体" w:cs="宋体"/>
          <w:spacing w:val="-13"/>
          <w:sz w:val="21"/>
          <w:szCs w:val="21"/>
          <w:u w:val="single" w:color="auto"/>
        </w:rPr>
        <w:t xml:space="preserve">     </w:t>
      </w:r>
      <w:r>
        <w:rPr>
          <w:rFonts w:hint="eastAsia" w:ascii="宋体" w:hAnsi="宋体" w:eastAsia="宋体" w:cs="宋体"/>
          <w:spacing w:val="-13"/>
          <w:sz w:val="21"/>
          <w:szCs w:val="21"/>
          <w:u w:val="single" w:color="auto"/>
          <w:lang w:val="en-US" w:eastAsia="zh-CN"/>
        </w:rPr>
        <w:t xml:space="preserve">                 </w:t>
      </w:r>
      <w:r>
        <w:rPr>
          <w:rFonts w:hint="eastAsia" w:ascii="宋体" w:hAnsi="宋体" w:eastAsia="宋体" w:cs="宋体"/>
          <w:spacing w:val="-13"/>
          <w:sz w:val="21"/>
          <w:szCs w:val="21"/>
          <w:u w:val="none" w:color="auto"/>
          <w:lang w:val="en-US" w:eastAsia="zh-CN"/>
        </w:rPr>
        <w:t xml:space="preserve">  </w:t>
      </w:r>
      <w:r>
        <w:rPr>
          <w:rFonts w:ascii="宋体" w:hAnsi="宋体" w:eastAsia="宋体" w:cs="宋体"/>
          <w:spacing w:val="-13"/>
          <w:sz w:val="21"/>
          <w:szCs w:val="21"/>
          <w:u w:val="none" w:color="auto"/>
        </w:rPr>
        <w:t xml:space="preserve">         </w:t>
      </w:r>
      <w:r>
        <w:rPr>
          <w:rFonts w:ascii="宋体" w:hAnsi="宋体" w:eastAsia="宋体" w:cs="宋体"/>
          <w:spacing w:val="-92"/>
          <w:sz w:val="21"/>
          <w:szCs w:val="21"/>
        </w:rPr>
        <w:t xml:space="preserve"> </w:t>
      </w:r>
      <w:r>
        <w:rPr>
          <w:rFonts w:hint="eastAsia" w:ascii="宋体" w:hAnsi="宋体" w:eastAsia="宋体" w:cs="宋体"/>
          <w:spacing w:val="-92"/>
          <w:sz w:val="21"/>
          <w:szCs w:val="21"/>
          <w:lang w:val="en-US" w:eastAsia="zh-CN"/>
        </w:rPr>
        <w:t xml:space="preserve">                                                                </w:t>
      </w:r>
      <w:r>
        <w:rPr>
          <w:rFonts w:ascii="宋体" w:hAnsi="宋体" w:eastAsia="宋体" w:cs="宋体"/>
          <w:spacing w:val="-13"/>
          <w:sz w:val="21"/>
          <w:szCs w:val="21"/>
        </w:rPr>
        <w:t>邮</w:t>
      </w:r>
      <w:r>
        <w:rPr>
          <w:rFonts w:ascii="宋体" w:hAnsi="宋体" w:eastAsia="宋体" w:cs="宋体"/>
          <w:spacing w:val="1"/>
          <w:sz w:val="21"/>
          <w:szCs w:val="21"/>
        </w:rPr>
        <w:t xml:space="preserve">      </w:t>
      </w:r>
      <w:r>
        <w:rPr>
          <w:rFonts w:ascii="宋体" w:hAnsi="宋体" w:eastAsia="宋体" w:cs="宋体"/>
          <w:spacing w:val="-13"/>
          <w:sz w:val="21"/>
          <w:szCs w:val="21"/>
        </w:rPr>
        <w:t>箱</w:t>
      </w:r>
      <w:r>
        <w:rPr>
          <w:rFonts w:ascii="宋体" w:hAnsi="宋体" w:eastAsia="宋体" w:cs="宋体"/>
          <w:spacing w:val="-87"/>
          <w:sz w:val="21"/>
          <w:szCs w:val="21"/>
        </w:rPr>
        <w:t xml:space="preserve"> </w:t>
      </w:r>
      <w:r>
        <w:rPr>
          <w:rFonts w:ascii="宋体" w:hAnsi="宋体" w:eastAsia="宋体" w:cs="宋体"/>
          <w:spacing w:val="-13"/>
          <w:sz w:val="21"/>
          <w:szCs w:val="21"/>
        </w:rPr>
        <w:t>：</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w:t>
      </w:r>
      <w:r>
        <w:rPr>
          <w:rFonts w:ascii="宋体" w:hAnsi="宋体" w:eastAsia="宋体" w:cs="宋体"/>
          <w:sz w:val="21"/>
          <w:szCs w:val="21"/>
          <w:u w:val="single" w:color="auto"/>
        </w:rPr>
        <w:t xml:space="preserve">           </w:t>
      </w:r>
    </w:p>
    <w:p>
      <w:pPr>
        <w:spacing w:before="166" w:line="219" w:lineRule="auto"/>
        <w:ind w:left="6473"/>
        <w:rPr>
          <w:rFonts w:hint="eastAsia" w:ascii="宋体" w:hAnsi="宋体" w:eastAsia="宋体" w:cs="宋体"/>
          <w:spacing w:val="-11"/>
          <w:sz w:val="21"/>
          <w:szCs w:val="21"/>
          <w:lang w:val="en-US" w:eastAsia="zh-CN"/>
        </w:rPr>
      </w:pPr>
    </w:p>
    <w:p>
      <w:pPr>
        <w:widowControl/>
        <w:autoSpaceDE/>
        <w:autoSpaceDN/>
        <w:adjustRightInd/>
        <w:spacing w:line="480" w:lineRule="exact"/>
        <w:jc w:val="right"/>
        <w:rPr>
          <w:rFonts w:hint="eastAsia" w:ascii="宋体" w:hAnsi="宋体" w:cs="宋体"/>
          <w:szCs w:val="21"/>
          <w:highlight w:val="none"/>
          <w:lang w:eastAsia="zh-CN"/>
        </w:rPr>
      </w:pPr>
    </w:p>
    <w:p>
      <w:pPr>
        <w:widowControl/>
        <w:autoSpaceDE/>
        <w:autoSpaceDN/>
        <w:adjustRightInd/>
        <w:spacing w:line="480" w:lineRule="exact"/>
        <w:jc w:val="right"/>
        <w:rPr>
          <w:rFonts w:hint="eastAsia" w:ascii="宋体" w:hAnsi="宋体" w:cs="宋体"/>
          <w:szCs w:val="21"/>
          <w:highlight w:val="none"/>
          <w:lang w:eastAsia="zh-CN"/>
        </w:rPr>
      </w:pPr>
    </w:p>
    <w:p>
      <w:pPr>
        <w:widowControl/>
        <w:autoSpaceDE/>
        <w:autoSpaceDN/>
        <w:adjustRightInd/>
        <w:spacing w:line="480" w:lineRule="exact"/>
        <w:jc w:val="right"/>
        <w:rPr>
          <w:rFonts w:hint="eastAsia" w:ascii="宋体" w:hAnsi="宋体" w:cs="宋体"/>
          <w:szCs w:val="21"/>
          <w:highlight w:val="none"/>
          <w:lang w:eastAsia="zh-CN"/>
        </w:rPr>
      </w:pPr>
    </w:p>
    <w:p>
      <w:pPr>
        <w:widowControl/>
        <w:autoSpaceDE/>
        <w:autoSpaceDN/>
        <w:adjustRightInd/>
        <w:spacing w:line="480" w:lineRule="exact"/>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三门海润金鳞湖经济开发有限公司</w:t>
      </w:r>
    </w:p>
    <w:p>
      <w:pPr>
        <w:widowControl/>
        <w:autoSpaceDE/>
        <w:autoSpaceDN/>
        <w:adjustRightInd/>
        <w:spacing w:line="480" w:lineRule="exact"/>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浙江揽丰工程咨询有限公司</w:t>
      </w:r>
    </w:p>
    <w:p>
      <w:pPr>
        <w:widowControl/>
        <w:autoSpaceDE/>
        <w:autoSpaceDN/>
        <w:adjustRightInd/>
        <w:spacing w:line="480" w:lineRule="exact"/>
        <w:jc w:val="right"/>
        <w:rPr>
          <w:rFonts w:hint="eastAsia" w:ascii="宋体" w:hAnsi="宋体" w:eastAsia="宋体" w:cs="宋体"/>
          <w:szCs w:val="21"/>
          <w:highlight w:val="none"/>
        </w:rPr>
      </w:pPr>
      <w:r>
        <w:rPr>
          <w:rFonts w:hint="eastAsia" w:ascii="宋体" w:hAnsi="宋体" w:eastAsia="宋体" w:cs="宋体"/>
          <w:szCs w:val="21"/>
          <w:highlight w:val="none"/>
        </w:rPr>
        <w:t>三门县住房和城乡建设局</w:t>
      </w:r>
    </w:p>
    <w:p>
      <w:pPr>
        <w:widowControl/>
        <w:autoSpaceDE/>
        <w:autoSpaceDN/>
        <w:adjustRightInd/>
        <w:spacing w:line="480" w:lineRule="exact"/>
        <w:jc w:val="right"/>
        <w:rPr>
          <w:rFonts w:hint="eastAsia" w:ascii="宋体" w:hAnsi="宋体" w:eastAsia="宋体" w:cs="宋体"/>
          <w:szCs w:val="21"/>
          <w:highlight w:val="none"/>
          <w:lang w:val="en-US" w:eastAsia="zh-CN"/>
        </w:rPr>
      </w:pPr>
    </w:p>
    <w:p>
      <w:pPr>
        <w:widowControl/>
        <w:autoSpaceDE/>
        <w:autoSpaceDN/>
        <w:adjustRightInd/>
        <w:spacing w:line="480" w:lineRule="exact"/>
        <w:jc w:val="right"/>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2024 </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 xml:space="preserve"> 8</w:t>
      </w:r>
      <w:r>
        <w:rPr>
          <w:rFonts w:hint="eastAsia" w:ascii="宋体" w:hAnsi="宋体" w:eastAsia="宋体" w:cs="宋体"/>
          <w:szCs w:val="21"/>
          <w:highlight w:val="none"/>
        </w:rPr>
        <w:t>月   日</w:t>
      </w:r>
    </w:p>
    <w:p>
      <w:pPr>
        <w:pStyle w:val="8"/>
        <w:tabs>
          <w:tab w:val="left" w:pos="4228"/>
          <w:tab w:val="left" w:pos="7975"/>
          <w:tab w:val="left" w:pos="8364"/>
        </w:tabs>
        <w:kinsoku w:val="0"/>
        <w:spacing w:line="480" w:lineRule="exact"/>
        <w:ind w:left="0" w:right="-79"/>
        <w:jc w:val="right"/>
        <w:rPr>
          <w:highlight w:val="none"/>
        </w:rPr>
      </w:pPr>
      <w:r>
        <w:rPr>
          <w:highlight w:val="none"/>
        </w:rPr>
        <w:br w:type="page"/>
      </w:r>
    </w:p>
    <w:bookmarkEnd w:id="1"/>
    <w:bookmarkEnd w:id="2"/>
    <w:bookmarkEnd w:id="5"/>
    <w:p>
      <w:pPr>
        <w:pStyle w:val="2"/>
        <w:ind w:left="6"/>
        <w:rPr>
          <w:highlight w:val="none"/>
        </w:rPr>
      </w:pPr>
      <w:bookmarkStart w:id="9" w:name="bookmark20"/>
      <w:bookmarkEnd w:id="9"/>
      <w:bookmarkStart w:id="10" w:name="_Toc1035"/>
      <w:bookmarkStart w:id="11" w:name="_Toc22828066"/>
      <w:bookmarkStart w:id="12" w:name="_Toc3493"/>
      <w:bookmarkStart w:id="13" w:name="_Toc45697229"/>
      <w:r>
        <w:rPr>
          <w:rFonts w:hint="eastAsia"/>
          <w:highlight w:val="none"/>
        </w:rPr>
        <w:t>第二章</w:t>
      </w:r>
      <w:r>
        <w:rPr>
          <w:highlight w:val="none"/>
        </w:rPr>
        <w:t xml:space="preserve"> </w:t>
      </w:r>
      <w:r>
        <w:rPr>
          <w:rFonts w:hint="eastAsia"/>
          <w:highlight w:val="none"/>
        </w:rPr>
        <w:t>投标人须知</w:t>
      </w:r>
      <w:bookmarkEnd w:id="10"/>
      <w:bookmarkEnd w:id="11"/>
      <w:bookmarkEnd w:id="12"/>
      <w:bookmarkEnd w:id="13"/>
    </w:p>
    <w:p>
      <w:pPr>
        <w:jc w:val="center"/>
        <w:rPr>
          <w:b/>
          <w:sz w:val="32"/>
          <w:szCs w:val="32"/>
          <w:highlight w:val="none"/>
        </w:rPr>
      </w:pPr>
      <w:bookmarkStart w:id="14" w:name="bookmark21"/>
      <w:bookmarkEnd w:id="14"/>
      <w:bookmarkStart w:id="15" w:name="_Toc22828067"/>
      <w:bookmarkStart w:id="16" w:name="_Toc45697230"/>
      <w:bookmarkStart w:id="17" w:name="_Toc17203"/>
      <w:r>
        <w:rPr>
          <w:rFonts w:hint="eastAsia"/>
          <w:b/>
          <w:sz w:val="32"/>
          <w:szCs w:val="32"/>
          <w:highlight w:val="none"/>
        </w:rPr>
        <w:t>投标人须知前附表</w:t>
      </w:r>
      <w:bookmarkEnd w:id="15"/>
      <w:bookmarkEnd w:id="16"/>
      <w:bookmarkEnd w:id="17"/>
    </w:p>
    <w:p>
      <w:pPr>
        <w:pStyle w:val="8"/>
        <w:kinsoku w:val="0"/>
        <w:spacing w:before="12"/>
        <w:ind w:left="0"/>
        <w:rPr>
          <w:rFonts w:ascii="Microsoft JhengHei" w:eastAsia="Microsoft JhengHei" w:cs="Microsoft JhengHei"/>
          <w:b/>
          <w:bCs/>
          <w:sz w:val="12"/>
          <w:szCs w:val="12"/>
          <w:highlight w:val="none"/>
        </w:rPr>
      </w:pPr>
    </w:p>
    <w:tbl>
      <w:tblPr>
        <w:tblStyle w:val="22"/>
        <w:tblW w:w="9849" w:type="dxa"/>
        <w:jc w:val="center"/>
        <w:tblLayout w:type="fixed"/>
        <w:tblCellMar>
          <w:top w:w="0" w:type="dxa"/>
          <w:left w:w="57" w:type="dxa"/>
          <w:bottom w:w="0" w:type="dxa"/>
          <w:right w:w="57" w:type="dxa"/>
        </w:tblCellMar>
      </w:tblPr>
      <w:tblGrid>
        <w:gridCol w:w="11"/>
        <w:gridCol w:w="1283"/>
        <w:gridCol w:w="1697"/>
        <w:gridCol w:w="6858"/>
      </w:tblGrid>
      <w:tr>
        <w:tblPrEx>
          <w:tblCellMar>
            <w:top w:w="0" w:type="dxa"/>
            <w:left w:w="57" w:type="dxa"/>
            <w:bottom w:w="0" w:type="dxa"/>
            <w:right w:w="57" w:type="dxa"/>
          </w:tblCellMar>
        </w:tblPrEx>
        <w:trPr>
          <w:trHeight w:val="57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ind w:left="259"/>
              <w:jc w:val="center"/>
              <w:rPr>
                <w:rFonts w:ascii="宋体" w:hAnsi="宋体"/>
                <w:sz w:val="21"/>
                <w:szCs w:val="21"/>
                <w:highlight w:val="none"/>
              </w:rPr>
            </w:pPr>
            <w:r>
              <w:rPr>
                <w:rFonts w:hint="eastAsia" w:ascii="宋体" w:hAnsi="宋体" w:cs="Microsoft JhengHei"/>
                <w:b/>
                <w:bCs/>
                <w:sz w:val="21"/>
                <w:szCs w:val="21"/>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b/>
                <w:bCs/>
                <w:highlight w:val="none"/>
              </w:rPr>
              <w:t>条款名称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left="2"/>
              <w:jc w:val="center"/>
              <w:rPr>
                <w:rFonts w:ascii="宋体" w:hAnsi="宋体" w:cs="宋体"/>
                <w:highlight w:val="none"/>
              </w:rPr>
            </w:pPr>
            <w:r>
              <w:rPr>
                <w:rFonts w:hint="eastAsia" w:ascii="宋体" w:hAnsi="宋体" w:cs="宋体"/>
                <w:b/>
                <w:bCs/>
                <w:highlight w:val="none"/>
              </w:rPr>
              <w:t>编列内容</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招标人</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三门海润金鳞湖经济开发有限公司</w:t>
            </w:r>
          </w:p>
          <w:p>
            <w:pPr>
              <w:spacing w:line="400" w:lineRule="exact"/>
              <w:rPr>
                <w:rFonts w:hint="eastAsia" w:ascii="宋体" w:hAnsi="宋体" w:eastAsia="宋体" w:cs="宋体"/>
                <w:bCs/>
                <w:highlight w:val="none"/>
                <w:lang w:eastAsia="zh-CN"/>
              </w:rPr>
            </w:pPr>
            <w:r>
              <w:rPr>
                <w:rFonts w:hint="eastAsia" w:ascii="宋体" w:hAnsi="宋体" w:cs="宋体"/>
                <w:highlight w:val="none"/>
              </w:rPr>
              <w:t>地址：</w:t>
            </w:r>
            <w:r>
              <w:rPr>
                <w:rFonts w:hint="eastAsia" w:ascii="宋体" w:hAnsi="宋体" w:cs="宋体"/>
                <w:bCs/>
                <w:highlight w:val="none"/>
                <w:lang w:eastAsia="zh-CN"/>
              </w:rPr>
              <w:t>浙江省台州市三门县海润街道</w:t>
            </w:r>
          </w:p>
          <w:p>
            <w:pPr>
              <w:spacing w:line="400" w:lineRule="exact"/>
              <w:rPr>
                <w:rFonts w:hint="eastAsia" w:ascii="宋体" w:hAnsi="宋体" w:eastAsia="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何杰</w:t>
            </w:r>
            <w:r>
              <w:rPr>
                <w:rFonts w:hint="eastAsia" w:ascii="宋体" w:hAnsi="宋体" w:cs="宋体"/>
                <w:highlight w:val="none"/>
                <w:lang w:val="en-US" w:eastAsia="zh-CN"/>
              </w:rPr>
              <w:t xml:space="preserve"> </w:t>
            </w:r>
          </w:p>
          <w:p>
            <w:pPr>
              <w:pStyle w:val="31"/>
              <w:kinsoku w:val="0"/>
              <w:spacing w:line="400" w:lineRule="exact"/>
              <w:rPr>
                <w:rFonts w:ascii="宋体" w:hAnsi="宋体" w:cs="宋体"/>
                <w:highlight w:val="none"/>
              </w:rPr>
            </w:pPr>
            <w:r>
              <w:rPr>
                <w:rFonts w:hint="eastAsia" w:ascii="宋体" w:hAnsi="宋体" w:cs="宋体"/>
                <w:highlight w:val="none"/>
              </w:rPr>
              <w:t>联系电话：</w:t>
            </w:r>
            <w:r>
              <w:rPr>
                <w:rFonts w:hint="eastAsia" w:ascii="宋体" w:hAnsi="宋体" w:cs="宋体"/>
                <w:highlight w:val="none"/>
                <w:lang w:eastAsia="zh-CN"/>
              </w:rPr>
              <w:t>13867633622</w:t>
            </w:r>
            <w:r>
              <w:rPr>
                <w:rFonts w:hint="eastAsia" w:ascii="宋体" w:hAnsi="宋体" w:cs="宋体"/>
                <w:bCs/>
                <w:highlight w:val="none"/>
              </w:rPr>
              <w:t xml:space="preserve"> </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招标代理机构</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浙江揽丰工程咨询有限公司</w:t>
            </w:r>
          </w:p>
          <w:p>
            <w:pPr>
              <w:pStyle w:val="8"/>
              <w:tabs>
                <w:tab w:val="left" w:pos="4228"/>
                <w:tab w:val="left" w:pos="7975"/>
              </w:tabs>
              <w:kinsoku w:val="0"/>
              <w:spacing w:line="480" w:lineRule="exact"/>
              <w:ind w:left="0"/>
              <w:jc w:val="both"/>
              <w:rPr>
                <w:rFonts w:hint="eastAsia" w:eastAsia="宋体"/>
                <w:w w:val="28"/>
                <w:highlight w:val="none"/>
                <w:u w:val="single"/>
                <w:lang w:eastAsia="zh-CN"/>
              </w:rPr>
            </w:pPr>
            <w:r>
              <w:rPr>
                <w:rFonts w:hint="eastAsia" w:ascii="宋体" w:hAnsi="宋体" w:cs="宋体"/>
                <w:highlight w:val="none"/>
              </w:rPr>
              <w:t>地址：</w:t>
            </w:r>
            <w:r>
              <w:rPr>
                <w:rFonts w:hint="eastAsia"/>
                <w:highlight w:val="none"/>
                <w:lang w:eastAsia="zh-CN"/>
              </w:rPr>
              <w:t>三门县海游街道景城小区三幢二单元</w:t>
            </w:r>
          </w:p>
          <w:p>
            <w:pPr>
              <w:pStyle w:val="31"/>
              <w:kinsoku w:val="0"/>
              <w:spacing w:line="400" w:lineRule="exact"/>
              <w:rPr>
                <w:rFonts w:hint="eastAsia" w:ascii="宋体" w:hAnsi="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赵懿</w:t>
            </w:r>
          </w:p>
          <w:p>
            <w:pPr>
              <w:pStyle w:val="31"/>
              <w:kinsoku w:val="0"/>
              <w:spacing w:line="400" w:lineRule="exact"/>
              <w:rPr>
                <w:rFonts w:hint="default" w:ascii="宋体" w:hAnsi="宋体" w:eastAsia="宋体" w:cs="宋体"/>
                <w:highlight w:val="none"/>
                <w:lang w:val="en-US" w:eastAsia="zh-CN"/>
              </w:rPr>
            </w:pPr>
            <w:r>
              <w:rPr>
                <w:rFonts w:hint="eastAsia" w:ascii="宋体" w:hAnsi="宋体" w:cs="宋体"/>
                <w:highlight w:val="none"/>
              </w:rPr>
              <w:t>联系电话：</w:t>
            </w:r>
            <w:r>
              <w:rPr>
                <w:rFonts w:hint="eastAsia" w:ascii="宋体" w:hAnsi="宋体" w:cs="宋体"/>
                <w:highlight w:val="none"/>
                <w:lang w:eastAsia="zh-CN"/>
              </w:rPr>
              <w:t>0576-83597828</w:t>
            </w:r>
            <w:r>
              <w:rPr>
                <w:rFonts w:hint="eastAsia" w:ascii="宋体" w:hAnsi="宋体" w:cs="宋体"/>
                <w:highlight w:val="none"/>
                <w:lang w:val="en-US" w:eastAsia="zh-CN"/>
              </w:rPr>
              <w:t>/13336721161</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工程名称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环大周塘区块配套基础设施提升工程一北岸大道至鲍家道路沿线改造提升工程</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建设地点</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三门县</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资金来源及</w:t>
            </w:r>
          </w:p>
          <w:p>
            <w:pPr>
              <w:pStyle w:val="31"/>
              <w:kinsoku w:val="0"/>
              <w:spacing w:line="400" w:lineRule="exact"/>
              <w:jc w:val="center"/>
              <w:rPr>
                <w:rFonts w:ascii="宋体" w:hAnsi="宋体" w:cs="宋体"/>
                <w:highlight w:val="none"/>
              </w:rPr>
            </w:pPr>
            <w:r>
              <w:rPr>
                <w:rFonts w:hint="eastAsia" w:ascii="宋体" w:hAnsi="宋体" w:cs="宋体"/>
                <w:highlight w:val="none"/>
              </w:rPr>
              <w:t>比例</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上级拨款</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资金落实情况</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highlight w:val="none"/>
              </w:rPr>
            </w:pPr>
            <w:r>
              <w:rPr>
                <w:rFonts w:hint="eastAsia" w:ascii="宋体" w:hAnsi="宋体" w:cs="宋体"/>
                <w:highlight w:val="none"/>
              </w:rPr>
              <w:t>已落实</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招标范围</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highlight w:val="none"/>
              </w:rPr>
            </w:pPr>
            <w:r>
              <w:rPr>
                <w:rFonts w:hint="eastAsia" w:ascii="宋体" w:hAnsi="宋体" w:cs="宋体"/>
                <w:highlight w:val="none"/>
              </w:rPr>
              <w:t>招标人提供的施工图纸范围内及预算审核书中所包含的所有内容。具体详见施工图纸及工程量清单。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56"/>
              <w:jc w:val="center"/>
              <w:rPr>
                <w:rFonts w:ascii="宋体" w:hAnsi="宋体"/>
                <w:highlight w:val="none"/>
              </w:rPr>
            </w:pPr>
            <w:r>
              <w:rPr>
                <w:rFonts w:ascii="宋体" w:hAnsi="宋体"/>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计划工期要求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highlight w:val="none"/>
              </w:rPr>
            </w:pPr>
            <w:r>
              <w:rPr>
                <w:rFonts w:hint="eastAsia" w:ascii="宋体" w:hAnsi="宋体" w:cs="宋体"/>
                <w:highlight w:val="none"/>
              </w:rPr>
              <w:t>不超过</w:t>
            </w:r>
            <w:r>
              <w:rPr>
                <w:rFonts w:hint="eastAsia" w:ascii="宋体" w:hAnsi="宋体" w:cs="宋体"/>
                <w:highlight w:val="none"/>
                <w:u w:val="single"/>
                <w:lang w:val="en-US" w:eastAsia="zh-CN"/>
              </w:rPr>
              <w:t xml:space="preserve"> 120</w:t>
            </w:r>
            <w:r>
              <w:rPr>
                <w:rFonts w:hint="eastAsia" w:ascii="宋体" w:hAnsi="宋体" w:cs="宋体"/>
                <w:highlight w:val="none"/>
              </w:rPr>
              <w:t>日历天（投标人在投标文件中必须明确工期天数）</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31"/>
              <w:kinsoku w:val="0"/>
              <w:spacing w:before="159"/>
              <w:jc w:val="center"/>
              <w:rPr>
                <w:rFonts w:ascii="宋体" w:hAnsi="宋体"/>
                <w:highlight w:val="none"/>
              </w:rPr>
            </w:pPr>
            <w:r>
              <w:rPr>
                <w:rFonts w:ascii="宋体" w:hAnsi="宋体"/>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质量要求</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jc w:val="both"/>
              <w:rPr>
                <w:rFonts w:ascii="宋体" w:hAnsi="宋体" w:cs="宋体"/>
                <w:highlight w:val="none"/>
              </w:rPr>
            </w:pPr>
            <w:r>
              <w:rPr>
                <w:rFonts w:hint="eastAsia" w:ascii="宋体" w:hAnsi="宋体" w:cs="宋体"/>
                <w:highlight w:val="none"/>
              </w:rPr>
              <w:t>合格</w:t>
            </w:r>
          </w:p>
        </w:tc>
      </w:tr>
      <w:tr>
        <w:tblPrEx>
          <w:tblCellMar>
            <w:top w:w="0" w:type="dxa"/>
            <w:left w:w="57" w:type="dxa"/>
            <w:bottom w:w="0" w:type="dxa"/>
            <w:right w:w="57" w:type="dxa"/>
          </w:tblCellMar>
        </w:tblPrEx>
        <w:trPr>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投标人资格及要求</w:t>
            </w:r>
          </w:p>
        </w:tc>
        <w:tc>
          <w:tcPr>
            <w:tcW w:w="6858" w:type="dxa"/>
            <w:tcBorders>
              <w:top w:val="single" w:color="auto" w:sz="4" w:space="0"/>
              <w:left w:val="single" w:color="000000" w:sz="4" w:space="0"/>
              <w:bottom w:val="single" w:color="auto" w:sz="4" w:space="0"/>
              <w:right w:val="single" w:color="000000" w:sz="4" w:space="0"/>
            </w:tcBorders>
            <w:vAlign w:val="center"/>
          </w:tcPr>
          <w:p>
            <w:pPr>
              <w:pStyle w:val="31"/>
              <w:kinsoku w:val="0"/>
              <w:spacing w:line="400" w:lineRule="exact"/>
              <w:jc w:val="both"/>
              <w:rPr>
                <w:rFonts w:ascii="宋体" w:hAnsi="宋体" w:cs="宋体"/>
                <w:highlight w:val="none"/>
              </w:rPr>
            </w:pPr>
            <w:r>
              <w:rPr>
                <w:rFonts w:hint="eastAsia" w:ascii="宋体" w:hAnsi="宋体" w:cs="宋体"/>
                <w:highlight w:val="none"/>
              </w:rPr>
              <w:t>见招标公告</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highlight w:val="none"/>
              </w:rPr>
            </w:pPr>
            <w:r>
              <w:rPr>
                <w:szCs w:val="21"/>
                <w:highlight w:val="none"/>
              </w:rPr>
              <w:t>1.4.1</w:t>
            </w:r>
            <w:r>
              <w:rPr>
                <w:rFonts w:hint="eastAsia"/>
                <w:szCs w:val="21"/>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highlight w:val="none"/>
              </w:rPr>
            </w:pPr>
            <w:r>
              <w:rPr>
                <w:rFonts w:ascii="宋体" w:hAnsi="宋体"/>
                <w:b/>
                <w:szCs w:val="21"/>
                <w:highlight w:val="none"/>
              </w:rPr>
              <w:t>项目负责人不得同时在两个或者两个以上单位受聘或者执业（仅指项目负责人不得同时是其他单位的公务员或者事业单位在编人员，涉及到其他情形的，投标资格不受影响）。</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47"/>
              <w:jc w:val="center"/>
              <w:rPr>
                <w:rFonts w:ascii="宋体" w:hAnsi="宋体"/>
                <w:highlight w:val="none"/>
              </w:rPr>
            </w:pPr>
            <w:r>
              <w:rPr>
                <w:rFonts w:ascii="宋体" w:hAnsi="宋体"/>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是否接受联合体投标</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7"/>
              <w:snapToGrid w:val="0"/>
              <w:spacing w:after="0" w:line="400" w:lineRule="exact"/>
              <w:rPr>
                <w:rFonts w:ascii="宋体" w:hAnsi="宋体" w:cs="宋体"/>
                <w:sz w:val="24"/>
                <w:szCs w:val="24"/>
                <w:highlight w:val="none"/>
                <w:u w:val="single"/>
              </w:rPr>
            </w:pPr>
            <w:r>
              <w:rPr>
                <w:rFonts w:hint="eastAsia" w:ascii="宋体" w:hAnsi="宋体" w:cs="宋体"/>
                <w:kern w:val="2"/>
                <w:sz w:val="24"/>
                <w:szCs w:val="24"/>
                <w:highlight w:val="none"/>
              </w:rPr>
              <w:t>不接受</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line="320" w:lineRule="exact"/>
              <w:jc w:val="center"/>
              <w:rPr>
                <w:rFonts w:ascii="宋体" w:hAnsi="宋体"/>
                <w:highlight w:val="none"/>
              </w:rPr>
            </w:pPr>
            <w:r>
              <w:rPr>
                <w:rFonts w:ascii="宋体" w:hAnsi="宋体"/>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资格审查方式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both"/>
              <w:rPr>
                <w:rFonts w:ascii="宋体" w:hAnsi="宋体" w:cs="宋体"/>
                <w:highlight w:val="none"/>
              </w:rPr>
            </w:pPr>
            <w:r>
              <w:rPr>
                <w:rFonts w:hint="eastAsia" w:ascii="宋体" w:hAnsi="宋体" w:cs="宋体"/>
                <w:highlight w:val="none"/>
              </w:rPr>
              <w:t>采用资格后审</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line="320" w:lineRule="exact"/>
              <w:jc w:val="center"/>
              <w:rPr>
                <w:rFonts w:ascii="宋体" w:hAnsi="宋体"/>
                <w:highlight w:val="none"/>
              </w:rPr>
            </w:pPr>
            <w:r>
              <w:rPr>
                <w:rFonts w:ascii="宋体" w:hAnsi="宋体"/>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踏勘现场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both"/>
              <w:rPr>
                <w:rFonts w:ascii="宋体" w:hAnsi="宋体" w:cs="宋体"/>
                <w:highlight w:val="none"/>
              </w:rPr>
            </w:pPr>
            <w:r>
              <w:rPr>
                <w:rFonts w:hint="eastAsia" w:ascii="宋体" w:hAnsi="宋体" w:cs="宋体"/>
                <w:highlight w:val="none"/>
              </w:rPr>
              <w:t>投标人自行踏勘</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line="320" w:lineRule="exact"/>
              <w:jc w:val="center"/>
              <w:rPr>
                <w:rFonts w:ascii="宋体" w:hAnsi="宋体"/>
                <w:highlight w:val="none"/>
              </w:rPr>
            </w:pPr>
            <w:r>
              <w:rPr>
                <w:rFonts w:ascii="宋体" w:hAnsi="宋体"/>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highlight w:val="none"/>
              </w:rPr>
            </w:pPr>
            <w:r>
              <w:rPr>
                <w:rFonts w:hint="eastAsia" w:ascii="宋体" w:hAnsi="宋体" w:cs="宋体"/>
                <w:highlight w:val="none"/>
              </w:rPr>
              <w:t>投标预备会</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both"/>
              <w:rPr>
                <w:rFonts w:ascii="宋体" w:hAnsi="宋体" w:cs="宋体"/>
                <w:kern w:val="2"/>
                <w:highlight w:val="none"/>
              </w:rPr>
            </w:pPr>
            <w:r>
              <w:rPr>
                <w:rFonts w:hint="eastAsia" w:ascii="宋体" w:hAnsi="宋体" w:cs="宋体"/>
                <w:highlight w:val="none"/>
              </w:rPr>
              <w:t>不召开</w:t>
            </w:r>
          </w:p>
        </w:tc>
      </w:tr>
      <w:tr>
        <w:tblPrEx>
          <w:tblCellMar>
            <w:top w:w="0" w:type="dxa"/>
            <w:left w:w="57" w:type="dxa"/>
            <w:bottom w:w="0" w:type="dxa"/>
            <w:right w:w="57" w:type="dxa"/>
          </w:tblCellMar>
        </w:tblPrEx>
        <w:trPr>
          <w:trHeight w:val="18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line="300" w:lineRule="auto"/>
              <w:jc w:val="center"/>
              <w:rPr>
                <w:rFonts w:ascii="宋体" w:cs="宋体"/>
                <w:highlight w:val="none"/>
              </w:rPr>
            </w:pPr>
            <w:r>
              <w:rPr>
                <w:rFonts w:ascii="宋体" w:cs="宋体"/>
                <w:highlight w:val="none"/>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招标工程是否允许分包</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both"/>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rPr>
              <w:t>不允许</w:t>
            </w:r>
          </w:p>
          <w:p>
            <w:pPr>
              <w:spacing w:line="400" w:lineRule="exact"/>
              <w:jc w:val="both"/>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rPr>
              <w:t>允许，分包内容要求：承包人不得将工程主体、关键性工作分包。工程的其他部分或工作如需分包，须经发包人同意。</w:t>
            </w:r>
          </w:p>
          <w:p>
            <w:pPr>
              <w:pStyle w:val="31"/>
              <w:kinsoku w:val="0"/>
              <w:spacing w:line="400" w:lineRule="exact"/>
              <w:ind w:firstLine="480" w:firstLineChars="200"/>
              <w:jc w:val="both"/>
              <w:rPr>
                <w:rFonts w:ascii="宋体" w:hAnsi="宋体" w:cs="宋体"/>
                <w:highlight w:val="none"/>
              </w:rPr>
            </w:pPr>
            <w:r>
              <w:rPr>
                <w:rFonts w:hint="eastAsia" w:ascii="宋体" w:hAnsi="宋体" w:cs="宋体"/>
                <w:highlight w:val="none"/>
              </w:rPr>
              <w:t>接受分包的第三人资质要求：分包人的资格能力应与其分包工程的标准和规模相适应。</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偏差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napToGrid w:val="0"/>
              <w:spacing w:line="400" w:lineRule="exact"/>
              <w:jc w:val="both"/>
              <w:rPr>
                <w:rFonts w:ascii="宋体" w:hAnsi="宋体" w:cs="宋体"/>
                <w:highlight w:val="none"/>
              </w:rPr>
            </w:pPr>
            <w:r>
              <w:rPr>
                <w:rFonts w:hint="eastAsia" w:ascii="宋体" w:hAnsi="宋体" w:cs="宋体"/>
                <w:highlight w:val="none"/>
              </w:rPr>
              <w:t>不允许</w:t>
            </w:r>
          </w:p>
        </w:tc>
      </w:tr>
      <w:tr>
        <w:tblPrEx>
          <w:tblCellMar>
            <w:top w:w="0" w:type="dxa"/>
            <w:left w:w="57" w:type="dxa"/>
            <w:bottom w:w="0" w:type="dxa"/>
            <w:right w:w="57" w:type="dxa"/>
          </w:tblCellMar>
        </w:tblPrEx>
        <w:trPr>
          <w:trHeight w:val="17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56"/>
              <w:ind w:left="2"/>
              <w:jc w:val="center"/>
              <w:rPr>
                <w:rFonts w:ascii="宋体" w:hAnsi="宋体"/>
                <w:highlight w:val="none"/>
              </w:rPr>
            </w:pPr>
            <w:r>
              <w:rPr>
                <w:rFonts w:ascii="宋体" w:hAnsi="宋体"/>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构成招标文件的其他资料</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highlight w:val="none"/>
              </w:rPr>
            </w:pPr>
            <w:r>
              <w:rPr>
                <w:rFonts w:hint="eastAsia" w:ascii="宋体" w:hAnsi="宋体" w:cs="宋体"/>
                <w:highlight w:val="none"/>
              </w:rPr>
              <w:t>其他材料：</w:t>
            </w:r>
          </w:p>
          <w:p>
            <w:pPr>
              <w:spacing w:line="400" w:lineRule="exact"/>
              <w:rPr>
                <w:rFonts w:ascii="宋体" w:hAnsi="宋体" w:cs="宋体"/>
                <w:highlight w:val="none"/>
              </w:rPr>
            </w:pPr>
            <w:r>
              <w:rPr>
                <w:rFonts w:hint="eastAsia" w:ascii="宋体" w:hAnsi="宋体" w:cs="宋体"/>
                <w:highlight w:val="none"/>
              </w:rPr>
              <w:t>1）电子招标文件（含工程量清单）及投标工具安装程序（版本号：4.0.2.8）；</w:t>
            </w:r>
          </w:p>
          <w:p>
            <w:pPr>
              <w:spacing w:line="400" w:lineRule="exact"/>
              <w:rPr>
                <w:rFonts w:ascii="宋体" w:hAnsi="宋体" w:cs="宋体"/>
                <w:highlight w:val="none"/>
              </w:rPr>
            </w:pPr>
            <w:r>
              <w:rPr>
                <w:rFonts w:hint="eastAsia" w:ascii="宋体" w:hAnsi="宋体" w:cs="宋体"/>
                <w:highlight w:val="none"/>
              </w:rPr>
              <w:t>2）施工图纸电子文档；</w:t>
            </w:r>
          </w:p>
          <w:p>
            <w:pPr>
              <w:snapToGrid w:val="0"/>
              <w:spacing w:line="400" w:lineRule="exact"/>
              <w:jc w:val="both"/>
              <w:rPr>
                <w:rFonts w:ascii="宋体" w:hAnsi="宋体" w:cs="宋体"/>
                <w:highlight w:val="none"/>
                <w:u w:val="single"/>
              </w:rPr>
            </w:pPr>
            <w:r>
              <w:rPr>
                <w:rFonts w:hint="eastAsia" w:ascii="宋体" w:hAnsi="宋体" w:cs="宋体"/>
                <w:highlight w:val="none"/>
              </w:rPr>
              <w:t>3）其它提供的资料。</w:t>
            </w:r>
          </w:p>
        </w:tc>
      </w:tr>
      <w:tr>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000000" w:sz="4" w:space="0"/>
              <w:left w:val="single" w:color="000000" w:sz="4" w:space="0"/>
              <w:right w:val="single" w:color="000000" w:sz="4" w:space="0"/>
            </w:tcBorders>
            <w:vAlign w:val="center"/>
          </w:tcPr>
          <w:p>
            <w:pPr>
              <w:pStyle w:val="31"/>
              <w:kinsoku w:val="0"/>
              <w:spacing w:before="150"/>
              <w:jc w:val="center"/>
              <w:rPr>
                <w:rFonts w:ascii="宋体" w:hAnsi="宋体"/>
                <w:highlight w:val="none"/>
              </w:rPr>
            </w:pPr>
            <w:r>
              <w:rPr>
                <w:rFonts w:ascii="宋体" w:hAnsi="宋体"/>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投标人要求澄清招标文件</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highlight w:val="none"/>
              </w:rPr>
            </w:pPr>
            <w:r>
              <w:rPr>
                <w:rFonts w:hint="eastAsia" w:ascii="宋体" w:hAnsi="宋体" w:cs="宋体"/>
                <w:highlight w:val="none"/>
              </w:rPr>
              <w:t>提交方式:</w:t>
            </w:r>
            <w:r>
              <w:rPr>
                <w:rFonts w:hint="eastAsia" w:ascii="宋体" w:hAnsi="宋体" w:cs="宋体"/>
                <w:highlight w:val="none"/>
                <w:u w:val="single"/>
              </w:rPr>
              <w:t>在三门县公共资源交易中心网站上在线提交</w:t>
            </w:r>
            <w:r>
              <w:rPr>
                <w:rFonts w:hint="eastAsia" w:ascii="宋体" w:hAnsi="宋体" w:cs="宋体"/>
                <w:highlight w:val="none"/>
              </w:rPr>
              <w:t>http://www.sanmen.gov.cn/col/col1229610743/index.html</w:t>
            </w:r>
          </w:p>
          <w:p>
            <w:pPr>
              <w:snapToGrid w:val="0"/>
              <w:spacing w:line="400" w:lineRule="exact"/>
              <w:rPr>
                <w:rFonts w:hint="eastAsia" w:ascii="宋体" w:hAnsi="宋体" w:eastAsia="宋体" w:cs="宋体"/>
                <w:highlight w:val="none"/>
                <w:u w:val="single"/>
                <w:lang w:eastAsia="zh-CN"/>
              </w:rPr>
            </w:pPr>
            <w:r>
              <w:rPr>
                <w:rFonts w:hint="eastAsia" w:ascii="宋体" w:hAnsi="宋体" w:cs="宋体"/>
                <w:highlight w:val="none"/>
              </w:rPr>
              <w:t>联系方式：</w:t>
            </w:r>
            <w:r>
              <w:rPr>
                <w:rFonts w:hint="eastAsia" w:ascii="宋体" w:hAnsi="宋体" w:cs="宋体"/>
                <w:highlight w:val="none"/>
                <w:lang w:eastAsia="zh-CN"/>
              </w:rPr>
              <w:t>0576-83597828</w:t>
            </w:r>
            <w:r>
              <w:rPr>
                <w:rFonts w:hint="eastAsia" w:ascii="宋体" w:hAnsi="宋体" w:cs="宋体"/>
                <w:highlight w:val="none"/>
              </w:rPr>
              <w:t xml:space="preserve">    联系人：</w:t>
            </w:r>
            <w:r>
              <w:rPr>
                <w:rFonts w:hint="eastAsia" w:ascii="宋体" w:hAnsi="宋体" w:cs="宋体"/>
                <w:highlight w:val="none"/>
                <w:lang w:eastAsia="zh-CN"/>
              </w:rPr>
              <w:t>赵懿</w:t>
            </w:r>
          </w:p>
        </w:tc>
      </w:tr>
      <w:tr>
        <w:tblPrEx>
          <w:tblCellMar>
            <w:top w:w="0" w:type="dxa"/>
            <w:left w:w="57" w:type="dxa"/>
            <w:bottom w:w="0" w:type="dxa"/>
            <w:right w:w="57" w:type="dxa"/>
          </w:tblCellMar>
        </w:tblPrEx>
        <w:trPr>
          <w:trHeight w:val="1766" w:hRule="atLeast"/>
          <w:jc w:val="center"/>
        </w:trPr>
        <w:tc>
          <w:tcPr>
            <w:tcW w:w="1294" w:type="dxa"/>
            <w:gridSpan w:val="2"/>
            <w:vMerge w:val="continue"/>
            <w:tcBorders>
              <w:left w:val="single" w:color="000000" w:sz="4" w:space="0"/>
              <w:right w:val="single" w:color="000000" w:sz="4" w:space="0"/>
            </w:tcBorders>
            <w:vAlign w:val="center"/>
          </w:tcPr>
          <w:p>
            <w:pPr>
              <w:pStyle w:val="31"/>
              <w:kinsoku w:val="0"/>
              <w:spacing w:before="156"/>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招标文件澄清</w:t>
            </w:r>
          </w:p>
          <w:p>
            <w:pPr>
              <w:pStyle w:val="31"/>
              <w:kinsoku w:val="0"/>
              <w:spacing w:line="400" w:lineRule="exact"/>
              <w:jc w:val="center"/>
              <w:rPr>
                <w:rFonts w:ascii="宋体" w:hAnsi="宋体" w:cs="宋体"/>
                <w:highlight w:val="none"/>
              </w:rPr>
            </w:pPr>
            <w:r>
              <w:rPr>
                <w:rFonts w:hint="eastAsia" w:ascii="宋体" w:hAnsi="宋体" w:cs="宋体"/>
                <w:highlight w:val="none"/>
              </w:rPr>
              <w:t>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招标人对投标人疑问作出统一的解答，并以招标补充文件的形式发出。</w:t>
            </w:r>
          </w:p>
          <w:p>
            <w:pPr>
              <w:snapToGrid w:val="0"/>
              <w:spacing w:line="400" w:lineRule="exact"/>
              <w:jc w:val="both"/>
              <w:rPr>
                <w:rFonts w:ascii="宋体" w:hAnsi="宋体" w:cs="宋体"/>
                <w:highlight w:val="none"/>
              </w:rPr>
            </w:pPr>
            <w:r>
              <w:rPr>
                <w:rFonts w:hint="eastAsia" w:ascii="宋体" w:hAnsi="宋体" w:cs="宋体"/>
                <w:highlight w:val="none"/>
              </w:rPr>
              <w:t>在当地招投标交易平台上公开发布。在开标前，投标人须随时关注网站的最新答疑信息，自行下载。</w:t>
            </w:r>
          </w:p>
        </w:tc>
      </w:tr>
      <w:tr>
        <w:tblPrEx>
          <w:tblCellMar>
            <w:top w:w="0" w:type="dxa"/>
            <w:left w:w="57" w:type="dxa"/>
            <w:bottom w:w="0" w:type="dxa"/>
            <w:right w:w="57" w:type="dxa"/>
          </w:tblCellMar>
        </w:tblPrEx>
        <w:trPr>
          <w:trHeight w:val="1409" w:hRule="atLeast"/>
          <w:jc w:val="center"/>
        </w:trPr>
        <w:tc>
          <w:tcPr>
            <w:tcW w:w="1294" w:type="dxa"/>
            <w:gridSpan w:val="2"/>
            <w:vMerge w:val="continue"/>
            <w:tcBorders>
              <w:left w:val="single" w:color="000000" w:sz="4" w:space="0"/>
              <w:bottom w:val="single" w:color="000000" w:sz="4" w:space="0"/>
              <w:right w:val="single" w:color="000000" w:sz="4" w:space="0"/>
            </w:tcBorders>
            <w:vAlign w:val="center"/>
          </w:tcPr>
          <w:p>
            <w:pPr>
              <w:pStyle w:val="31"/>
              <w:kinsoku w:val="0"/>
              <w:spacing w:before="150"/>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投标人确认</w:t>
            </w:r>
          </w:p>
          <w:p>
            <w:pPr>
              <w:pStyle w:val="31"/>
              <w:kinsoku w:val="0"/>
              <w:spacing w:line="400" w:lineRule="exact"/>
              <w:jc w:val="center"/>
              <w:rPr>
                <w:rFonts w:ascii="宋体" w:hAnsi="宋体" w:cs="宋体"/>
                <w:highlight w:val="none"/>
              </w:rPr>
            </w:pPr>
            <w:r>
              <w:rPr>
                <w:rFonts w:hint="eastAsia" w:ascii="宋体" w:hAnsi="宋体" w:cs="宋体"/>
                <w:highlight w:val="none"/>
              </w:rPr>
              <w:t>收到招标文件</w:t>
            </w:r>
          </w:p>
          <w:p>
            <w:pPr>
              <w:pStyle w:val="31"/>
              <w:kinsoku w:val="0"/>
              <w:spacing w:line="400" w:lineRule="exact"/>
              <w:jc w:val="center"/>
              <w:rPr>
                <w:rFonts w:ascii="宋体" w:hAnsi="宋体" w:cs="宋体"/>
                <w:highlight w:val="none"/>
              </w:rPr>
            </w:pPr>
            <w:r>
              <w:rPr>
                <w:rFonts w:hint="eastAsia" w:ascii="宋体" w:hAnsi="宋体" w:cs="宋体"/>
                <w:highlight w:val="none"/>
              </w:rPr>
              <w:t>澄清</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潜在投标人应自行关注当地招投标交易平台发布的补充文件信息，招标人不再逐一通知。投标人因自身贻误行为导致投标失败的，责任自负。</w:t>
            </w:r>
          </w:p>
        </w:tc>
      </w:tr>
      <w:tr>
        <w:tblPrEx>
          <w:tblCellMar>
            <w:top w:w="0" w:type="dxa"/>
            <w:left w:w="57" w:type="dxa"/>
            <w:bottom w:w="0" w:type="dxa"/>
            <w:right w:w="57" w:type="dxa"/>
          </w:tblCellMar>
        </w:tblPrEx>
        <w:trPr>
          <w:trHeight w:val="70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招标人修改文件发出的形式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highlight w:val="none"/>
              </w:rPr>
            </w:pPr>
            <w:r>
              <w:rPr>
                <w:rFonts w:hint="eastAsia" w:ascii="宋体" w:hAnsi="宋体" w:cs="宋体"/>
                <w:highlight w:val="none"/>
              </w:rPr>
              <w:t>同2.2.1</w:t>
            </w:r>
          </w:p>
        </w:tc>
      </w:tr>
      <w:tr>
        <w:tblPrEx>
          <w:tblCellMar>
            <w:top w:w="0" w:type="dxa"/>
            <w:left w:w="57" w:type="dxa"/>
            <w:bottom w:w="0" w:type="dxa"/>
            <w:right w:w="57" w:type="dxa"/>
          </w:tblCellMar>
        </w:tblPrEx>
        <w:trPr>
          <w:trHeight w:val="282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napToGrid w:val="0"/>
              <w:spacing w:line="300" w:lineRule="auto"/>
              <w:jc w:val="center"/>
              <w:rPr>
                <w:rFonts w:ascii="宋体" w:hAnsi="宋体"/>
                <w:highlight w:val="none"/>
              </w:rPr>
            </w:pPr>
            <w:r>
              <w:rPr>
                <w:rFonts w:ascii="宋体" w:hAnsi="宋体"/>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投标文件的</w:t>
            </w:r>
          </w:p>
          <w:p>
            <w:pPr>
              <w:pStyle w:val="31"/>
              <w:kinsoku w:val="0"/>
              <w:spacing w:line="400" w:lineRule="exact"/>
              <w:jc w:val="center"/>
              <w:rPr>
                <w:rFonts w:ascii="宋体" w:hAnsi="宋体" w:cs="宋体"/>
                <w:highlight w:val="none"/>
              </w:rPr>
            </w:pPr>
            <w:r>
              <w:rPr>
                <w:rFonts w:hint="eastAsia" w:ascii="宋体" w:hAnsi="宋体" w:cs="宋体"/>
                <w:highlight w:val="none"/>
              </w:rPr>
              <w:t>组成</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hAnsi="宋体" w:cs="宋体"/>
                <w:b/>
                <w:bCs/>
                <w:snapToGrid w:val="0"/>
                <w:highlight w:val="none"/>
              </w:rPr>
            </w:pPr>
            <w:r>
              <w:rPr>
                <w:rFonts w:hint="eastAsia" w:ascii="宋体" w:hAnsi="宋体" w:cs="宋体"/>
                <w:b/>
                <w:bCs/>
                <w:snapToGrid w:val="0"/>
                <w:highlight w:val="none"/>
              </w:rPr>
              <w:t>投标文件由资格标、资信标和商务标</w:t>
            </w:r>
            <w:r>
              <w:rPr>
                <w:rFonts w:hint="eastAsia" w:ascii="宋体" w:hAnsi="宋体" w:cs="宋体"/>
                <w:b/>
                <w:bCs/>
                <w:snapToGrid w:val="0"/>
                <w:highlight w:val="none"/>
                <w:lang w:eastAsia="zh-CN"/>
              </w:rPr>
              <w:t>三</w:t>
            </w:r>
            <w:r>
              <w:rPr>
                <w:rFonts w:hint="eastAsia" w:ascii="宋体" w:hAnsi="宋体" w:cs="宋体"/>
                <w:b/>
                <w:bCs/>
                <w:snapToGrid w:val="0"/>
                <w:highlight w:val="none"/>
              </w:rPr>
              <w:t>部分组成。</w:t>
            </w:r>
            <w:r>
              <w:rPr>
                <w:rFonts w:hint="eastAsia" w:ascii="宋体" w:hAnsi="宋体" w:cs="宋体"/>
                <w:b/>
                <w:bCs/>
                <w:highlight w:val="none"/>
              </w:rPr>
              <w:t>由三门投标编制4.0.2.8 版本生成后缀名.已加密投标文件。</w:t>
            </w:r>
          </w:p>
          <w:p>
            <w:pPr>
              <w:pStyle w:val="4"/>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1、资</w:t>
            </w:r>
            <w:r>
              <w:rPr>
                <w:rFonts w:hint="eastAsia" w:ascii="宋体" w:hAnsi="宋体" w:cs="宋体"/>
                <w:b/>
                <w:bCs/>
                <w:snapToGrid w:val="0"/>
                <w:highlight w:val="none"/>
                <w:lang w:eastAsia="zh-CN"/>
              </w:rPr>
              <w:t>格</w:t>
            </w:r>
            <w:r>
              <w:rPr>
                <w:rFonts w:hint="eastAsia" w:ascii="宋体" w:hAnsi="宋体" w:cs="宋体"/>
                <w:b/>
                <w:bCs/>
                <w:snapToGrid w:val="0"/>
                <w:highlight w:val="none"/>
              </w:rPr>
              <w:t>标</w:t>
            </w:r>
          </w:p>
          <w:p>
            <w:pPr>
              <w:pStyle w:val="4"/>
              <w:spacing w:line="400" w:lineRule="exact"/>
              <w:ind w:firstLine="0" w:firstLineChars="0"/>
              <w:jc w:val="both"/>
              <w:rPr>
                <w:rFonts w:ascii="宋体" w:hAnsi="宋体" w:cs="宋体"/>
                <w:highlight w:val="none"/>
              </w:rPr>
            </w:pPr>
            <w:r>
              <w:rPr>
                <w:rFonts w:hint="eastAsia" w:ascii="宋体" w:hAnsi="宋体" w:cs="宋体"/>
                <w:highlight w:val="none"/>
              </w:rPr>
              <w:t>由三门投标编制 4.0.2.8 版本生成的资信标电子投标文件包括：</w:t>
            </w:r>
          </w:p>
          <w:p>
            <w:pPr>
              <w:pStyle w:val="4"/>
              <w:spacing w:line="400" w:lineRule="exact"/>
              <w:ind w:firstLine="0" w:firstLineChars="0"/>
              <w:jc w:val="both"/>
              <w:rPr>
                <w:rFonts w:ascii="宋体" w:hAnsi="宋体" w:cs="宋体"/>
                <w:highlight w:val="none"/>
              </w:rPr>
            </w:pPr>
            <w:r>
              <w:rPr>
                <w:rFonts w:hint="eastAsia" w:ascii="宋体" w:hAnsi="宋体" w:cs="宋体"/>
                <w:highlight w:val="none"/>
              </w:rPr>
              <w:t>（1）项目负责人简历表（投标文件格式一）；</w:t>
            </w:r>
          </w:p>
          <w:p>
            <w:pPr>
              <w:pStyle w:val="4"/>
              <w:spacing w:line="400" w:lineRule="exact"/>
              <w:ind w:firstLine="0" w:firstLineChars="0"/>
              <w:jc w:val="both"/>
              <w:rPr>
                <w:rFonts w:ascii="宋体" w:hAnsi="宋体" w:cs="宋体"/>
                <w:highlight w:val="none"/>
              </w:rPr>
            </w:pPr>
            <w:r>
              <w:rPr>
                <w:rFonts w:hint="eastAsia" w:ascii="宋体" w:hAnsi="宋体" w:cs="宋体"/>
                <w:highlight w:val="none"/>
              </w:rPr>
              <w:t>（2）技术负责人简历表（投标文件格式二）；</w:t>
            </w:r>
          </w:p>
          <w:p>
            <w:pPr>
              <w:pStyle w:val="4"/>
              <w:spacing w:line="400" w:lineRule="exact"/>
              <w:ind w:firstLine="0" w:firstLineChars="0"/>
              <w:jc w:val="both"/>
              <w:rPr>
                <w:rFonts w:ascii="宋体" w:hAnsi="宋体" w:cs="宋体"/>
                <w:highlight w:val="none"/>
              </w:rPr>
            </w:pPr>
            <w:r>
              <w:rPr>
                <w:rFonts w:hint="eastAsia" w:ascii="宋体" w:hAnsi="宋体" w:cs="宋体"/>
                <w:highlight w:val="none"/>
              </w:rPr>
              <w:t>（3）主要施工机械设备表（投标文件格式三）；</w:t>
            </w:r>
          </w:p>
          <w:p>
            <w:pPr>
              <w:pStyle w:val="4"/>
              <w:spacing w:line="400" w:lineRule="exact"/>
              <w:ind w:firstLine="0" w:firstLineChars="0"/>
              <w:jc w:val="both"/>
              <w:rPr>
                <w:rFonts w:ascii="宋体" w:hAnsi="宋体" w:cs="宋体"/>
                <w:highlight w:val="none"/>
              </w:rPr>
            </w:pPr>
            <w:r>
              <w:rPr>
                <w:rFonts w:hint="eastAsia" w:ascii="宋体" w:hAnsi="宋体" w:cs="宋体"/>
                <w:highlight w:val="none"/>
              </w:rPr>
              <w:t>（4）台州市建设工程投标人资格自查表（投标文件格式四）；</w:t>
            </w:r>
          </w:p>
          <w:p>
            <w:pPr>
              <w:pStyle w:val="4"/>
              <w:spacing w:line="400" w:lineRule="exact"/>
              <w:ind w:firstLine="0" w:firstLineChars="0"/>
              <w:jc w:val="both"/>
              <w:rPr>
                <w:rFonts w:ascii="宋体" w:hAnsi="宋体" w:cs="宋体"/>
                <w:highlight w:val="none"/>
              </w:rPr>
            </w:pPr>
            <w:r>
              <w:rPr>
                <w:rFonts w:hint="eastAsia" w:ascii="宋体" w:hAnsi="宋体" w:cs="宋体"/>
                <w:highlight w:val="none"/>
              </w:rPr>
              <w:t>（5）台州市建设工程投标项目负责人资格自查表（投标文件格式五）；</w:t>
            </w:r>
          </w:p>
          <w:p>
            <w:pPr>
              <w:pStyle w:val="4"/>
              <w:spacing w:line="400" w:lineRule="exact"/>
              <w:ind w:firstLine="0" w:firstLineChars="0"/>
              <w:jc w:val="both"/>
              <w:rPr>
                <w:rFonts w:ascii="宋体" w:hAnsi="宋体" w:cs="宋体"/>
                <w:highlight w:val="none"/>
              </w:rPr>
            </w:pPr>
            <w:r>
              <w:rPr>
                <w:rFonts w:hint="eastAsia" w:ascii="宋体" w:hAnsi="宋体" w:cs="宋体"/>
                <w:highlight w:val="none"/>
              </w:rPr>
              <w:t>（6）台州市建设工程诚信投标承诺书（投标文件格式七）；</w:t>
            </w:r>
          </w:p>
          <w:p>
            <w:pPr>
              <w:pStyle w:val="4"/>
              <w:spacing w:line="400" w:lineRule="exact"/>
              <w:ind w:firstLine="0" w:firstLineChars="0"/>
              <w:jc w:val="both"/>
              <w:rPr>
                <w:rFonts w:ascii="宋体" w:hAnsi="宋体" w:cs="宋体"/>
                <w:highlight w:val="none"/>
              </w:rPr>
            </w:pPr>
            <w:r>
              <w:rPr>
                <w:rFonts w:hint="eastAsia" w:ascii="宋体" w:hAnsi="宋体" w:cs="宋体"/>
                <w:highlight w:val="none"/>
              </w:rPr>
              <w:t>（7）台州市建设工程安全生产任职资格承诺书（投标文件格式九）；</w:t>
            </w:r>
          </w:p>
          <w:p>
            <w:pPr>
              <w:pStyle w:val="4"/>
              <w:spacing w:line="400" w:lineRule="exact"/>
              <w:ind w:firstLine="0" w:firstLineChars="0"/>
              <w:rPr>
                <w:rFonts w:ascii="宋体" w:hAnsi="宋体" w:cs="宋体"/>
                <w:highlight w:val="none"/>
              </w:rPr>
            </w:pPr>
            <w:r>
              <w:rPr>
                <w:rFonts w:hint="eastAsia" w:ascii="宋体" w:hAnsi="宋体" w:cs="宋体"/>
                <w:highlight w:val="none"/>
              </w:rPr>
              <w:t>（8）证书材料：</w:t>
            </w:r>
          </w:p>
          <w:p>
            <w:pPr>
              <w:pStyle w:val="4"/>
              <w:spacing w:line="400" w:lineRule="exact"/>
              <w:ind w:firstLine="480"/>
              <w:rPr>
                <w:rFonts w:ascii="宋体" w:hAnsi="宋体" w:cs="宋体"/>
                <w:i/>
                <w:highlight w:val="none"/>
              </w:rPr>
            </w:pPr>
            <w:r>
              <w:rPr>
                <w:rFonts w:hint="eastAsia" w:ascii="宋体" w:hAnsi="宋体" w:cs="宋体"/>
                <w:highlight w:val="none"/>
              </w:rPr>
              <w:t>①《省外企业进浙承接业务备案证明》或“浙江省建筑市场监管公共服务系统”对外发布的通过审核形成的备案信息网页截图（仅指浙江省省外企业）</w:t>
            </w:r>
            <w:r>
              <w:rPr>
                <w:rFonts w:hint="eastAsia" w:ascii="宋体" w:hAnsi="宋体" w:cs="宋体"/>
                <w:i/>
                <w:highlight w:val="none"/>
                <w:lang w:eastAsia="zh-CN"/>
              </w:rPr>
              <w:t>；</w:t>
            </w:r>
            <w:r>
              <w:rPr>
                <w:rFonts w:hint="eastAsia" w:ascii="宋体" w:hAnsi="宋体" w:cs="宋体"/>
                <w:i/>
                <w:highlight w:val="none"/>
              </w:rPr>
              <w:t xml:space="preserve"> </w:t>
            </w:r>
          </w:p>
          <w:p>
            <w:pPr>
              <w:pStyle w:val="4"/>
              <w:spacing w:line="240" w:lineRule="auto"/>
              <w:ind w:firstLine="482"/>
              <w:jc w:val="both"/>
              <w:rPr>
                <w:rFonts w:ascii="宋体" w:hAnsi="宋体" w:cs="宋体"/>
                <w:highlight w:val="none"/>
              </w:rPr>
            </w:pPr>
            <w:r>
              <w:rPr>
                <w:rFonts w:hint="eastAsia" w:ascii="宋体" w:hAnsi="宋体" w:eastAsia="宋体" w:cs="宋体"/>
                <w:b/>
                <w:snapToGrid w:val="0"/>
                <w:color w:val="000000" w:themeColor="text1"/>
                <w:szCs w:val="21"/>
                <w:highlight w:val="none"/>
                <w:lang w:val="en-US" w:eastAsia="zh-CN"/>
                <w14:textFill>
                  <w14:solidFill>
                    <w14:schemeClr w14:val="tx1"/>
                  </w14:solidFill>
                </w14:textFill>
              </w:rPr>
              <w:t>②《企业营业执照》、《安全生产许可证》和《建筑业企业资质证书》（若为住房和城乡建设部同意企业资质电子化试点的省、市可提供企业电子资质证书），投标人提供的《建筑业企业资质证书》上对应本项目要求的资质有效性，以投标截止</w:t>
            </w:r>
            <w:r>
              <w:rPr>
                <w:rFonts w:hint="eastAsia" w:ascii="宋体" w:hAnsi="宋体" w:cs="宋体"/>
                <w:b/>
                <w:snapToGrid w:val="0"/>
                <w:color w:val="000000" w:themeColor="text1"/>
                <w:szCs w:val="21"/>
                <w:highlight w:val="none"/>
                <w:lang w:val="en-US" w:eastAsia="zh-CN"/>
                <w14:textFill>
                  <w14:solidFill>
                    <w14:schemeClr w14:val="tx1"/>
                  </w14:solidFill>
                </w14:textFill>
              </w:rPr>
              <w:t>日前</w:t>
            </w:r>
            <w:bookmarkStart w:id="795" w:name="_GoBack"/>
            <w:bookmarkEnd w:id="795"/>
            <w:r>
              <w:rPr>
                <w:rFonts w:hint="eastAsia" w:ascii="宋体" w:hAnsi="宋体" w:cs="宋体"/>
                <w:b/>
                <w:snapToGrid w:val="0"/>
                <w:color w:val="000000" w:themeColor="text1"/>
                <w:szCs w:val="21"/>
                <w:highlight w:val="none"/>
                <w:lang w:val="en-US" w:eastAsia="zh-CN"/>
                <w14:textFill>
                  <w14:solidFill>
                    <w14:schemeClr w14:val="tx1"/>
                  </w14:solidFill>
                </w14:textFill>
              </w:rPr>
              <w:t>最新</w:t>
            </w:r>
            <w:r>
              <w:rPr>
                <w:rFonts w:hint="eastAsia" w:ascii="宋体" w:hAnsi="宋体" w:eastAsia="宋体" w:cs="宋体"/>
                <w:b/>
                <w:snapToGrid w:val="0"/>
                <w:color w:val="000000" w:themeColor="text1"/>
                <w:szCs w:val="21"/>
                <w:highlight w:val="none"/>
                <w:lang w:val="en-US" w:eastAsia="zh-CN"/>
                <w14:textFill>
                  <w14:solidFill>
                    <w14:schemeClr w14:val="tx1"/>
                  </w14:solidFill>
                </w14:textFill>
              </w:rPr>
              <w:t>在浙江省建筑市场监管公共服务系统中查询的资质动态核查结果为准。</w:t>
            </w:r>
            <w:r>
              <w:rPr>
                <w:rFonts w:hint="eastAsia" w:ascii="宋体" w:hAnsi="宋体" w:eastAsia="宋体" w:cs="宋体"/>
                <w:b/>
                <w:bCs/>
                <w:sz w:val="24"/>
                <w:szCs w:val="24"/>
                <w:highlight w:val="none"/>
                <w:lang w:val="en-US" w:eastAsia="zh-CN" w:bidi="ar-SA"/>
              </w:rPr>
              <w:t xml:space="preserve"> </w:t>
            </w:r>
          </w:p>
          <w:p>
            <w:pPr>
              <w:spacing w:line="400" w:lineRule="exact"/>
              <w:ind w:firstLine="480" w:firstLineChars="200"/>
              <w:jc w:val="both"/>
              <w:rPr>
                <w:rFonts w:ascii="宋体" w:hAnsi="宋体" w:cs="宋体"/>
                <w:b/>
                <w:bCs/>
                <w:highlight w:val="none"/>
              </w:rPr>
            </w:pPr>
            <w:r>
              <w:rPr>
                <w:rFonts w:hint="eastAsia" w:ascii="宋体" w:hAnsi="宋体" w:cs="宋体"/>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highlight w:val="none"/>
              </w:rPr>
              <w:t>一级建造师电子证书打印后，应在个人签名处手写本人签名，未手写签名或与签名图像笔迹不一致的，该电子证书无效。</w:t>
            </w:r>
          </w:p>
          <w:p>
            <w:pPr>
              <w:pStyle w:val="4"/>
              <w:spacing w:line="400" w:lineRule="exact"/>
              <w:ind w:firstLine="358" w:firstLineChars="150"/>
              <w:rPr>
                <w:rFonts w:ascii="宋体" w:hAnsi="宋体" w:cs="宋体"/>
                <w:b/>
                <w:bCs/>
                <w:highlight w:val="none"/>
              </w:rPr>
            </w:pPr>
            <w:r>
              <w:rPr>
                <w:rFonts w:hint="eastAsia" w:ascii="宋体" w:hAnsi="宋体" w:cs="宋体"/>
                <w:b/>
                <w:bCs/>
                <w:spacing w:val="-1"/>
                <w:highlight w:val="none"/>
              </w:rPr>
              <w:t xml:space="preserve">项目负责人提供投标截止时间前近 </w:t>
            </w:r>
            <w:r>
              <w:rPr>
                <w:rFonts w:hint="eastAsia" w:ascii="宋体" w:hAnsi="宋体" w:cs="宋体"/>
                <w:b/>
                <w:bCs/>
                <w:highlight w:val="none"/>
              </w:rPr>
              <w:t xml:space="preserve">3 </w:t>
            </w:r>
            <w:r>
              <w:rPr>
                <w:rFonts w:hint="eastAsia" w:ascii="宋体" w:hAnsi="宋体" w:cs="宋体"/>
                <w:b/>
                <w:bCs/>
                <w:spacing w:val="-1"/>
                <w:highlight w:val="none"/>
              </w:rPr>
              <w:t>个月内任一个月的</w:t>
            </w:r>
            <w:r>
              <w:rPr>
                <w:rFonts w:hint="eastAsia" w:ascii="宋体" w:hAnsi="宋体" w:cs="宋体"/>
                <w:b/>
                <w:bCs/>
                <w:spacing w:val="-8"/>
                <w:highlight w:val="none"/>
              </w:rPr>
              <w:t>社保缴纳证明</w:t>
            </w:r>
            <w:r>
              <w:rPr>
                <w:rFonts w:hint="eastAsia" w:ascii="宋体" w:hAnsi="宋体" w:cs="宋体"/>
                <w:b/>
                <w:bCs/>
                <w:highlight w:val="none"/>
              </w:rPr>
              <w:t>（</w:t>
            </w:r>
            <w:r>
              <w:rPr>
                <w:rFonts w:hint="eastAsia" w:ascii="宋体" w:hAnsi="宋体" w:cs="宋体"/>
                <w:b/>
                <w:bCs/>
                <w:spacing w:val="-3"/>
                <w:highlight w:val="none"/>
              </w:rPr>
              <w:t>提供有效证明材料</w:t>
            </w:r>
            <w:r>
              <w:rPr>
                <w:rFonts w:hint="eastAsia" w:ascii="宋体" w:hAnsi="宋体" w:cs="宋体"/>
                <w:b/>
                <w:bCs/>
                <w:spacing w:val="-73"/>
                <w:highlight w:val="none"/>
              </w:rPr>
              <w:t>）</w:t>
            </w:r>
            <w:r>
              <w:rPr>
                <w:rFonts w:hint="eastAsia" w:ascii="宋体" w:hAnsi="宋体" w:cs="宋体"/>
                <w:b/>
                <w:bCs/>
                <w:spacing w:val="-10"/>
                <w:highlight w:val="none"/>
              </w:rPr>
              <w:t>，若项目负责人已退休但仍可执业的，</w:t>
            </w:r>
            <w:r>
              <w:rPr>
                <w:rFonts w:hint="eastAsia" w:ascii="宋体" w:hAnsi="宋体" w:cs="宋体"/>
                <w:b/>
                <w:bCs/>
                <w:highlight w:val="none"/>
              </w:rPr>
              <w:t>社保缴纳证明可凭社保部门出具的退休证明及聘用合同替代。</w:t>
            </w:r>
          </w:p>
          <w:p>
            <w:pPr>
              <w:pStyle w:val="4"/>
              <w:spacing w:line="400" w:lineRule="exact"/>
              <w:ind w:firstLine="0" w:firstLineChars="0"/>
              <w:jc w:val="both"/>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）法定代表人授权委托书（投标文件格式八）</w:t>
            </w:r>
            <w:r>
              <w:rPr>
                <w:rFonts w:hint="eastAsia" w:ascii="宋体" w:hAnsi="宋体" w:cs="宋体"/>
                <w:highlight w:val="none"/>
                <w:lang w:eastAsia="zh-CN"/>
              </w:rPr>
              <w:t>或</w:t>
            </w:r>
            <w:r>
              <w:rPr>
                <w:rFonts w:hint="eastAsia" w:ascii="宋体" w:hAnsi="宋体" w:cs="宋体"/>
                <w:highlight w:val="none"/>
              </w:rPr>
              <w:t>法定代表人身份证明（投标文件格式十三）</w:t>
            </w:r>
          </w:p>
          <w:p>
            <w:pPr>
              <w:widowControl/>
              <w:spacing w:line="400" w:lineRule="exact"/>
              <w:rPr>
                <w:rFonts w:ascii="宋体" w:hAnsi="宋体" w:cs="宋体"/>
                <w:color w:val="000000"/>
                <w:highlight w:val="none"/>
                <w:lang w:bidi="ar"/>
              </w:rPr>
            </w:pP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w:t>
            </w:r>
            <w:r>
              <w:rPr>
                <w:rFonts w:hint="eastAsia" w:ascii="宋体" w:hAnsi="宋体" w:cs="宋体"/>
                <w:color w:val="000000"/>
                <w:highlight w:val="none"/>
                <w:lang w:bidi="ar"/>
              </w:rPr>
              <w:t xml:space="preserve">投标保证金：提供相关凭证(以现金形式缴纳的提供银行转帐回单； 以工程保函形式递交的，提供相关保函保单凭证)； </w:t>
            </w:r>
          </w:p>
          <w:p>
            <w:pPr>
              <w:pStyle w:val="4"/>
              <w:spacing w:line="400" w:lineRule="exact"/>
              <w:ind w:firstLine="0" w:firstLineChars="0"/>
              <w:jc w:val="both"/>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）其他证明材料（如有）</w:t>
            </w:r>
            <w:r>
              <w:rPr>
                <w:rFonts w:hint="eastAsia" w:ascii="宋体" w:hAnsi="宋体" w:cs="宋体"/>
                <w:highlight w:val="none"/>
                <w:lang w:eastAsia="zh-CN"/>
              </w:rPr>
              <w:t>；</w:t>
            </w:r>
          </w:p>
          <w:p>
            <w:pPr>
              <w:pStyle w:val="4"/>
              <w:adjustRightInd w:val="0"/>
              <w:rPr>
                <w:rFonts w:hint="eastAsia" w:ascii="宋体" w:hAnsi="宋体" w:cs="宋体"/>
                <w:color w:val="auto"/>
                <w:szCs w:val="21"/>
                <w:highlight w:val="none"/>
              </w:rPr>
            </w:pPr>
            <w:r>
              <w:rPr>
                <w:rFonts w:hint="eastAsia" w:ascii="宋体" w:hAnsi="宋体" w:cs="宋体"/>
                <w:b/>
                <w:bCs/>
                <w:highlight w:val="none"/>
                <w:lang w:eastAsia="zh-CN"/>
              </w:rPr>
              <w:t>（</w:t>
            </w:r>
            <w:r>
              <w:rPr>
                <w:rFonts w:hint="eastAsia" w:ascii="宋体" w:hAnsi="宋体" w:cs="宋体"/>
                <w:b/>
                <w:bCs/>
                <w:highlight w:val="none"/>
                <w:lang w:val="en-US" w:eastAsia="zh-CN"/>
              </w:rPr>
              <w:t>12）</w:t>
            </w:r>
            <w:r>
              <w:rPr>
                <w:rFonts w:hint="eastAsia"/>
                <w:b/>
                <w:bCs/>
                <w:color w:val="auto"/>
                <w:szCs w:val="21"/>
                <w:highlight w:val="none"/>
              </w:rPr>
              <w:t>在“浙江省建筑市场监管公共服务系统”上资质动态核查结果处于“合格”状态，提供投标人自公告发布之日至投标截止日之间在“浙江省建筑市场监管公共服务系统”上，参与投标资质的“资质动态核查结果证明”；</w:t>
            </w:r>
          </w:p>
          <w:p>
            <w:pPr>
              <w:pStyle w:val="4"/>
              <w:spacing w:line="400" w:lineRule="exact"/>
              <w:ind w:firstLine="0" w:firstLineChars="0"/>
              <w:jc w:val="both"/>
              <w:rPr>
                <w:rFonts w:hint="default" w:ascii="宋体" w:hAnsi="宋体" w:eastAsia="宋体" w:cs="宋体"/>
                <w:b/>
                <w:bCs/>
                <w:highlight w:val="none"/>
                <w:lang w:val="en-US" w:eastAsia="zh-CN"/>
              </w:rPr>
            </w:pPr>
          </w:p>
          <w:p>
            <w:pPr>
              <w:pStyle w:val="4"/>
              <w:spacing w:line="400" w:lineRule="exact"/>
              <w:ind w:firstLine="0" w:firstLineChars="0"/>
              <w:rPr>
                <w:rFonts w:ascii="宋体" w:hAnsi="宋体" w:cs="宋体"/>
                <w:b/>
                <w:snapToGrid w:val="0"/>
                <w:highlight w:val="none"/>
              </w:rPr>
            </w:pPr>
            <w:r>
              <w:rPr>
                <w:rFonts w:hint="eastAsia" w:ascii="宋体" w:hAnsi="宋体" w:cs="宋体"/>
                <w:b/>
                <w:snapToGrid w:val="0"/>
                <w:highlight w:val="none"/>
              </w:rPr>
              <w:t>备注：</w:t>
            </w:r>
          </w:p>
          <w:p>
            <w:pPr>
              <w:pStyle w:val="4"/>
              <w:spacing w:line="400" w:lineRule="exact"/>
              <w:ind w:firstLine="0" w:firstLineChars="0"/>
              <w:rPr>
                <w:rFonts w:ascii="宋体" w:hAnsi="宋体" w:cs="宋体"/>
                <w:b/>
                <w:bCs/>
                <w:highlight w:val="none"/>
              </w:rPr>
            </w:pPr>
            <w:r>
              <w:rPr>
                <w:rFonts w:hint="eastAsia" w:ascii="宋体" w:hAnsi="宋体" w:cs="宋体"/>
                <w:snapToGrid w:val="0"/>
                <w:highlight w:val="none"/>
              </w:rPr>
              <w:t>（1）以上资信标内容均需在</w:t>
            </w:r>
            <w:r>
              <w:rPr>
                <w:rFonts w:hint="eastAsia" w:ascii="宋体" w:hAnsi="宋体" w:cs="宋体"/>
                <w:bCs/>
                <w:snapToGrid w:val="0"/>
                <w:highlight w:val="none"/>
              </w:rPr>
              <w:t>三门投标编制4.0.2.8版本</w:t>
            </w:r>
            <w:r>
              <w:rPr>
                <w:rFonts w:hint="eastAsia" w:ascii="宋体" w:hAnsi="宋体" w:cs="宋体"/>
                <w:snapToGrid w:val="0"/>
                <w:highlight w:val="none"/>
              </w:rPr>
              <w:t>中的资信标对应处自行添加后自动生成，添加的内容须为清晰的电子文档</w:t>
            </w:r>
            <w:r>
              <w:rPr>
                <w:rFonts w:hint="eastAsia" w:ascii="宋体" w:hAnsi="宋体" w:cs="宋体"/>
                <w:bCs/>
                <w:highlight w:val="none"/>
              </w:rPr>
              <w:t>。</w:t>
            </w:r>
          </w:p>
          <w:p>
            <w:pPr>
              <w:pStyle w:val="4"/>
              <w:snapToGrid w:val="0"/>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（2）企业资质证书及项目负责人建造师注册证书未能在</w:t>
            </w:r>
            <w:r>
              <w:rPr>
                <w:rFonts w:hint="eastAsia" w:ascii="宋体" w:hAnsi="宋体" w:cs="宋体"/>
                <w:b/>
                <w:bCs/>
                <w:highlight w:val="none"/>
              </w:rPr>
              <w:t>全国建筑市场监管公共服务平台和省、直辖市相应平台查询到的作无效标处理。</w:t>
            </w:r>
          </w:p>
          <w:p>
            <w:pPr>
              <w:pStyle w:val="4"/>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2、资信标</w:t>
            </w:r>
          </w:p>
          <w:p>
            <w:pPr>
              <w:pStyle w:val="4"/>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（1）投标人根据招标文件评标办法内容在三门投标编制4.0.2.8版本中资信标相对应处自行添加后自动生成。</w:t>
            </w:r>
          </w:p>
          <w:p>
            <w:pPr>
              <w:pStyle w:val="4"/>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（2）台州市建设工程投标人及项目负责人资信自查表（投标文件格式六）。</w:t>
            </w:r>
            <w:r>
              <w:rPr>
                <w:rFonts w:hint="eastAsia" w:ascii="宋体" w:hAnsi="宋体" w:cs="宋体"/>
                <w:b w:val="0"/>
                <w:bCs/>
                <w:highlight w:val="none"/>
              </w:rPr>
              <w:t>投标人、项目负责人有信用等级得分的，投标文件中提供信用等级网页查询截图。</w:t>
            </w:r>
            <w:r>
              <w:rPr>
                <w:rFonts w:hint="eastAsia" w:ascii="宋体" w:hAnsi="宋体" w:cs="宋体"/>
                <w:b/>
                <w:highlight w:val="none"/>
              </w:rPr>
              <w:t>如未提供相关信用等级证明的，按未取得信用等级得分。</w:t>
            </w:r>
          </w:p>
          <w:p>
            <w:pPr>
              <w:snapToGrid w:val="0"/>
              <w:spacing w:line="400" w:lineRule="exact"/>
              <w:jc w:val="both"/>
              <w:rPr>
                <w:rFonts w:ascii="宋体" w:hAnsi="宋体" w:cs="宋体"/>
                <w:b/>
                <w:bCs/>
                <w:snapToGrid w:val="0"/>
                <w:highlight w:val="none"/>
              </w:rPr>
            </w:pPr>
            <w:r>
              <w:rPr>
                <w:rFonts w:hint="eastAsia" w:ascii="宋体" w:hAnsi="宋体" w:cs="宋体"/>
                <w:b/>
                <w:highlight w:val="none"/>
                <w:lang w:val="en-US" w:eastAsia="zh-CN"/>
              </w:rPr>
              <w:t>3、</w:t>
            </w:r>
            <w:r>
              <w:rPr>
                <w:rFonts w:hint="eastAsia" w:ascii="宋体" w:hAnsi="宋体" w:cs="宋体"/>
                <w:b/>
                <w:bCs/>
                <w:snapToGrid w:val="0"/>
                <w:highlight w:val="none"/>
              </w:rPr>
              <w:t>商务标</w:t>
            </w:r>
          </w:p>
          <w:p>
            <w:pPr>
              <w:pStyle w:val="4"/>
              <w:spacing w:line="400" w:lineRule="exact"/>
              <w:ind w:firstLine="480"/>
              <w:jc w:val="both"/>
              <w:rPr>
                <w:rFonts w:hint="eastAsia" w:ascii="宋体" w:hAnsi="宋体" w:cs="宋体"/>
                <w:highlight w:val="none"/>
              </w:rPr>
            </w:pPr>
            <w:r>
              <w:rPr>
                <w:rFonts w:hint="eastAsia" w:ascii="宋体" w:hAnsi="宋体" w:cs="宋体"/>
                <w:highlight w:val="none"/>
              </w:rPr>
              <w:t>由三门投标编制 4.0.2.8 版本生成的商务标电子投标文件。</w:t>
            </w:r>
          </w:p>
          <w:p>
            <w:pPr>
              <w:pStyle w:val="4"/>
              <w:spacing w:line="400" w:lineRule="exact"/>
              <w:ind w:left="0" w:leftChars="0" w:firstLine="0" w:firstLineChars="0"/>
              <w:jc w:val="both"/>
              <w:rPr>
                <w:rFonts w:hint="eastAsia" w:ascii="宋体" w:hAnsi="宋体" w:cs="宋体"/>
                <w:highlight w:val="none"/>
              </w:rPr>
            </w:pPr>
            <w:r>
              <w:rPr>
                <w:rFonts w:hint="eastAsia" w:ascii="宋体" w:hAnsi="宋体" w:eastAsia="宋体" w:cs="宋体"/>
                <w:b/>
                <w:bCs/>
                <w:snapToGrid w:val="0"/>
                <w:sz w:val="22"/>
                <w:szCs w:val="22"/>
                <w:highlight w:val="none"/>
                <w:lang w:val="en-US" w:eastAsia="zh-CN" w:bidi="ar-SA"/>
              </w:rPr>
              <w:t>注：资料不全（模糊不清者视为不全），资格审查不予通过。资格审查未通过，无资格进入下阶段评审。</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56"/>
              <w:jc w:val="center"/>
              <w:rPr>
                <w:rFonts w:ascii="宋体" w:hAnsi="宋体"/>
                <w:highlight w:val="none"/>
              </w:rPr>
            </w:pPr>
            <w:r>
              <w:rPr>
                <w:rFonts w:ascii="宋体" w:hAnsi="宋体"/>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增值税税金的计算方法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一般计税法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56"/>
              <w:jc w:val="center"/>
              <w:rPr>
                <w:rFonts w:ascii="宋体" w:hAnsi="宋体"/>
                <w:highlight w:val="none"/>
              </w:rPr>
            </w:pPr>
            <w:r>
              <w:rPr>
                <w:rFonts w:ascii="宋体" w:hAnsi="宋体"/>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highlight w:val="none"/>
              </w:rPr>
            </w:pPr>
            <w:r>
              <w:rPr>
                <w:rFonts w:hint="eastAsia" w:ascii="宋体" w:hAnsi="宋体" w:cs="宋体"/>
                <w:highlight w:val="none"/>
              </w:rPr>
              <w:t>工程量清单计价方式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综合单价法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45"/>
              <w:jc w:val="center"/>
              <w:rPr>
                <w:rFonts w:ascii="宋体" w:hAnsi="宋体"/>
                <w:highlight w:val="none"/>
              </w:rPr>
            </w:pPr>
            <w:r>
              <w:rPr>
                <w:rFonts w:ascii="宋体" w:hAnsi="宋体"/>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最高投标限价</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b/>
                <w:highlight w:val="none"/>
              </w:rPr>
            </w:pPr>
            <w:r>
              <w:rPr>
                <w:rFonts w:hint="eastAsia" w:ascii="宋体" w:hAnsi="宋体" w:cs="宋体"/>
                <w:b/>
                <w:highlight w:val="none"/>
              </w:rPr>
              <w:t>最高投标限价：</w:t>
            </w:r>
            <w:r>
              <w:rPr>
                <w:rFonts w:hint="eastAsia" w:ascii="宋体" w:hAnsi="宋体" w:cs="宋体"/>
                <w:b/>
                <w:highlight w:val="none"/>
                <w:u w:val="single"/>
                <w:lang w:val="en-US" w:eastAsia="zh-CN"/>
              </w:rPr>
              <w:t>7111124</w:t>
            </w:r>
            <w:r>
              <w:rPr>
                <w:rFonts w:hint="eastAsia" w:ascii="宋体" w:hAnsi="宋体" w:cs="宋体"/>
                <w:b/>
                <w:highlight w:val="none"/>
              </w:rPr>
              <w:t>元。（</w:t>
            </w:r>
            <w:r>
              <w:rPr>
                <w:rFonts w:hint="eastAsia" w:ascii="宋体" w:hAnsi="宋体" w:cs="宋体"/>
                <w:color w:val="000000"/>
                <w:highlight w:val="none"/>
                <w:lang w:bidi="ar"/>
              </w:rPr>
              <w:t>招标控制价</w:t>
            </w:r>
            <w:r>
              <w:rPr>
                <w:rFonts w:hint="eastAsia" w:ascii="宋体" w:hAnsi="宋体" w:cs="宋体"/>
                <w:color w:val="000000"/>
                <w:highlight w:val="none"/>
                <w:lang w:val="en-US" w:eastAsia="zh-CN" w:bidi="ar"/>
              </w:rPr>
              <w:t>8220953</w:t>
            </w:r>
            <w:r>
              <w:rPr>
                <w:rFonts w:hint="eastAsia" w:ascii="宋体" w:hAnsi="宋体" w:cs="宋体"/>
                <w:color w:val="000000"/>
                <w:highlight w:val="none"/>
                <w:lang w:bidi="ar"/>
              </w:rPr>
              <w:t>×</w:t>
            </w:r>
            <w:r>
              <w:rPr>
                <w:rFonts w:hint="eastAsia" w:ascii="宋体" w:hAnsi="宋体" w:cs="宋体"/>
                <w:color w:val="000000"/>
                <w:highlight w:val="none"/>
                <w:lang w:val="en-US" w:eastAsia="zh-CN" w:bidi="ar"/>
              </w:rPr>
              <w:t>0.865</w:t>
            </w:r>
            <w:r>
              <w:rPr>
                <w:rFonts w:hint="eastAsia" w:ascii="宋体" w:hAnsi="宋体" w:cs="宋体"/>
                <w:color w:val="000000"/>
                <w:highlight w:val="none"/>
                <w:lang w:bidi="ar"/>
              </w:rPr>
              <w:t>；</w:t>
            </w:r>
            <w:r>
              <w:rPr>
                <w:rFonts w:hint="eastAsia" w:ascii="宋体" w:hAnsi="宋体" w:cs="宋体"/>
                <w:b/>
                <w:highlight w:val="none"/>
              </w:rPr>
              <w:t>）</w:t>
            </w:r>
          </w:p>
        </w:tc>
      </w:tr>
      <w:tr>
        <w:tblPrEx>
          <w:tblCellMar>
            <w:top w:w="0" w:type="dxa"/>
            <w:left w:w="57" w:type="dxa"/>
            <w:bottom w:w="0" w:type="dxa"/>
            <w:right w:w="57" w:type="dxa"/>
          </w:tblCellMar>
        </w:tblPrEx>
        <w:trPr>
          <w:trHeight w:val="65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投标报价的</w:t>
            </w:r>
          </w:p>
          <w:p>
            <w:pPr>
              <w:pStyle w:val="31"/>
              <w:kinsoku w:val="0"/>
              <w:spacing w:line="400" w:lineRule="exact"/>
              <w:jc w:val="center"/>
              <w:rPr>
                <w:rFonts w:ascii="宋体" w:hAnsi="宋体" w:cs="宋体"/>
                <w:highlight w:val="none"/>
              </w:rPr>
            </w:pPr>
            <w:r>
              <w:rPr>
                <w:rFonts w:hint="eastAsia" w:ascii="宋体" w:hAnsi="宋体" w:cs="宋体"/>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highlight w:val="none"/>
                <w:u w:val="single"/>
              </w:rPr>
            </w:pPr>
            <w:r>
              <w:rPr>
                <w:rFonts w:hint="eastAsia" w:ascii="宋体" w:hAnsi="宋体" w:cs="宋体"/>
                <w:highlight w:val="none"/>
                <w:u w:val="single"/>
              </w:rPr>
              <w:t xml:space="preserve"> / </w:t>
            </w:r>
            <w:r>
              <w:rPr>
                <w:rFonts w:hint="eastAsia" w:ascii="宋体" w:hAnsi="宋体" w:cs="宋体"/>
                <w:highlight w:val="none"/>
              </w:rPr>
              <w:t>。</w:t>
            </w:r>
          </w:p>
        </w:tc>
      </w:tr>
      <w:tr>
        <w:tblPrEx>
          <w:tblCellMar>
            <w:top w:w="0" w:type="dxa"/>
            <w:left w:w="57" w:type="dxa"/>
            <w:bottom w:w="0" w:type="dxa"/>
            <w:right w:w="57" w:type="dxa"/>
          </w:tblCellMar>
        </w:tblPrEx>
        <w:trPr>
          <w:trHeight w:val="37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tcPr>
          <w:p>
            <w:pPr>
              <w:pStyle w:val="31"/>
              <w:kinsoku w:val="0"/>
              <w:spacing w:before="156"/>
              <w:jc w:val="center"/>
              <w:rPr>
                <w:rFonts w:ascii="宋体" w:hAnsi="宋体"/>
                <w:highlight w:val="none"/>
              </w:rPr>
            </w:pPr>
            <w:r>
              <w:rPr>
                <w:rFonts w:ascii="宋体" w:hAnsi="宋体"/>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highlight w:val="none"/>
              </w:rPr>
            </w:pPr>
            <w:r>
              <w:rPr>
                <w:rFonts w:hint="eastAsia" w:ascii="宋体" w:hAnsi="宋体" w:cs="宋体"/>
                <w:highlight w:val="none"/>
              </w:rPr>
              <w:t>投标有效期</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u w:val="single"/>
              </w:rPr>
              <w:t xml:space="preserve">  90  </w:t>
            </w:r>
            <w:r>
              <w:rPr>
                <w:rFonts w:hint="eastAsia" w:ascii="宋体" w:hAnsi="宋体" w:cs="宋体"/>
                <w:highlight w:val="none"/>
              </w:rPr>
              <w:t>个日历天（从投标截止之日起算）。</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highlight w:val="none"/>
              </w:rPr>
            </w:pPr>
            <w:r>
              <w:rPr>
                <w:rFonts w:hint="eastAsia" w:ascii="宋体" w:hAnsi="宋体" w:cs="宋体"/>
                <w:highlight w:val="none"/>
              </w:rPr>
              <w:t>投标保证金</w:t>
            </w:r>
          </w:p>
        </w:tc>
        <w:tc>
          <w:tcPr>
            <w:tcW w:w="6858"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pacing w:line="400" w:lineRule="exact"/>
              <w:rPr>
                <w:rFonts w:ascii="宋体" w:hAnsi="宋体" w:cs="宋体"/>
                <w:highlight w:val="none"/>
              </w:rPr>
            </w:pPr>
            <w:r>
              <w:rPr>
                <w:rFonts w:hint="eastAsia" w:ascii="宋体" w:hAnsi="宋体" w:cs="宋体"/>
                <w:snapToGrid w:val="0"/>
                <w:highlight w:val="none"/>
              </w:rPr>
              <w:sym w:font="Wingdings" w:char="00FE"/>
            </w:r>
            <w:r>
              <w:rPr>
                <w:rFonts w:hint="eastAsia" w:ascii="宋体" w:hAnsi="宋体" w:cs="宋体"/>
                <w:b/>
                <w:bCs/>
                <w:highlight w:val="none"/>
              </w:rPr>
              <w:t>要求递交投标保证金。</w:t>
            </w:r>
          </w:p>
          <w:p>
            <w:pPr>
              <w:autoSpaceDE/>
              <w:autoSpaceDN/>
              <w:adjustRightInd/>
              <w:spacing w:line="400" w:lineRule="exact"/>
              <w:rPr>
                <w:rFonts w:hint="eastAsia" w:ascii="宋体" w:hAnsi="宋体" w:cs="宋体"/>
                <w:color w:val="auto"/>
                <w:highlight w:val="none"/>
              </w:rPr>
            </w:pPr>
            <w:r>
              <w:rPr>
                <w:rFonts w:hint="eastAsia" w:ascii="宋体" w:hAnsi="宋体" w:cs="宋体"/>
                <w:highlight w:val="none"/>
              </w:rPr>
              <w:t>1、担保金额：</w:t>
            </w:r>
            <w:r>
              <w:rPr>
                <w:rFonts w:hint="eastAsia" w:ascii="宋体" w:hAnsi="宋体" w:cs="宋体"/>
                <w:highlight w:val="none"/>
                <w:lang w:eastAsia="zh-CN"/>
              </w:rPr>
              <w:t>人民币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14</w:t>
            </w:r>
            <w:r>
              <w:rPr>
                <w:rFonts w:hint="eastAsia" w:ascii="宋体" w:hAnsi="宋体" w:cs="宋体"/>
                <w:color w:val="auto"/>
                <w:highlight w:val="none"/>
              </w:rPr>
              <w:t>万元</w:t>
            </w:r>
            <w:r>
              <w:rPr>
                <w:rFonts w:hint="eastAsia" w:ascii="宋体" w:hAnsi="宋体" w:cs="宋体"/>
                <w:color w:val="auto"/>
                <w:highlight w:val="none"/>
                <w:lang w:eastAsia="zh-CN"/>
              </w:rPr>
              <w:t>（</w:t>
            </w:r>
            <w:r>
              <w:rPr>
                <w:rFonts w:hint="eastAsia" w:ascii="宋体" w:hAnsi="宋体" w:cs="宋体"/>
                <w:color w:val="auto"/>
                <w:highlight w:val="none"/>
              </w:rPr>
              <w:t>不得超过项目估算价的2%，且</w:t>
            </w:r>
          </w:p>
          <w:p>
            <w:pPr>
              <w:autoSpaceDE/>
              <w:autoSpaceDN/>
              <w:adjustRightInd/>
              <w:spacing w:line="400" w:lineRule="exact"/>
              <w:rPr>
                <w:rFonts w:ascii="宋体" w:hAnsi="宋体" w:cs="宋体"/>
                <w:highlight w:val="none"/>
              </w:rPr>
            </w:pPr>
            <w:r>
              <w:rPr>
                <w:rFonts w:hint="eastAsia" w:ascii="宋体" w:hAnsi="宋体" w:cs="宋体"/>
                <w:color w:val="auto"/>
                <w:highlight w:val="none"/>
              </w:rPr>
              <w:t>最高不得超过50万元。）</w:t>
            </w:r>
          </w:p>
          <w:p>
            <w:pPr>
              <w:autoSpaceDE/>
              <w:autoSpaceDN/>
              <w:adjustRightInd/>
              <w:spacing w:line="400" w:lineRule="exact"/>
              <w:rPr>
                <w:rFonts w:ascii="宋体" w:hAnsi="宋体" w:cs="宋体"/>
                <w:highlight w:val="none"/>
              </w:rPr>
            </w:pPr>
            <w:r>
              <w:rPr>
                <w:rFonts w:hint="eastAsia" w:ascii="宋体" w:hAnsi="宋体" w:cs="宋体"/>
                <w:kern w:val="2"/>
                <w:highlight w:val="none"/>
              </w:rPr>
              <w:t>2、</w:t>
            </w:r>
            <w:r>
              <w:rPr>
                <w:rFonts w:hint="eastAsia" w:ascii="宋体" w:hAnsi="宋体" w:cs="宋体"/>
                <w:highlight w:val="none"/>
              </w:rPr>
              <w:t>投标保证金缴纳方式（任选一种）：现金、银行保函、保险机构保证保险保单、融资担保公司保函。</w:t>
            </w:r>
          </w:p>
          <w:p>
            <w:pPr>
              <w:autoSpaceDE/>
              <w:autoSpaceDN/>
              <w:adjustRightInd/>
              <w:spacing w:line="400" w:lineRule="exact"/>
              <w:rPr>
                <w:rFonts w:ascii="宋体" w:hAnsi="宋体" w:cs="宋体"/>
                <w:b/>
                <w:bCs/>
                <w:highlight w:val="none"/>
              </w:rPr>
            </w:pPr>
            <w:r>
              <w:rPr>
                <w:rFonts w:hint="eastAsia" w:ascii="宋体" w:hAnsi="宋体" w:cs="宋体"/>
                <w:b/>
                <w:bCs/>
                <w:highlight w:val="none"/>
              </w:rPr>
              <w:t>（1）现金</w:t>
            </w:r>
          </w:p>
          <w:p>
            <w:pPr>
              <w:autoSpaceDE/>
              <w:autoSpaceDN/>
              <w:adjustRightInd/>
              <w:spacing w:line="400" w:lineRule="exact"/>
              <w:rPr>
                <w:rFonts w:ascii="宋体" w:hAnsi="宋体" w:cs="宋体"/>
                <w:highlight w:val="none"/>
              </w:rPr>
            </w:pPr>
            <w:r>
              <w:rPr>
                <w:rFonts w:hint="eastAsia" w:ascii="宋体" w:hAnsi="宋体" w:cs="宋体"/>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pPr>
              <w:autoSpaceDE/>
              <w:autoSpaceDN/>
              <w:adjustRightInd/>
              <w:spacing w:line="400" w:lineRule="exact"/>
              <w:rPr>
                <w:rFonts w:ascii="宋体" w:hAnsi="宋体" w:cs="宋体"/>
                <w:highlight w:val="none"/>
              </w:rPr>
            </w:pPr>
            <w:r>
              <w:rPr>
                <w:rFonts w:hint="eastAsia" w:ascii="宋体" w:hAnsi="宋体" w:cs="宋体"/>
                <w:highlight w:val="none"/>
              </w:rPr>
              <w:t>②投标保证金应在投标截止时间前到交易中心账户。</w:t>
            </w:r>
          </w:p>
          <w:p>
            <w:pPr>
              <w:autoSpaceDE/>
              <w:autoSpaceDN/>
              <w:adjustRightInd/>
              <w:spacing w:line="400" w:lineRule="exact"/>
              <w:rPr>
                <w:rFonts w:ascii="宋体" w:hAnsi="宋体" w:cs="宋体"/>
                <w:b/>
                <w:bCs/>
                <w:highlight w:val="none"/>
              </w:rPr>
            </w:pPr>
            <w:r>
              <w:rPr>
                <w:rFonts w:hint="eastAsia" w:ascii="宋体" w:hAnsi="宋体" w:cs="宋体"/>
                <w:b/>
                <w:bCs/>
                <w:highlight w:val="none"/>
              </w:rPr>
              <w:t>（2）银行保函、保险机构保证保险保单、融资担保公司保函（以下合称“工程保函”）</w:t>
            </w:r>
          </w:p>
          <w:p>
            <w:pPr>
              <w:autoSpaceDE/>
              <w:autoSpaceDN/>
              <w:adjustRightInd/>
              <w:spacing w:line="400" w:lineRule="exact"/>
              <w:rPr>
                <w:rFonts w:ascii="宋体" w:hAnsi="宋体" w:cs="宋体"/>
                <w:highlight w:val="none"/>
              </w:rPr>
            </w:pPr>
            <w:r>
              <w:rPr>
                <w:rFonts w:hint="eastAsia" w:ascii="宋体" w:hAnsi="宋体" w:cs="宋体"/>
                <w:highlight w:val="none"/>
              </w:rPr>
              <w:t>①工程保函的受益人</w:t>
            </w:r>
            <w:r>
              <w:rPr>
                <w:rFonts w:hint="eastAsia" w:ascii="宋体" w:hAnsi="宋体" w:cs="宋体"/>
                <w:kern w:val="2"/>
                <w:highlight w:val="none"/>
              </w:rPr>
              <w:t>：</w:t>
            </w:r>
            <w:r>
              <w:rPr>
                <w:rFonts w:hint="eastAsia" w:ascii="宋体" w:hAnsi="宋体" w:cs="宋体"/>
                <w:highlight w:val="none"/>
                <w:u w:val="single"/>
                <w:lang w:eastAsia="zh-CN"/>
              </w:rPr>
              <w:t>三门海润金鳞湖经济开发有限公司</w:t>
            </w:r>
            <w:r>
              <w:rPr>
                <w:rFonts w:hint="eastAsia" w:ascii="宋体" w:hAnsi="宋体" w:cs="宋体"/>
                <w:highlight w:val="none"/>
                <w:u w:val="single"/>
              </w:rPr>
              <w:t xml:space="preserve"> </w:t>
            </w:r>
            <w:r>
              <w:rPr>
                <w:rFonts w:hint="eastAsia" w:ascii="宋体" w:hAnsi="宋体" w:cs="宋体"/>
                <w:highlight w:val="none"/>
              </w:rPr>
              <w:t>（招标人名称）；</w:t>
            </w:r>
          </w:p>
          <w:p>
            <w:pPr>
              <w:autoSpaceDE/>
              <w:autoSpaceDN/>
              <w:adjustRightInd/>
              <w:spacing w:line="400" w:lineRule="exact"/>
              <w:rPr>
                <w:rFonts w:ascii="宋体" w:hAnsi="宋体" w:cs="宋体"/>
                <w:highlight w:val="none"/>
              </w:rPr>
            </w:pPr>
            <w:r>
              <w:rPr>
                <w:rFonts w:hint="eastAsia" w:ascii="宋体" w:hAnsi="宋体" w:cs="宋体"/>
                <w:highlight w:val="none"/>
              </w:rPr>
              <w:t>②</w:t>
            </w:r>
            <w:r>
              <w:rPr>
                <w:rFonts w:hint="eastAsia" w:ascii="宋体" w:hAnsi="宋体" w:cs="宋体"/>
                <w:b/>
                <w:bCs/>
                <w:highlight w:val="none"/>
              </w:rPr>
              <w:t>工程保函的有效期为1年</w:t>
            </w:r>
            <w:r>
              <w:rPr>
                <w:rFonts w:hint="eastAsia" w:ascii="宋体" w:hAnsi="宋体" w:cs="宋体"/>
                <w:highlight w:val="none"/>
              </w:rPr>
              <w:t>；</w:t>
            </w:r>
          </w:p>
          <w:p>
            <w:pPr>
              <w:autoSpaceDE/>
              <w:autoSpaceDN/>
              <w:adjustRightInd/>
              <w:spacing w:line="400" w:lineRule="exact"/>
              <w:rPr>
                <w:rFonts w:ascii="宋体" w:hAnsi="宋体" w:cs="宋体"/>
                <w:highlight w:val="none"/>
              </w:rPr>
            </w:pPr>
            <w:r>
              <w:rPr>
                <w:rFonts w:hint="eastAsia" w:ascii="宋体" w:hAnsi="宋体" w:cs="宋体"/>
                <w:highlight w:val="none"/>
              </w:rPr>
              <w:t>③递交方式：</w:t>
            </w:r>
          </w:p>
          <w:p>
            <w:pPr>
              <w:autoSpaceDE/>
              <w:autoSpaceDN/>
              <w:adjustRightInd/>
              <w:spacing w:line="400" w:lineRule="exact"/>
              <w:ind w:firstLine="311" w:firstLineChars="129"/>
              <w:rPr>
                <w:rFonts w:ascii="宋体" w:hAnsi="宋体" w:cs="宋体"/>
                <w:highlight w:val="none"/>
              </w:rPr>
            </w:pPr>
            <w:r>
              <w:rPr>
                <w:rFonts w:hint="eastAsia" w:ascii="宋体" w:hAnsi="宋体" w:cs="宋体"/>
                <w:b/>
                <w:bCs/>
                <w:highlight w:val="none"/>
              </w:rPr>
              <w:t>递交方式一（电子保函系统）</w:t>
            </w:r>
            <w:r>
              <w:rPr>
                <w:rFonts w:hint="eastAsia" w:ascii="宋体" w:hAnsi="宋体" w:cs="宋体"/>
                <w:highlight w:val="none"/>
              </w:rPr>
              <w:t>：</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通过三门县建设工程项目交易系统在“业务管理—费用管理”栏目选择“电子保函”递交方式，并按系统流程进行操作、申购电子保函。</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递交方式二（非电子保函系统）：</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投标人须在投标截止时间前将工程保函纸质原件、基本账户证明材料复印件（加盖公章）、保费支付的银行回单一并按要求递交。</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递交方式：现场递交；</w:t>
            </w:r>
          </w:p>
          <w:p>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①若是投标人的法定代表人递交工程保函的，应持法定代表人身份证明原件（参考格式见附录1）及身份证原件，否则工程保函不予签收。</w:t>
            </w:r>
          </w:p>
          <w:p>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②若是投标人委托代理人递交工程保函的，应持针对本项目的法定代表人授权委托书原件（参考格式见附录1）及身份证原件，否则工程保函不予签收。</w:t>
            </w:r>
          </w:p>
          <w:p>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③递交工程保函时所要求提供的法定代表人授权委托书或法定代表人身份证明中的人员须与投标文件组成中提供的人员一致，若提供的不一致则以无效标处理。</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递交时间：同投标文件递交截止时间；</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递交地点：三门县公共资源交易中心交易大厅（一）或（二）；</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接收人：</w:t>
            </w:r>
            <w:r>
              <w:rPr>
                <w:rFonts w:hint="eastAsia" w:ascii="宋体" w:hAnsi="宋体" w:cs="宋体"/>
                <w:b w:val="0"/>
                <w:bCs w:val="0"/>
                <w:highlight w:val="none"/>
                <w:lang w:eastAsia="zh-CN"/>
              </w:rPr>
              <w:t>浙江揽丰工程咨询有限公司</w:t>
            </w:r>
            <w:r>
              <w:rPr>
                <w:rFonts w:hint="eastAsia" w:ascii="宋体" w:hAnsi="宋体" w:cs="宋体"/>
                <w:b w:val="0"/>
                <w:bCs w:val="0"/>
                <w:highlight w:val="none"/>
              </w:rPr>
              <w:t>；</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接收人联系方式：</w:t>
            </w:r>
            <w:r>
              <w:rPr>
                <w:rFonts w:hint="eastAsia" w:ascii="宋体" w:hAnsi="宋体" w:cs="宋体"/>
                <w:b w:val="0"/>
                <w:bCs w:val="0"/>
                <w:highlight w:val="none"/>
                <w:lang w:eastAsia="zh-CN"/>
              </w:rPr>
              <w:t>赵懿</w:t>
            </w:r>
            <w:r>
              <w:rPr>
                <w:rFonts w:hint="eastAsia" w:ascii="宋体" w:hAnsi="宋体" w:cs="宋体"/>
                <w:b w:val="0"/>
                <w:bCs w:val="0"/>
                <w:highlight w:val="none"/>
                <w:lang w:val="en-US" w:eastAsia="zh-CN"/>
              </w:rPr>
              <w:t xml:space="preserve"> 13336721161</w:t>
            </w:r>
            <w:r>
              <w:rPr>
                <w:rFonts w:hint="eastAsia" w:ascii="宋体" w:hAnsi="宋体" w:cs="宋体"/>
                <w:b w:val="0"/>
                <w:bCs w:val="0"/>
                <w:highlight w:val="none"/>
              </w:rPr>
              <w:t>；</w:t>
            </w:r>
          </w:p>
          <w:p>
            <w:pPr>
              <w:autoSpaceDE/>
              <w:autoSpaceDN/>
              <w:adjustRightInd/>
              <w:spacing w:line="400" w:lineRule="exact"/>
              <w:ind w:firstLine="309" w:firstLineChars="129"/>
              <w:rPr>
                <w:rFonts w:ascii="宋体" w:hAnsi="宋体" w:cs="宋体"/>
                <w:highlight w:val="none"/>
              </w:rPr>
            </w:pPr>
            <w:r>
              <w:rPr>
                <w:rFonts w:hint="eastAsia" w:ascii="宋体" w:hAnsi="宋体" w:cs="宋体"/>
                <w:b w:val="0"/>
                <w:bCs w:val="0"/>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highlight w:val="none"/>
              </w:rPr>
              <w:t>（工程保函的保险（保证）责任必须包括本招标文件“投标人须知 3.4.4”所列条款。）（温馨提示：请各投标单位仔细核对工程保函的保险责任所列条款。）</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3、注意事项</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①若招标文件允许联合体投标且投标人以联合体身份投标的，由联合体牵头人提交投标保证金；</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②投标保证金收款账号根据不同工程（标段）由系统随机生成，此账号只在本工程（标段）中使用有效，请注意核对；</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③因各银行系统到账时间不同，采用现金方式缴纳投标保证金的，请尽量提前缴纳，以实际到帐时间为准；</w:t>
            </w:r>
          </w:p>
          <w:p>
            <w:pPr>
              <w:autoSpaceDE/>
              <w:autoSpaceDN/>
              <w:adjustRightInd/>
              <w:spacing w:line="400" w:lineRule="exact"/>
              <w:ind w:firstLine="311" w:firstLineChars="129"/>
              <w:rPr>
                <w:rFonts w:ascii="宋体" w:hAnsi="宋体" w:cs="宋体"/>
                <w:b/>
                <w:highlight w:val="none"/>
              </w:rPr>
            </w:pPr>
            <w:r>
              <w:rPr>
                <w:rFonts w:hint="eastAsia" w:ascii="宋体" w:hAnsi="宋体" w:cs="宋体"/>
                <w:b/>
                <w:highlight w:val="none"/>
              </w:rPr>
              <w:t>④以现金形式提交的投标保证金应当从投标人基本账户转出；</w:t>
            </w:r>
          </w:p>
          <w:p>
            <w:pPr>
              <w:autoSpaceDE/>
              <w:autoSpaceDN/>
              <w:adjustRightInd/>
              <w:spacing w:line="400" w:lineRule="exact"/>
              <w:ind w:firstLine="267"/>
              <w:rPr>
                <w:rFonts w:ascii="宋体" w:hAnsi="宋体" w:cs="宋体"/>
                <w:highlight w:val="none"/>
              </w:rPr>
            </w:pPr>
            <w:r>
              <w:rPr>
                <w:rFonts w:hint="eastAsia" w:ascii="宋体" w:hAnsi="宋体" w:cs="宋体"/>
                <w:highlight w:val="none"/>
              </w:rPr>
              <w:t>⑤若有疑问，请咨询技术服务热线：13968512856。</w:t>
            </w:r>
          </w:p>
          <w:p>
            <w:pPr>
              <w:autoSpaceDE/>
              <w:autoSpaceDN/>
              <w:adjustRightInd/>
              <w:spacing w:line="400" w:lineRule="exact"/>
              <w:ind w:firstLine="241" w:firstLineChars="100"/>
              <w:rPr>
                <w:rFonts w:ascii="宋体" w:hAnsi="宋体" w:cs="宋体"/>
                <w:highlight w:val="none"/>
              </w:rPr>
            </w:pPr>
            <w:r>
              <w:rPr>
                <w:rFonts w:hint="eastAsia" w:ascii="宋体" w:hAnsi="宋体" w:cs="宋体"/>
                <w:b/>
                <w:highlight w:val="none"/>
              </w:rPr>
              <w:t>⑥以上未按要求提供或提供不清晰的，评标委员会可能做出不利于投标人的评审结果，由此造成的风险由投标人自行承担。</w:t>
            </w:r>
          </w:p>
        </w:tc>
      </w:tr>
      <w:tr>
        <w:tblPrEx>
          <w:tblCellMar>
            <w:top w:w="0" w:type="dxa"/>
            <w:left w:w="57" w:type="dxa"/>
            <w:bottom w:w="0" w:type="dxa"/>
            <w:right w:w="57" w:type="dxa"/>
          </w:tblCellMar>
        </w:tblPrEx>
        <w:trPr>
          <w:trHeight w:val="6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10"/>
              <w:ind w:left="103"/>
              <w:jc w:val="center"/>
              <w:rPr>
                <w:rFonts w:ascii="宋体" w:hAnsi="宋体"/>
                <w:highlight w:val="none"/>
              </w:rPr>
            </w:pPr>
            <w:r>
              <w:rPr>
                <w:rFonts w:ascii="宋体" w:hAnsi="宋体"/>
                <w:highlight w:val="none"/>
              </w:rPr>
              <w:t>3.7.3</w:t>
            </w:r>
          </w:p>
          <w:p>
            <w:pPr>
              <w:pStyle w:val="31"/>
              <w:kinsoku w:val="0"/>
              <w:spacing w:before="110"/>
              <w:ind w:left="103"/>
              <w:jc w:val="center"/>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电子投标文件</w:t>
            </w:r>
          </w:p>
          <w:p>
            <w:pPr>
              <w:pStyle w:val="31"/>
              <w:kinsoku w:val="0"/>
              <w:spacing w:line="400" w:lineRule="exact"/>
              <w:jc w:val="center"/>
              <w:rPr>
                <w:rFonts w:ascii="宋体" w:hAnsi="宋体" w:cs="宋体"/>
                <w:highlight w:val="none"/>
              </w:rPr>
            </w:pPr>
            <w:r>
              <w:rPr>
                <w:rFonts w:hint="eastAsia" w:ascii="宋体" w:hAnsi="宋体" w:cs="宋体"/>
                <w:highlight w:val="none"/>
              </w:rPr>
              <w:t>盖章要求</w:t>
            </w:r>
          </w:p>
        </w:tc>
        <w:tc>
          <w:tcPr>
            <w:tcW w:w="6858" w:type="dxa"/>
            <w:tcBorders>
              <w:top w:val="single" w:color="000000" w:sz="4" w:space="0"/>
              <w:left w:val="single" w:color="000000" w:sz="4" w:space="0"/>
              <w:bottom w:val="single" w:color="000000" w:sz="4" w:space="0"/>
              <w:right w:val="single" w:color="000000" w:sz="4" w:space="0"/>
            </w:tcBorders>
          </w:tcPr>
          <w:p>
            <w:pPr>
              <w:pStyle w:val="31"/>
              <w:kinsoku w:val="0"/>
              <w:snapToGrid w:val="0"/>
              <w:spacing w:line="400" w:lineRule="exact"/>
              <w:jc w:val="both"/>
              <w:rPr>
                <w:rFonts w:ascii="宋体" w:hAnsi="宋体" w:cs="宋体"/>
                <w:highlight w:val="none"/>
              </w:rPr>
            </w:pPr>
            <w:r>
              <w:rPr>
                <w:rFonts w:hint="eastAsia" w:ascii="宋体" w:hAnsi="宋体" w:cs="宋体"/>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pPr>
              <w:pStyle w:val="31"/>
              <w:kinsoku w:val="0"/>
              <w:snapToGrid w:val="0"/>
              <w:spacing w:line="400" w:lineRule="exact"/>
              <w:jc w:val="both"/>
              <w:rPr>
                <w:rFonts w:ascii="宋体" w:hAnsi="宋体" w:cs="宋体"/>
                <w:highlight w:val="none"/>
              </w:rPr>
            </w:pPr>
            <w:r>
              <w:rPr>
                <w:rFonts w:hint="eastAsia" w:ascii="宋体" w:hAnsi="宋体" w:cs="宋体"/>
                <w:highlight w:val="none"/>
              </w:rPr>
              <w:t>2.</w:t>
            </w:r>
            <w:r>
              <w:rPr>
                <w:rFonts w:hint="eastAsia" w:ascii="宋体" w:hAnsi="宋体" w:cs="宋体"/>
                <w:highlight w:val="none"/>
              </w:rPr>
              <w:sym w:font="Wingdings 2" w:char="0052"/>
            </w:r>
            <w:r>
              <w:rPr>
                <w:rFonts w:hint="eastAsia" w:ascii="宋体" w:hAnsi="宋体" w:cs="宋体"/>
                <w:highlight w:val="none"/>
              </w:rPr>
              <w:t>投标文件所附证书证件、业绩证明文件、投标保证金等证明材料用原件扫描件并加盖投标单位电子印章；</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07"/>
              <w:ind w:left="103"/>
              <w:jc w:val="center"/>
              <w:rPr>
                <w:rFonts w:ascii="宋体" w:hAnsi="宋体"/>
                <w:highlight w:val="none"/>
              </w:rPr>
            </w:pPr>
            <w:r>
              <w:rPr>
                <w:rFonts w:ascii="宋体" w:hAnsi="宋体"/>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电子投标文件加密要求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napToGrid w:val="0"/>
              <w:spacing w:line="400" w:lineRule="exact"/>
              <w:jc w:val="both"/>
              <w:rPr>
                <w:rFonts w:ascii="宋体" w:hAnsi="宋体" w:cs="宋体"/>
                <w:highlight w:val="none"/>
              </w:rPr>
            </w:pPr>
            <w:r>
              <w:rPr>
                <w:rFonts w:hint="eastAsia" w:ascii="宋体" w:hAnsi="宋体" w:cs="宋体"/>
                <w:kern w:val="2"/>
                <w:highlight w:val="none"/>
              </w:rPr>
              <w:t>使用投标工具软件编制生成电子投标文件。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56"/>
              <w:jc w:val="center"/>
              <w:rPr>
                <w:rFonts w:ascii="宋体" w:hAnsi="宋体"/>
                <w:highlight w:val="none"/>
              </w:rPr>
            </w:pPr>
            <w:r>
              <w:rPr>
                <w:rFonts w:ascii="宋体" w:hAnsi="宋体"/>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投标截止时间/电子投标文件上传截止时间</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详见本项目招标公告</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07"/>
              <w:ind w:left="103"/>
              <w:jc w:val="center"/>
              <w:rPr>
                <w:rFonts w:ascii="宋体" w:hAnsi="宋体"/>
                <w:highlight w:val="none"/>
              </w:rPr>
            </w:pPr>
            <w:r>
              <w:rPr>
                <w:rFonts w:ascii="宋体" w:hAnsi="宋体"/>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电子投标文件上传平台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ind w:firstLine="0" w:firstLineChars="0"/>
              <w:rPr>
                <w:rFonts w:ascii="宋体" w:hAnsi="宋体" w:cs="宋体"/>
                <w:highlight w:val="none"/>
              </w:rPr>
            </w:pPr>
            <w:r>
              <w:rPr>
                <w:rFonts w:hint="eastAsia" w:ascii="宋体" w:hAnsi="宋体" w:cs="宋体"/>
                <w:highlight w:val="none"/>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pPr>
              <w:pStyle w:val="4"/>
              <w:spacing w:line="400" w:lineRule="exact"/>
              <w:ind w:firstLine="0" w:firstLineChars="0"/>
              <w:rPr>
                <w:rFonts w:ascii="宋体" w:hAnsi="宋体" w:cs="宋体"/>
                <w:b/>
                <w:highlight w:val="none"/>
              </w:rPr>
            </w:pPr>
            <w:r>
              <w:rPr>
                <w:rFonts w:hint="eastAsia" w:ascii="宋体" w:hAnsi="宋体" w:cs="宋体"/>
                <w:b/>
                <w:highlight w:val="none"/>
              </w:rPr>
              <w:t>2、电子投标文件上传步骤：</w:t>
            </w:r>
          </w:p>
          <w:p>
            <w:pPr>
              <w:pStyle w:val="4"/>
              <w:spacing w:line="400" w:lineRule="exact"/>
              <w:ind w:firstLine="480"/>
              <w:rPr>
                <w:rFonts w:ascii="宋体" w:hAnsi="宋体" w:cs="宋体"/>
                <w:highlight w:val="none"/>
              </w:rPr>
            </w:pPr>
            <w:r>
              <w:rPr>
                <w:rFonts w:hint="eastAsia" w:ascii="宋体" w:hAnsi="宋体" w:cs="宋体"/>
                <w:highlight w:val="none"/>
              </w:rPr>
              <w:t>1) 登录三门县工程建设电子交易平台（网址：http://jyzx.sanmen.gov.cn）；</w:t>
            </w:r>
          </w:p>
          <w:p>
            <w:pPr>
              <w:pStyle w:val="4"/>
              <w:spacing w:line="400" w:lineRule="exact"/>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bidi="ar"/>
              </w:rPr>
              <w:t xml:space="preserve"> 须先在电子交易系统中下载投标项目招标文件，后在 “我的待办”，</w:t>
            </w:r>
            <w:r>
              <w:rPr>
                <w:rFonts w:hint="eastAsia" w:ascii="宋体" w:hAnsi="宋体" w:cs="宋体"/>
                <w:highlight w:val="none"/>
              </w:rPr>
              <w:t>选择投标项目，点击“上传标书（后缀名.已加密投标文件）” 并保存。</w:t>
            </w:r>
          </w:p>
          <w:p>
            <w:pPr>
              <w:spacing w:line="400" w:lineRule="exact"/>
              <w:ind w:firstLine="480" w:firstLineChars="200"/>
              <w:rPr>
                <w:rFonts w:ascii="宋体" w:hAnsi="宋体" w:cs="宋体"/>
                <w:i/>
                <w:iCs/>
                <w:highlight w:val="none"/>
                <w:u w:val="single"/>
              </w:rPr>
            </w:pPr>
            <w:r>
              <w:rPr>
                <w:rFonts w:hint="eastAsia" w:ascii="宋体" w:hAnsi="宋体" w:cs="宋体"/>
                <w:highlight w:val="none"/>
              </w:rPr>
              <w:t>投标人应在投标截止时间前上传完成电子投标文件。</w:t>
            </w:r>
          </w:p>
        </w:tc>
      </w:tr>
      <w:tr>
        <w:tblPrEx>
          <w:tblCellMar>
            <w:top w:w="0" w:type="dxa"/>
            <w:left w:w="57" w:type="dxa"/>
            <w:bottom w:w="0" w:type="dxa"/>
            <w:right w:w="57" w:type="dxa"/>
          </w:tblCellMar>
        </w:tblPrEx>
        <w:trPr>
          <w:trHeight w:val="75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3"/>
              <w:jc w:val="center"/>
              <w:rPr>
                <w:rFonts w:ascii="宋体" w:hAnsi="宋体"/>
                <w:highlight w:val="none"/>
              </w:rPr>
            </w:pPr>
            <w:r>
              <w:rPr>
                <w:rFonts w:ascii="宋体" w:hAnsi="宋体"/>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电子投标文件的拒收情形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highlight w:val="none"/>
              </w:rPr>
            </w:pPr>
            <w:r>
              <w:rPr>
                <w:rFonts w:hint="eastAsia" w:ascii="宋体" w:hAnsi="宋体" w:cs="宋体"/>
                <w:highlight w:val="none"/>
              </w:rPr>
              <w:t>1.投标截止时间后送达（上传）的投标文件、未按招标文件要求上传的；</w:t>
            </w:r>
          </w:p>
          <w:p>
            <w:pPr>
              <w:snapToGrid w:val="0"/>
              <w:spacing w:line="400" w:lineRule="exact"/>
              <w:rPr>
                <w:rFonts w:ascii="宋体" w:hAnsi="宋体" w:cs="宋体"/>
                <w:spacing w:val="-5"/>
                <w:highlight w:val="none"/>
              </w:rPr>
            </w:pPr>
            <w:r>
              <w:rPr>
                <w:rFonts w:hint="eastAsia" w:ascii="宋体" w:hAnsi="宋体" w:cs="宋体"/>
                <w:spacing w:val="-5"/>
                <w:highlight w:val="none"/>
              </w:rPr>
              <w:t>2.投标人未按规定加密的投标文件，应当拒收。</w:t>
            </w:r>
          </w:p>
          <w:p>
            <w:pPr>
              <w:snapToGrid w:val="0"/>
              <w:spacing w:line="400" w:lineRule="exact"/>
              <w:rPr>
                <w:rFonts w:ascii="宋体" w:hAnsi="宋体" w:cs="宋体"/>
                <w:highlight w:val="none"/>
              </w:rPr>
            </w:pPr>
            <w:r>
              <w:rPr>
                <w:rFonts w:hint="eastAsia" w:ascii="宋体" w:hAnsi="宋体" w:cs="宋体"/>
                <w:highlight w:val="none"/>
              </w:rPr>
              <w:t>3.其他：</w:t>
            </w:r>
            <w:r>
              <w:rPr>
                <w:rFonts w:hint="eastAsia" w:ascii="宋体" w:hAnsi="宋体" w:cs="宋体"/>
                <w:highlight w:val="none"/>
                <w:u w:val="single"/>
              </w:rPr>
              <w:t xml:space="preserve">  /</w:t>
            </w:r>
          </w:p>
        </w:tc>
      </w:tr>
      <w:tr>
        <w:tblPrEx>
          <w:tblCellMar>
            <w:top w:w="0" w:type="dxa"/>
            <w:left w:w="57" w:type="dxa"/>
            <w:bottom w:w="0" w:type="dxa"/>
            <w:right w:w="57" w:type="dxa"/>
          </w:tblCellMar>
        </w:tblPrEx>
        <w:trPr>
          <w:trHeight w:val="111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31"/>
              <w:kinsoku w:val="0"/>
              <w:spacing w:before="108"/>
              <w:ind w:left="103" w:right="-5"/>
              <w:jc w:val="center"/>
              <w:rPr>
                <w:rFonts w:ascii="宋体" w:hAnsi="宋体"/>
                <w:highlight w:val="none"/>
              </w:rPr>
            </w:pPr>
            <w:r>
              <w:rPr>
                <w:rFonts w:ascii="宋体" w:hAnsi="宋体"/>
                <w:highlight w:val="none"/>
              </w:rPr>
              <w:t>5.1</w:t>
            </w:r>
          </w:p>
        </w:tc>
        <w:tc>
          <w:tcPr>
            <w:tcW w:w="1697" w:type="dxa"/>
            <w:tcBorders>
              <w:top w:val="single" w:color="000000" w:sz="4" w:space="0"/>
              <w:left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开标时间</w:t>
            </w:r>
          </w:p>
          <w:p>
            <w:pPr>
              <w:pStyle w:val="31"/>
              <w:kinsoku w:val="0"/>
              <w:spacing w:line="400" w:lineRule="exact"/>
              <w:jc w:val="center"/>
              <w:rPr>
                <w:rFonts w:ascii="宋体" w:hAnsi="宋体" w:cs="宋体"/>
                <w:highlight w:val="none"/>
              </w:rPr>
            </w:pPr>
            <w:r>
              <w:rPr>
                <w:rFonts w:hint="eastAsia" w:ascii="宋体" w:hAnsi="宋体" w:cs="宋体"/>
                <w:highlight w:val="none"/>
              </w:rPr>
              <w:t>和地点</w:t>
            </w:r>
          </w:p>
        </w:tc>
        <w:tc>
          <w:tcPr>
            <w:tcW w:w="6858" w:type="dxa"/>
            <w:tcBorders>
              <w:top w:val="single" w:color="000000" w:sz="4" w:space="0"/>
              <w:left w:val="single" w:color="000000" w:sz="4" w:space="0"/>
              <w:right w:val="single" w:color="000000" w:sz="4" w:space="0"/>
            </w:tcBorders>
            <w:vAlign w:val="center"/>
          </w:tcPr>
          <w:p>
            <w:pPr>
              <w:pStyle w:val="31"/>
              <w:kinsoku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1.开标时间：同电子投标文件上传截止时间。</w:t>
            </w:r>
          </w:p>
          <w:p>
            <w:pPr>
              <w:pStyle w:val="31"/>
              <w:kinsoku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2.开标地点：</w:t>
            </w:r>
            <w:r>
              <w:rPr>
                <w:rFonts w:hint="eastAsia" w:ascii="宋体" w:hAnsi="宋体" w:eastAsia="宋体" w:cs="宋体"/>
                <w:sz w:val="24"/>
                <w:szCs w:val="24"/>
                <w:highlight w:val="none"/>
                <w:u w:val="single"/>
              </w:rPr>
              <w:t>三门县公共资源交易中心（具体开标室见四楼电子屏幕）</w:t>
            </w:r>
            <w:r>
              <w:rPr>
                <w:rFonts w:hint="eastAsia" w:ascii="宋体" w:hAnsi="宋体" w:eastAsia="宋体" w:cs="宋体"/>
                <w:sz w:val="24"/>
                <w:szCs w:val="24"/>
                <w:highlight w:val="none"/>
              </w:rPr>
              <w:t>。</w:t>
            </w:r>
          </w:p>
          <w:p>
            <w:pPr>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3.开标平台:不见面开标大厅</w:t>
            </w:r>
          </w:p>
          <w:p>
            <w:pPr>
              <w:spacing w:line="400" w:lineRule="exact"/>
              <w:rPr>
                <w:rFonts w:ascii="宋体" w:hAnsi="宋体" w:cs="宋体"/>
                <w:highlight w:val="none"/>
              </w:rPr>
            </w:pPr>
            <w:r>
              <w:rPr>
                <w:rFonts w:hint="eastAsia" w:ascii="宋体" w:hAnsi="宋体" w:eastAsia="宋体" w:cs="宋体"/>
                <w:sz w:val="24"/>
                <w:szCs w:val="24"/>
                <w:highlight w:val="none"/>
              </w:rPr>
              <w:t>4.其他：</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tc>
      </w:tr>
      <w:tr>
        <w:tblPrEx>
          <w:tblCellMar>
            <w:top w:w="0" w:type="dxa"/>
            <w:left w:w="57" w:type="dxa"/>
            <w:bottom w:w="0" w:type="dxa"/>
            <w:right w:w="57" w:type="dxa"/>
          </w:tblCellMar>
        </w:tblPrEx>
        <w:trPr>
          <w:trHeight w:val="688" w:hRule="atLeast"/>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31"/>
              <w:kinsoku w:val="0"/>
              <w:spacing w:before="108"/>
              <w:ind w:left="103" w:right="-5"/>
              <w:jc w:val="center"/>
              <w:rPr>
                <w:rFonts w:ascii="宋体" w:hAnsi="宋体"/>
                <w:highlight w:val="none"/>
              </w:rPr>
            </w:pPr>
            <w:r>
              <w:rPr>
                <w:rFonts w:ascii="宋体" w:hAnsi="宋体"/>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31"/>
              <w:kinsoku w:val="0"/>
              <w:spacing w:line="400" w:lineRule="exact"/>
              <w:ind w:right="1"/>
              <w:jc w:val="center"/>
              <w:rPr>
                <w:rFonts w:ascii="宋体" w:hAnsi="宋体" w:cs="宋体"/>
                <w:highlight w:val="none"/>
              </w:rPr>
            </w:pPr>
            <w:r>
              <w:rPr>
                <w:rFonts w:hint="eastAsia" w:ascii="宋体" w:hAnsi="宋体" w:cs="宋体"/>
                <w:highlight w:val="none"/>
              </w:rPr>
              <w:t>开标程序</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rPr>
                <w:rFonts w:ascii="宋体" w:hAnsi="宋体" w:cs="宋体"/>
                <w:highlight w:val="none"/>
              </w:rPr>
            </w:pPr>
            <w:r>
              <w:rPr>
                <w:rFonts w:hint="eastAsia" w:ascii="宋体" w:hAnsi="宋体" w:cs="宋体"/>
                <w:highlight w:val="none"/>
              </w:rPr>
              <w:t>1、本项目采用不见面开标形式，所有投标人的法定代表人或委托代理人在开标当日（投标截止时间前）登录三门县公共资源交易不见面开标大厅并签到，</w:t>
            </w:r>
            <w:r>
              <w:rPr>
                <w:rFonts w:hint="eastAsia" w:ascii="宋体" w:hAnsi="宋体" w:cs="宋体"/>
                <w:b/>
                <w:highlight w:val="none"/>
              </w:rPr>
              <w:t>未完成签到的，将无法解密投标文件，并视为放弃投标</w:t>
            </w:r>
            <w:r>
              <w:rPr>
                <w:rFonts w:hint="eastAsia" w:ascii="宋体" w:hAnsi="宋体" w:cs="宋体"/>
                <w:highlight w:val="none"/>
              </w:rPr>
              <w:t>。不见面开标大厅系统登录：插入CA锁并登录交易系统—业务办理—开评标—进入不见面开标系统。</w:t>
            </w:r>
          </w:p>
          <w:p>
            <w:pPr>
              <w:spacing w:line="400" w:lineRule="exact"/>
              <w:rPr>
                <w:rFonts w:ascii="宋体" w:hAnsi="宋体" w:cs="宋体"/>
                <w:highlight w:val="none"/>
              </w:rPr>
            </w:pPr>
            <w:r>
              <w:rPr>
                <w:rFonts w:hint="eastAsia" w:ascii="宋体" w:hAnsi="宋体" w:cs="宋体"/>
                <w:highlight w:val="none"/>
              </w:rPr>
              <w:t>2、招标代理开启不见面开标系统视频直播，开标全过程录像由三门县公共资源交易中心录制保存备查。</w:t>
            </w:r>
          </w:p>
          <w:p>
            <w:pPr>
              <w:spacing w:line="400" w:lineRule="exact"/>
              <w:rPr>
                <w:rFonts w:ascii="宋体" w:hAnsi="宋体" w:cs="宋体"/>
                <w:highlight w:val="none"/>
              </w:rPr>
            </w:pPr>
            <w:r>
              <w:rPr>
                <w:rFonts w:hint="eastAsia" w:ascii="宋体" w:hAnsi="宋体" w:cs="宋体"/>
                <w:highlight w:val="none"/>
              </w:rPr>
              <w:t>3、投标截止时间到达后，各投标人自行在不见面开标系统对电子投标文件进行解密，投标文件解密时间为</w:t>
            </w:r>
            <w:r>
              <w:rPr>
                <w:rFonts w:hint="eastAsia" w:ascii="宋体" w:hAnsi="宋体" w:cs="宋体"/>
                <w:b/>
                <w:bCs/>
                <w:highlight w:val="none"/>
              </w:rPr>
              <w:t>40分钟</w:t>
            </w:r>
            <w:r>
              <w:rPr>
                <w:rFonts w:hint="eastAsia" w:ascii="宋体" w:hAnsi="宋体" w:cs="宋体"/>
                <w:highlight w:val="none"/>
              </w:rPr>
              <w:t>（时间以招标人或招标代理机构确定“开始解密”时开始计算），逾期未解密的视为投标人放弃投标。</w:t>
            </w:r>
          </w:p>
          <w:p>
            <w:pPr>
              <w:spacing w:line="400" w:lineRule="exact"/>
              <w:rPr>
                <w:rFonts w:ascii="宋体" w:hAnsi="宋体" w:cs="宋体"/>
                <w:highlight w:val="none"/>
              </w:rPr>
            </w:pPr>
            <w:r>
              <w:rPr>
                <w:rFonts w:hint="eastAsia" w:ascii="宋体" w:hAnsi="宋体" w:cs="宋体"/>
                <w:highlight w:val="none"/>
              </w:rPr>
              <w:t>4、招标代理现场公布解密投标人投标文件情况。</w:t>
            </w:r>
          </w:p>
          <w:p>
            <w:pPr>
              <w:spacing w:line="400" w:lineRule="exact"/>
              <w:rPr>
                <w:rFonts w:ascii="宋体" w:hAnsi="宋体" w:cs="宋体"/>
                <w:highlight w:val="none"/>
              </w:rPr>
            </w:pPr>
            <w:r>
              <w:rPr>
                <w:rFonts w:hint="eastAsia" w:ascii="宋体" w:hAnsi="宋体" w:cs="宋体"/>
                <w:highlight w:val="none"/>
              </w:rPr>
              <w:t>5、评标委员会根据招标文件规定的程序及方法对投标文件进行评审。每个环节评审结果招标代理均在不见面开标大厅宣布。</w:t>
            </w:r>
          </w:p>
          <w:p>
            <w:pPr>
              <w:spacing w:line="400" w:lineRule="exact"/>
              <w:rPr>
                <w:rFonts w:ascii="宋体" w:hAnsi="宋体" w:cs="宋体"/>
                <w:highlight w:val="none"/>
              </w:rPr>
            </w:pPr>
            <w:r>
              <w:rPr>
                <w:rFonts w:hint="eastAsia" w:ascii="宋体" w:hAnsi="宋体" w:cs="宋体"/>
                <w:highlight w:val="none"/>
              </w:rPr>
              <w:t>6、招标人代表现场抽取调整系数，抽取过程在不见面开标系统同步直播，接受招标监管机构人员监管。</w:t>
            </w:r>
          </w:p>
          <w:p>
            <w:pPr>
              <w:spacing w:line="400" w:lineRule="exact"/>
              <w:rPr>
                <w:rFonts w:ascii="宋体" w:hAnsi="宋体" w:cs="宋体"/>
                <w:highlight w:val="none"/>
              </w:rPr>
            </w:pPr>
            <w:r>
              <w:rPr>
                <w:rFonts w:hint="eastAsia" w:ascii="宋体" w:hAnsi="宋体" w:cs="宋体"/>
                <w:highlight w:val="none"/>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pStyle w:val="31"/>
              <w:tabs>
                <w:tab w:val="left" w:pos="2309"/>
                <w:tab w:val="left" w:pos="2729"/>
                <w:tab w:val="left" w:pos="3826"/>
              </w:tabs>
              <w:kinsoku w:val="0"/>
              <w:snapToGrid w:val="0"/>
              <w:spacing w:line="400" w:lineRule="exact"/>
              <w:ind w:firstLine="240" w:firstLineChars="100"/>
              <w:jc w:val="both"/>
              <w:rPr>
                <w:rFonts w:ascii="宋体" w:hAnsi="宋体" w:cs="宋体"/>
                <w:highlight w:val="none"/>
              </w:rPr>
            </w:pPr>
            <w:r>
              <w:rPr>
                <w:rFonts w:hint="eastAsia" w:ascii="宋体" w:hAnsi="宋体" w:cs="宋体"/>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tblPrEx>
          <w:tblCellMar>
            <w:top w:w="0" w:type="dxa"/>
            <w:left w:w="57" w:type="dxa"/>
            <w:bottom w:w="0" w:type="dxa"/>
            <w:right w:w="57" w:type="dxa"/>
          </w:tblCellMar>
        </w:tblPrEx>
        <w:trPr>
          <w:trHeight w:val="1049"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08"/>
              <w:ind w:left="103" w:right="-5"/>
              <w:jc w:val="center"/>
              <w:rPr>
                <w:rFonts w:ascii="宋体" w:hAnsi="宋体" w:cs="宋体"/>
                <w:highlight w:val="none"/>
              </w:rPr>
            </w:pPr>
            <w:r>
              <w:rPr>
                <w:rFonts w:ascii="宋体" w:hAnsi="宋体" w:cs="宋体"/>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highlight w:val="none"/>
              </w:rPr>
            </w:pPr>
            <w:r>
              <w:rPr>
                <w:rFonts w:hint="eastAsia" w:ascii="宋体" w:hAnsi="宋体" w:cs="宋体"/>
                <w:highlight w:val="none"/>
              </w:rPr>
              <w:t>特殊情况处置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9"/>
              <w:snapToGrid w:val="0"/>
              <w:spacing w:line="400" w:lineRule="exact"/>
              <w:ind w:left="0" w:firstLine="0" w:firstLineChars="0"/>
              <w:rPr>
                <w:rFonts w:ascii="宋体" w:hAnsi="宋体" w:cs="宋体"/>
                <w:sz w:val="24"/>
                <w:highlight w:val="none"/>
              </w:rPr>
            </w:pPr>
            <w:r>
              <w:rPr>
                <w:rFonts w:hint="eastAsia" w:ascii="宋体" w:hAnsi="宋体" w:cs="宋体"/>
                <w:sz w:val="24"/>
                <w:highlight w:val="none"/>
              </w:rPr>
              <w:t>1.因电力等不可抗力因素延期开标的，需更新制作投标文件并按招标文件要求重新递交。</w:t>
            </w:r>
          </w:p>
          <w:p>
            <w:pPr>
              <w:pStyle w:val="9"/>
              <w:snapToGrid w:val="0"/>
              <w:spacing w:line="400" w:lineRule="exact"/>
              <w:ind w:left="0" w:firstLine="0" w:firstLineChars="0"/>
              <w:rPr>
                <w:rFonts w:ascii="宋体" w:hAnsi="宋体" w:cs="宋体"/>
                <w:sz w:val="24"/>
                <w:highlight w:val="none"/>
                <w:u w:val="single"/>
              </w:rPr>
            </w:pPr>
            <w:r>
              <w:rPr>
                <w:rFonts w:hint="eastAsia" w:ascii="宋体" w:hAnsi="宋体" w:cs="宋体"/>
                <w:sz w:val="24"/>
                <w:highlight w:val="none"/>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38"/>
              <w:ind w:left="367"/>
              <w:jc w:val="center"/>
              <w:rPr>
                <w:rFonts w:ascii="宋体" w:hAnsi="宋体"/>
                <w:highlight w:val="none"/>
              </w:rPr>
            </w:pPr>
            <w:r>
              <w:rPr>
                <w:rFonts w:ascii="宋体" w:hAnsi="宋体"/>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评标委员会的组建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2"/>
              <w:kinsoku w:val="0"/>
              <w:snapToGrid w:val="0"/>
              <w:spacing w:line="400" w:lineRule="exact"/>
              <w:jc w:val="both"/>
              <w:rPr>
                <w:rFonts w:cs="宋体"/>
                <w:szCs w:val="24"/>
                <w:highlight w:val="none"/>
              </w:rPr>
            </w:pPr>
            <w:r>
              <w:rPr>
                <w:rFonts w:hint="eastAsia" w:cs="宋体"/>
                <w:spacing w:val="-2"/>
                <w:szCs w:val="24"/>
                <w:highlight w:val="none"/>
              </w:rPr>
              <w:t>评标委员会构成：</w:t>
            </w:r>
            <w:r>
              <w:rPr>
                <w:rFonts w:hint="eastAsia" w:cs="宋体"/>
                <w:color w:val="000000"/>
                <w:szCs w:val="24"/>
                <w:highlight w:val="none"/>
                <w:lang w:val="en-US"/>
              </w:rPr>
              <w:t>执行《浙江省综合性评标专家库管理办法实施细则》相关规定。</w:t>
            </w:r>
          </w:p>
        </w:tc>
      </w:tr>
      <w:tr>
        <w:tblPrEx>
          <w:tblCellMar>
            <w:top w:w="0" w:type="dxa"/>
            <w:left w:w="57" w:type="dxa"/>
            <w:bottom w:w="0" w:type="dxa"/>
            <w:right w:w="57" w:type="dxa"/>
          </w:tblCellMar>
        </w:tblPrEx>
        <w:trPr>
          <w:trHeight w:val="90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cs="宋体"/>
                <w:highlight w:val="none"/>
              </w:rPr>
            </w:pPr>
            <w:r>
              <w:rPr>
                <w:rFonts w:ascii="宋体" w:hAnsi="宋体" w:cs="宋体"/>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color w:val="auto"/>
                <w:highlight w:val="none"/>
              </w:rPr>
            </w:pPr>
            <w:r>
              <w:rPr>
                <w:rFonts w:hint="eastAsia" w:ascii="宋体" w:hAnsi="宋体" w:cs="宋体"/>
                <w:color w:val="auto"/>
                <w:highlight w:val="none"/>
              </w:rPr>
              <w:t>评标办法</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tabs>
                <w:tab w:val="left" w:pos="2309"/>
                <w:tab w:val="left" w:pos="2729"/>
                <w:tab w:val="left" w:pos="3826"/>
              </w:tabs>
              <w:kinsoku w:val="0"/>
              <w:snapToGrid w:val="0"/>
              <w:spacing w:line="400" w:lineRule="exact"/>
              <w:jc w:val="both"/>
              <w:rPr>
                <w:rFonts w:ascii="宋体" w:hAnsi="宋体" w:cs="宋体"/>
                <w:color w:val="auto"/>
                <w:highlight w:val="none"/>
              </w:rPr>
            </w:pPr>
            <w:r>
              <w:rPr>
                <w:rFonts w:hint="eastAsia" w:ascii="宋体" w:hAnsi="宋体"/>
              </w:rPr>
              <w:t>资信商务评估法：资</w:t>
            </w:r>
            <w:r>
              <w:rPr>
                <w:rFonts w:hint="eastAsia" w:ascii="宋体" w:hAnsi="宋体"/>
                <w:highlight w:val="none"/>
              </w:rPr>
              <w:t>信标评分（</w:t>
            </w:r>
            <w:r>
              <w:rPr>
                <w:rFonts w:hint="eastAsia" w:ascii="宋体" w:hAnsi="宋体"/>
                <w:highlight w:val="none"/>
                <w:lang w:val="en-US" w:eastAsia="zh-CN"/>
              </w:rPr>
              <w:t>5</w:t>
            </w:r>
            <w:r>
              <w:rPr>
                <w:rFonts w:hint="eastAsia" w:ascii="宋体" w:hAnsi="宋体"/>
                <w:highlight w:val="none"/>
              </w:rPr>
              <w:t>分）</w:t>
            </w:r>
            <w:r>
              <w:rPr>
                <w:rFonts w:ascii="宋体" w:hAnsi="宋体"/>
                <w:highlight w:val="none"/>
              </w:rPr>
              <w:t>,</w:t>
            </w:r>
            <w:r>
              <w:rPr>
                <w:rFonts w:hint="eastAsia" w:ascii="宋体" w:hAnsi="宋体"/>
                <w:highlight w:val="none"/>
              </w:rPr>
              <w:t>商务标评分（9</w:t>
            </w:r>
            <w:r>
              <w:rPr>
                <w:rFonts w:hint="eastAsia" w:ascii="宋体" w:hAnsi="宋体"/>
                <w:highlight w:val="none"/>
                <w:lang w:val="en-US" w:eastAsia="zh-CN"/>
              </w:rPr>
              <w:t>0</w:t>
            </w:r>
            <w:r>
              <w:rPr>
                <w:rFonts w:hint="eastAsia" w:ascii="宋体" w:hAnsi="宋体"/>
                <w:highlight w:val="none"/>
              </w:rPr>
              <w:t>分）。</w:t>
            </w:r>
          </w:p>
        </w:tc>
      </w:tr>
      <w:tr>
        <w:tblPrEx>
          <w:tblCellMar>
            <w:top w:w="0" w:type="dxa"/>
            <w:left w:w="57" w:type="dxa"/>
            <w:bottom w:w="0" w:type="dxa"/>
            <w:right w:w="57" w:type="dxa"/>
          </w:tblCellMar>
        </w:tblPrEx>
        <w:trPr>
          <w:trHeight w:val="4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cs="宋体"/>
                <w:highlight w:val="none"/>
              </w:rPr>
            </w:pPr>
            <w:r>
              <w:rPr>
                <w:rFonts w:ascii="宋体" w:hAnsi="宋体" w:cs="宋体"/>
                <w:highlight w:val="none"/>
              </w:rPr>
              <w:sym w:font="Times New Roman" w:char="0000"/>
            </w:r>
            <w:r>
              <w:rPr>
                <w:rFonts w:ascii="宋体" w:hAnsi="宋体" w:cs="宋体"/>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评标基准价的确定方法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kinsoku w:val="0"/>
              <w:autoSpaceDE/>
              <w:autoSpaceDN/>
              <w:adjustRightInd/>
              <w:snapToGrid w:val="0"/>
              <w:spacing w:line="400" w:lineRule="exact"/>
              <w:jc w:val="both"/>
              <w:rPr>
                <w:rFonts w:ascii="宋体" w:hAnsi="宋体" w:cs="宋体"/>
                <w:highlight w:val="none"/>
              </w:rPr>
            </w:pPr>
            <w:r>
              <w:rPr>
                <w:rFonts w:hint="eastAsia" w:ascii="宋体" w:hAnsi="宋体" w:cs="宋体"/>
                <w:highlight w:val="none"/>
              </w:rPr>
              <w:t>抽签法：评标基准价＝最高投标限价×调整系数,调整系数＝（100－D）%，D值在0.00～0.99范围内随机抽取产生。</w:t>
            </w:r>
          </w:p>
        </w:tc>
      </w:tr>
      <w:tr>
        <w:tblPrEx>
          <w:tblCellMar>
            <w:top w:w="0" w:type="dxa"/>
            <w:left w:w="57" w:type="dxa"/>
            <w:bottom w:w="0" w:type="dxa"/>
            <w:right w:w="57" w:type="dxa"/>
          </w:tblCellMar>
        </w:tblPrEx>
        <w:trPr>
          <w:trHeight w:val="852"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31"/>
              <w:kinsoku w:val="0"/>
              <w:jc w:val="center"/>
              <w:rPr>
                <w:rFonts w:ascii="宋体" w:hAnsi="宋体" w:cs="宋体"/>
                <w:highlight w:val="none"/>
              </w:rPr>
            </w:pPr>
            <w:r>
              <w:rPr>
                <w:rFonts w:ascii="宋体" w:hAnsi="宋体" w:cs="宋体"/>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评标委员会推荐中标候选人的人数</w:t>
            </w:r>
          </w:p>
        </w:tc>
        <w:tc>
          <w:tcPr>
            <w:tcW w:w="6858" w:type="dxa"/>
            <w:tcBorders>
              <w:top w:val="single" w:color="000000" w:sz="4" w:space="0"/>
              <w:left w:val="single" w:color="000000" w:sz="4" w:space="0"/>
              <w:bottom w:val="single" w:color="auto" w:sz="4" w:space="0"/>
              <w:right w:val="single" w:color="000000" w:sz="4" w:space="0"/>
            </w:tcBorders>
            <w:vAlign w:val="center"/>
          </w:tcPr>
          <w:p>
            <w:pPr>
              <w:pStyle w:val="15"/>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推荐一名中标候选人。</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31"/>
              <w:kinsoku w:val="0"/>
              <w:spacing w:before="148"/>
              <w:ind w:left="2"/>
              <w:jc w:val="center"/>
              <w:rPr>
                <w:rFonts w:ascii="宋体" w:hAnsi="宋体"/>
                <w:highlight w:val="none"/>
              </w:rPr>
            </w:pPr>
            <w:r>
              <w:rPr>
                <w:rFonts w:ascii="宋体" w:hAnsi="宋体"/>
                <w:highlight w:val="none"/>
              </w:rPr>
              <w:t>7.1</w:t>
            </w:r>
            <w:r>
              <w:rPr>
                <w:rFonts w:hint="eastAsia" w:ascii="宋体" w:hAnsi="宋体"/>
                <w:highlight w:val="none"/>
              </w:rPr>
              <w:t>.1</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中标候选人公示媒介及期限</w:t>
            </w:r>
          </w:p>
        </w:tc>
        <w:tc>
          <w:tcPr>
            <w:tcW w:w="6858" w:type="dxa"/>
            <w:tcBorders>
              <w:top w:val="single" w:color="auto" w:sz="4" w:space="0"/>
              <w:left w:val="single" w:color="000000" w:sz="4" w:space="0"/>
              <w:bottom w:val="single" w:color="000000" w:sz="4" w:space="0"/>
              <w:right w:val="single" w:color="000000" w:sz="4" w:space="0"/>
            </w:tcBorders>
            <w:vAlign w:val="center"/>
          </w:tcPr>
          <w:p>
            <w:pPr>
              <w:widowControl/>
              <w:autoSpaceDE/>
              <w:autoSpaceDN/>
              <w:adjustRightInd/>
              <w:spacing w:line="400" w:lineRule="exact"/>
              <w:rPr>
                <w:rFonts w:ascii="宋体" w:hAnsi="宋体" w:cs="宋体"/>
                <w:highlight w:val="none"/>
              </w:rPr>
            </w:pPr>
            <w:r>
              <w:rPr>
                <w:rFonts w:hint="eastAsia" w:ascii="宋体" w:hAnsi="宋体" w:cs="宋体"/>
                <w:highlight w:val="none"/>
              </w:rPr>
              <w:t>公示媒介：三门县公共资源交易网（网址：http://www.sanmen.gov.cn/col/col1229610743/index.html）和浙江省公共资源交易服务平台</w:t>
            </w:r>
            <w:r>
              <w:rPr>
                <w:rFonts w:hint="eastAsia" w:ascii="宋体" w:hAnsi="宋体" w:cs="宋体"/>
                <w:highlight w:val="none"/>
                <w:u w:val="single"/>
              </w:rPr>
              <w:t>https://ggzy.zj.gov.cn</w:t>
            </w:r>
            <w:r>
              <w:rPr>
                <w:rFonts w:hint="eastAsia" w:ascii="宋体" w:hAnsi="宋体" w:cs="宋体"/>
                <w:highlight w:val="none"/>
              </w:rPr>
              <w:t>上发布。</w:t>
            </w:r>
          </w:p>
          <w:p>
            <w:pPr>
              <w:pStyle w:val="31"/>
              <w:tabs>
                <w:tab w:val="left" w:pos="2100"/>
              </w:tabs>
              <w:kinsoku w:val="0"/>
              <w:snapToGrid w:val="0"/>
              <w:spacing w:line="400" w:lineRule="exact"/>
              <w:jc w:val="both"/>
              <w:rPr>
                <w:rFonts w:ascii="宋体" w:hAnsi="宋体" w:cs="宋体"/>
                <w:highlight w:val="none"/>
              </w:rPr>
            </w:pPr>
            <w:r>
              <w:rPr>
                <w:rFonts w:hint="eastAsia" w:ascii="宋体" w:hAnsi="宋体" w:cs="宋体"/>
                <w:spacing w:val="-2"/>
                <w:highlight w:val="none"/>
              </w:rPr>
              <w:t>公示期限：不少于3日。如遇国家法定休假日，应顺延至法定休假日后第一个工作日。</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31"/>
              <w:kinsoku w:val="0"/>
              <w:spacing w:before="148"/>
              <w:ind w:left="2"/>
              <w:jc w:val="center"/>
              <w:rPr>
                <w:rFonts w:ascii="宋体" w:hAnsi="宋体"/>
                <w:highlight w:val="none"/>
              </w:rPr>
            </w:pPr>
            <w:r>
              <w:rPr>
                <w:rFonts w:hint="eastAsia" w:ascii="宋体" w:hAnsi="宋体"/>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中标候选人公示的其他内容</w:t>
            </w:r>
          </w:p>
        </w:tc>
        <w:tc>
          <w:tcPr>
            <w:tcW w:w="6858" w:type="dxa"/>
            <w:tcBorders>
              <w:top w:val="single" w:color="auto" w:sz="4" w:space="0"/>
              <w:left w:val="single" w:color="000000" w:sz="4" w:space="0"/>
              <w:bottom w:val="single" w:color="000000" w:sz="4" w:space="0"/>
              <w:right w:val="single" w:color="000000" w:sz="4" w:space="0"/>
            </w:tcBorders>
            <w:vAlign w:val="center"/>
          </w:tcPr>
          <w:p>
            <w:pPr>
              <w:pStyle w:val="31"/>
              <w:tabs>
                <w:tab w:val="left" w:pos="2100"/>
              </w:tabs>
              <w:kinsoku w:val="0"/>
              <w:snapToGrid w:val="0"/>
              <w:spacing w:line="400" w:lineRule="exact"/>
              <w:jc w:val="both"/>
              <w:rPr>
                <w:rFonts w:ascii="宋体" w:hAnsi="宋体" w:cs="宋体"/>
                <w:b/>
                <w:highlight w:val="none"/>
              </w:rPr>
            </w:pPr>
            <w:r>
              <w:rPr>
                <w:rFonts w:hint="eastAsia" w:ascii="宋体" w:hAnsi="宋体" w:cs="宋体"/>
                <w:b/>
                <w:highlight w:val="none"/>
              </w:rPr>
              <w:t>被否决的投标及否决原因。</w:t>
            </w:r>
          </w:p>
        </w:tc>
      </w:tr>
      <w:tr>
        <w:tblPrEx>
          <w:tblCellMar>
            <w:top w:w="0" w:type="dxa"/>
            <w:left w:w="57" w:type="dxa"/>
            <w:bottom w:w="0" w:type="dxa"/>
            <w:right w:w="57" w:type="dxa"/>
          </w:tblCellMar>
        </w:tblPrEx>
        <w:trPr>
          <w:trHeight w:val="866" w:hRule="atLeast"/>
          <w:jc w:val="center"/>
        </w:trPr>
        <w:tc>
          <w:tcPr>
            <w:tcW w:w="1294" w:type="dxa"/>
            <w:gridSpan w:val="2"/>
            <w:tcBorders>
              <w:top w:val="single" w:color="000000" w:sz="4" w:space="0"/>
              <w:left w:val="single" w:color="000000" w:sz="4" w:space="0"/>
              <w:right w:val="single" w:color="000000" w:sz="4" w:space="0"/>
            </w:tcBorders>
            <w:vAlign w:val="center"/>
          </w:tcPr>
          <w:p>
            <w:pPr>
              <w:pStyle w:val="31"/>
              <w:kinsoku w:val="0"/>
              <w:spacing w:before="145"/>
              <w:ind w:left="2"/>
              <w:jc w:val="center"/>
              <w:rPr>
                <w:rFonts w:ascii="宋体" w:hAnsi="宋体"/>
                <w:highlight w:val="none"/>
              </w:rPr>
            </w:pPr>
            <w:r>
              <w:rPr>
                <w:rFonts w:ascii="宋体" w:hAnsi="宋体"/>
                <w:highlight w:val="none"/>
              </w:rPr>
              <w:t>7.2</w:t>
            </w:r>
          </w:p>
        </w:tc>
        <w:tc>
          <w:tcPr>
            <w:tcW w:w="1697" w:type="dxa"/>
            <w:tcBorders>
              <w:top w:val="single" w:color="000000" w:sz="4" w:space="0"/>
              <w:left w:val="single" w:color="000000" w:sz="4" w:space="0"/>
              <w:right w:val="single" w:color="000000" w:sz="4" w:space="0"/>
            </w:tcBorders>
            <w:vAlign w:val="center"/>
          </w:tcPr>
          <w:p>
            <w:pPr>
              <w:pStyle w:val="31"/>
              <w:kinsoku w:val="0"/>
              <w:snapToGrid w:val="0"/>
              <w:jc w:val="center"/>
              <w:rPr>
                <w:rFonts w:ascii="宋体" w:hAnsi="宋体" w:cs="宋体"/>
                <w:highlight w:val="none"/>
              </w:rPr>
            </w:pPr>
            <w:r>
              <w:rPr>
                <w:rFonts w:hint="eastAsia" w:ascii="宋体" w:hAnsi="宋体" w:cs="宋体"/>
                <w:highlight w:val="none"/>
              </w:rPr>
              <w:t>是否授权评标委员会确定中标人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napToGrid w:val="0"/>
              <w:spacing w:line="400" w:lineRule="exact"/>
              <w:jc w:val="both"/>
              <w:rPr>
                <w:rFonts w:hint="eastAsia" w:ascii="宋体" w:hAnsi="宋体" w:eastAsia="宋体" w:cs="宋体"/>
                <w:highlight w:val="none"/>
                <w:lang w:eastAsia="zh-CN"/>
              </w:rPr>
            </w:pPr>
            <w:r>
              <w:rPr>
                <w:rFonts w:hint="eastAsia" w:ascii="宋体" w:hAnsi="宋体" w:cs="宋体"/>
                <w:highlight w:val="none"/>
                <w:lang w:eastAsia="zh-CN"/>
              </w:rPr>
              <w:t>是</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ind w:left="367" w:firstLine="240" w:firstLineChars="100"/>
              <w:jc w:val="center"/>
              <w:rPr>
                <w:rFonts w:ascii="宋体" w:hAnsi="宋体"/>
                <w:highlight w:val="none"/>
              </w:rPr>
            </w:pPr>
            <w:r>
              <w:rPr>
                <w:rFonts w:ascii="宋体" w:hAnsi="宋体"/>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highlight w:val="none"/>
              </w:rPr>
            </w:pPr>
            <w:r>
              <w:rPr>
                <w:rFonts w:hint="eastAsia" w:ascii="宋体" w:hAnsi="宋体" w:cs="宋体"/>
                <w:highlight w:val="none"/>
              </w:rPr>
              <w:t>工程款支付担保内容同履约担保</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ind w:firstLine="0" w:firstLineChars="0"/>
              <w:rPr>
                <w:rFonts w:ascii="宋体" w:hAnsi="宋体" w:cs="宋体"/>
                <w:highlight w:val="none"/>
              </w:rPr>
            </w:pPr>
            <w:r>
              <w:rPr>
                <w:rFonts w:hint="eastAsia" w:ascii="宋体" w:hAnsi="宋体" w:cs="宋体"/>
                <w:highlight w:val="none"/>
              </w:rPr>
              <w:t>1、履约担保的形式：</w:t>
            </w:r>
            <w:r>
              <w:rPr>
                <w:rFonts w:hint="eastAsia" w:ascii="宋体" w:hAnsi="宋体" w:cs="宋体"/>
                <w:spacing w:val="-2"/>
                <w:highlight w:val="none"/>
              </w:rPr>
              <w:t>工程保</w:t>
            </w:r>
            <w:r>
              <w:rPr>
                <w:rFonts w:hint="eastAsia" w:ascii="宋体" w:hAnsi="宋体" w:cs="宋体"/>
                <w:spacing w:val="-10"/>
                <w:highlight w:val="none"/>
              </w:rPr>
              <w:t>函</w:t>
            </w:r>
            <w:r>
              <w:rPr>
                <w:rFonts w:hint="eastAsia" w:ascii="宋体" w:hAnsi="宋体" w:cs="宋体"/>
                <w:spacing w:val="-2"/>
                <w:highlight w:val="none"/>
              </w:rPr>
              <w:t>（</w:t>
            </w:r>
            <w:r>
              <w:rPr>
                <w:rFonts w:hint="eastAsia" w:ascii="宋体" w:hAnsi="宋体" w:cs="宋体"/>
                <w:b/>
                <w:spacing w:val="-2"/>
                <w:highlight w:val="none"/>
              </w:rPr>
              <w:t>银行保函</w:t>
            </w:r>
            <w:r>
              <w:rPr>
                <w:rFonts w:hint="eastAsia" w:ascii="宋体" w:hAnsi="宋体" w:cs="宋体"/>
                <w:b/>
                <w:spacing w:val="-11"/>
                <w:highlight w:val="none"/>
              </w:rPr>
              <w:t>、</w:t>
            </w:r>
            <w:r>
              <w:rPr>
                <w:rFonts w:hint="eastAsia" w:ascii="宋体" w:hAnsi="宋体" w:cs="宋体"/>
                <w:b/>
                <w:spacing w:val="-2"/>
                <w:highlight w:val="none"/>
              </w:rPr>
              <w:t>保险机构</w:t>
            </w:r>
            <w:r>
              <w:rPr>
                <w:rFonts w:hint="eastAsia" w:ascii="宋体" w:hAnsi="宋体" w:cs="宋体"/>
                <w:b/>
                <w:spacing w:val="-1"/>
                <w:highlight w:val="none"/>
              </w:rPr>
              <w:t>保证</w:t>
            </w:r>
            <w:r>
              <w:rPr>
                <w:rFonts w:hint="eastAsia" w:ascii="宋体" w:hAnsi="宋体" w:cs="宋体"/>
                <w:b/>
                <w:highlight w:val="none"/>
              </w:rPr>
              <w:t>保险保单，</w:t>
            </w:r>
            <w:r>
              <w:rPr>
                <w:rFonts w:hint="eastAsia" w:ascii="宋体" w:hAnsi="宋体" w:cs="宋体"/>
                <w:b/>
                <w:spacing w:val="-2"/>
                <w:highlight w:val="none"/>
              </w:rPr>
              <w:t>融资担保公司保函</w:t>
            </w:r>
            <w:r>
              <w:rPr>
                <w:rFonts w:hint="eastAsia" w:ascii="宋体" w:hAnsi="宋体" w:cs="宋体"/>
                <w:highlight w:val="none"/>
              </w:rPr>
              <w:t>）。</w:t>
            </w:r>
          </w:p>
          <w:p>
            <w:pPr>
              <w:pStyle w:val="4"/>
              <w:spacing w:line="400" w:lineRule="exact"/>
              <w:ind w:firstLine="0" w:firstLineChars="0"/>
              <w:rPr>
                <w:rFonts w:ascii="宋体" w:hAnsi="宋体" w:cs="宋体"/>
                <w:highlight w:val="none"/>
              </w:rPr>
            </w:pPr>
            <w:r>
              <w:rPr>
                <w:rFonts w:hint="eastAsia" w:ascii="宋体" w:hAnsi="宋体" w:cs="宋体"/>
                <w:highlight w:val="none"/>
              </w:rPr>
              <w:t>2、履约担保的金额：合同价的2%。</w:t>
            </w:r>
          </w:p>
          <w:p>
            <w:pPr>
              <w:pStyle w:val="15"/>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rPr>
              <w:t>民工工资支付担保的相关约定：按三人社[2019]41 号关于印发三门县建设领域民工工资管理办法（试行）的实施意见及浙建[2020]7 号关于在全省工程建设领域改革保证金制度的通知等相关文件执行。</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ind w:left="367" w:firstLine="240" w:firstLineChars="100"/>
              <w:jc w:val="center"/>
              <w:rPr>
                <w:rFonts w:ascii="宋体" w:hAnsi="宋体"/>
                <w:highlight w:val="none"/>
              </w:rPr>
            </w:pPr>
            <w:r>
              <w:rPr>
                <w:rFonts w:ascii="宋体" w:hAnsi="宋体"/>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highlight w:val="none"/>
              </w:rPr>
            </w:pPr>
            <w:r>
              <w:rPr>
                <w:rFonts w:hint="eastAsia" w:ascii="宋体" w:hAnsi="宋体" w:cs="宋体"/>
                <w:highlight w:val="none"/>
              </w:rPr>
              <w:t>重新招标其他情形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highlight w:val="none"/>
              </w:rPr>
            </w:pPr>
            <w:r>
              <w:rPr>
                <w:rFonts w:hint="eastAsia" w:ascii="宋体" w:hAnsi="宋体" w:cs="宋体"/>
                <w:highlight w:val="none"/>
              </w:rPr>
              <w:t>1.招标投标过程中，因项目发生变更，现有招标资格条件与项目工程规模不符的；</w:t>
            </w:r>
          </w:p>
          <w:p>
            <w:pPr>
              <w:snapToGrid w:val="0"/>
              <w:spacing w:line="400" w:lineRule="exact"/>
              <w:jc w:val="both"/>
              <w:rPr>
                <w:rFonts w:ascii="宋体" w:hAnsi="宋体" w:cs="宋体"/>
                <w:highlight w:val="none"/>
              </w:rPr>
            </w:pPr>
            <w:r>
              <w:rPr>
                <w:rFonts w:hint="eastAsia" w:ascii="宋体" w:hAnsi="宋体" w:cs="宋体"/>
                <w:highlight w:val="none"/>
              </w:rPr>
              <w:t>2.国有资金占控股或者主导地位的依法必须进行招标的项目，招标人应当确定中标候选人为中标人中标候选人放弃中标、因不可抗力不能履行合同、不按照招标文件要求提交履约保证金，或者被查实存在影响中标结果的违法行为等情形，不符合中标条件的，本次招标失败，招标人重新招标。</w:t>
            </w:r>
          </w:p>
          <w:p>
            <w:pPr>
              <w:tabs>
                <w:tab w:val="left" w:pos="9360"/>
              </w:tabs>
              <w:spacing w:line="400" w:lineRule="exact"/>
              <w:jc w:val="both"/>
              <w:rPr>
                <w:rFonts w:ascii="宋体" w:hAnsi="宋体" w:cs="宋体"/>
                <w:highlight w:val="none"/>
              </w:rPr>
            </w:pPr>
            <w:r>
              <w:rPr>
                <w:rFonts w:hint="eastAsia" w:ascii="宋体" w:hAnsi="宋体" w:cs="宋体"/>
                <w:highlight w:val="none"/>
              </w:rPr>
              <w:t>3.法律法规规定的其他情形。</w:t>
            </w:r>
          </w:p>
        </w:tc>
      </w:tr>
      <w:tr>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ind w:left="367" w:firstLine="240" w:firstLineChars="100"/>
              <w:jc w:val="center"/>
              <w:rPr>
                <w:rFonts w:ascii="宋体" w:hAnsi="宋体"/>
                <w:highlight w:val="none"/>
              </w:rPr>
            </w:pPr>
            <w:r>
              <w:rPr>
                <w:rFonts w:ascii="宋体" w:hAnsi="宋体"/>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highlight w:val="none"/>
              </w:rPr>
            </w:pPr>
            <w:r>
              <w:rPr>
                <w:rFonts w:hint="eastAsia" w:ascii="宋体" w:hAnsi="宋体" w:cs="宋体"/>
                <w:highlight w:val="none"/>
              </w:rPr>
              <w:t>不再招标的</w:t>
            </w:r>
          </w:p>
          <w:p>
            <w:pPr>
              <w:pStyle w:val="31"/>
              <w:kinsoku w:val="0"/>
              <w:spacing w:line="400" w:lineRule="exact"/>
              <w:ind w:right="1"/>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重新招标后投标人仍少于3个的，属于必须审批、核准的工程建设项目，报经原审批、核准部门审批、核准后可以不再进行招标。</w:t>
            </w:r>
          </w:p>
        </w:tc>
      </w:tr>
      <w:tr>
        <w:tblPrEx>
          <w:tblCellMar>
            <w:top w:w="0" w:type="dxa"/>
            <w:left w:w="57" w:type="dxa"/>
            <w:bottom w:w="0" w:type="dxa"/>
            <w:right w:w="57" w:type="dxa"/>
          </w:tblCellMar>
        </w:tblPrEx>
        <w:trPr>
          <w:gridBefore w:val="1"/>
          <w:wBefore w:w="11" w:type="dxa"/>
          <w:trHeight w:val="98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spacing w:before="145"/>
              <w:jc w:val="center"/>
              <w:rPr>
                <w:rFonts w:ascii="宋体" w:hAnsi="宋体"/>
                <w:highlight w:val="none"/>
              </w:rPr>
            </w:pPr>
            <w:r>
              <w:rPr>
                <w:rFonts w:ascii="宋体" w:hAnsi="宋体"/>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需要补充的</w:t>
            </w:r>
          </w:p>
          <w:p>
            <w:pPr>
              <w:pStyle w:val="31"/>
              <w:kinsoku w:val="0"/>
              <w:spacing w:line="400" w:lineRule="exact"/>
              <w:jc w:val="center"/>
              <w:rPr>
                <w:rFonts w:ascii="宋体" w:hAnsi="宋体" w:cs="宋体"/>
                <w:highlight w:val="none"/>
              </w:rPr>
            </w:pPr>
            <w:r>
              <w:rPr>
                <w:rFonts w:hint="eastAsia" w:ascii="宋体" w:hAnsi="宋体" w:cs="宋体"/>
                <w:highlight w:val="none"/>
              </w:rPr>
              <w:t>其他内容</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highlight w:val="none"/>
              </w:rPr>
            </w:pPr>
            <w:r>
              <w:rPr>
                <w:rFonts w:hint="eastAsia" w:ascii="宋体" w:hAnsi="宋体" w:cs="宋体"/>
                <w:highlight w:val="none"/>
              </w:rPr>
              <w:t>投诉受理的具体部门及电话：三门县住房和城乡建设局； 0576-83333556</w:t>
            </w:r>
          </w:p>
        </w:tc>
      </w:tr>
      <w:tr>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spacing w:before="145"/>
              <w:jc w:val="center"/>
              <w:rPr>
                <w:rFonts w:ascii="宋体" w:hAnsi="宋体"/>
                <w:highlight w:val="none"/>
              </w:rPr>
            </w:pPr>
            <w:r>
              <w:rPr>
                <w:rFonts w:ascii="宋体" w:hAnsi="宋体"/>
                <w:highlight w:val="none"/>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商务标编制</w:t>
            </w:r>
          </w:p>
          <w:p>
            <w:pPr>
              <w:pStyle w:val="31"/>
              <w:kinsoku w:val="0"/>
              <w:spacing w:line="400" w:lineRule="exact"/>
              <w:jc w:val="center"/>
              <w:rPr>
                <w:rFonts w:ascii="宋体" w:hAnsi="宋体" w:cs="宋体"/>
                <w:highlight w:val="none"/>
              </w:rPr>
            </w:pPr>
            <w:r>
              <w:rPr>
                <w:rFonts w:hint="eastAsia" w:ascii="宋体" w:hAnsi="宋体" w:cs="宋体"/>
                <w:highlight w:val="none"/>
              </w:rPr>
              <w:t>相关规定</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hint="eastAsia" w:ascii="宋体" w:hAnsi="宋体" w:cs="宋体"/>
                <w:highlight w:val="none"/>
              </w:rPr>
            </w:pPr>
            <w:r>
              <w:rPr>
                <w:rFonts w:hint="eastAsia" w:ascii="宋体" w:hAnsi="宋体" w:cs="宋体"/>
                <w:highlight w:val="none"/>
              </w:rPr>
              <w:t>根据住房和城乡建设部、省建设主管部门对造价从业人员执业管理的相关法律法规规定以及《建设工程工程量清单计价规范》（GB50500-2013）的规定，投标报价的编制必须遵守以下规定：</w:t>
            </w:r>
          </w:p>
          <w:p>
            <w:pPr>
              <w:snapToGrid w:val="0"/>
              <w:spacing w:line="400" w:lineRule="exact"/>
              <w:jc w:val="both"/>
              <w:rPr>
                <w:rFonts w:hint="eastAsia" w:ascii="宋体" w:hAnsi="宋体" w:cs="宋体"/>
                <w:highlight w:val="none"/>
              </w:rPr>
            </w:pPr>
            <w:r>
              <w:rPr>
                <w:rFonts w:hint="eastAsia" w:ascii="宋体" w:hAnsi="宋体" w:cs="宋体"/>
                <w:highlight w:val="none"/>
              </w:rPr>
              <w:t>1.投标报价应由投标人或受其委托具有相应能力的工程造价咨询人编制。</w:t>
            </w:r>
          </w:p>
          <w:p>
            <w:pPr>
              <w:snapToGrid w:val="0"/>
              <w:spacing w:line="400" w:lineRule="exact"/>
              <w:jc w:val="both"/>
              <w:rPr>
                <w:rFonts w:hint="eastAsia" w:ascii="宋体" w:hAnsi="宋体" w:cs="宋体"/>
                <w:highlight w:val="none"/>
              </w:rPr>
            </w:pPr>
            <w:r>
              <w:rPr>
                <w:rFonts w:hint="eastAsia" w:ascii="宋体" w:hAnsi="宋体" w:cs="宋体"/>
                <w:highlight w:val="none"/>
              </w:rPr>
              <w:t>2.投标文件的编制人不得接受同一工程招标人委托编制招标文件（含招标控制价)，并不得接受其他投标人委托编制投标文件</w:t>
            </w:r>
          </w:p>
          <w:p>
            <w:pPr>
              <w:snapToGrid w:val="0"/>
              <w:spacing w:line="400" w:lineRule="exact"/>
              <w:jc w:val="both"/>
              <w:rPr>
                <w:rFonts w:ascii="宋体" w:hAnsi="宋体" w:cs="宋体"/>
                <w:highlight w:val="none"/>
              </w:rPr>
            </w:pPr>
            <w:r>
              <w:rPr>
                <w:rFonts w:hint="eastAsia" w:ascii="宋体" w:hAnsi="宋体" w:cs="宋体"/>
                <w:highlight w:val="none"/>
              </w:rPr>
              <w:t xml:space="preserve">3. </w:t>
            </w:r>
            <w:r>
              <w:rPr>
                <w:rFonts w:hint="eastAsia" w:ascii="宋体" w:hAnsi="宋体" w:cs="宋体"/>
                <w:b/>
                <w:bCs/>
                <w:highlight w:val="none"/>
              </w:rPr>
              <w:t>投标函格式由“三门商务标投标(18定额)”自动生成。</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spacing w:before="145"/>
              <w:jc w:val="center"/>
              <w:rPr>
                <w:rFonts w:ascii="宋体" w:hAnsi="宋体"/>
                <w:highlight w:val="none"/>
              </w:rPr>
            </w:pPr>
            <w:r>
              <w:rPr>
                <w:rFonts w:ascii="宋体" w:hAnsi="宋体"/>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投标文件的</w:t>
            </w:r>
          </w:p>
          <w:p>
            <w:pPr>
              <w:pStyle w:val="31"/>
              <w:kinsoku w:val="0"/>
              <w:spacing w:line="400" w:lineRule="exact"/>
              <w:jc w:val="center"/>
              <w:rPr>
                <w:rFonts w:ascii="宋体" w:hAnsi="宋体" w:cs="宋体"/>
                <w:highlight w:val="none"/>
              </w:rPr>
            </w:pPr>
            <w:r>
              <w:rPr>
                <w:rFonts w:hint="eastAsia" w:ascii="宋体" w:hAnsi="宋体" w:cs="宋体"/>
                <w:highlight w:val="none"/>
              </w:rPr>
              <w:t>澄清、说明</w:t>
            </w:r>
          </w:p>
          <w:p>
            <w:pPr>
              <w:pStyle w:val="31"/>
              <w:kinsoku w:val="0"/>
              <w:spacing w:line="400" w:lineRule="exact"/>
              <w:jc w:val="center"/>
              <w:rPr>
                <w:rFonts w:ascii="宋体" w:hAnsi="宋体" w:cs="宋体"/>
                <w:highlight w:val="none"/>
              </w:rPr>
            </w:pPr>
            <w:r>
              <w:rPr>
                <w:rFonts w:hint="eastAsia" w:ascii="宋体" w:hAnsi="宋体" w:cs="宋体"/>
                <w:highlight w:val="none"/>
              </w:rPr>
              <w:t>或补正</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2"/>
              <w:snapToGrid w:val="0"/>
              <w:spacing w:line="400" w:lineRule="exact"/>
              <w:jc w:val="both"/>
              <w:rPr>
                <w:rFonts w:cs="宋体"/>
                <w:szCs w:val="24"/>
                <w:highlight w:val="none"/>
              </w:rPr>
            </w:pPr>
            <w:r>
              <w:rPr>
                <w:rFonts w:hint="eastAsia" w:cs="宋体"/>
                <w:szCs w:val="24"/>
                <w:highlight w:val="none"/>
                <w:lang w:val="en-US"/>
              </w:rPr>
              <w:t>1.</w:t>
            </w:r>
            <w:r>
              <w:rPr>
                <w:rFonts w:hint="eastAsia" w:cs="宋体"/>
                <w:szCs w:val="24"/>
                <w:highlight w:val="none"/>
              </w:rPr>
              <w:t>澄清回复时间不得超过在发出通知后</w:t>
            </w:r>
            <w:r>
              <w:rPr>
                <w:rFonts w:hint="eastAsia" w:cs="宋体"/>
                <w:szCs w:val="24"/>
                <w:highlight w:val="none"/>
                <w:u w:val="single"/>
                <w:lang w:val="en-US"/>
              </w:rPr>
              <w:t>30</w:t>
            </w:r>
            <w:r>
              <w:rPr>
                <w:rFonts w:hint="eastAsia" w:cs="宋体"/>
                <w:szCs w:val="24"/>
                <w:highlight w:val="none"/>
              </w:rPr>
              <w:t>分钟，投标人逾期或未按要求澄清回复的，将视为不予回复或确认，评标委员会有权否决其投标。投标人通讯不畅通，导致不能及时联系的，视作为投标人不予回复或确认。</w:t>
            </w:r>
          </w:p>
          <w:p>
            <w:pPr>
              <w:pStyle w:val="32"/>
              <w:snapToGrid w:val="0"/>
              <w:spacing w:line="400" w:lineRule="exact"/>
              <w:jc w:val="both"/>
              <w:rPr>
                <w:rFonts w:cs="宋体"/>
                <w:szCs w:val="24"/>
                <w:highlight w:val="none"/>
              </w:rPr>
            </w:pPr>
            <w:r>
              <w:rPr>
                <w:rFonts w:hint="eastAsia" w:cs="宋体"/>
                <w:szCs w:val="24"/>
                <w:highlight w:val="none"/>
              </w:rPr>
              <w:t>2</w:t>
            </w:r>
            <w:r>
              <w:rPr>
                <w:rFonts w:hint="eastAsia" w:cs="宋体"/>
                <w:szCs w:val="24"/>
                <w:highlight w:val="none"/>
                <w:lang w:val="en-US"/>
              </w:rPr>
              <w:t>.</w:t>
            </w:r>
            <w:r>
              <w:rPr>
                <w:rFonts w:hint="eastAsia" w:cs="宋体"/>
                <w:szCs w:val="24"/>
                <w:highlight w:val="none"/>
              </w:rPr>
              <w:t>评标委员会对投标人提交的澄清、说明或补正有疑问的，可以要求投标人进一步澄清、说明或补正，直至满足评标委员会的要求。</w:t>
            </w:r>
          </w:p>
          <w:p>
            <w:pPr>
              <w:pStyle w:val="32"/>
              <w:spacing w:line="400" w:lineRule="exact"/>
              <w:jc w:val="both"/>
              <w:rPr>
                <w:rFonts w:cs="宋体"/>
                <w:szCs w:val="24"/>
                <w:highlight w:val="none"/>
              </w:rPr>
            </w:pPr>
            <w:r>
              <w:rPr>
                <w:rFonts w:hint="eastAsia" w:cs="宋体"/>
                <w:szCs w:val="24"/>
                <w:highlight w:val="none"/>
                <w:lang w:val="en-US"/>
              </w:rPr>
              <w:t>3.</w:t>
            </w:r>
            <w:r>
              <w:rPr>
                <w:rFonts w:hint="eastAsia" w:cs="宋体"/>
                <w:szCs w:val="24"/>
                <w:highlight w:val="none"/>
              </w:rPr>
              <w:t>投标人拒不按照要求对投标文件进行澄清、说明或者补正的，评标委员会可以否决其投标。</w:t>
            </w:r>
          </w:p>
        </w:tc>
      </w:tr>
      <w:tr>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spacing w:before="145"/>
              <w:jc w:val="center"/>
              <w:rPr>
                <w:rFonts w:ascii="宋体" w:hAnsi="宋体" w:cs="宋体"/>
                <w:highlight w:val="none"/>
              </w:rPr>
            </w:pPr>
            <w:r>
              <w:rPr>
                <w:rFonts w:hint="eastAsia" w:ascii="宋体" w:hAnsi="宋体" w:cs="宋体"/>
                <w:highlight w:val="none"/>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在建合同工程的认定及变更证明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9"/>
              <w:spacing w:line="400" w:lineRule="exact"/>
              <w:ind w:left="0" w:firstLine="0" w:firstLineChars="0"/>
              <w:jc w:val="both"/>
              <w:rPr>
                <w:rFonts w:ascii="宋体" w:hAnsi="宋体" w:cs="宋体"/>
                <w:sz w:val="24"/>
                <w:highlight w:val="none"/>
              </w:rPr>
            </w:pPr>
            <w:r>
              <w:rPr>
                <w:rFonts w:hint="eastAsia" w:ascii="宋体" w:hAnsi="宋体" w:cs="宋体"/>
                <w:sz w:val="24"/>
                <w:highlight w:val="none"/>
              </w:rPr>
              <w:t>1.对项目负责人“有在建合同工程”的认定标准：</w:t>
            </w:r>
          </w:p>
          <w:p>
            <w:pPr>
              <w:pStyle w:val="9"/>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pPr>
              <w:pStyle w:val="9"/>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a.原承接的项目与本工程属于同一工程相邻分段发包或分期施工的；</w:t>
            </w:r>
          </w:p>
          <w:p>
            <w:pPr>
              <w:pStyle w:val="9"/>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b.因非承包方原因致使工程项目停工超过120天（含），经原建设单位同意的；</w:t>
            </w:r>
          </w:p>
          <w:p>
            <w:pPr>
              <w:pStyle w:val="9"/>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c.合同约定的工程已完工，承包方向建设单位提交竣工报告时间已超过120天（含），经原建设单位同意的。</w:t>
            </w:r>
          </w:p>
          <w:p>
            <w:pPr>
              <w:pStyle w:val="9"/>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如发生以上a、b、c情形的，投标人应在投标文件中提交有关书面证明材料（以电子文档形式随资信标上传，招标文件提供证明格式的须按照该格式提交），投标截止日后提供的证明材料视为瞒报、漏报，将不予认可。</w:t>
            </w:r>
          </w:p>
          <w:p>
            <w:pPr>
              <w:pStyle w:val="9"/>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spacing w:before="145"/>
              <w:jc w:val="center"/>
              <w:rPr>
                <w:rFonts w:ascii="宋体" w:hAnsi="宋体" w:cs="宋体"/>
                <w:highlight w:val="none"/>
              </w:rPr>
            </w:pPr>
            <w:r>
              <w:rPr>
                <w:rFonts w:ascii="宋体" w:hAnsi="宋体" w:cs="宋体"/>
                <w:highlight w:val="none"/>
              </w:rPr>
              <w:t>10.</w:t>
            </w:r>
            <w:r>
              <w:rPr>
                <w:rFonts w:hint="eastAsia" w:ascii="宋体" w:hAnsi="宋体" w:cs="宋体"/>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否决投标的</w:t>
            </w:r>
          </w:p>
          <w:p>
            <w:pPr>
              <w:pStyle w:val="31"/>
              <w:kinsoku w:val="0"/>
              <w:spacing w:line="400" w:lineRule="exact"/>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3"/>
              <w:snapToGrid w:val="0"/>
              <w:spacing w:line="400" w:lineRule="exact"/>
              <w:ind w:firstLine="0" w:firstLineChars="0"/>
              <w:jc w:val="both"/>
              <w:rPr>
                <w:szCs w:val="24"/>
                <w:highlight w:val="none"/>
              </w:rPr>
            </w:pPr>
            <w:r>
              <w:rPr>
                <w:rFonts w:hint="eastAsia"/>
                <w:szCs w:val="24"/>
                <w:highlight w:val="none"/>
              </w:rPr>
              <w:t>1.投标文件存在以下情形之一的，由评标委员会审核并经过询问核对程序，其投标文件将被否决：</w:t>
            </w:r>
          </w:p>
          <w:p>
            <w:pPr>
              <w:pStyle w:val="33"/>
              <w:snapToGrid w:val="0"/>
              <w:spacing w:line="400" w:lineRule="exact"/>
              <w:ind w:right="276" w:rightChars="115" w:firstLine="0" w:firstLineChars="0"/>
              <w:jc w:val="both"/>
              <w:rPr>
                <w:b/>
                <w:bCs/>
                <w:szCs w:val="24"/>
                <w:highlight w:val="none"/>
              </w:rPr>
            </w:pPr>
            <w:r>
              <w:rPr>
                <w:rFonts w:hint="eastAsia"/>
                <w:b/>
                <w:bCs/>
                <w:szCs w:val="24"/>
                <w:highlight w:val="none"/>
              </w:rPr>
              <w:t>（1）资格评审内容：</w:t>
            </w:r>
          </w:p>
          <w:p>
            <w:pPr>
              <w:pStyle w:val="33"/>
              <w:snapToGrid w:val="0"/>
              <w:spacing w:line="400" w:lineRule="exact"/>
              <w:jc w:val="both"/>
              <w:rPr>
                <w:szCs w:val="24"/>
                <w:highlight w:val="none"/>
              </w:rPr>
            </w:pPr>
            <w:r>
              <w:rPr>
                <w:rFonts w:hint="eastAsia"/>
                <w:szCs w:val="24"/>
                <w:highlight w:val="none"/>
              </w:rPr>
              <w:t>①投标人不满足招标文件载明的企业资质、人员资格、安全生产许可证、业绩条件（若有）的；</w:t>
            </w:r>
          </w:p>
          <w:p>
            <w:pPr>
              <w:pStyle w:val="33"/>
              <w:snapToGrid w:val="0"/>
              <w:spacing w:line="400" w:lineRule="exact"/>
              <w:jc w:val="both"/>
              <w:rPr>
                <w:szCs w:val="24"/>
                <w:highlight w:val="none"/>
              </w:rPr>
            </w:pPr>
            <w:r>
              <w:rPr>
                <w:rFonts w:hint="eastAsia"/>
                <w:szCs w:val="24"/>
                <w:highlight w:val="none"/>
              </w:rPr>
              <w:t>②投标人未按照招标文件的要求提交投标保证金的；</w:t>
            </w:r>
          </w:p>
          <w:p>
            <w:pPr>
              <w:pStyle w:val="33"/>
              <w:snapToGrid w:val="0"/>
              <w:spacing w:line="400" w:lineRule="exact"/>
              <w:jc w:val="both"/>
              <w:rPr>
                <w:szCs w:val="24"/>
                <w:highlight w:val="none"/>
              </w:rPr>
            </w:pPr>
            <w:r>
              <w:rPr>
                <w:rFonts w:hint="eastAsia"/>
                <w:szCs w:val="24"/>
                <w:highlight w:val="none"/>
              </w:rPr>
              <w:t>③投标人被有关行政监管部门依法限制投标且在限制期内的；</w:t>
            </w:r>
          </w:p>
          <w:p>
            <w:pPr>
              <w:pStyle w:val="33"/>
              <w:snapToGrid w:val="0"/>
              <w:spacing w:line="400" w:lineRule="exact"/>
              <w:jc w:val="both"/>
              <w:rPr>
                <w:szCs w:val="24"/>
                <w:highlight w:val="none"/>
              </w:rPr>
            </w:pPr>
            <w:r>
              <w:rPr>
                <w:rFonts w:hint="eastAsia"/>
                <w:szCs w:val="24"/>
                <w:highlight w:val="none"/>
              </w:rPr>
              <w:t>④不同投标人的投标文件水印码一致的；</w:t>
            </w:r>
          </w:p>
          <w:p>
            <w:pPr>
              <w:spacing w:line="320" w:lineRule="exact"/>
              <w:ind w:firstLine="360" w:firstLineChars="150"/>
              <w:rPr>
                <w:highlight w:val="none"/>
              </w:rPr>
            </w:pPr>
            <w:r>
              <w:rPr>
                <w:rFonts w:hint="eastAsia"/>
                <w:highlight w:val="none"/>
              </w:rPr>
              <w:t>⑤委托代理人未提供有效的授权委托书的；法定代表人未提供有效法定代表人身份证明；</w:t>
            </w:r>
          </w:p>
          <w:p>
            <w:pPr>
              <w:pStyle w:val="33"/>
              <w:snapToGrid w:val="0"/>
              <w:spacing w:line="400" w:lineRule="exact"/>
              <w:jc w:val="both"/>
              <w:rPr>
                <w:szCs w:val="24"/>
                <w:highlight w:val="none"/>
              </w:rPr>
            </w:pPr>
            <w:r>
              <w:rPr>
                <w:rFonts w:hint="eastAsia"/>
                <w:szCs w:val="24"/>
                <w:highlight w:val="none"/>
              </w:rPr>
              <w:t>⑥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pPr>
              <w:pStyle w:val="33"/>
              <w:snapToGrid w:val="0"/>
              <w:spacing w:line="400" w:lineRule="exact"/>
              <w:jc w:val="both"/>
              <w:rPr>
                <w:szCs w:val="24"/>
                <w:highlight w:val="none"/>
              </w:rPr>
            </w:pPr>
            <w:r>
              <w:rPr>
                <w:rFonts w:hint="eastAsia"/>
                <w:szCs w:val="24"/>
                <w:highlight w:val="none"/>
              </w:rPr>
              <w:t>⑦</w:t>
            </w:r>
            <w:r>
              <w:rPr>
                <w:rFonts w:hint="eastAsia"/>
                <w:highlight w:val="none"/>
              </w:rPr>
              <w:t>投标文件要求投标人盖章，未经投标人盖章的；投标文件要求法定代表人签字或盖章，未经法定代表人签字也未盖章的；</w:t>
            </w:r>
          </w:p>
          <w:p>
            <w:pPr>
              <w:pStyle w:val="33"/>
              <w:snapToGrid w:val="0"/>
              <w:spacing w:line="400" w:lineRule="exact"/>
              <w:jc w:val="both"/>
              <w:rPr>
                <w:szCs w:val="24"/>
                <w:highlight w:val="none"/>
              </w:rPr>
            </w:pPr>
            <w:r>
              <w:rPr>
                <w:rFonts w:hint="eastAsia"/>
                <w:szCs w:val="24"/>
                <w:highlight w:val="none"/>
              </w:rPr>
              <w:t>⑧组成联合体投标的，投标文件未附联合体各方共同投标协议的；</w:t>
            </w:r>
          </w:p>
          <w:p>
            <w:pPr>
              <w:pStyle w:val="33"/>
              <w:snapToGrid w:val="0"/>
              <w:spacing w:line="400" w:lineRule="exact"/>
              <w:ind w:right="276" w:rightChars="115"/>
              <w:jc w:val="both"/>
              <w:rPr>
                <w:szCs w:val="24"/>
                <w:highlight w:val="none"/>
              </w:rPr>
            </w:pPr>
            <w:r>
              <w:rPr>
                <w:rFonts w:hint="eastAsia"/>
                <w:szCs w:val="24"/>
                <w:highlight w:val="none"/>
              </w:rPr>
              <w:t>⑨投标文件组成不符合投标人须知3.1条款的；</w:t>
            </w:r>
          </w:p>
          <w:p>
            <w:pPr>
              <w:pStyle w:val="33"/>
              <w:snapToGrid w:val="0"/>
              <w:spacing w:line="400" w:lineRule="exact"/>
              <w:ind w:right="276" w:rightChars="115"/>
              <w:jc w:val="both"/>
              <w:rPr>
                <w:rFonts w:hint="eastAsia" w:eastAsia="宋体"/>
                <w:szCs w:val="24"/>
                <w:highlight w:val="none"/>
                <w:lang w:eastAsia="zh-CN"/>
              </w:rPr>
            </w:pPr>
            <w:r>
              <w:rPr>
                <w:rFonts w:hint="eastAsia"/>
                <w:szCs w:val="24"/>
                <w:highlight w:val="none"/>
              </w:rPr>
              <w:t>⑩存在法律、法规、规章规定的其他否决投标的情形</w:t>
            </w:r>
            <w:r>
              <w:rPr>
                <w:rFonts w:hint="eastAsia"/>
                <w:szCs w:val="24"/>
                <w:highlight w:val="none"/>
                <w:lang w:eastAsia="zh-CN"/>
              </w:rPr>
              <w:t>；</w:t>
            </w:r>
          </w:p>
          <w:p>
            <w:pPr>
              <w:pStyle w:val="33"/>
              <w:kinsoku w:val="0"/>
              <w:snapToGrid w:val="0"/>
              <w:spacing w:line="370" w:lineRule="exact"/>
              <w:ind w:right="276" w:rightChars="115" w:firstLine="0" w:firstLineChars="0"/>
              <w:rPr>
                <w:b/>
                <w:szCs w:val="24"/>
                <w:highlight w:val="none"/>
              </w:rPr>
            </w:pPr>
            <w:r>
              <w:rPr>
                <w:rFonts w:hint="eastAsia"/>
                <w:b/>
                <w:szCs w:val="24"/>
                <w:highlight w:val="none"/>
              </w:rPr>
              <w:t>（2）资信标评审内容</w:t>
            </w:r>
          </w:p>
          <w:p>
            <w:pPr>
              <w:pStyle w:val="33"/>
              <w:snapToGrid w:val="0"/>
              <w:spacing w:line="400" w:lineRule="exact"/>
              <w:jc w:val="both"/>
              <w:rPr>
                <w:rFonts w:hint="eastAsia"/>
                <w:szCs w:val="24"/>
                <w:highlight w:val="none"/>
              </w:rPr>
            </w:pPr>
            <w:r>
              <w:rPr>
                <w:rFonts w:hint="eastAsia"/>
                <w:szCs w:val="24"/>
                <w:highlight w:val="none"/>
              </w:rPr>
              <w:t>①不同投标人的投标文件检测码（或制作码、创建码）一致的；</w:t>
            </w:r>
          </w:p>
          <w:p>
            <w:pPr>
              <w:pStyle w:val="33"/>
              <w:snapToGrid w:val="0"/>
              <w:spacing w:line="400" w:lineRule="exact"/>
              <w:jc w:val="both"/>
              <w:rPr>
                <w:rFonts w:hint="eastAsia"/>
                <w:szCs w:val="24"/>
                <w:highlight w:val="none"/>
              </w:rPr>
            </w:pPr>
            <w:r>
              <w:rPr>
                <w:rFonts w:hint="eastAsia"/>
                <w:szCs w:val="24"/>
                <w:highlight w:val="none"/>
              </w:rPr>
              <w:t>②投标文件组成不符合投标人须知3.1条款的；</w:t>
            </w:r>
          </w:p>
          <w:p>
            <w:pPr>
              <w:pStyle w:val="33"/>
              <w:snapToGrid w:val="0"/>
              <w:spacing w:line="400" w:lineRule="exact"/>
              <w:jc w:val="both"/>
              <w:rPr>
                <w:rFonts w:hint="eastAsia"/>
                <w:szCs w:val="24"/>
                <w:highlight w:val="none"/>
              </w:rPr>
            </w:pPr>
            <w:r>
              <w:rPr>
                <w:rFonts w:hint="eastAsia"/>
                <w:szCs w:val="24"/>
                <w:highlight w:val="none"/>
              </w:rPr>
              <w:t>③存在法律、法规、规章规定的其它否决投标情形的；</w:t>
            </w:r>
          </w:p>
          <w:p>
            <w:pPr>
              <w:pStyle w:val="33"/>
              <w:snapToGrid w:val="0"/>
              <w:spacing w:line="400" w:lineRule="exact"/>
              <w:ind w:firstLine="0" w:firstLineChars="0"/>
              <w:jc w:val="both"/>
              <w:rPr>
                <w:b/>
                <w:szCs w:val="24"/>
                <w:highlight w:val="none"/>
              </w:rPr>
            </w:pPr>
            <w:r>
              <w:rPr>
                <w:rFonts w:hint="eastAsia"/>
                <w:b/>
                <w:szCs w:val="24"/>
                <w:highlight w:val="none"/>
              </w:rPr>
              <w:t>（</w:t>
            </w:r>
            <w:r>
              <w:rPr>
                <w:rFonts w:hint="eastAsia"/>
                <w:b/>
                <w:szCs w:val="24"/>
                <w:highlight w:val="none"/>
                <w:lang w:val="en-US" w:eastAsia="zh-CN"/>
              </w:rPr>
              <w:t>3</w:t>
            </w:r>
            <w:r>
              <w:rPr>
                <w:rFonts w:hint="eastAsia"/>
                <w:b/>
                <w:szCs w:val="24"/>
                <w:highlight w:val="none"/>
              </w:rPr>
              <w:t>）商务标评审内容：</w:t>
            </w:r>
          </w:p>
          <w:p>
            <w:pPr>
              <w:pStyle w:val="33"/>
              <w:snapToGrid w:val="0"/>
              <w:spacing w:line="400" w:lineRule="exact"/>
              <w:jc w:val="both"/>
              <w:rPr>
                <w:szCs w:val="24"/>
                <w:highlight w:val="none"/>
              </w:rPr>
            </w:pPr>
            <w:r>
              <w:rPr>
                <w:rFonts w:hint="eastAsia"/>
                <w:szCs w:val="24"/>
                <w:highlight w:val="none"/>
              </w:rPr>
              <w:t>①投标报价高于最高限价的；</w:t>
            </w:r>
          </w:p>
          <w:p>
            <w:pPr>
              <w:pStyle w:val="33"/>
              <w:snapToGrid w:val="0"/>
              <w:spacing w:line="400" w:lineRule="exact"/>
              <w:ind w:right="276" w:rightChars="115"/>
              <w:jc w:val="both"/>
              <w:rPr>
                <w:szCs w:val="24"/>
                <w:highlight w:val="none"/>
              </w:rPr>
            </w:pPr>
            <w:r>
              <w:rPr>
                <w:rFonts w:hint="eastAsia"/>
                <w:szCs w:val="24"/>
                <w:highlight w:val="none"/>
              </w:rPr>
              <w:t>②不同投标人的投标文件水印码一致的；</w:t>
            </w:r>
          </w:p>
          <w:p>
            <w:pPr>
              <w:pStyle w:val="33"/>
              <w:snapToGrid w:val="0"/>
              <w:spacing w:line="400" w:lineRule="exact"/>
              <w:jc w:val="both"/>
              <w:rPr>
                <w:szCs w:val="24"/>
                <w:highlight w:val="none"/>
              </w:rPr>
            </w:pPr>
            <w:r>
              <w:rPr>
                <w:rFonts w:hint="eastAsia"/>
                <w:szCs w:val="24"/>
                <w:highlight w:val="none"/>
              </w:rPr>
              <w:t>③投标文件中投标函或投标承诺书未按要求填写；</w:t>
            </w:r>
          </w:p>
          <w:p>
            <w:pPr>
              <w:pStyle w:val="33"/>
              <w:snapToGrid w:val="0"/>
              <w:spacing w:line="400" w:lineRule="exact"/>
              <w:jc w:val="both"/>
              <w:rPr>
                <w:szCs w:val="24"/>
                <w:highlight w:val="none"/>
              </w:rPr>
            </w:pPr>
            <w:r>
              <w:rPr>
                <w:rFonts w:hint="eastAsia"/>
                <w:szCs w:val="24"/>
                <w:highlight w:val="none"/>
              </w:rPr>
              <w:t>④投标文件不能满足招标文件载明的工程质量、工程验收标准、施工工期、保修期要求的；</w:t>
            </w:r>
          </w:p>
          <w:p>
            <w:pPr>
              <w:pStyle w:val="33"/>
              <w:snapToGrid w:val="0"/>
              <w:spacing w:line="400" w:lineRule="exact"/>
              <w:jc w:val="both"/>
              <w:rPr>
                <w:szCs w:val="24"/>
                <w:highlight w:val="none"/>
              </w:rPr>
            </w:pPr>
            <w:r>
              <w:rPr>
                <w:rFonts w:hint="eastAsia"/>
                <w:szCs w:val="24"/>
                <w:highlight w:val="none"/>
              </w:rPr>
              <w:t>⑤规费、税金报价不符合现行规定的；</w:t>
            </w:r>
          </w:p>
          <w:p>
            <w:pPr>
              <w:pStyle w:val="33"/>
              <w:snapToGrid w:val="0"/>
              <w:spacing w:line="400" w:lineRule="exact"/>
              <w:jc w:val="both"/>
              <w:rPr>
                <w:szCs w:val="24"/>
                <w:highlight w:val="none"/>
              </w:rPr>
            </w:pPr>
            <w:r>
              <w:rPr>
                <w:rFonts w:hint="eastAsia"/>
                <w:szCs w:val="24"/>
                <w:highlight w:val="none"/>
              </w:rPr>
              <w:t>⑥改变招标文件提供的工程量清单（含分部分项工程及措施项目、其他项目清单项目的编码、项目名称、计量单位、工程数量、项目特征描述）的；</w:t>
            </w:r>
          </w:p>
          <w:p>
            <w:pPr>
              <w:pStyle w:val="33"/>
              <w:snapToGrid w:val="0"/>
              <w:spacing w:line="400" w:lineRule="exact"/>
              <w:jc w:val="both"/>
              <w:rPr>
                <w:szCs w:val="24"/>
                <w:highlight w:val="none"/>
              </w:rPr>
            </w:pPr>
            <w:r>
              <w:rPr>
                <w:rFonts w:hint="eastAsia"/>
                <w:szCs w:val="24"/>
                <w:highlight w:val="none"/>
              </w:rPr>
              <w:t>⑦经评标委员会认定投标人的投标报价低于成本价，且投标人对其报价不能充分说明理由，或提供的相关资料无法证明报价不低于其成本价的；</w:t>
            </w:r>
          </w:p>
          <w:p>
            <w:pPr>
              <w:pStyle w:val="33"/>
              <w:snapToGrid w:val="0"/>
              <w:spacing w:line="400" w:lineRule="exact"/>
              <w:jc w:val="both"/>
              <w:rPr>
                <w:szCs w:val="24"/>
                <w:highlight w:val="none"/>
              </w:rPr>
            </w:pPr>
            <w:r>
              <w:rPr>
                <w:rFonts w:hint="eastAsia"/>
                <w:szCs w:val="24"/>
                <w:highlight w:val="none"/>
              </w:rPr>
              <w:t>⑧投标文件的编制人接受同一工程招标人委托编制招标文件（含招标控制价)，或接受其他投标人委托编制投标文件的；</w:t>
            </w:r>
          </w:p>
          <w:p>
            <w:pPr>
              <w:pStyle w:val="33"/>
              <w:snapToGrid w:val="0"/>
              <w:spacing w:line="400" w:lineRule="exact"/>
              <w:jc w:val="both"/>
              <w:rPr>
                <w:szCs w:val="24"/>
                <w:highlight w:val="none"/>
              </w:rPr>
            </w:pPr>
            <w:r>
              <w:rPr>
                <w:rFonts w:hint="eastAsia"/>
                <w:szCs w:val="24"/>
                <w:highlight w:val="none"/>
              </w:rPr>
              <w:t>⑨</w:t>
            </w:r>
            <w:r>
              <w:rPr>
                <w:rFonts w:hint="eastAsia"/>
                <w:highlight w:val="none"/>
              </w:rPr>
              <w:t>投标文件要求投标人盖章，未经投标人盖章的；投标文件要求法定代表人签字或盖章，未经法定代表人签字也未盖章的；</w:t>
            </w:r>
          </w:p>
          <w:p>
            <w:pPr>
              <w:pStyle w:val="33"/>
              <w:snapToGrid w:val="0"/>
              <w:spacing w:line="400" w:lineRule="exact"/>
              <w:ind w:right="276" w:rightChars="115"/>
              <w:jc w:val="both"/>
              <w:rPr>
                <w:szCs w:val="24"/>
                <w:highlight w:val="none"/>
              </w:rPr>
            </w:pPr>
            <w:r>
              <w:rPr>
                <w:rFonts w:hint="eastAsia"/>
                <w:szCs w:val="24"/>
                <w:highlight w:val="none"/>
              </w:rPr>
              <w:t>⑩存在法律、法规、规章规定的其它否决投标情况的；</w:t>
            </w:r>
          </w:p>
          <w:p>
            <w:pPr>
              <w:pStyle w:val="33"/>
              <w:snapToGrid w:val="0"/>
              <w:spacing w:line="400" w:lineRule="exact"/>
              <w:ind w:firstLine="0" w:firstLineChars="0"/>
              <w:jc w:val="both"/>
              <w:rPr>
                <w:b/>
                <w:szCs w:val="24"/>
                <w:highlight w:val="none"/>
              </w:rPr>
            </w:pPr>
            <w:r>
              <w:rPr>
                <w:rFonts w:hint="eastAsia"/>
                <w:b/>
                <w:szCs w:val="24"/>
                <w:highlight w:val="none"/>
              </w:rPr>
              <w:t>（</w:t>
            </w:r>
            <w:r>
              <w:rPr>
                <w:rFonts w:hint="eastAsia"/>
                <w:b/>
                <w:szCs w:val="24"/>
                <w:highlight w:val="none"/>
                <w:lang w:val="en-US" w:eastAsia="zh-CN"/>
              </w:rPr>
              <w:t>4</w:t>
            </w:r>
            <w:r>
              <w:rPr>
                <w:rFonts w:hint="eastAsia"/>
                <w:b/>
                <w:szCs w:val="24"/>
                <w:highlight w:val="none"/>
              </w:rPr>
              <w:t>）其他：</w:t>
            </w:r>
          </w:p>
          <w:p>
            <w:pPr>
              <w:pStyle w:val="33"/>
              <w:snapToGrid w:val="0"/>
              <w:spacing w:line="400" w:lineRule="exact"/>
              <w:jc w:val="both"/>
              <w:rPr>
                <w:szCs w:val="24"/>
                <w:highlight w:val="none"/>
              </w:rPr>
            </w:pPr>
            <w:r>
              <w:rPr>
                <w:rFonts w:hint="eastAsia"/>
                <w:szCs w:val="24"/>
                <w:highlight w:val="none"/>
              </w:rPr>
              <w:t>①投标人及其拟派项目负责人在本招标文件（招标公告）规定时间范围内有行贿犯罪记录的；</w:t>
            </w:r>
          </w:p>
          <w:p>
            <w:pPr>
              <w:pStyle w:val="33"/>
              <w:kinsoku w:val="0"/>
              <w:snapToGrid w:val="0"/>
              <w:spacing w:line="400" w:lineRule="exact"/>
              <w:ind w:right="276" w:rightChars="115"/>
              <w:jc w:val="both"/>
              <w:rPr>
                <w:szCs w:val="24"/>
                <w:highlight w:val="none"/>
              </w:rPr>
            </w:pPr>
            <w:r>
              <w:rPr>
                <w:rFonts w:hint="eastAsia"/>
                <w:szCs w:val="24"/>
                <w:highlight w:val="none"/>
              </w:rPr>
              <w:t>②投标人未按投标人须知前附表10.2项，投标人须知第1.4.4项、1.12项和3.6项规定执行的；</w:t>
            </w:r>
          </w:p>
          <w:p>
            <w:pPr>
              <w:pStyle w:val="33"/>
              <w:kinsoku w:val="0"/>
              <w:snapToGrid w:val="0"/>
              <w:spacing w:line="370" w:lineRule="exact"/>
              <w:ind w:right="276" w:rightChars="115"/>
              <w:jc w:val="both"/>
              <w:rPr>
                <w:rFonts w:ascii="Calibri" w:hAnsi="Calibri"/>
                <w:highlight w:val="none"/>
              </w:rPr>
            </w:pPr>
            <w:r>
              <w:rPr>
                <w:rFonts w:hint="eastAsia"/>
                <w:szCs w:val="24"/>
                <w:highlight w:val="none"/>
              </w:rPr>
              <w:t>③存在</w:t>
            </w:r>
            <w:r>
              <w:rPr>
                <w:rFonts w:hint="eastAsia" w:ascii="Calibri" w:hAnsi="Calibri"/>
                <w:highlight w:val="none"/>
              </w:rPr>
              <w:t>台州市建设工程诚信投标承诺书（投标文件格式七）中串通投标行为的；</w:t>
            </w:r>
          </w:p>
          <w:p>
            <w:pPr>
              <w:pStyle w:val="33"/>
              <w:kinsoku w:val="0"/>
              <w:snapToGrid w:val="0"/>
              <w:spacing w:line="400" w:lineRule="exact"/>
              <w:ind w:right="276" w:rightChars="115"/>
              <w:jc w:val="both"/>
              <w:rPr>
                <w:szCs w:val="24"/>
                <w:highlight w:val="none"/>
              </w:rPr>
            </w:pPr>
            <w:r>
              <w:rPr>
                <w:rFonts w:hint="eastAsia" w:ascii="Calibri" w:hAnsi="Calibri"/>
                <w:highlight w:val="none"/>
              </w:rPr>
              <w:t>④法律、法规、规章规定其它应否决投标的情形。</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10.</w:t>
            </w:r>
            <w:r>
              <w:rPr>
                <w:rFonts w:hint="eastAsia" w:ascii="宋体" w:hAnsi="宋体"/>
                <w:highlight w:val="none"/>
              </w:rPr>
              <w:t>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highlight w:val="none"/>
              </w:rPr>
            </w:pPr>
            <w:r>
              <w:rPr>
                <w:rFonts w:hint="eastAsia" w:ascii="宋体" w:hAnsi="宋体" w:cs="宋体"/>
                <w:highlight w:val="none"/>
              </w:rPr>
              <w:t>特别说明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7"/>
              <w:snapToGrid w:val="0"/>
              <w:spacing w:line="400" w:lineRule="exact"/>
              <w:jc w:val="both"/>
              <w:rPr>
                <w:rFonts w:ascii="宋体" w:hAnsi="宋体" w:cs="宋体"/>
                <w:iCs/>
                <w:highlight w:val="none"/>
              </w:rPr>
            </w:pPr>
            <w:r>
              <w:rPr>
                <w:rFonts w:hint="eastAsia" w:ascii="宋体" w:hAnsi="宋体" w:cs="宋体"/>
                <w:iCs/>
                <w:highlight w:val="none"/>
              </w:rPr>
              <w:t>1.本前附表是投标人须知正文内容的补充和细化，应当与正文内容一致。如本前附表与正文内容表述不一，以本前附表为准；</w:t>
            </w:r>
          </w:p>
          <w:p>
            <w:pPr>
              <w:pStyle w:val="27"/>
              <w:snapToGrid w:val="0"/>
              <w:spacing w:line="400" w:lineRule="exact"/>
              <w:jc w:val="both"/>
              <w:rPr>
                <w:rFonts w:ascii="宋体" w:hAnsi="宋体" w:cs="宋体"/>
                <w:highlight w:val="none"/>
              </w:rPr>
            </w:pPr>
            <w:r>
              <w:rPr>
                <w:rFonts w:hint="eastAsia" w:ascii="宋体" w:hAnsi="宋体" w:cs="宋体"/>
                <w:highlight w:val="none"/>
              </w:rPr>
              <w:t>2.本招标文件项目负责人一般情况下是指项目经理；</w:t>
            </w:r>
          </w:p>
          <w:p>
            <w:pPr>
              <w:pStyle w:val="27"/>
              <w:snapToGrid w:val="0"/>
              <w:spacing w:line="400" w:lineRule="exact"/>
              <w:jc w:val="both"/>
              <w:rPr>
                <w:rFonts w:ascii="宋体" w:hAnsi="宋体" w:cs="宋体"/>
                <w:highlight w:val="none"/>
              </w:rPr>
            </w:pPr>
            <w:r>
              <w:rPr>
                <w:rFonts w:hint="eastAsia" w:ascii="宋体" w:hAnsi="宋体" w:cs="宋体"/>
                <w:highlight w:val="none"/>
              </w:rPr>
              <w:t>3.当word招标文件与电子招标文件不一致时，以word招标文件为准。</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ascii="宋体" w:hAnsi="宋体"/>
                <w:highlight w:val="none"/>
              </w:rPr>
              <w:t>10.</w:t>
            </w:r>
            <w:r>
              <w:rPr>
                <w:rFonts w:hint="eastAsia" w:ascii="宋体" w:hAnsi="宋体"/>
                <w:highlight w:val="none"/>
              </w:rPr>
              <w:t>6</w:t>
            </w:r>
          </w:p>
        </w:tc>
        <w:tc>
          <w:tcPr>
            <w:tcW w:w="169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bCs/>
                <w:color w:val="FF0000"/>
                <w:sz w:val="24"/>
                <w:szCs w:val="24"/>
                <w:highlight w:val="none"/>
                <w:lang w:val="en-US" w:eastAsia="zh-CN" w:bidi="ar-SA"/>
              </w:rPr>
            </w:pPr>
            <w:r>
              <w:rPr>
                <w:rFonts w:hint="eastAsia" w:ascii="宋体" w:hAnsi="宋体" w:cs="宋体"/>
                <w:bCs/>
                <w:highlight w:val="none"/>
              </w:rPr>
              <w:t>电子投标文件编制</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70" w:firstLineChars="196"/>
              <w:rPr>
                <w:rFonts w:ascii="宋体" w:hAnsi="宋体" w:cs="宋体"/>
                <w:bCs/>
                <w:highlight w:val="none"/>
              </w:rPr>
            </w:pPr>
            <w:r>
              <w:rPr>
                <w:rFonts w:hint="eastAsia" w:ascii="宋体" w:hAnsi="宋体" w:cs="宋体"/>
                <w:bCs/>
                <w:highlight w:val="none"/>
              </w:rPr>
              <w:t>本工程的投标文件必须使用投标工具安装程序（三门投标编制4.0.2.8版本）编制，下载地址及”建设工程电子投标编制操作手册”见</w:t>
            </w:r>
            <w:r>
              <w:rPr>
                <w:highlight w:val="none"/>
              </w:rPr>
              <w:fldChar w:fldCharType="begin"/>
            </w:r>
            <w:r>
              <w:rPr>
                <w:highlight w:val="none"/>
              </w:rPr>
              <w:instrText xml:space="preserve"> HYPERLINK "https://www.smztb.com/Download" </w:instrText>
            </w:r>
            <w:r>
              <w:rPr>
                <w:highlight w:val="none"/>
              </w:rPr>
              <w:fldChar w:fldCharType="separate"/>
            </w:r>
            <w:r>
              <w:rPr>
                <w:rStyle w:val="25"/>
                <w:rFonts w:hint="eastAsia" w:ascii="宋体" w:hAnsi="宋体" w:cs="宋体"/>
                <w:bCs/>
                <w:color w:val="auto"/>
                <w:highlight w:val="none"/>
              </w:rPr>
              <w:t>https://jyzx.sanmen.gov.cn//Download</w:t>
            </w:r>
            <w:r>
              <w:rPr>
                <w:rStyle w:val="25"/>
                <w:rFonts w:hint="eastAsia" w:ascii="宋体" w:hAnsi="宋体" w:cs="宋体"/>
                <w:bCs/>
                <w:color w:val="auto"/>
                <w:highlight w:val="none"/>
              </w:rPr>
              <w:fldChar w:fldCharType="end"/>
            </w:r>
            <w:r>
              <w:rPr>
                <w:rFonts w:hint="eastAsia" w:ascii="宋体" w:hAnsi="宋体" w:cs="宋体"/>
                <w:bCs/>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spacing w:line="400" w:lineRule="exact"/>
              <w:ind w:firstLine="470" w:firstLineChars="196"/>
              <w:rPr>
                <w:rFonts w:ascii="宋体" w:hAnsi="宋体" w:cs="宋体"/>
                <w:bCs/>
                <w:highlight w:val="none"/>
              </w:rPr>
            </w:pPr>
            <w:r>
              <w:rPr>
                <w:rFonts w:hint="eastAsia" w:ascii="宋体" w:hAnsi="宋体" w:cs="宋体"/>
                <w:bCs/>
                <w:highlight w:val="none"/>
              </w:rPr>
              <w:t>投标工具开发商：杭州品茗信息技术有限公司</w:t>
            </w:r>
          </w:p>
          <w:p>
            <w:pPr>
              <w:spacing w:line="400" w:lineRule="exact"/>
              <w:ind w:firstLine="240" w:firstLineChars="100"/>
              <w:rPr>
                <w:rFonts w:ascii="宋体" w:hAnsi="宋体" w:eastAsia="宋体" w:cs="宋体"/>
                <w:bCs/>
                <w:color w:val="FF0000"/>
                <w:sz w:val="24"/>
                <w:szCs w:val="24"/>
                <w:highlight w:val="none"/>
                <w:lang w:val="en-US" w:eastAsia="zh-CN" w:bidi="ar-SA"/>
              </w:rPr>
            </w:pPr>
            <w:r>
              <w:rPr>
                <w:rFonts w:hint="eastAsia" w:ascii="宋体" w:hAnsi="宋体" w:cs="宋体"/>
                <w:bCs/>
                <w:highlight w:val="none"/>
              </w:rPr>
              <w:t>联系电话：章宏涛  13968512856， 周辉  15606579820</w:t>
            </w:r>
          </w:p>
        </w:tc>
      </w:tr>
      <w:tr>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hint="eastAsia" w:ascii="宋体" w:hAnsi="宋体"/>
                <w:highlight w:val="none"/>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right="255" w:rightChars="0"/>
              <w:jc w:val="center"/>
              <w:rPr>
                <w:rFonts w:ascii="宋体" w:hAnsi="宋体" w:eastAsia="宋体" w:cs="宋体"/>
                <w:b/>
                <w:sz w:val="24"/>
                <w:szCs w:val="24"/>
                <w:highlight w:val="none"/>
                <w:lang w:val="en-US" w:eastAsia="zh-CN" w:bidi="ar-SA"/>
              </w:rPr>
            </w:pPr>
            <w:r>
              <w:rPr>
                <w:rFonts w:hint="eastAsia" w:ascii="宋体" w:hAnsi="宋体" w:cs="宋体"/>
                <w:b/>
                <w:bCs/>
                <w:highlight w:val="none"/>
              </w:rPr>
              <w:t>中标后提交投标文件份数</w:t>
            </w:r>
          </w:p>
        </w:tc>
        <w:tc>
          <w:tcPr>
            <w:tcW w:w="6858" w:type="dxa"/>
            <w:tcBorders>
              <w:top w:val="single" w:color="000000" w:sz="4" w:space="0"/>
              <w:left w:val="single" w:color="000000" w:sz="4" w:space="0"/>
              <w:bottom w:val="single" w:color="000000" w:sz="4" w:space="0"/>
              <w:right w:val="single" w:color="000000" w:sz="4" w:space="0"/>
            </w:tcBorders>
            <w:vAlign w:val="top"/>
          </w:tcPr>
          <w:p>
            <w:pPr>
              <w:pStyle w:val="31"/>
              <w:kinsoku w:val="0"/>
              <w:overflowPunct w:val="0"/>
              <w:spacing w:line="400" w:lineRule="exact"/>
              <w:ind w:firstLine="414" w:firstLineChars="0"/>
              <w:rPr>
                <w:rFonts w:ascii="宋体" w:hAnsi="宋体" w:eastAsia="宋体" w:cs="宋体"/>
                <w:b/>
                <w:sz w:val="24"/>
                <w:szCs w:val="24"/>
                <w:highlight w:val="none"/>
                <w:lang w:val="en-US" w:eastAsia="zh-CN" w:bidi="ar-SA"/>
              </w:rPr>
            </w:pPr>
            <w:r>
              <w:rPr>
                <w:rFonts w:hint="eastAsia" w:ascii="宋体" w:hAnsi="宋体" w:cs="宋体"/>
                <w:b/>
                <w:bCs/>
                <w:kern w:val="2"/>
                <w:highlight w:val="none"/>
              </w:rPr>
              <w:t>中标候选人在领取中标通知书前，需向招标人提供纸质投标文件（资信标、商务标分册装订）正本各1份、副本各4 份（投标工具中所有内容打印成纸质文件，纸质文件上的水印码须与上传至“电子交易平台”上的投标文件的水印码一致）。</w:t>
            </w:r>
          </w:p>
        </w:tc>
      </w:tr>
      <w:tr>
        <w:tblPrEx>
          <w:tblCellMar>
            <w:top w:w="0" w:type="dxa"/>
            <w:left w:w="57" w:type="dxa"/>
            <w:bottom w:w="0" w:type="dxa"/>
            <w:right w:w="57" w:type="dxa"/>
          </w:tblCellMar>
        </w:tblPrEx>
        <w:trPr>
          <w:gridBefore w:val="1"/>
          <w:wBefore w:w="11" w:type="dxa"/>
          <w:trHeight w:val="9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hint="eastAsia" w:ascii="宋体" w:hAnsi="宋体"/>
                <w:highlight w:val="none"/>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firstLine="414" w:firstLineChars="0"/>
              <w:rPr>
                <w:rFonts w:hint="eastAsia" w:ascii="宋体" w:hAnsi="宋体" w:eastAsia="宋体" w:cs="宋体"/>
                <w:b/>
                <w:bCs/>
                <w:kern w:val="2"/>
                <w:highlight w:val="none"/>
                <w:lang w:val="en-US" w:eastAsia="zh-CN"/>
              </w:rPr>
            </w:pPr>
            <w:r>
              <w:rPr>
                <w:rFonts w:hint="eastAsia" w:ascii="宋体" w:hAnsi="宋体" w:eastAsia="宋体" w:cs="宋体"/>
                <w:b/>
                <w:bCs/>
                <w:kern w:val="2"/>
                <w:highlight w:val="none"/>
              </w:rPr>
              <w:t>温馨提示</w:t>
            </w:r>
          </w:p>
        </w:tc>
        <w:tc>
          <w:tcPr>
            <w:tcW w:w="6858" w:type="dxa"/>
            <w:tcBorders>
              <w:top w:val="single" w:color="000000" w:sz="4" w:space="0"/>
              <w:left w:val="single" w:color="000000" w:sz="4" w:space="0"/>
              <w:bottom w:val="single" w:color="000000" w:sz="4" w:space="0"/>
              <w:right w:val="single" w:color="000000" w:sz="4" w:space="0"/>
            </w:tcBorders>
            <w:vAlign w:val="top"/>
          </w:tcPr>
          <w:p>
            <w:pPr>
              <w:pStyle w:val="31"/>
              <w:kinsoku w:val="0"/>
              <w:overflowPunct w:val="0"/>
              <w:spacing w:line="400" w:lineRule="exact"/>
              <w:ind w:firstLine="414" w:firstLineChars="0"/>
              <w:rPr>
                <w:rFonts w:hint="eastAsia" w:ascii="宋体" w:hAnsi="宋体" w:eastAsia="宋体" w:cs="宋体"/>
                <w:b/>
                <w:bCs/>
                <w:kern w:val="2"/>
                <w:highlight w:val="none"/>
                <w:lang w:val="en-US" w:eastAsia="zh-CN"/>
              </w:rPr>
            </w:pPr>
            <w:r>
              <w:rPr>
                <w:rFonts w:hint="eastAsia" w:ascii="宋体" w:hAnsi="宋体" w:eastAsia="宋体" w:cs="宋体"/>
                <w:b/>
                <w:bCs/>
                <w:kern w:val="2"/>
                <w:highlight w:val="none"/>
              </w:rPr>
              <w:t>投标人须在递交投标保证金前在三门县工程建设电子交易平台中注册并核验通过。</w:t>
            </w:r>
          </w:p>
        </w:tc>
      </w:tr>
      <w:tr>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highlight w:val="none"/>
              </w:rPr>
            </w:pPr>
            <w:r>
              <w:rPr>
                <w:rFonts w:hint="eastAsia" w:ascii="宋体" w:hAnsi="宋体"/>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292" w:lineRule="exact"/>
              <w:ind w:left="141" w:leftChars="0" w:right="136" w:rightChars="0"/>
              <w:jc w:val="center"/>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投标制作工具</w:t>
            </w:r>
            <w:r>
              <w:rPr>
                <w:rFonts w:hAnsi="宋体" w:cs="Microsoft JhengHei"/>
                <w:b/>
                <w:bCs/>
                <w:sz w:val="21"/>
                <w:szCs w:val="21"/>
                <w:highlight w:val="none"/>
              </w:rPr>
              <w:t xml:space="preserve">USB </w:t>
            </w:r>
            <w:r>
              <w:rPr>
                <w:rFonts w:hint="eastAsia" w:hAnsi="宋体" w:cs="Microsoft JhengHei"/>
                <w:b/>
                <w:bCs/>
                <w:sz w:val="21"/>
                <w:szCs w:val="21"/>
                <w:highlight w:val="none"/>
              </w:rPr>
              <w:t>加密锁</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Calibri" w:hAnsi="宋体" w:eastAsia="宋体" w:cs="Microsoft JhengHei"/>
                <w:b/>
                <w:bCs/>
                <w:sz w:val="24"/>
                <w:szCs w:val="21"/>
                <w:highlight w:val="none"/>
                <w:lang w:val="en-US" w:eastAsia="zh-CN" w:bidi="ar-SA"/>
              </w:rPr>
            </w:pPr>
            <w:r>
              <w:rPr>
                <w:rFonts w:hint="eastAsia" w:hAnsi="宋体" w:cs="Microsoft JhengHei"/>
                <w:b/>
                <w:bCs/>
                <w:szCs w:val="21"/>
                <w:highlight w:val="none"/>
              </w:rPr>
              <w:t>开标后，经核查若不同投标人投标工具软件</w:t>
            </w:r>
            <w:r>
              <w:rPr>
                <w:rFonts w:hAnsi="宋体"/>
                <w:b/>
                <w:bCs/>
                <w:szCs w:val="21"/>
                <w:highlight w:val="none"/>
              </w:rPr>
              <w:t>USB</w:t>
            </w:r>
            <w:r>
              <w:rPr>
                <w:rFonts w:hint="eastAsia" w:hAnsi="宋体" w:cs="Microsoft JhengHei"/>
                <w:b/>
                <w:bCs/>
                <w:szCs w:val="21"/>
                <w:highlight w:val="none"/>
              </w:rPr>
              <w:t>加密锁号相同，所涉及投标文件均按无效标处理，同时投标保证金总额中的人民币</w:t>
            </w:r>
            <w:r>
              <w:rPr>
                <w:rFonts w:hint="eastAsia" w:hAnsi="宋体"/>
                <w:b/>
                <w:bCs/>
                <w:szCs w:val="21"/>
                <w:highlight w:val="none"/>
              </w:rPr>
              <w:t>3</w:t>
            </w:r>
            <w:r>
              <w:rPr>
                <w:rFonts w:hint="eastAsia" w:hAnsi="宋体" w:cs="Microsoft JhengHei"/>
                <w:b/>
                <w:bCs/>
                <w:szCs w:val="21"/>
                <w:highlight w:val="none"/>
              </w:rPr>
              <w:t>万元不予以退还（如采用保函的，需补缴纳人民币</w:t>
            </w:r>
            <w:r>
              <w:rPr>
                <w:rFonts w:hAnsi="宋体" w:cs="Microsoft JhengHei"/>
                <w:b/>
                <w:bCs/>
                <w:szCs w:val="21"/>
                <w:highlight w:val="none"/>
              </w:rPr>
              <w:t>3</w:t>
            </w:r>
            <w:r>
              <w:rPr>
                <w:rFonts w:hint="eastAsia" w:hAnsi="宋体" w:cs="Microsoft JhengHei"/>
                <w:b/>
                <w:bCs/>
                <w:szCs w:val="21"/>
                <w:highlight w:val="none"/>
              </w:rPr>
              <w:t>万元）。</w:t>
            </w:r>
          </w:p>
        </w:tc>
      </w:tr>
    </w:tbl>
    <w:p>
      <w:pPr>
        <w:rPr>
          <w:highlight w:val="none"/>
        </w:rPr>
        <w:sectPr>
          <w:footerReference r:id="rId4" w:type="default"/>
          <w:pgSz w:w="12240" w:h="15840"/>
          <w:pgMar w:top="1360" w:right="1100" w:bottom="1100" w:left="1580" w:header="0" w:footer="901" w:gutter="0"/>
          <w:cols w:space="720" w:num="1"/>
        </w:sectPr>
      </w:pPr>
    </w:p>
    <w:p>
      <w:pPr>
        <w:spacing w:line="360" w:lineRule="auto"/>
        <w:ind w:firstLine="880" w:firstLineChars="200"/>
        <w:jc w:val="center"/>
        <w:rPr>
          <w:rFonts w:ascii="黑体" w:hAnsi="黑体" w:eastAsia="黑体"/>
          <w:sz w:val="44"/>
          <w:szCs w:val="44"/>
          <w:highlight w:val="none"/>
        </w:rPr>
      </w:pPr>
      <w:bookmarkStart w:id="18" w:name="bookmark22"/>
      <w:bookmarkEnd w:id="18"/>
      <w:bookmarkStart w:id="19" w:name="_Toc45697231"/>
      <w:bookmarkStart w:id="20" w:name="_Toc723"/>
      <w:bookmarkStart w:id="21" w:name="_Toc22828068"/>
      <w:r>
        <w:rPr>
          <w:rFonts w:hint="eastAsia" w:ascii="黑体" w:hAnsi="黑体" w:eastAsia="黑体"/>
          <w:sz w:val="44"/>
          <w:szCs w:val="44"/>
          <w:highlight w:val="none"/>
        </w:rPr>
        <w:t>投标人须知</w:t>
      </w:r>
      <w:bookmarkEnd w:id="19"/>
      <w:bookmarkEnd w:id="20"/>
    </w:p>
    <w:p>
      <w:pPr>
        <w:spacing w:line="360" w:lineRule="auto"/>
        <w:jc w:val="both"/>
        <w:rPr>
          <w:rFonts w:ascii="宋体" w:hAnsi="宋体"/>
          <w:b/>
          <w:sz w:val="32"/>
          <w:szCs w:val="32"/>
          <w:highlight w:val="none"/>
        </w:rPr>
      </w:pPr>
      <w:bookmarkStart w:id="22" w:name="_Toc45697232"/>
      <w:bookmarkStart w:id="23" w:name="_Toc18780"/>
      <w:r>
        <w:rPr>
          <w:rFonts w:ascii="宋体" w:hAnsi="宋体"/>
          <w:b/>
          <w:sz w:val="32"/>
          <w:szCs w:val="32"/>
          <w:highlight w:val="none"/>
        </w:rPr>
        <w:t>1.总则</w:t>
      </w:r>
      <w:bookmarkEnd w:id="21"/>
      <w:bookmarkEnd w:id="22"/>
      <w:bookmarkEnd w:id="23"/>
    </w:p>
    <w:p>
      <w:pPr>
        <w:spacing w:line="360" w:lineRule="auto"/>
        <w:jc w:val="both"/>
        <w:rPr>
          <w:rFonts w:ascii="宋体" w:hAnsi="宋体"/>
          <w:b/>
          <w:sz w:val="28"/>
          <w:highlight w:val="none"/>
        </w:rPr>
      </w:pPr>
      <w:bookmarkStart w:id="24" w:name="bookmark23"/>
      <w:bookmarkEnd w:id="24"/>
      <w:r>
        <w:rPr>
          <w:rFonts w:ascii="宋体" w:hAnsi="宋体"/>
          <w:b/>
          <w:sz w:val="28"/>
          <w:highlight w:val="none"/>
        </w:rPr>
        <w:t>1.1招标项目概况</w:t>
      </w:r>
    </w:p>
    <w:p>
      <w:pPr>
        <w:pStyle w:val="8"/>
        <w:numPr>
          <w:ilvl w:val="2"/>
          <w:numId w:val="2"/>
        </w:numPr>
        <w:kinsoku w:val="0"/>
        <w:snapToGrid w:val="0"/>
        <w:spacing w:line="360" w:lineRule="auto"/>
        <w:ind w:left="0" w:firstLine="448" w:firstLineChars="200"/>
        <w:jc w:val="both"/>
        <w:rPr>
          <w:rFonts w:hAnsi="宋体"/>
          <w:highlight w:val="none"/>
        </w:rPr>
      </w:pPr>
      <w:r>
        <w:rPr>
          <w:rFonts w:hint="eastAsia" w:hAnsi="宋体"/>
          <w:spacing w:val="-8"/>
          <w:highlight w:val="none"/>
        </w:rPr>
        <w:t>根据《中华人民共和国招标投标法》《中华人民共和国招标投标法实施条例》等有关</w:t>
      </w:r>
      <w:r>
        <w:rPr>
          <w:rFonts w:hint="eastAsia" w:hAnsi="宋体"/>
          <w:highlight w:val="none"/>
        </w:rPr>
        <w:t>法律、法规和规章的规定，本招标项目已具备招标条件，现对项目施工进行招标。</w:t>
      </w:r>
    </w:p>
    <w:p>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招标人：见投标人须知前附表。</w:t>
      </w:r>
    </w:p>
    <w:p>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招标代理机构：见投标人须知前附表。</w:t>
      </w:r>
    </w:p>
    <w:p>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工程名称：见投标人须知前附表。</w:t>
      </w:r>
    </w:p>
    <w:p>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工程建设地点：见投标人须知前附表。</w:t>
      </w:r>
    </w:p>
    <w:p>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工程承包方式：包工包料。</w:t>
      </w:r>
    </w:p>
    <w:p>
      <w:pPr>
        <w:spacing w:line="360" w:lineRule="auto"/>
        <w:jc w:val="both"/>
        <w:rPr>
          <w:rFonts w:ascii="宋体" w:hAnsi="宋体"/>
          <w:b/>
          <w:sz w:val="28"/>
          <w:highlight w:val="none"/>
        </w:rPr>
      </w:pPr>
      <w:bookmarkStart w:id="25" w:name="bookmark24"/>
      <w:bookmarkEnd w:id="25"/>
      <w:r>
        <w:rPr>
          <w:rFonts w:ascii="宋体" w:hAnsi="宋体"/>
          <w:b/>
          <w:sz w:val="28"/>
          <w:highlight w:val="none"/>
        </w:rPr>
        <w:t>1.2招标项目的资金来源和落实情况</w:t>
      </w:r>
    </w:p>
    <w:p>
      <w:pPr>
        <w:pStyle w:val="8"/>
        <w:numPr>
          <w:ilvl w:val="2"/>
          <w:numId w:val="3"/>
        </w:numPr>
        <w:kinsoku w:val="0"/>
        <w:spacing w:line="360" w:lineRule="auto"/>
        <w:ind w:left="0" w:firstLine="480" w:firstLineChars="200"/>
        <w:jc w:val="both"/>
        <w:rPr>
          <w:rFonts w:hAnsi="宋体"/>
          <w:highlight w:val="none"/>
        </w:rPr>
      </w:pPr>
      <w:r>
        <w:rPr>
          <w:rFonts w:hint="eastAsia" w:hAnsi="宋体"/>
          <w:highlight w:val="none"/>
        </w:rPr>
        <w:t>资金来源及比例：见投标人须知前附表。</w:t>
      </w:r>
    </w:p>
    <w:p>
      <w:pPr>
        <w:pStyle w:val="8"/>
        <w:numPr>
          <w:ilvl w:val="2"/>
          <w:numId w:val="3"/>
        </w:numPr>
        <w:kinsoku w:val="0"/>
        <w:spacing w:line="360" w:lineRule="auto"/>
        <w:ind w:left="0" w:firstLine="480" w:firstLineChars="200"/>
        <w:jc w:val="both"/>
        <w:rPr>
          <w:rFonts w:hAnsi="宋体"/>
          <w:highlight w:val="none"/>
        </w:rPr>
      </w:pPr>
      <w:r>
        <w:rPr>
          <w:rFonts w:hint="eastAsia" w:hAnsi="宋体"/>
          <w:highlight w:val="none"/>
        </w:rPr>
        <w:t>资金落实情况：见投标人须知前附表。</w:t>
      </w:r>
    </w:p>
    <w:p>
      <w:pPr>
        <w:spacing w:line="360" w:lineRule="auto"/>
        <w:jc w:val="both"/>
        <w:rPr>
          <w:rFonts w:ascii="宋体" w:hAnsi="宋体"/>
          <w:b/>
          <w:sz w:val="28"/>
          <w:highlight w:val="none"/>
        </w:rPr>
      </w:pPr>
      <w:bookmarkStart w:id="26" w:name="bookmark25"/>
      <w:bookmarkEnd w:id="26"/>
      <w:r>
        <w:rPr>
          <w:rFonts w:ascii="宋体" w:hAnsi="宋体"/>
          <w:b/>
          <w:sz w:val="28"/>
          <w:highlight w:val="none"/>
        </w:rPr>
        <w:t>1.3招标范围、计划工期和质量要求</w:t>
      </w:r>
    </w:p>
    <w:p>
      <w:pPr>
        <w:pStyle w:val="8"/>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招标范围：见投标人须知前附表。</w:t>
      </w:r>
    </w:p>
    <w:p>
      <w:pPr>
        <w:pStyle w:val="8"/>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计划工期：见投标人须知前附表。</w:t>
      </w:r>
    </w:p>
    <w:p>
      <w:pPr>
        <w:pStyle w:val="8"/>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质量要求：见投标人须知前附表。</w:t>
      </w:r>
    </w:p>
    <w:p>
      <w:pPr>
        <w:spacing w:line="360" w:lineRule="auto"/>
        <w:jc w:val="both"/>
        <w:rPr>
          <w:rFonts w:ascii="宋体" w:hAnsi="宋体"/>
          <w:b/>
          <w:sz w:val="28"/>
          <w:highlight w:val="none"/>
        </w:rPr>
      </w:pPr>
      <w:bookmarkStart w:id="27" w:name="bookmark26"/>
      <w:bookmarkEnd w:id="27"/>
      <w:r>
        <w:rPr>
          <w:rFonts w:ascii="宋体" w:hAnsi="宋体"/>
          <w:b/>
          <w:sz w:val="28"/>
          <w:highlight w:val="none"/>
        </w:rPr>
        <w:t>1.4投标人资格要求</w:t>
      </w:r>
    </w:p>
    <w:p>
      <w:pPr>
        <w:pStyle w:val="8"/>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投标人应具备承担本招标项目资质条件、能力和信誉：</w:t>
      </w:r>
    </w:p>
    <w:p>
      <w:pPr>
        <w:pStyle w:val="8"/>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资质要求：见投标人须知前附表；</w:t>
      </w:r>
    </w:p>
    <w:p>
      <w:pPr>
        <w:pStyle w:val="8"/>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业绩要求：见投标人须知前附表；</w:t>
      </w:r>
    </w:p>
    <w:p>
      <w:pPr>
        <w:pStyle w:val="8"/>
        <w:numPr>
          <w:ilvl w:val="0"/>
          <w:numId w:val="6"/>
        </w:numPr>
        <w:kinsoku w:val="0"/>
        <w:snapToGrid w:val="0"/>
        <w:spacing w:line="360" w:lineRule="auto"/>
        <w:ind w:left="0" w:firstLine="480" w:firstLineChars="200"/>
        <w:jc w:val="both"/>
        <w:rPr>
          <w:rFonts w:hAnsi="宋体"/>
          <w:highlight w:val="none"/>
        </w:rPr>
      </w:pPr>
      <w:r>
        <w:rPr>
          <w:rFonts w:hint="eastAsia" w:ascii="宋体" w:hAnsi="宋体"/>
          <w:highlight w:val="none"/>
        </w:rPr>
        <w:t>项目负责人</w:t>
      </w:r>
      <w:r>
        <w:rPr>
          <w:rFonts w:hint="eastAsia" w:hAnsi="宋体"/>
          <w:spacing w:val="-6"/>
          <w:highlight w:val="none"/>
        </w:rPr>
        <w:t>的资格要求：见投标</w:t>
      </w:r>
      <w:r>
        <w:rPr>
          <w:rFonts w:hint="eastAsia" w:hAnsi="宋体"/>
          <w:highlight w:val="none"/>
        </w:rPr>
        <w:t>人须知前附表；</w:t>
      </w:r>
    </w:p>
    <w:p>
      <w:pPr>
        <w:pStyle w:val="8"/>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其他要求：见投标人须知前附表。</w:t>
      </w:r>
    </w:p>
    <w:p>
      <w:pPr>
        <w:pStyle w:val="8"/>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投标人须知前附表规定接受联合体投标的，联合体除应符合本章第</w:t>
      </w:r>
      <w:r>
        <w:rPr>
          <w:rFonts w:hAnsi="宋体"/>
          <w:highlight w:val="none"/>
        </w:rPr>
        <w:t>1.4.1</w:t>
      </w:r>
      <w:r>
        <w:rPr>
          <w:rFonts w:hint="eastAsia" w:hAnsi="宋体"/>
          <w:highlight w:val="none"/>
        </w:rPr>
        <w:t>项和投标人须知前附表的要求外，还应遵守以下规定：</w:t>
      </w:r>
    </w:p>
    <w:p>
      <w:pPr>
        <w:pStyle w:val="8"/>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联合体各方应按招标文件提供的格式签订联合体协议书，明确联合体牵头人和各方权利义务；</w:t>
      </w:r>
    </w:p>
    <w:p>
      <w:pPr>
        <w:pStyle w:val="8"/>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联合体的各专业资质等级，根据共同投标协议约定的专业分工，分别按照承担相应专业工作的资质等级较低的单位确定；</w:t>
      </w:r>
    </w:p>
    <w:p>
      <w:pPr>
        <w:pStyle w:val="8"/>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联合体各方不得再以自己名义单独或参加其他联合体在同一标段中投标。</w:t>
      </w:r>
    </w:p>
    <w:p>
      <w:pPr>
        <w:pStyle w:val="8"/>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投标人的资格审查方式</w:t>
      </w:r>
      <w:r>
        <w:rPr>
          <w:rFonts w:hAnsi="宋体"/>
          <w:highlight w:val="none"/>
        </w:rPr>
        <w:t>:</w:t>
      </w:r>
      <w:r>
        <w:rPr>
          <w:rFonts w:hint="eastAsia" w:hAnsi="宋体"/>
          <w:highlight w:val="none"/>
        </w:rPr>
        <w:t>见投标人须知前附表。</w:t>
      </w:r>
    </w:p>
    <w:p>
      <w:pPr>
        <w:pStyle w:val="8"/>
        <w:numPr>
          <w:ilvl w:val="2"/>
          <w:numId w:val="5"/>
        </w:numPr>
        <w:kinsoku w:val="0"/>
        <w:snapToGrid w:val="0"/>
        <w:spacing w:line="360" w:lineRule="auto"/>
        <w:ind w:left="0" w:firstLine="480" w:firstLineChars="200"/>
        <w:jc w:val="both"/>
        <w:rPr>
          <w:highlight w:val="none"/>
        </w:rPr>
      </w:pPr>
      <w:r>
        <w:rPr>
          <w:rFonts w:hint="eastAsia" w:hAnsi="宋体"/>
          <w:highlight w:val="none"/>
        </w:rPr>
        <w:t>投标人不得存在下列情形之一：</w:t>
      </w:r>
    </w:p>
    <w:p>
      <w:pPr>
        <w:pStyle w:val="8"/>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为招标人不具有独立法人资格的附属机构（单位）；</w:t>
      </w:r>
    </w:p>
    <w:p>
      <w:pPr>
        <w:pStyle w:val="8"/>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为与招标人存在利害关系可能影响招标公正性的法人、其他组织或者个人；</w:t>
      </w:r>
    </w:p>
    <w:p>
      <w:pPr>
        <w:pStyle w:val="8"/>
        <w:numPr>
          <w:ilvl w:val="0"/>
          <w:numId w:val="8"/>
        </w:numPr>
        <w:kinsoku w:val="0"/>
        <w:spacing w:line="360" w:lineRule="auto"/>
        <w:ind w:left="0" w:firstLine="480" w:firstLineChars="200"/>
        <w:jc w:val="both"/>
        <w:rPr>
          <w:rFonts w:hAnsi="宋体"/>
          <w:highlight w:val="none"/>
        </w:rPr>
      </w:pPr>
      <w:r>
        <w:rPr>
          <w:rFonts w:hint="eastAsia" w:hAnsi="宋体"/>
          <w:highlight w:val="none"/>
        </w:rPr>
        <w:t>不同投标人的单位负责人为同一人或者互相存在控股、管理关系的；</w:t>
      </w:r>
    </w:p>
    <w:p>
      <w:pPr>
        <w:pStyle w:val="8"/>
        <w:numPr>
          <w:ilvl w:val="0"/>
          <w:numId w:val="8"/>
        </w:numPr>
        <w:kinsoku w:val="0"/>
        <w:spacing w:line="360" w:lineRule="auto"/>
        <w:ind w:left="0" w:firstLine="480" w:firstLineChars="200"/>
        <w:jc w:val="both"/>
        <w:rPr>
          <w:rFonts w:hAnsi="宋体"/>
          <w:highlight w:val="none"/>
        </w:rPr>
      </w:pPr>
      <w:r>
        <w:rPr>
          <w:rFonts w:hint="eastAsia" w:hAnsi="宋体"/>
          <w:highlight w:val="none"/>
        </w:rPr>
        <w:t>为本标段前期准备提供设计或咨询服务的；</w:t>
      </w:r>
    </w:p>
    <w:p>
      <w:pPr>
        <w:pStyle w:val="8"/>
        <w:kinsoku w:val="0"/>
        <w:spacing w:line="360" w:lineRule="auto"/>
        <w:ind w:left="480" w:leftChars="200"/>
        <w:jc w:val="both"/>
        <w:rPr>
          <w:rFonts w:hAnsi="宋体"/>
          <w:highlight w:val="none"/>
        </w:rPr>
      </w:pPr>
      <w:r>
        <w:rPr>
          <w:rFonts w:hint="eastAsia" w:hAnsi="宋体"/>
          <w:highlight w:val="none"/>
        </w:rPr>
        <w:t>（5）为本标段的监理人；</w:t>
      </w:r>
    </w:p>
    <w:p>
      <w:pPr>
        <w:pStyle w:val="8"/>
        <w:kinsoku w:val="0"/>
        <w:spacing w:line="360" w:lineRule="auto"/>
        <w:ind w:left="0" w:firstLine="480" w:firstLineChars="200"/>
        <w:jc w:val="both"/>
        <w:rPr>
          <w:rFonts w:hAnsi="宋体"/>
          <w:highlight w:val="none"/>
        </w:rPr>
      </w:pPr>
      <w:r>
        <w:rPr>
          <w:rFonts w:hint="eastAsia" w:hAnsi="宋体"/>
          <w:highlight w:val="none"/>
        </w:rPr>
        <w:t>（6）为本标段的代建人；</w:t>
      </w:r>
    </w:p>
    <w:p>
      <w:pPr>
        <w:pStyle w:val="8"/>
        <w:kinsoku w:val="0"/>
        <w:spacing w:line="360" w:lineRule="auto"/>
        <w:ind w:left="0" w:firstLine="480" w:firstLineChars="200"/>
        <w:jc w:val="both"/>
        <w:rPr>
          <w:rFonts w:hAnsi="宋体"/>
          <w:highlight w:val="none"/>
        </w:rPr>
      </w:pPr>
      <w:r>
        <w:rPr>
          <w:rFonts w:hint="eastAsia" w:hAnsi="宋体"/>
          <w:highlight w:val="none"/>
        </w:rPr>
        <w:t>（7）为本标段提供招标代理服务的；</w:t>
      </w:r>
    </w:p>
    <w:p>
      <w:pPr>
        <w:pStyle w:val="8"/>
        <w:kinsoku w:val="0"/>
        <w:spacing w:line="360" w:lineRule="auto"/>
        <w:ind w:left="0" w:firstLine="480" w:firstLineChars="200"/>
        <w:jc w:val="both"/>
        <w:rPr>
          <w:rFonts w:hAnsi="宋体"/>
          <w:highlight w:val="none"/>
        </w:rPr>
      </w:pPr>
      <w:r>
        <w:rPr>
          <w:rFonts w:hint="eastAsia" w:hAnsi="宋体"/>
          <w:highlight w:val="none"/>
        </w:rPr>
        <w:t>（8）与本标段的监理人或代建人或招标代理机构同为一个法定代表人的；</w:t>
      </w:r>
    </w:p>
    <w:p>
      <w:pPr>
        <w:pStyle w:val="8"/>
        <w:kinsoku w:val="0"/>
        <w:spacing w:line="360" w:lineRule="auto"/>
        <w:ind w:left="0" w:firstLine="480" w:firstLineChars="200"/>
        <w:jc w:val="both"/>
        <w:rPr>
          <w:rFonts w:hAnsi="宋体"/>
          <w:highlight w:val="none"/>
        </w:rPr>
      </w:pPr>
      <w:r>
        <w:rPr>
          <w:rFonts w:hint="eastAsia" w:hAnsi="宋体"/>
          <w:highlight w:val="none"/>
        </w:rPr>
        <w:t>（9）与本标段的监理人或代建人或招标代理机构相互控股或参股的；</w:t>
      </w:r>
    </w:p>
    <w:p>
      <w:pPr>
        <w:pStyle w:val="8"/>
        <w:kinsoku w:val="0"/>
        <w:spacing w:line="360" w:lineRule="auto"/>
        <w:ind w:left="0" w:firstLine="480" w:firstLineChars="200"/>
        <w:jc w:val="both"/>
        <w:rPr>
          <w:rFonts w:hAnsi="宋体"/>
          <w:highlight w:val="none"/>
        </w:rPr>
      </w:pPr>
      <w:r>
        <w:rPr>
          <w:rFonts w:hint="eastAsia" w:hAnsi="宋体"/>
          <w:highlight w:val="none"/>
        </w:rPr>
        <w:t>（10）与本标段的监理人或代建人或招标代理机构相互任职或工作的；</w:t>
      </w:r>
    </w:p>
    <w:p>
      <w:pPr>
        <w:pStyle w:val="8"/>
        <w:kinsoku w:val="0"/>
        <w:spacing w:line="360" w:lineRule="auto"/>
        <w:ind w:left="0" w:firstLine="480" w:firstLineChars="200"/>
        <w:jc w:val="both"/>
        <w:rPr>
          <w:rFonts w:hAnsi="宋体"/>
          <w:highlight w:val="none"/>
        </w:rPr>
      </w:pPr>
      <w:r>
        <w:rPr>
          <w:rFonts w:hint="eastAsia" w:hAnsi="宋体"/>
          <w:highlight w:val="none"/>
        </w:rPr>
        <w:t>（11）被责令停产停业、暂扣或者吊销许可证、暂扣或者吊销执照；</w:t>
      </w:r>
    </w:p>
    <w:p>
      <w:pPr>
        <w:pStyle w:val="8"/>
        <w:kinsoku w:val="0"/>
        <w:spacing w:line="360" w:lineRule="auto"/>
        <w:ind w:left="0" w:firstLine="480" w:firstLineChars="200"/>
        <w:jc w:val="both"/>
        <w:rPr>
          <w:rFonts w:hAnsi="宋体"/>
          <w:highlight w:val="none"/>
        </w:rPr>
      </w:pPr>
      <w:r>
        <w:rPr>
          <w:rFonts w:hint="eastAsia" w:hAnsi="宋体"/>
          <w:highlight w:val="none"/>
        </w:rPr>
        <w:t>（12）进入清算程序，或被宣告破产；</w:t>
      </w:r>
    </w:p>
    <w:p>
      <w:pPr>
        <w:pStyle w:val="8"/>
        <w:kinsoku w:val="0"/>
        <w:spacing w:line="360" w:lineRule="auto"/>
        <w:ind w:left="0" w:firstLine="480" w:firstLineChars="200"/>
        <w:jc w:val="both"/>
        <w:rPr>
          <w:rFonts w:hAnsi="宋体"/>
          <w:highlight w:val="none"/>
        </w:rPr>
      </w:pPr>
      <w:r>
        <w:rPr>
          <w:rFonts w:hint="eastAsia" w:hAnsi="宋体"/>
          <w:highlight w:val="none"/>
        </w:rPr>
        <w:t>（13）被依法暂停或取消投标资格的；</w:t>
      </w:r>
    </w:p>
    <w:p>
      <w:pPr>
        <w:pStyle w:val="8"/>
        <w:kinsoku w:val="0"/>
        <w:spacing w:line="360" w:lineRule="auto"/>
        <w:ind w:left="0" w:firstLine="480" w:firstLineChars="200"/>
        <w:jc w:val="both"/>
        <w:rPr>
          <w:highlight w:val="none"/>
        </w:rPr>
      </w:pPr>
      <w:r>
        <w:rPr>
          <w:rFonts w:hint="eastAsia"/>
          <w:highlight w:val="none"/>
        </w:rPr>
        <w:t>（14）法律法规或投标人须知前附表规定的其他情形。</w:t>
      </w:r>
    </w:p>
    <w:p>
      <w:pPr>
        <w:pStyle w:val="8"/>
        <w:kinsoku w:val="0"/>
        <w:spacing w:line="360" w:lineRule="auto"/>
        <w:ind w:left="0" w:firstLine="480" w:firstLineChars="200"/>
        <w:jc w:val="both"/>
        <w:rPr>
          <w:highlight w:val="none"/>
        </w:rPr>
      </w:pPr>
      <w:r>
        <w:rPr>
          <w:rFonts w:hint="eastAsia"/>
          <w:highlight w:val="none"/>
        </w:rPr>
        <w:t>（15）</w:t>
      </w:r>
      <w:r>
        <w:rPr>
          <w:highlight w:val="none"/>
        </w:rPr>
        <w:t>安全生产许可证超出有效期或处于暂扣时限内的；</w:t>
      </w:r>
    </w:p>
    <w:p>
      <w:pPr>
        <w:pStyle w:val="8"/>
        <w:kinsoku w:val="0"/>
        <w:spacing w:line="360" w:lineRule="auto"/>
        <w:ind w:left="0" w:firstLine="480" w:firstLineChars="200"/>
        <w:jc w:val="both"/>
        <w:rPr>
          <w:highlight w:val="none"/>
        </w:rPr>
      </w:pPr>
      <w:r>
        <w:rPr>
          <w:rFonts w:hint="eastAsia"/>
          <w:highlight w:val="none"/>
        </w:rPr>
        <w:t>（16）投标人及相关管理人员（包括项目负责人）安全生产任职资格不符合相关规定；</w:t>
      </w:r>
    </w:p>
    <w:p>
      <w:pPr>
        <w:spacing w:line="400" w:lineRule="exact"/>
        <w:ind w:firstLine="360" w:firstLineChars="150"/>
        <w:jc w:val="both"/>
        <w:rPr>
          <w:rFonts w:ascii="宋体" w:hAnsi="宋体" w:cs="宋体"/>
          <w:highlight w:val="none"/>
        </w:rPr>
      </w:pPr>
      <w:r>
        <w:rPr>
          <w:rFonts w:hint="eastAsia" w:ascii="宋体" w:hAnsi="宋体" w:cs="宋体"/>
          <w:highlight w:val="none"/>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pStyle w:val="8"/>
        <w:kinsoku w:val="0"/>
        <w:spacing w:line="360" w:lineRule="auto"/>
        <w:ind w:left="0" w:firstLine="480" w:firstLineChars="200"/>
        <w:jc w:val="both"/>
        <w:rPr>
          <w:rFonts w:ascii="宋体" w:hAnsi="宋体" w:cs="宋体"/>
          <w:highlight w:val="none"/>
        </w:rPr>
      </w:pPr>
      <w:r>
        <w:rPr>
          <w:rFonts w:hint="eastAsia" w:ascii="宋体" w:hAnsi="宋体" w:cs="宋体"/>
          <w:highlight w:val="none"/>
        </w:rPr>
        <w:t>（18）浙江省外企业《省外企业进浙承接业务备案证明》超出有效期或未能在“浙江省建筑市场监管公共服务系统”对外发布形成的备案信息中显示的或已注销的。</w:t>
      </w:r>
    </w:p>
    <w:p>
      <w:pPr>
        <w:spacing w:line="360" w:lineRule="auto"/>
        <w:jc w:val="both"/>
        <w:rPr>
          <w:rFonts w:ascii="宋体" w:hAnsi="宋体"/>
          <w:b/>
          <w:sz w:val="28"/>
          <w:highlight w:val="none"/>
        </w:rPr>
      </w:pPr>
      <w:bookmarkStart w:id="28" w:name="bookmark27"/>
      <w:bookmarkEnd w:id="28"/>
      <w:r>
        <w:rPr>
          <w:rFonts w:ascii="宋体" w:hAnsi="宋体"/>
          <w:b/>
          <w:sz w:val="28"/>
          <w:highlight w:val="none"/>
        </w:rPr>
        <w:t>1.5费用承担</w:t>
      </w:r>
    </w:p>
    <w:p>
      <w:pPr>
        <w:pStyle w:val="8"/>
        <w:kinsoku w:val="0"/>
        <w:spacing w:line="360" w:lineRule="auto"/>
        <w:ind w:right="44"/>
        <w:jc w:val="both"/>
        <w:rPr>
          <w:rFonts w:hAnsi="宋体"/>
          <w:highlight w:val="none"/>
        </w:rPr>
      </w:pPr>
      <w:r>
        <w:rPr>
          <w:rFonts w:hint="eastAsia" w:hAnsi="宋体"/>
          <w:highlight w:val="none"/>
        </w:rPr>
        <w:t>投标人准备和参加投标活动发生的费用自理。</w:t>
      </w:r>
    </w:p>
    <w:p>
      <w:pPr>
        <w:spacing w:line="360" w:lineRule="auto"/>
        <w:jc w:val="both"/>
        <w:rPr>
          <w:rFonts w:ascii="宋体" w:hAnsi="宋体"/>
          <w:b/>
          <w:sz w:val="28"/>
          <w:highlight w:val="none"/>
        </w:rPr>
      </w:pPr>
      <w:bookmarkStart w:id="29" w:name="bookmark28"/>
      <w:bookmarkEnd w:id="29"/>
      <w:r>
        <w:rPr>
          <w:rFonts w:ascii="宋体" w:hAnsi="宋体"/>
          <w:b/>
          <w:sz w:val="28"/>
          <w:highlight w:val="none"/>
        </w:rPr>
        <w:t>1.6保密</w:t>
      </w:r>
    </w:p>
    <w:p>
      <w:pPr>
        <w:pStyle w:val="8"/>
        <w:topLinePunct/>
        <w:autoSpaceDN/>
        <w:snapToGrid w:val="0"/>
        <w:spacing w:line="360" w:lineRule="auto"/>
        <w:ind w:left="0" w:firstLine="476" w:firstLineChars="200"/>
        <w:jc w:val="both"/>
        <w:rPr>
          <w:rFonts w:hAnsi="宋体"/>
          <w:highlight w:val="none"/>
        </w:rPr>
      </w:pPr>
      <w:r>
        <w:rPr>
          <w:rFonts w:hint="eastAsia" w:hAnsi="宋体"/>
          <w:spacing w:val="-1"/>
          <w:highlight w:val="none"/>
        </w:rPr>
        <w:t>参与招标投标活动的各方应对招标文件和投标文件中的商业和技术等秘密保密，否则应承</w:t>
      </w:r>
      <w:r>
        <w:rPr>
          <w:rFonts w:hint="eastAsia" w:hAnsi="宋体"/>
          <w:highlight w:val="none"/>
        </w:rPr>
        <w:t>担相应的法律责任。</w:t>
      </w:r>
    </w:p>
    <w:p>
      <w:pPr>
        <w:spacing w:line="360" w:lineRule="auto"/>
        <w:jc w:val="both"/>
        <w:rPr>
          <w:rFonts w:ascii="宋体" w:hAnsi="宋体"/>
          <w:b/>
          <w:sz w:val="28"/>
          <w:highlight w:val="none"/>
        </w:rPr>
      </w:pPr>
      <w:bookmarkStart w:id="30" w:name="bookmark29"/>
      <w:bookmarkEnd w:id="30"/>
      <w:r>
        <w:rPr>
          <w:rFonts w:ascii="宋体" w:hAnsi="宋体"/>
          <w:b/>
          <w:sz w:val="28"/>
          <w:highlight w:val="none"/>
        </w:rPr>
        <w:t>1.7语言文字</w:t>
      </w:r>
    </w:p>
    <w:p>
      <w:pPr>
        <w:pStyle w:val="8"/>
        <w:topLinePunct/>
        <w:autoSpaceDN/>
        <w:snapToGrid w:val="0"/>
        <w:spacing w:line="360" w:lineRule="auto"/>
        <w:ind w:left="0" w:firstLine="480" w:firstLineChars="200"/>
        <w:jc w:val="both"/>
        <w:rPr>
          <w:rFonts w:hAnsi="宋体"/>
          <w:highlight w:val="none"/>
        </w:rPr>
      </w:pPr>
      <w:r>
        <w:rPr>
          <w:rFonts w:hint="eastAsia" w:hAnsi="宋体"/>
          <w:highlight w:val="none"/>
        </w:rPr>
        <w:t>招标投标文件使用的语言文字为中文。专用术语使用外文的，应附有中文注释。</w:t>
      </w:r>
    </w:p>
    <w:p>
      <w:pPr>
        <w:spacing w:line="360" w:lineRule="auto"/>
        <w:jc w:val="both"/>
        <w:rPr>
          <w:rFonts w:ascii="宋体" w:hAnsi="宋体"/>
          <w:b/>
          <w:sz w:val="28"/>
          <w:highlight w:val="none"/>
        </w:rPr>
      </w:pPr>
      <w:bookmarkStart w:id="31" w:name="bookmark30"/>
      <w:bookmarkEnd w:id="31"/>
      <w:r>
        <w:rPr>
          <w:rFonts w:ascii="宋体" w:hAnsi="宋体"/>
          <w:b/>
          <w:sz w:val="28"/>
          <w:highlight w:val="none"/>
        </w:rPr>
        <w:t>1.8计量单位</w:t>
      </w:r>
    </w:p>
    <w:p>
      <w:pPr>
        <w:pStyle w:val="8"/>
        <w:kinsoku w:val="0"/>
        <w:spacing w:line="360" w:lineRule="auto"/>
        <w:ind w:right="44"/>
        <w:jc w:val="both"/>
        <w:rPr>
          <w:rFonts w:hAnsi="宋体"/>
          <w:highlight w:val="none"/>
        </w:rPr>
      </w:pPr>
      <w:r>
        <w:rPr>
          <w:rFonts w:hint="eastAsia" w:hAnsi="宋体"/>
          <w:highlight w:val="none"/>
        </w:rPr>
        <w:t>所有计量均采用中华人民共和国法定计量单位。</w:t>
      </w:r>
    </w:p>
    <w:p>
      <w:pPr>
        <w:spacing w:line="360" w:lineRule="auto"/>
        <w:jc w:val="both"/>
        <w:rPr>
          <w:rFonts w:ascii="宋体" w:hAnsi="宋体"/>
          <w:b/>
          <w:sz w:val="28"/>
          <w:highlight w:val="none"/>
        </w:rPr>
      </w:pPr>
      <w:bookmarkStart w:id="32" w:name="bookmark31"/>
      <w:bookmarkEnd w:id="32"/>
      <w:r>
        <w:rPr>
          <w:rFonts w:ascii="宋体" w:hAnsi="宋体"/>
          <w:b/>
          <w:sz w:val="28"/>
          <w:highlight w:val="none"/>
        </w:rPr>
        <w:t>1.9踏勘现场</w:t>
      </w:r>
    </w:p>
    <w:p>
      <w:pPr>
        <w:pStyle w:val="8"/>
        <w:numPr>
          <w:ilvl w:val="2"/>
          <w:numId w:val="9"/>
        </w:numPr>
        <w:kinsoku w:val="0"/>
        <w:snapToGrid w:val="0"/>
        <w:spacing w:line="360" w:lineRule="auto"/>
        <w:ind w:left="0" w:firstLine="464" w:firstLineChars="200"/>
        <w:jc w:val="both"/>
        <w:rPr>
          <w:rFonts w:hAnsi="宋体"/>
          <w:spacing w:val="-6"/>
          <w:highlight w:val="none"/>
        </w:rPr>
      </w:pPr>
      <w:r>
        <w:rPr>
          <w:rFonts w:hint="eastAsia" w:hAnsi="宋体"/>
          <w:spacing w:val="-4"/>
          <w:highlight w:val="none"/>
        </w:rPr>
        <w:t>投标人须知前附表规定组织踏勘现场的，招标人按投标人须知前附表规定的时间、地</w:t>
      </w:r>
      <w:r>
        <w:rPr>
          <w:rFonts w:hint="eastAsia" w:hAnsi="宋体"/>
          <w:spacing w:val="-6"/>
          <w:highlight w:val="none"/>
        </w:rPr>
        <w:t>点组织投标人踏勘项目现场。部分投标人未按时参加踏勘现场的，不影响踏勘现场的正常进行。</w:t>
      </w:r>
    </w:p>
    <w:p>
      <w:pPr>
        <w:pStyle w:val="8"/>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投标人踏勘现场发生的费用自理。</w:t>
      </w:r>
    </w:p>
    <w:p>
      <w:pPr>
        <w:pStyle w:val="8"/>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除招标人的原因外，投标人自行负责在踏勘现场中所发生的人员伤亡和财产损失。</w:t>
      </w:r>
    </w:p>
    <w:p>
      <w:pPr>
        <w:pStyle w:val="8"/>
        <w:numPr>
          <w:ilvl w:val="2"/>
          <w:numId w:val="9"/>
        </w:numPr>
        <w:kinsoku w:val="0"/>
        <w:snapToGrid w:val="0"/>
        <w:spacing w:line="360" w:lineRule="auto"/>
        <w:ind w:left="0" w:firstLine="464" w:firstLineChars="200"/>
        <w:jc w:val="both"/>
        <w:rPr>
          <w:rFonts w:hAnsi="宋体"/>
          <w:highlight w:val="none"/>
        </w:rPr>
      </w:pPr>
      <w:r>
        <w:rPr>
          <w:rFonts w:hint="eastAsia" w:hAnsi="宋体"/>
          <w:spacing w:val="-4"/>
          <w:highlight w:val="none"/>
        </w:rPr>
        <w:t>招标人在踏勘现场中介绍的工程场地和相关的周边环境情况，供投标人在编制投标文</w:t>
      </w:r>
      <w:r>
        <w:rPr>
          <w:rFonts w:hint="eastAsia" w:hAnsi="宋体"/>
          <w:highlight w:val="none"/>
        </w:rPr>
        <w:t>件时参考，招标人不对投标人据此作出的判断和决策负责。</w:t>
      </w:r>
    </w:p>
    <w:p>
      <w:pPr>
        <w:spacing w:line="360" w:lineRule="auto"/>
        <w:jc w:val="both"/>
        <w:rPr>
          <w:rFonts w:ascii="宋体" w:hAnsi="宋体"/>
          <w:b/>
          <w:sz w:val="28"/>
          <w:highlight w:val="none"/>
        </w:rPr>
      </w:pPr>
      <w:bookmarkStart w:id="33" w:name="bookmark32"/>
      <w:bookmarkEnd w:id="33"/>
      <w:r>
        <w:rPr>
          <w:rFonts w:ascii="宋体" w:hAnsi="宋体"/>
          <w:b/>
          <w:sz w:val="28"/>
          <w:highlight w:val="none"/>
        </w:rPr>
        <w:t>1.10投标预备会</w:t>
      </w:r>
    </w:p>
    <w:p>
      <w:pPr>
        <w:pStyle w:val="8"/>
        <w:numPr>
          <w:ilvl w:val="2"/>
          <w:numId w:val="10"/>
        </w:numPr>
        <w:kinsoku w:val="0"/>
        <w:spacing w:line="360" w:lineRule="auto"/>
        <w:ind w:left="0" w:right="45" w:firstLine="480" w:firstLineChars="200"/>
        <w:jc w:val="both"/>
        <w:rPr>
          <w:rFonts w:hAnsi="宋体"/>
          <w:highlight w:val="none"/>
        </w:rPr>
      </w:pPr>
      <w:r>
        <w:rPr>
          <w:rFonts w:hint="eastAsia" w:hAnsi="宋体"/>
          <w:highlight w:val="none"/>
        </w:rPr>
        <w:t>投标人须知前附表规定召开投标预备会的，招标人按投标人须知前附表规定的时间和地点召开投标预备会，澄清投标人提出的问题。</w:t>
      </w:r>
    </w:p>
    <w:p>
      <w:pPr>
        <w:spacing w:line="360" w:lineRule="auto"/>
        <w:jc w:val="both"/>
        <w:rPr>
          <w:rFonts w:ascii="宋体" w:hAnsi="宋体"/>
          <w:b/>
          <w:sz w:val="28"/>
          <w:highlight w:val="none"/>
        </w:rPr>
      </w:pPr>
      <w:bookmarkStart w:id="34" w:name="bookmark33"/>
      <w:bookmarkEnd w:id="34"/>
      <w:r>
        <w:rPr>
          <w:rFonts w:ascii="宋体" w:hAnsi="宋体"/>
          <w:b/>
          <w:sz w:val="28"/>
          <w:highlight w:val="none"/>
        </w:rPr>
        <w:t>1.11分包</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投标人拟在中标后将中标项目的非主体、非关键性工作进行分包的，</w:t>
      </w:r>
      <w:bookmarkStart w:id="35" w:name="_Hlk27203995"/>
      <w:r>
        <w:rPr>
          <w:rFonts w:hint="eastAsia" w:hAnsi="宋体"/>
          <w:highlight w:val="none"/>
        </w:rPr>
        <w:t>应符合相关法律法规规定。</w:t>
      </w:r>
      <w:bookmarkEnd w:id="35"/>
    </w:p>
    <w:p>
      <w:pPr>
        <w:spacing w:line="360" w:lineRule="auto"/>
        <w:jc w:val="both"/>
        <w:rPr>
          <w:rFonts w:ascii="宋体" w:hAnsi="宋体"/>
          <w:b/>
          <w:sz w:val="28"/>
          <w:highlight w:val="none"/>
        </w:rPr>
      </w:pPr>
      <w:bookmarkStart w:id="36" w:name="bookmark34"/>
      <w:bookmarkEnd w:id="36"/>
      <w:r>
        <w:rPr>
          <w:rFonts w:ascii="宋体" w:hAnsi="宋体"/>
          <w:b/>
          <w:sz w:val="28"/>
          <w:highlight w:val="none"/>
        </w:rPr>
        <w:t>1.12偏差</w:t>
      </w:r>
    </w:p>
    <w:p>
      <w:pPr>
        <w:pStyle w:val="8"/>
        <w:numPr>
          <w:ilvl w:val="2"/>
          <w:numId w:val="11"/>
        </w:numPr>
        <w:kinsoku w:val="0"/>
        <w:spacing w:line="360" w:lineRule="auto"/>
        <w:ind w:left="0" w:firstLine="480" w:firstLineChars="200"/>
        <w:jc w:val="both"/>
        <w:rPr>
          <w:rFonts w:hAnsi="宋体"/>
          <w:spacing w:val="-1"/>
          <w:highlight w:val="none"/>
        </w:rPr>
      </w:pPr>
      <w:r>
        <w:rPr>
          <w:rFonts w:hint="eastAsia" w:hAnsi="宋体"/>
          <w:highlight w:val="none"/>
        </w:rPr>
        <w:t>投标文件应当对招标文件的实质性要求和条件作出满足性或更有利于招标人的响应，否则，投标人的投标将被否决。投标人及投标文件不存在投标人须知前附表</w:t>
      </w:r>
      <w:r>
        <w:rPr>
          <w:rFonts w:hAnsi="宋体"/>
          <w:highlight w:val="none"/>
        </w:rPr>
        <w:t>10.5</w:t>
      </w:r>
      <w:r>
        <w:rPr>
          <w:rFonts w:hint="eastAsia" w:hAnsi="宋体"/>
          <w:highlight w:val="none"/>
        </w:rPr>
        <w:t>项规定情形的，即认为投标文件对招标文件的实质性要求和条件作出了满足性或更有利于招标人的响应。</w:t>
      </w:r>
    </w:p>
    <w:p>
      <w:pPr>
        <w:pStyle w:val="8"/>
        <w:numPr>
          <w:ilvl w:val="2"/>
          <w:numId w:val="11"/>
        </w:numPr>
        <w:kinsoku w:val="0"/>
        <w:spacing w:line="360" w:lineRule="auto"/>
        <w:ind w:left="0" w:firstLine="480" w:firstLineChars="200"/>
        <w:jc w:val="both"/>
        <w:rPr>
          <w:rFonts w:hAnsi="宋体"/>
          <w:highlight w:val="none"/>
        </w:rPr>
      </w:pPr>
      <w:r>
        <w:rPr>
          <w:rFonts w:hint="eastAsia" w:hAnsi="宋体"/>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pPr>
        <w:spacing w:line="360" w:lineRule="auto"/>
        <w:jc w:val="both"/>
        <w:rPr>
          <w:rFonts w:ascii="宋体" w:hAnsi="宋体"/>
          <w:b/>
          <w:sz w:val="32"/>
          <w:szCs w:val="32"/>
          <w:highlight w:val="none"/>
        </w:rPr>
      </w:pPr>
      <w:bookmarkStart w:id="37" w:name="_Toc12149"/>
      <w:bookmarkStart w:id="38" w:name="_Toc22828069"/>
      <w:bookmarkStart w:id="39" w:name="_Toc45697233"/>
      <w:r>
        <w:rPr>
          <w:rFonts w:ascii="宋体" w:hAnsi="宋体"/>
          <w:b/>
          <w:sz w:val="32"/>
          <w:szCs w:val="32"/>
          <w:highlight w:val="none"/>
        </w:rPr>
        <w:t>2.招标文件</w:t>
      </w:r>
      <w:bookmarkEnd w:id="37"/>
      <w:bookmarkEnd w:id="38"/>
      <w:bookmarkEnd w:id="39"/>
    </w:p>
    <w:p>
      <w:pPr>
        <w:spacing w:line="360" w:lineRule="auto"/>
        <w:jc w:val="both"/>
        <w:rPr>
          <w:rFonts w:ascii="宋体" w:hAnsi="宋体"/>
          <w:b/>
          <w:sz w:val="28"/>
          <w:highlight w:val="none"/>
        </w:rPr>
      </w:pPr>
      <w:bookmarkStart w:id="40" w:name="bookmark36"/>
      <w:bookmarkEnd w:id="40"/>
      <w:r>
        <w:rPr>
          <w:rFonts w:ascii="宋体" w:hAnsi="宋体"/>
          <w:b/>
          <w:sz w:val="28"/>
          <w:highlight w:val="none"/>
        </w:rPr>
        <w:t>2.1</w:t>
      </w:r>
      <w:r>
        <w:rPr>
          <w:rFonts w:hint="eastAsia" w:ascii="宋体" w:hAnsi="宋体"/>
          <w:b/>
          <w:sz w:val="28"/>
          <w:highlight w:val="none"/>
        </w:rPr>
        <w:t>招标文件的组成</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本招标文件包括：</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招标公告（或投标邀请书）；</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评标办法；</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合同条款及格式；</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工程规范；</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工程量清单；</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图纸及其他资料；</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投标文件格式；</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投标人须知前附表规定的其他材料。</w:t>
      </w:r>
    </w:p>
    <w:p>
      <w:pPr>
        <w:pStyle w:val="8"/>
        <w:kinsoku w:val="0"/>
        <w:spacing w:line="360" w:lineRule="auto"/>
        <w:ind w:left="0" w:firstLine="480" w:firstLineChars="200"/>
        <w:jc w:val="both"/>
        <w:rPr>
          <w:rFonts w:hAnsi="宋体"/>
          <w:highlight w:val="none"/>
        </w:rPr>
      </w:pPr>
      <w:r>
        <w:rPr>
          <w:rFonts w:hint="eastAsia" w:hAnsi="宋体"/>
          <w:highlight w:val="none"/>
        </w:rPr>
        <w:t>根据本章第</w:t>
      </w:r>
      <w:r>
        <w:rPr>
          <w:rFonts w:hAnsi="宋体"/>
          <w:highlight w:val="none"/>
        </w:rPr>
        <w:t>1.10</w:t>
      </w:r>
      <w:r>
        <w:rPr>
          <w:rFonts w:hint="eastAsia" w:hAnsi="宋体"/>
          <w:highlight w:val="none"/>
        </w:rPr>
        <w:t>款、第</w:t>
      </w:r>
      <w:r>
        <w:rPr>
          <w:rFonts w:hAnsi="宋体"/>
          <w:highlight w:val="none"/>
        </w:rPr>
        <w:t>2.2</w:t>
      </w:r>
      <w:r>
        <w:rPr>
          <w:rFonts w:hint="eastAsia" w:hAnsi="宋体"/>
          <w:highlight w:val="none"/>
        </w:rPr>
        <w:t>款和第</w:t>
      </w:r>
      <w:r>
        <w:rPr>
          <w:rFonts w:hAnsi="宋体"/>
          <w:highlight w:val="none"/>
        </w:rPr>
        <w:t>2.3</w:t>
      </w:r>
      <w:r>
        <w:rPr>
          <w:rFonts w:hint="eastAsia" w:hAnsi="宋体"/>
          <w:highlight w:val="none"/>
        </w:rPr>
        <w:t>款对招标文件所作的澄清、修改，构成招标文件的组成部分。</w:t>
      </w:r>
    </w:p>
    <w:p>
      <w:pPr>
        <w:spacing w:line="360" w:lineRule="auto"/>
        <w:jc w:val="both"/>
        <w:rPr>
          <w:rFonts w:ascii="宋体" w:hAnsi="宋体"/>
          <w:b/>
          <w:sz w:val="28"/>
          <w:highlight w:val="none"/>
        </w:rPr>
      </w:pPr>
      <w:bookmarkStart w:id="41" w:name="bookmark37"/>
      <w:bookmarkEnd w:id="41"/>
      <w:r>
        <w:rPr>
          <w:rFonts w:ascii="宋体" w:hAnsi="宋体"/>
          <w:b/>
          <w:sz w:val="28"/>
          <w:highlight w:val="none"/>
        </w:rPr>
        <w:t>2.2</w:t>
      </w:r>
      <w:r>
        <w:rPr>
          <w:rFonts w:hint="eastAsia" w:ascii="宋体" w:hAnsi="宋体"/>
          <w:b/>
          <w:sz w:val="28"/>
          <w:highlight w:val="none"/>
        </w:rPr>
        <w:t>招标文件的澄清</w:t>
      </w:r>
    </w:p>
    <w:p>
      <w:pPr>
        <w:pStyle w:val="8"/>
        <w:numPr>
          <w:ilvl w:val="2"/>
          <w:numId w:val="13"/>
        </w:numPr>
        <w:topLinePunct/>
        <w:autoSpaceDN/>
        <w:spacing w:line="360" w:lineRule="auto"/>
        <w:ind w:left="0" w:firstLine="480" w:firstLineChars="200"/>
        <w:jc w:val="both"/>
        <w:rPr>
          <w:rFonts w:hAnsi="宋体"/>
          <w:highlight w:val="none"/>
        </w:rPr>
      </w:pPr>
      <w:r>
        <w:rPr>
          <w:rFonts w:hint="eastAsia" w:hAnsi="宋体"/>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pPr>
        <w:spacing w:line="360" w:lineRule="auto"/>
        <w:jc w:val="both"/>
        <w:rPr>
          <w:rFonts w:ascii="宋体" w:hAnsi="宋体"/>
          <w:b/>
          <w:sz w:val="28"/>
          <w:highlight w:val="none"/>
        </w:rPr>
      </w:pPr>
      <w:bookmarkStart w:id="42" w:name="bookmark38"/>
      <w:bookmarkEnd w:id="42"/>
      <w:r>
        <w:rPr>
          <w:rFonts w:ascii="宋体" w:hAnsi="宋体"/>
          <w:b/>
          <w:sz w:val="28"/>
          <w:highlight w:val="none"/>
        </w:rPr>
        <w:t>2.3</w:t>
      </w:r>
      <w:r>
        <w:rPr>
          <w:rFonts w:hint="eastAsia" w:ascii="宋体" w:hAnsi="宋体"/>
          <w:b/>
          <w:sz w:val="28"/>
          <w:highlight w:val="none"/>
        </w:rPr>
        <w:t>招标文件的修改</w:t>
      </w:r>
    </w:p>
    <w:p>
      <w:pPr>
        <w:pStyle w:val="8"/>
        <w:numPr>
          <w:ilvl w:val="2"/>
          <w:numId w:val="14"/>
        </w:numPr>
        <w:kinsoku w:val="0"/>
        <w:spacing w:line="360" w:lineRule="auto"/>
        <w:ind w:left="0" w:firstLine="468" w:firstLineChars="200"/>
        <w:jc w:val="both"/>
        <w:rPr>
          <w:rFonts w:hAnsi="宋体"/>
          <w:highlight w:val="none"/>
        </w:rPr>
      </w:pPr>
      <w:r>
        <w:rPr>
          <w:rFonts w:hint="eastAsia" w:hAnsi="宋体"/>
          <w:spacing w:val="-3"/>
          <w:highlight w:val="none"/>
        </w:rPr>
        <w:t>招标人以投标人须知前附表规定的形式修改招标文件，并通知所有潜在投标人。</w:t>
      </w:r>
      <w:r>
        <w:rPr>
          <w:rFonts w:hint="eastAsia" w:hAnsi="宋体"/>
          <w:highlight w:val="none"/>
        </w:rPr>
        <w:t>修改招标文件的时间距投标截止时间不足</w:t>
      </w:r>
      <w:r>
        <w:rPr>
          <w:rFonts w:hAnsi="宋体"/>
          <w:highlight w:val="none"/>
        </w:rPr>
        <w:t>7</w:t>
      </w:r>
      <w:r>
        <w:rPr>
          <w:rFonts w:hint="eastAsia" w:hAnsi="宋体"/>
          <w:highlight w:val="none"/>
        </w:rPr>
        <w:t>日的，相应延长投标截止时间。修改的内容可能影响投标文件编制的，招标人将在投标截止时间至少</w:t>
      </w:r>
      <w:r>
        <w:rPr>
          <w:rFonts w:hAnsi="宋体"/>
          <w:highlight w:val="none"/>
        </w:rPr>
        <w:t>15</w:t>
      </w:r>
      <w:r>
        <w:rPr>
          <w:rFonts w:hint="eastAsia" w:hAnsi="宋体"/>
          <w:highlight w:val="none"/>
        </w:rPr>
        <w:t>日前发布修改文件；不足</w:t>
      </w:r>
      <w:r>
        <w:rPr>
          <w:rFonts w:hAnsi="宋体"/>
          <w:highlight w:val="none"/>
        </w:rPr>
        <w:t>15</w:t>
      </w:r>
      <w:r>
        <w:rPr>
          <w:rFonts w:hint="eastAsia" w:hAnsi="宋体"/>
          <w:highlight w:val="none"/>
        </w:rPr>
        <w:t>日的，招标人应当顺延提交投标文件的截止时间。</w:t>
      </w:r>
    </w:p>
    <w:p>
      <w:pPr>
        <w:pStyle w:val="8"/>
        <w:numPr>
          <w:ilvl w:val="2"/>
          <w:numId w:val="14"/>
        </w:numPr>
        <w:kinsoku w:val="0"/>
        <w:spacing w:line="360" w:lineRule="auto"/>
        <w:ind w:left="0" w:firstLine="480" w:firstLineChars="200"/>
        <w:jc w:val="both"/>
        <w:rPr>
          <w:rFonts w:hAnsi="宋体"/>
          <w:highlight w:val="none"/>
        </w:rPr>
      </w:pPr>
      <w:r>
        <w:rPr>
          <w:rFonts w:hint="eastAsia" w:hAnsi="宋体"/>
          <w:highlight w:val="none"/>
        </w:rPr>
        <w:t>当招标文件的修改内容与招标文件相互矛盾时，以最后发出的补充文件为准。</w:t>
      </w:r>
    </w:p>
    <w:p>
      <w:pPr>
        <w:spacing w:line="360" w:lineRule="auto"/>
        <w:jc w:val="both"/>
        <w:rPr>
          <w:rFonts w:ascii="宋体" w:hAnsi="宋体"/>
          <w:b/>
          <w:sz w:val="32"/>
          <w:szCs w:val="32"/>
          <w:highlight w:val="none"/>
        </w:rPr>
      </w:pPr>
      <w:bookmarkStart w:id="43" w:name="bookmark40"/>
      <w:bookmarkEnd w:id="43"/>
      <w:bookmarkStart w:id="44" w:name="bookmark39"/>
      <w:bookmarkEnd w:id="44"/>
      <w:bookmarkStart w:id="45" w:name="_Toc45697234"/>
      <w:bookmarkStart w:id="46" w:name="_Toc22828070"/>
      <w:bookmarkStart w:id="47" w:name="_Toc12864"/>
      <w:r>
        <w:rPr>
          <w:rFonts w:ascii="宋体" w:hAnsi="宋体"/>
          <w:b/>
          <w:sz w:val="32"/>
          <w:szCs w:val="32"/>
          <w:highlight w:val="none"/>
        </w:rPr>
        <w:t>3.投标文件</w:t>
      </w:r>
      <w:bookmarkEnd w:id="45"/>
      <w:bookmarkEnd w:id="46"/>
      <w:bookmarkEnd w:id="47"/>
    </w:p>
    <w:p>
      <w:pPr>
        <w:spacing w:line="360" w:lineRule="auto"/>
        <w:jc w:val="both"/>
        <w:rPr>
          <w:rFonts w:ascii="宋体" w:hAnsi="宋体"/>
          <w:b/>
          <w:sz w:val="28"/>
          <w:highlight w:val="none"/>
        </w:rPr>
      </w:pPr>
      <w:bookmarkStart w:id="48" w:name="bookmark41"/>
      <w:bookmarkEnd w:id="48"/>
      <w:r>
        <w:rPr>
          <w:rFonts w:ascii="宋体" w:hAnsi="宋体"/>
          <w:b/>
          <w:sz w:val="28"/>
          <w:highlight w:val="none"/>
        </w:rPr>
        <w:t>3.1投标文件的组成</w:t>
      </w:r>
    </w:p>
    <w:p>
      <w:pPr>
        <w:pStyle w:val="15"/>
        <w:ind w:firstLine="482" w:firstLineChars="200"/>
        <w:jc w:val="both"/>
        <w:rPr>
          <w:rFonts w:ascii="宋体" w:hAnsi="宋体" w:eastAsia="宋体" w:cs="宋体"/>
          <w:sz w:val="24"/>
          <w:szCs w:val="24"/>
          <w:highlight w:val="none"/>
        </w:rPr>
      </w:pPr>
      <w:r>
        <w:rPr>
          <w:rFonts w:hint="eastAsia" w:ascii="宋体" w:hAnsi="宋体" w:eastAsia="宋体" w:cs="宋体"/>
          <w:b/>
          <w:sz w:val="24"/>
          <w:szCs w:val="24"/>
          <w:highlight w:val="none"/>
        </w:rPr>
        <w:t>投标文件组成：见投标人须知前附表。</w:t>
      </w:r>
    </w:p>
    <w:p>
      <w:pPr>
        <w:spacing w:line="360" w:lineRule="auto"/>
        <w:jc w:val="both"/>
        <w:rPr>
          <w:rFonts w:ascii="宋体" w:hAnsi="宋体"/>
          <w:b/>
          <w:sz w:val="28"/>
          <w:highlight w:val="none"/>
        </w:rPr>
      </w:pPr>
      <w:bookmarkStart w:id="49" w:name="bookmark42"/>
      <w:bookmarkEnd w:id="49"/>
      <w:r>
        <w:rPr>
          <w:rFonts w:ascii="宋体" w:hAnsi="宋体"/>
          <w:b/>
          <w:sz w:val="28"/>
          <w:highlight w:val="none"/>
        </w:rPr>
        <w:t>3.2投标报价</w:t>
      </w:r>
    </w:p>
    <w:p>
      <w:pPr>
        <w:pStyle w:val="8"/>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投标人应按照</w:t>
      </w:r>
      <w:r>
        <w:rPr>
          <w:rFonts w:hint="eastAsia" w:hAnsi="宋体" w:cs="Arial"/>
          <w:highlight w:val="none"/>
        </w:rPr>
        <w:t>电子招标文件</w:t>
      </w:r>
      <w:r>
        <w:rPr>
          <w:rFonts w:hAnsi="宋体" w:cs="Arial"/>
          <w:highlight w:val="none"/>
        </w:rPr>
        <w:t>的要求填写投标报价。</w:t>
      </w:r>
    </w:p>
    <w:p>
      <w:pPr>
        <w:pStyle w:val="8"/>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highlight w:val="none"/>
        </w:rPr>
        <w:t>第4.3款</w:t>
      </w:r>
      <w:r>
        <w:rPr>
          <w:rFonts w:hAnsi="宋体" w:cs="Arial"/>
          <w:highlight w:val="none"/>
        </w:rPr>
        <w:t>的有关要求。</w:t>
      </w:r>
    </w:p>
    <w:p>
      <w:pPr>
        <w:pStyle w:val="8"/>
        <w:numPr>
          <w:ilvl w:val="2"/>
          <w:numId w:val="15"/>
        </w:numPr>
        <w:kinsoku w:val="0"/>
        <w:spacing w:line="360" w:lineRule="auto"/>
        <w:ind w:left="0" w:firstLine="480" w:firstLineChars="200"/>
        <w:jc w:val="both"/>
        <w:rPr>
          <w:rFonts w:hAnsi="宋体" w:cs="Arial"/>
          <w:highlight w:val="none"/>
        </w:rPr>
      </w:pPr>
      <w:r>
        <w:rPr>
          <w:rFonts w:hAnsi="宋体" w:cs="Arial"/>
          <w:highlight w:val="none"/>
        </w:rPr>
        <w:t>工程量清单计价方式：见投标人须知前附表，投标人应按第</w:t>
      </w:r>
      <w:r>
        <w:rPr>
          <w:rFonts w:hint="eastAsia" w:hAnsi="宋体" w:cs="Arial"/>
          <w:highlight w:val="none"/>
        </w:rPr>
        <w:t>五</w:t>
      </w:r>
      <w:r>
        <w:rPr>
          <w:rFonts w:hAnsi="宋体" w:cs="Arial"/>
          <w:highlight w:val="none"/>
        </w:rPr>
        <w:t>章“工程量清单编制”的要求报价</w:t>
      </w:r>
      <w:r>
        <w:rPr>
          <w:rFonts w:hint="eastAsia" w:hAnsi="宋体" w:cs="Arial"/>
          <w:highlight w:val="none"/>
        </w:rPr>
        <w:t>。</w:t>
      </w:r>
    </w:p>
    <w:p>
      <w:pPr>
        <w:pStyle w:val="8"/>
        <w:numPr>
          <w:ilvl w:val="2"/>
          <w:numId w:val="15"/>
        </w:numPr>
        <w:topLinePunct/>
        <w:autoSpaceDN/>
        <w:spacing w:line="360" w:lineRule="auto"/>
        <w:ind w:left="0" w:firstLine="480" w:firstLineChars="200"/>
        <w:jc w:val="both"/>
        <w:rPr>
          <w:rFonts w:hAnsi="宋体" w:cs="Arial"/>
          <w:highlight w:val="none"/>
        </w:rPr>
      </w:pPr>
      <w:r>
        <w:rPr>
          <w:rFonts w:hint="eastAsia" w:hAnsi="宋体" w:cs="Arial"/>
          <w:highlight w:val="none"/>
        </w:rPr>
        <w:t>招标人设有最高投标限价的，投标人的投标报价不得超过最高投标限价，最高投标限价或其计算方法在投标人须知前附表中载明。</w:t>
      </w:r>
    </w:p>
    <w:p>
      <w:pPr>
        <w:pStyle w:val="8"/>
        <w:numPr>
          <w:ilvl w:val="2"/>
          <w:numId w:val="15"/>
        </w:numPr>
        <w:kinsoku w:val="0"/>
        <w:spacing w:line="360" w:lineRule="auto"/>
        <w:ind w:left="0" w:firstLine="480" w:firstLineChars="200"/>
        <w:jc w:val="both"/>
        <w:rPr>
          <w:rFonts w:hAnsi="宋体"/>
          <w:sz w:val="19"/>
          <w:szCs w:val="19"/>
          <w:highlight w:val="none"/>
        </w:rPr>
      </w:pPr>
      <w:r>
        <w:rPr>
          <w:rFonts w:hint="eastAsia" w:hAnsi="宋体" w:cs="Arial"/>
          <w:highlight w:val="none"/>
        </w:rPr>
        <w:t>投标报价的其他要求见投标人须知前附表。</w:t>
      </w:r>
    </w:p>
    <w:p>
      <w:pPr>
        <w:spacing w:line="360" w:lineRule="auto"/>
        <w:jc w:val="both"/>
        <w:rPr>
          <w:rFonts w:ascii="宋体" w:hAnsi="宋体"/>
          <w:b/>
          <w:sz w:val="28"/>
          <w:highlight w:val="none"/>
        </w:rPr>
      </w:pPr>
      <w:bookmarkStart w:id="50" w:name="bookmark43"/>
      <w:bookmarkEnd w:id="50"/>
      <w:r>
        <w:rPr>
          <w:rFonts w:ascii="宋体" w:hAnsi="宋体"/>
          <w:b/>
          <w:sz w:val="28"/>
          <w:highlight w:val="none"/>
        </w:rPr>
        <w:t>3.3投标有效期</w:t>
      </w:r>
    </w:p>
    <w:p>
      <w:pPr>
        <w:pStyle w:val="8"/>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在投标人须知前附表规定的投标有效期内，投标人不得要求撤销或修改其投标文件。</w:t>
      </w:r>
    </w:p>
    <w:p>
      <w:pPr>
        <w:pStyle w:val="8"/>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在投标有效期内，投标人撤销投标文件的，应承担招标文件和法律规定的责任。</w:t>
      </w:r>
    </w:p>
    <w:p>
      <w:pPr>
        <w:pStyle w:val="8"/>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360" w:lineRule="auto"/>
        <w:jc w:val="both"/>
        <w:rPr>
          <w:rFonts w:ascii="宋体" w:hAnsi="宋体"/>
          <w:b/>
          <w:sz w:val="28"/>
          <w:highlight w:val="none"/>
        </w:rPr>
      </w:pPr>
      <w:bookmarkStart w:id="51" w:name="bookmark44"/>
      <w:bookmarkEnd w:id="51"/>
      <w:r>
        <w:rPr>
          <w:rFonts w:ascii="宋体" w:hAnsi="宋体"/>
          <w:b/>
          <w:sz w:val="28"/>
          <w:highlight w:val="none"/>
        </w:rPr>
        <w:t>3.4投标保证金</w:t>
      </w:r>
    </w:p>
    <w:p>
      <w:pPr>
        <w:pStyle w:val="8"/>
        <w:numPr>
          <w:ilvl w:val="2"/>
          <w:numId w:val="17"/>
        </w:numPr>
        <w:kinsoku w:val="0"/>
        <w:snapToGrid w:val="0"/>
        <w:spacing w:line="360" w:lineRule="auto"/>
        <w:ind w:left="0" w:firstLine="456" w:firstLineChars="200"/>
        <w:jc w:val="both"/>
        <w:rPr>
          <w:rFonts w:hAnsi="宋体"/>
          <w:highlight w:val="none"/>
        </w:rPr>
      </w:pPr>
      <w:r>
        <w:rPr>
          <w:rFonts w:hint="eastAsia" w:hAnsi="宋体"/>
          <w:spacing w:val="-6"/>
          <w:highlight w:val="none"/>
        </w:rPr>
        <w:t>投标人在递交投标文件的同时，应按投标人须知前附表规定的金额、形式</w:t>
      </w:r>
      <w:r>
        <w:rPr>
          <w:rFonts w:hint="eastAsia" w:hAnsi="宋体"/>
          <w:spacing w:val="-3"/>
          <w:highlight w:val="none"/>
        </w:rPr>
        <w:t>递交投标保证金，并作为其投标文件的组成部分。</w:t>
      </w:r>
      <w:r>
        <w:rPr>
          <w:rFonts w:hint="eastAsia" w:hAnsi="宋体"/>
          <w:spacing w:val="-1"/>
          <w:highlight w:val="none"/>
        </w:rPr>
        <w:t>联合体投标的由联合体牵头人递交投标保证金，并应符合投标人须知前附表的</w:t>
      </w:r>
      <w:r>
        <w:rPr>
          <w:rFonts w:hint="eastAsia" w:hAnsi="宋体"/>
          <w:highlight w:val="none"/>
        </w:rPr>
        <w:t>规定。</w:t>
      </w:r>
    </w:p>
    <w:p>
      <w:pPr>
        <w:pStyle w:val="8"/>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投标人不按本章第</w:t>
      </w:r>
      <w:r>
        <w:rPr>
          <w:rFonts w:hAnsi="宋体"/>
          <w:highlight w:val="none"/>
        </w:rPr>
        <w:t>3.4.1</w:t>
      </w:r>
      <w:r>
        <w:rPr>
          <w:rFonts w:hint="eastAsia" w:hAnsi="宋体"/>
          <w:highlight w:val="none"/>
        </w:rPr>
        <w:t>项要求递交投标保证金的，评标委员会将否决其投标。</w:t>
      </w:r>
    </w:p>
    <w:p>
      <w:pPr>
        <w:pStyle w:val="8"/>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投标保证金的退还：</w:t>
      </w:r>
    </w:p>
    <w:p>
      <w:pPr>
        <w:pStyle w:val="8"/>
        <w:numPr>
          <w:ilvl w:val="2"/>
          <w:numId w:val="18"/>
        </w:numPr>
        <w:kinsoku w:val="0"/>
        <w:spacing w:line="360" w:lineRule="auto"/>
        <w:ind w:left="0" w:firstLine="480" w:firstLineChars="200"/>
        <w:jc w:val="both"/>
        <w:rPr>
          <w:highlight w:val="none"/>
        </w:rPr>
      </w:pPr>
      <w:r>
        <w:rPr>
          <w:rFonts w:hint="eastAsia"/>
          <w:highlight w:val="none"/>
        </w:rPr>
        <w:t>未中标单位的在中标通知书发出后退还。</w:t>
      </w:r>
    </w:p>
    <w:p>
      <w:pPr>
        <w:pStyle w:val="8"/>
        <w:numPr>
          <w:ilvl w:val="2"/>
          <w:numId w:val="18"/>
        </w:numPr>
        <w:kinsoku w:val="0"/>
        <w:spacing w:line="360" w:lineRule="auto"/>
        <w:ind w:left="0" w:firstLine="480" w:firstLineChars="200"/>
        <w:jc w:val="both"/>
        <w:rPr>
          <w:rFonts w:hAnsi="宋体"/>
          <w:spacing w:val="-3"/>
          <w:highlight w:val="none"/>
        </w:rPr>
      </w:pPr>
      <w:r>
        <w:rPr>
          <w:rFonts w:hint="eastAsia"/>
          <w:highlight w:val="none"/>
        </w:rPr>
        <w:t>中标单位的在合同签订后退还。</w:t>
      </w:r>
    </w:p>
    <w:p>
      <w:pPr>
        <w:pStyle w:val="8"/>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有下列情形之一的，投标保证金将不予退还：</w:t>
      </w:r>
    </w:p>
    <w:p>
      <w:pPr>
        <w:pStyle w:val="8"/>
        <w:numPr>
          <w:ilvl w:val="0"/>
          <w:numId w:val="19"/>
        </w:numPr>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投标人违反《台州市建设工程诚信投标承诺书》承诺内容，或者对《台州市建设工程投标人资格自查表》和《台州市建设工程项目负责人资格自查表》中的自查内容进行虚假瞒报的；</w:t>
      </w:r>
    </w:p>
    <w:p>
      <w:pPr>
        <w:pStyle w:val="8"/>
        <w:numPr>
          <w:ilvl w:val="0"/>
          <w:numId w:val="19"/>
        </w:numPr>
        <w:topLinePunct/>
        <w:autoSpaceDN/>
        <w:snapToGrid w:val="0"/>
        <w:spacing w:line="360" w:lineRule="auto"/>
        <w:ind w:left="0" w:firstLine="476" w:firstLineChars="200"/>
        <w:jc w:val="both"/>
        <w:rPr>
          <w:rFonts w:hAnsi="宋体"/>
          <w:spacing w:val="-1"/>
          <w:highlight w:val="none"/>
        </w:rPr>
      </w:pPr>
      <w:r>
        <w:rPr>
          <w:rFonts w:hint="eastAsia" w:hAnsi="宋体"/>
          <w:spacing w:val="-1"/>
          <w:highlight w:val="none"/>
        </w:rPr>
        <w:t>有《关于印发&lt;台州市工程建设投标保函管理规定&gt;的通知》（台公管办〔2022〕2号）第十一条规定情形的。</w:t>
      </w:r>
    </w:p>
    <w:p>
      <w:pPr>
        <w:pStyle w:val="8"/>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3.4.5本招标文件的“投标保证金不予退还”是指</w:t>
      </w:r>
      <w:r>
        <w:rPr>
          <w:rFonts w:hAnsi="宋体"/>
          <w:spacing w:val="-1"/>
          <w:highlight w:val="none"/>
        </w:rPr>
        <w:t>:</w:t>
      </w:r>
    </w:p>
    <w:p>
      <w:pPr>
        <w:pStyle w:val="8"/>
        <w:kinsoku w:val="0"/>
        <w:snapToGrid w:val="0"/>
        <w:spacing w:line="360" w:lineRule="auto"/>
        <w:ind w:left="480" w:leftChars="200"/>
        <w:jc w:val="both"/>
        <w:rPr>
          <w:rFonts w:hAnsi="宋体"/>
          <w:spacing w:val="-1"/>
          <w:highlight w:val="none"/>
        </w:rPr>
      </w:pPr>
      <w:r>
        <w:rPr>
          <w:rFonts w:hint="eastAsia" w:hAnsi="宋体"/>
          <w:spacing w:val="-1"/>
          <w:highlight w:val="none"/>
        </w:rPr>
        <w:t>（1）以现金转账形式，转账现金不予退还。</w:t>
      </w:r>
    </w:p>
    <w:p>
      <w:pPr>
        <w:pStyle w:val="8"/>
        <w:kinsoku w:val="0"/>
        <w:snapToGrid w:val="0"/>
        <w:spacing w:line="360" w:lineRule="auto"/>
        <w:ind w:left="480" w:leftChars="200"/>
        <w:jc w:val="both"/>
        <w:rPr>
          <w:rFonts w:hAnsi="宋体"/>
          <w:spacing w:val="-1"/>
          <w:highlight w:val="none"/>
        </w:rPr>
      </w:pPr>
      <w:r>
        <w:rPr>
          <w:rFonts w:hint="eastAsia" w:hAnsi="宋体"/>
          <w:spacing w:val="-1"/>
          <w:highlight w:val="none"/>
        </w:rPr>
        <w:t>（2）以银行保函形式，招标人作为受益人向银行提起索赔。</w:t>
      </w:r>
    </w:p>
    <w:p>
      <w:pPr>
        <w:pStyle w:val="8"/>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（3）以保证保险形式，招标人作为被保险人（受益人）向保险人提起索赔。</w:t>
      </w:r>
    </w:p>
    <w:p>
      <w:pPr>
        <w:pStyle w:val="8"/>
        <w:kinsoku w:val="0"/>
        <w:snapToGrid w:val="0"/>
        <w:spacing w:line="360" w:lineRule="auto"/>
        <w:ind w:left="480" w:leftChars="200"/>
        <w:jc w:val="both"/>
        <w:rPr>
          <w:rFonts w:ascii="宋体" w:hAnsi="宋体"/>
          <w:highlight w:val="none"/>
        </w:rPr>
      </w:pPr>
      <w:r>
        <w:rPr>
          <w:rFonts w:hint="eastAsia" w:hAnsi="宋体"/>
          <w:spacing w:val="-1"/>
          <w:highlight w:val="none"/>
        </w:rPr>
        <w:t>（4）以担保公司担保形式</w:t>
      </w:r>
      <w:r>
        <w:rPr>
          <w:rFonts w:hAnsi="宋体"/>
          <w:spacing w:val="-1"/>
          <w:highlight w:val="none"/>
        </w:rPr>
        <w:t>,</w:t>
      </w:r>
      <w:r>
        <w:rPr>
          <w:rFonts w:hint="eastAsia" w:hAnsi="宋体"/>
          <w:spacing w:val="-1"/>
          <w:highlight w:val="none"/>
        </w:rPr>
        <w:t>招标人作为受益人向担保人提起索赔。</w:t>
      </w:r>
    </w:p>
    <w:p>
      <w:pPr>
        <w:spacing w:line="360" w:lineRule="auto"/>
        <w:jc w:val="both"/>
        <w:rPr>
          <w:rFonts w:ascii="宋体" w:hAnsi="宋体"/>
          <w:b/>
          <w:sz w:val="28"/>
          <w:highlight w:val="none"/>
        </w:rPr>
      </w:pPr>
      <w:bookmarkStart w:id="52" w:name="bookmark47"/>
      <w:bookmarkEnd w:id="52"/>
      <w:r>
        <w:rPr>
          <w:rFonts w:ascii="宋体" w:hAnsi="宋体"/>
          <w:b/>
          <w:sz w:val="28"/>
          <w:highlight w:val="none"/>
        </w:rPr>
        <w:t>3.6备选投标方案</w:t>
      </w:r>
    </w:p>
    <w:p>
      <w:pPr>
        <w:pStyle w:val="8"/>
        <w:kinsoku w:val="0"/>
        <w:spacing w:line="360" w:lineRule="auto"/>
        <w:ind w:left="0" w:firstLine="480" w:firstLineChars="200"/>
        <w:jc w:val="both"/>
        <w:rPr>
          <w:rFonts w:ascii="宋体" w:hAnsi="宋体"/>
          <w:highlight w:val="none"/>
        </w:rPr>
      </w:pPr>
      <w:r>
        <w:rPr>
          <w:rFonts w:ascii="宋体" w:hAnsi="宋体"/>
          <w:highlight w:val="none"/>
        </w:rPr>
        <w:t>3.6.1</w:t>
      </w:r>
      <w:r>
        <w:rPr>
          <w:rFonts w:hint="eastAsia" w:ascii="宋体" w:hAnsi="宋体"/>
          <w:highlight w:val="none"/>
        </w:rPr>
        <w:t>投标人不得递交备选投标方案，否则其投标将被否决。</w:t>
      </w:r>
    </w:p>
    <w:p>
      <w:pPr>
        <w:spacing w:line="360" w:lineRule="auto"/>
        <w:jc w:val="both"/>
        <w:rPr>
          <w:rFonts w:ascii="宋体" w:hAnsi="宋体"/>
          <w:b/>
          <w:sz w:val="28"/>
          <w:highlight w:val="none"/>
        </w:rPr>
      </w:pPr>
      <w:bookmarkStart w:id="53" w:name="bookmark48"/>
      <w:bookmarkEnd w:id="53"/>
      <w:r>
        <w:rPr>
          <w:rFonts w:ascii="宋体" w:hAnsi="宋体"/>
          <w:b/>
          <w:sz w:val="28"/>
          <w:highlight w:val="none"/>
        </w:rPr>
        <w:t>3.7投标文件的编制</w:t>
      </w:r>
    </w:p>
    <w:p>
      <w:pPr>
        <w:pStyle w:val="8"/>
        <w:kinsoku w:val="0"/>
        <w:spacing w:line="360" w:lineRule="auto"/>
        <w:ind w:left="0" w:firstLine="480" w:firstLineChars="200"/>
        <w:jc w:val="both"/>
        <w:rPr>
          <w:rFonts w:ascii="宋体" w:hAnsi="宋体"/>
          <w:highlight w:val="none"/>
        </w:rPr>
      </w:pPr>
      <w:r>
        <w:rPr>
          <w:rFonts w:ascii="宋体" w:hAnsi="宋体"/>
          <w:highlight w:val="none"/>
        </w:rPr>
        <w:t>3.7.1</w:t>
      </w:r>
      <w:r>
        <w:rPr>
          <w:rFonts w:hint="eastAsia" w:ascii="宋体" w:hAnsi="宋体"/>
          <w:highlight w:val="none"/>
        </w:rPr>
        <w:t>投标文件应按</w:t>
      </w:r>
      <w:r>
        <w:rPr>
          <w:rFonts w:hint="eastAsia" w:hAnsi="宋体" w:cs="Arial"/>
          <w:highlight w:val="none"/>
        </w:rPr>
        <w:t>招标文件</w:t>
      </w:r>
      <w:r>
        <w:rPr>
          <w:rFonts w:hAnsi="宋体" w:cs="Arial"/>
          <w:highlight w:val="none"/>
        </w:rPr>
        <w:t>的要求</w:t>
      </w:r>
      <w:r>
        <w:rPr>
          <w:rFonts w:hint="eastAsia" w:ascii="宋体" w:hAnsi="宋体"/>
          <w:highlight w:val="none"/>
        </w:rPr>
        <w:t>进行编写。投标文件应尽量避免涂改、行间插字或删除。</w:t>
      </w:r>
    </w:p>
    <w:p>
      <w:pPr>
        <w:pStyle w:val="8"/>
        <w:kinsoku w:val="0"/>
        <w:spacing w:line="360" w:lineRule="auto"/>
        <w:ind w:left="0" w:firstLine="480" w:firstLineChars="200"/>
        <w:jc w:val="both"/>
        <w:rPr>
          <w:rFonts w:ascii="宋体" w:hAnsi="宋体"/>
          <w:highlight w:val="none"/>
        </w:rPr>
      </w:pPr>
      <w:r>
        <w:rPr>
          <w:rFonts w:ascii="宋体" w:hAnsi="宋体"/>
          <w:highlight w:val="none"/>
        </w:rPr>
        <w:t>3.7.2</w:t>
      </w:r>
      <w:r>
        <w:rPr>
          <w:rFonts w:hint="eastAsia" w:ascii="宋体" w:hAnsi="宋体"/>
          <w:highlight w:val="none"/>
        </w:rPr>
        <w:t>投标文件应当对招标文件有关工期、投标有效期、质量要求、技术标准和要求、招标范围等实质性内容作出响应。</w:t>
      </w:r>
    </w:p>
    <w:p>
      <w:pPr>
        <w:pStyle w:val="8"/>
        <w:kinsoku w:val="0"/>
        <w:spacing w:line="360" w:lineRule="auto"/>
        <w:ind w:left="0" w:firstLine="480" w:firstLineChars="200"/>
        <w:jc w:val="both"/>
        <w:rPr>
          <w:rFonts w:ascii="宋体" w:hAnsi="宋体"/>
          <w:highlight w:val="none"/>
        </w:rPr>
      </w:pPr>
      <w:r>
        <w:rPr>
          <w:rFonts w:ascii="宋体" w:hAnsi="宋体"/>
          <w:highlight w:val="none"/>
        </w:rPr>
        <w:t>3.7.3</w:t>
      </w:r>
      <w:r>
        <w:rPr>
          <w:rFonts w:hint="eastAsia" w:ascii="宋体" w:hAnsi="宋体"/>
          <w:highlight w:val="none"/>
        </w:rPr>
        <w:t>电子投标的要求</w:t>
      </w:r>
    </w:p>
    <w:p>
      <w:pPr>
        <w:pStyle w:val="8"/>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）电子投标文件签字或盖章的具体要求见投标人须知前附表。</w:t>
      </w:r>
    </w:p>
    <w:p>
      <w:pPr>
        <w:pStyle w:val="8"/>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）电子投标文件制作要求见投标人须知前附表。</w:t>
      </w:r>
    </w:p>
    <w:p>
      <w:pPr>
        <w:pStyle w:val="8"/>
        <w:topLinePunct/>
        <w:autoSpaceDN/>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）电子投标文件所附证书证件及业绩证明文件要求见投标人须知前附表规定。</w:t>
      </w:r>
    </w:p>
    <w:p>
      <w:pPr>
        <w:pStyle w:val="8"/>
        <w:kinsoku w:val="0"/>
        <w:spacing w:line="360" w:lineRule="auto"/>
        <w:ind w:left="0" w:firstLine="480" w:firstLineChars="200"/>
        <w:jc w:val="both"/>
        <w:rPr>
          <w:rFonts w:ascii="宋体" w:hAnsi="宋体"/>
          <w:highlight w:val="none"/>
        </w:rPr>
      </w:pPr>
      <w:r>
        <w:rPr>
          <w:rFonts w:ascii="宋体" w:hAnsi="宋体"/>
          <w:highlight w:val="none"/>
        </w:rPr>
        <w:t>3.7.4</w:t>
      </w:r>
      <w:r>
        <w:rPr>
          <w:rFonts w:hint="eastAsia" w:ascii="宋体" w:hAnsi="宋体"/>
          <w:highlight w:val="none"/>
        </w:rPr>
        <w:t>投标文件格式</w:t>
      </w:r>
    </w:p>
    <w:p>
      <w:pPr>
        <w:pStyle w:val="8"/>
        <w:kinsoku w:val="0"/>
        <w:spacing w:line="360" w:lineRule="auto"/>
        <w:ind w:left="0" w:firstLine="480" w:firstLineChars="200"/>
        <w:jc w:val="both"/>
        <w:rPr>
          <w:rFonts w:ascii="宋体" w:hAnsi="宋体"/>
          <w:highlight w:val="none"/>
        </w:rPr>
      </w:pPr>
      <w:r>
        <w:rPr>
          <w:rFonts w:hint="eastAsia" w:ascii="宋体" w:hAnsi="宋体"/>
          <w:highlight w:val="none"/>
        </w:rPr>
        <w:t>投标文件包括本须知第</w:t>
      </w:r>
      <w:r>
        <w:rPr>
          <w:rFonts w:ascii="宋体" w:hAnsi="宋体"/>
          <w:highlight w:val="none"/>
        </w:rPr>
        <w:t>3.1</w:t>
      </w:r>
      <w:r>
        <w:rPr>
          <w:rFonts w:hint="eastAsia" w:ascii="宋体" w:hAnsi="宋体"/>
          <w:highlight w:val="none"/>
        </w:rPr>
        <w:t>条中规定的内容，投标人提交的投标文件应按本章投标人须知3.7.3（2）规定要求制作。</w:t>
      </w:r>
    </w:p>
    <w:p>
      <w:pPr>
        <w:spacing w:line="360" w:lineRule="auto"/>
        <w:jc w:val="both"/>
        <w:rPr>
          <w:rFonts w:ascii="宋体" w:hAnsi="宋体"/>
          <w:b/>
          <w:sz w:val="32"/>
          <w:szCs w:val="32"/>
          <w:highlight w:val="none"/>
        </w:rPr>
      </w:pPr>
      <w:bookmarkStart w:id="54" w:name="bookmark49"/>
      <w:bookmarkEnd w:id="54"/>
      <w:bookmarkStart w:id="55" w:name="_Toc45697235"/>
      <w:bookmarkStart w:id="56" w:name="_Toc9226"/>
      <w:bookmarkStart w:id="57" w:name="_Toc22828071"/>
      <w:r>
        <w:rPr>
          <w:rFonts w:ascii="宋体" w:hAnsi="宋体"/>
          <w:b/>
          <w:sz w:val="32"/>
          <w:szCs w:val="32"/>
          <w:highlight w:val="none"/>
        </w:rPr>
        <w:t>4.投标</w:t>
      </w:r>
      <w:bookmarkEnd w:id="55"/>
      <w:bookmarkEnd w:id="56"/>
      <w:bookmarkEnd w:id="57"/>
    </w:p>
    <w:p>
      <w:pPr>
        <w:spacing w:line="360" w:lineRule="auto"/>
        <w:jc w:val="both"/>
        <w:rPr>
          <w:rFonts w:ascii="宋体" w:hAnsi="宋体"/>
          <w:b/>
          <w:sz w:val="28"/>
          <w:highlight w:val="none"/>
        </w:rPr>
      </w:pPr>
      <w:bookmarkStart w:id="58" w:name="bookmark50"/>
      <w:bookmarkEnd w:id="58"/>
      <w:r>
        <w:rPr>
          <w:rFonts w:hint="eastAsia" w:ascii="宋体" w:hAnsi="宋体"/>
          <w:b/>
          <w:sz w:val="28"/>
          <w:highlight w:val="none"/>
        </w:rPr>
        <w:t>4.1投标文件的密封和标记</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4.1.1</w:t>
      </w:r>
      <w:r>
        <w:rPr>
          <w:rFonts w:hint="eastAsia" w:ascii="宋体" w:hAnsi="宋体"/>
          <w:spacing w:val="-2"/>
          <w:highlight w:val="none"/>
        </w:rPr>
        <w:t>投标文件的密封、标记和电子投标加密要求</w:t>
      </w:r>
      <w:r>
        <w:rPr>
          <w:rFonts w:hint="eastAsia" w:ascii="宋体" w:hAnsi="宋体"/>
          <w:highlight w:val="none"/>
        </w:rPr>
        <w:t>见投标人须知前附表。</w:t>
      </w:r>
    </w:p>
    <w:p>
      <w:pPr>
        <w:spacing w:line="360" w:lineRule="auto"/>
        <w:jc w:val="both"/>
        <w:rPr>
          <w:rFonts w:ascii="宋体" w:hAnsi="宋体"/>
          <w:b/>
          <w:sz w:val="28"/>
          <w:highlight w:val="none"/>
        </w:rPr>
      </w:pPr>
      <w:r>
        <w:rPr>
          <w:rFonts w:hint="eastAsia" w:ascii="宋体" w:hAnsi="宋体"/>
          <w:b/>
          <w:sz w:val="28"/>
          <w:highlight w:val="none"/>
        </w:rPr>
        <w:t>4.2投标文件的递交</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4.2.1</w:t>
      </w:r>
      <w:r>
        <w:rPr>
          <w:rFonts w:hint="eastAsia" w:ascii="宋体" w:hAnsi="宋体"/>
          <w:highlight w:val="none"/>
        </w:rPr>
        <w:t>投标人应在投标人须知前附表规定的投标截止时间前递交投标文件。</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4.2.2</w:t>
      </w:r>
      <w:r>
        <w:rPr>
          <w:rFonts w:hint="eastAsia" w:ascii="宋体" w:hAnsi="宋体"/>
          <w:highlight w:val="none"/>
        </w:rPr>
        <w:t>投标人通过下载招标文件的电子招标投标交易平台递交电子投标文件。</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4.2.3</w:t>
      </w:r>
      <w:r>
        <w:rPr>
          <w:rFonts w:hint="eastAsia" w:ascii="宋体" w:hAnsi="宋体"/>
          <w:highlight w:val="none"/>
        </w:rPr>
        <w:t>除投标人须知前附表另有规定外，投标人所递交的投标文件不予退还。</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4.2.4</w:t>
      </w:r>
      <w:r>
        <w:rPr>
          <w:rFonts w:hint="eastAsia" w:ascii="宋体" w:hAnsi="宋体"/>
          <w:highlight w:val="none"/>
        </w:rPr>
        <w:t>投标人完成电子投标文件上传后，电子招标投标交易平台即时向投标人发出递交回执通知。递交时间以递交回执通知载明的传输完成时间为准。</w:t>
      </w:r>
    </w:p>
    <w:p>
      <w:pPr>
        <w:pStyle w:val="8"/>
        <w:kinsoku w:val="0"/>
        <w:snapToGrid w:val="0"/>
        <w:spacing w:line="360" w:lineRule="auto"/>
        <w:ind w:left="0" w:firstLine="480" w:firstLineChars="200"/>
        <w:jc w:val="both"/>
        <w:rPr>
          <w:rFonts w:ascii="宋体" w:hAnsi="宋体"/>
          <w:sz w:val="19"/>
          <w:szCs w:val="19"/>
          <w:highlight w:val="none"/>
        </w:rPr>
      </w:pPr>
      <w:r>
        <w:rPr>
          <w:rFonts w:ascii="宋体" w:hAnsi="宋体"/>
          <w:highlight w:val="none"/>
        </w:rPr>
        <w:t>4.2.5</w:t>
      </w:r>
      <w:r>
        <w:rPr>
          <w:rFonts w:hint="eastAsia" w:ascii="宋体" w:hAnsi="宋体"/>
          <w:highlight w:val="none"/>
        </w:rPr>
        <w:t>电子投标文件的拒收情形：见投标须知前附表。</w:t>
      </w:r>
    </w:p>
    <w:p>
      <w:pPr>
        <w:spacing w:line="360" w:lineRule="auto"/>
        <w:jc w:val="both"/>
        <w:rPr>
          <w:rFonts w:ascii="宋体" w:hAnsi="宋体"/>
          <w:b/>
          <w:sz w:val="28"/>
          <w:highlight w:val="none"/>
        </w:rPr>
      </w:pPr>
      <w:bookmarkStart w:id="59" w:name="bookmark52"/>
      <w:bookmarkEnd w:id="59"/>
      <w:r>
        <w:rPr>
          <w:rFonts w:hint="eastAsia" w:ascii="宋体" w:hAnsi="宋体"/>
          <w:b/>
          <w:sz w:val="28"/>
          <w:highlight w:val="none"/>
        </w:rPr>
        <w:t>4.3投标文件的修改与撤回</w:t>
      </w:r>
    </w:p>
    <w:p>
      <w:pPr>
        <w:pStyle w:val="8"/>
        <w:kinsoku w:val="0"/>
        <w:spacing w:line="360" w:lineRule="auto"/>
        <w:ind w:left="0" w:firstLine="480" w:firstLineChars="200"/>
        <w:jc w:val="both"/>
        <w:rPr>
          <w:rFonts w:ascii="宋体" w:hAnsi="宋体"/>
          <w:spacing w:val="-4"/>
          <w:highlight w:val="none"/>
        </w:rPr>
      </w:pPr>
      <w:r>
        <w:rPr>
          <w:rFonts w:ascii="宋体" w:hAnsi="宋体"/>
          <w:highlight w:val="none"/>
        </w:rPr>
        <w:t>4.3.1</w:t>
      </w:r>
      <w:r>
        <w:rPr>
          <w:rFonts w:hint="eastAsia" w:ascii="宋体" w:hAnsi="宋体"/>
          <w:highlight w:val="none"/>
        </w:rPr>
        <w:t>在本章第</w:t>
      </w:r>
      <w:r>
        <w:rPr>
          <w:rFonts w:ascii="宋体" w:hAnsi="宋体"/>
          <w:highlight w:val="none"/>
        </w:rPr>
        <w:t>4.2.1</w:t>
      </w:r>
      <w:r>
        <w:rPr>
          <w:rFonts w:hint="eastAsia" w:ascii="宋体" w:hAnsi="宋体"/>
          <w:spacing w:val="-4"/>
          <w:highlight w:val="none"/>
        </w:rPr>
        <w:t>项规定的投标截止时间前，投标人可以修改或撤回已递交的投标文件，</w:t>
      </w:r>
      <w:r>
        <w:rPr>
          <w:rFonts w:hint="eastAsia" w:ascii="宋体" w:hAnsi="宋体"/>
          <w:highlight w:val="none"/>
        </w:rPr>
        <w:t>但应以书面形式通知招标人。</w:t>
      </w:r>
      <w:r>
        <w:rPr>
          <w:rFonts w:hint="eastAsia" w:ascii="宋体" w:hAnsi="宋体"/>
          <w:spacing w:val="-4"/>
          <w:highlight w:val="none"/>
        </w:rPr>
        <w:t>投标截止时间前未完成投标文件传输的，视为撤回投标文件。</w:t>
      </w:r>
    </w:p>
    <w:p>
      <w:pPr>
        <w:pStyle w:val="8"/>
        <w:kinsoku w:val="0"/>
        <w:spacing w:line="360" w:lineRule="auto"/>
        <w:ind w:left="0" w:firstLine="480" w:firstLineChars="200"/>
        <w:jc w:val="both"/>
        <w:rPr>
          <w:rFonts w:ascii="宋体" w:hAnsi="宋体"/>
          <w:highlight w:val="none"/>
        </w:rPr>
      </w:pPr>
      <w:r>
        <w:rPr>
          <w:rFonts w:ascii="宋体" w:hAnsi="宋体"/>
          <w:highlight w:val="none"/>
        </w:rPr>
        <w:t>4.3.2</w:t>
      </w:r>
      <w:r>
        <w:rPr>
          <w:rFonts w:hint="eastAsia" w:ascii="宋体" w:hAnsi="宋体"/>
          <w:highlight w:val="none"/>
        </w:rPr>
        <w:t>投标人修改或撤回已递交投标文件的通知，应按照本章第</w:t>
      </w:r>
      <w:r>
        <w:rPr>
          <w:rFonts w:ascii="宋体" w:hAnsi="宋体"/>
          <w:highlight w:val="none"/>
        </w:rPr>
        <w:t>3.7.3</w:t>
      </w:r>
      <w:r>
        <w:rPr>
          <w:rFonts w:hint="eastAsia" w:ascii="宋体" w:hAnsi="宋体"/>
          <w:highlight w:val="none"/>
        </w:rPr>
        <w:t>项的要求加盖电子印章。电子招标投标交易平台收到通知后，即时向投标人发出确认回执通知。</w:t>
      </w:r>
    </w:p>
    <w:p>
      <w:pPr>
        <w:pStyle w:val="8"/>
        <w:kinsoku w:val="0"/>
        <w:spacing w:line="360" w:lineRule="auto"/>
        <w:ind w:left="0" w:firstLine="480" w:firstLineChars="200"/>
        <w:jc w:val="both"/>
        <w:rPr>
          <w:rFonts w:ascii="宋体" w:hAnsi="宋体"/>
          <w:highlight w:val="none"/>
        </w:rPr>
      </w:pPr>
      <w:r>
        <w:rPr>
          <w:rFonts w:ascii="宋体" w:hAnsi="宋体"/>
          <w:highlight w:val="none"/>
        </w:rPr>
        <w:t>4.3.3</w:t>
      </w:r>
      <w:r>
        <w:rPr>
          <w:rFonts w:hint="eastAsia" w:ascii="宋体" w:hAnsi="宋体"/>
          <w:spacing w:val="-4"/>
          <w:highlight w:val="none"/>
        </w:rPr>
        <w:t>投标人撤回投标文件的，招标人自收到投标人书面撤回通知之日起</w:t>
      </w:r>
      <w:r>
        <w:rPr>
          <w:rFonts w:ascii="宋体" w:hAnsi="宋体"/>
          <w:highlight w:val="none"/>
        </w:rPr>
        <w:t>5</w:t>
      </w:r>
      <w:r>
        <w:rPr>
          <w:rFonts w:hint="eastAsia" w:ascii="宋体" w:hAnsi="宋体"/>
          <w:highlight w:val="none"/>
        </w:rPr>
        <w:t>日内退还已收取的投标保证金。</w:t>
      </w:r>
    </w:p>
    <w:p>
      <w:pPr>
        <w:pStyle w:val="8"/>
        <w:kinsoku w:val="0"/>
        <w:spacing w:line="360" w:lineRule="auto"/>
        <w:ind w:left="0" w:firstLine="480" w:firstLineChars="200"/>
        <w:jc w:val="both"/>
        <w:rPr>
          <w:rFonts w:ascii="宋体" w:hAnsi="宋体"/>
          <w:highlight w:val="none"/>
        </w:rPr>
      </w:pPr>
      <w:r>
        <w:rPr>
          <w:rFonts w:ascii="宋体" w:hAnsi="宋体"/>
          <w:highlight w:val="none"/>
        </w:rPr>
        <w:t>4.3.4</w:t>
      </w:r>
      <w:r>
        <w:rPr>
          <w:rFonts w:hint="eastAsia" w:ascii="宋体" w:hAnsi="宋体"/>
          <w:spacing w:val="-3"/>
          <w:highlight w:val="none"/>
        </w:rPr>
        <w:t>修改的内容为投标文件的组成部分。修改的投标文件应按照本章第</w:t>
      </w:r>
      <w:r>
        <w:rPr>
          <w:rFonts w:ascii="宋体" w:hAnsi="宋体"/>
          <w:highlight w:val="none"/>
        </w:rPr>
        <w:t>3</w:t>
      </w:r>
      <w:r>
        <w:rPr>
          <w:rFonts w:hint="eastAsia" w:ascii="宋体" w:hAnsi="宋体"/>
          <w:spacing w:val="-14"/>
          <w:highlight w:val="none"/>
        </w:rPr>
        <w:t>条、第</w:t>
      </w:r>
      <w:r>
        <w:rPr>
          <w:rFonts w:ascii="宋体" w:hAnsi="宋体"/>
          <w:highlight w:val="none"/>
        </w:rPr>
        <w:t>4</w:t>
      </w:r>
      <w:r>
        <w:rPr>
          <w:rFonts w:hint="eastAsia" w:ascii="宋体" w:hAnsi="宋体"/>
          <w:highlight w:val="none"/>
        </w:rPr>
        <w:t>条的规定进行编制、密封、标记和递交，并标明</w:t>
      </w:r>
      <w:r>
        <w:rPr>
          <w:rFonts w:ascii="宋体" w:hAnsi="宋体"/>
          <w:highlight w:val="none"/>
        </w:rPr>
        <w:t>“</w:t>
      </w:r>
      <w:r>
        <w:rPr>
          <w:rFonts w:hint="eastAsia" w:ascii="宋体" w:hAnsi="宋体"/>
          <w:highlight w:val="none"/>
        </w:rPr>
        <w:t>修改</w:t>
      </w:r>
      <w:r>
        <w:rPr>
          <w:rFonts w:ascii="宋体" w:hAnsi="宋体"/>
          <w:highlight w:val="none"/>
        </w:rPr>
        <w:t>”</w:t>
      </w:r>
      <w:r>
        <w:rPr>
          <w:rFonts w:hint="eastAsia" w:ascii="宋体" w:hAnsi="宋体"/>
          <w:highlight w:val="none"/>
        </w:rPr>
        <w:t>字样。</w:t>
      </w:r>
    </w:p>
    <w:p>
      <w:pPr>
        <w:spacing w:line="360" w:lineRule="auto"/>
        <w:jc w:val="both"/>
        <w:rPr>
          <w:rFonts w:ascii="宋体" w:hAnsi="宋体"/>
          <w:b/>
          <w:sz w:val="32"/>
          <w:szCs w:val="32"/>
          <w:highlight w:val="none"/>
        </w:rPr>
      </w:pPr>
      <w:bookmarkStart w:id="60" w:name="bookmark53"/>
      <w:bookmarkEnd w:id="60"/>
      <w:bookmarkStart w:id="61" w:name="_Toc45697236"/>
      <w:bookmarkStart w:id="62" w:name="_Toc21471"/>
      <w:bookmarkStart w:id="63" w:name="_Toc22828072"/>
      <w:r>
        <w:rPr>
          <w:rFonts w:ascii="宋体" w:hAnsi="宋体"/>
          <w:b/>
          <w:sz w:val="32"/>
          <w:szCs w:val="32"/>
          <w:highlight w:val="none"/>
        </w:rPr>
        <w:t>5.开标</w:t>
      </w:r>
      <w:bookmarkEnd w:id="61"/>
      <w:bookmarkEnd w:id="62"/>
      <w:bookmarkEnd w:id="63"/>
    </w:p>
    <w:p>
      <w:pPr>
        <w:spacing w:line="360" w:lineRule="auto"/>
        <w:jc w:val="both"/>
        <w:rPr>
          <w:rFonts w:ascii="宋体" w:hAnsi="宋体"/>
          <w:b/>
          <w:sz w:val="28"/>
          <w:highlight w:val="none"/>
        </w:rPr>
      </w:pPr>
      <w:bookmarkStart w:id="64" w:name="bookmark54"/>
      <w:bookmarkEnd w:id="64"/>
      <w:r>
        <w:rPr>
          <w:rFonts w:hint="eastAsia" w:ascii="宋体" w:hAnsi="宋体"/>
          <w:b/>
          <w:sz w:val="28"/>
          <w:highlight w:val="none"/>
        </w:rPr>
        <w:t>5.1开标时间和地点</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pPr>
        <w:spacing w:line="360" w:lineRule="auto"/>
        <w:jc w:val="both"/>
        <w:rPr>
          <w:rFonts w:ascii="宋体" w:hAnsi="宋体"/>
          <w:b/>
          <w:sz w:val="28"/>
          <w:highlight w:val="none"/>
        </w:rPr>
      </w:pPr>
      <w:bookmarkStart w:id="65" w:name="bookmark56"/>
      <w:bookmarkEnd w:id="65"/>
      <w:bookmarkStart w:id="66" w:name="bookmark55"/>
      <w:bookmarkEnd w:id="66"/>
      <w:r>
        <w:rPr>
          <w:rFonts w:hint="eastAsia" w:ascii="宋体" w:hAnsi="宋体"/>
          <w:b/>
          <w:sz w:val="28"/>
          <w:highlight w:val="none"/>
        </w:rPr>
        <w:t>5.2开标程序</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pPr>
        <w:spacing w:line="360" w:lineRule="auto"/>
        <w:jc w:val="both"/>
        <w:rPr>
          <w:rFonts w:ascii="宋体" w:hAnsi="宋体"/>
          <w:b/>
          <w:sz w:val="28"/>
          <w:highlight w:val="none"/>
        </w:rPr>
      </w:pPr>
      <w:bookmarkStart w:id="67" w:name="bookmark57"/>
      <w:bookmarkEnd w:id="67"/>
      <w:r>
        <w:rPr>
          <w:rFonts w:hint="eastAsia" w:ascii="宋体" w:hAnsi="宋体"/>
          <w:b/>
          <w:sz w:val="28"/>
          <w:highlight w:val="none"/>
        </w:rPr>
        <w:t>5.3开标异议</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投标人对开标有异议的，应当在开标时提出，招标人当场作出答复，并制作记录。</w:t>
      </w:r>
    </w:p>
    <w:p>
      <w:pPr>
        <w:spacing w:line="360" w:lineRule="auto"/>
        <w:jc w:val="both"/>
        <w:rPr>
          <w:rFonts w:ascii="宋体" w:hAnsi="宋体"/>
          <w:b/>
          <w:sz w:val="28"/>
          <w:highlight w:val="none"/>
        </w:rPr>
      </w:pPr>
      <w:r>
        <w:rPr>
          <w:rFonts w:hint="eastAsia" w:ascii="宋体" w:hAnsi="宋体"/>
          <w:b/>
          <w:sz w:val="28"/>
          <w:highlight w:val="none"/>
        </w:rPr>
        <w:t>5.4特殊情况处置</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pPr>
        <w:spacing w:line="360" w:lineRule="auto"/>
        <w:jc w:val="both"/>
        <w:rPr>
          <w:rFonts w:ascii="宋体" w:hAnsi="宋体"/>
          <w:b/>
          <w:sz w:val="32"/>
          <w:szCs w:val="32"/>
          <w:highlight w:val="none"/>
        </w:rPr>
      </w:pPr>
      <w:bookmarkStart w:id="68" w:name="bookmark58"/>
      <w:bookmarkEnd w:id="68"/>
      <w:r>
        <w:rPr>
          <w:rFonts w:ascii="宋体" w:hAnsi="宋体"/>
          <w:b/>
          <w:sz w:val="32"/>
          <w:szCs w:val="32"/>
          <w:highlight w:val="none"/>
        </w:rPr>
        <w:t>6.</w:t>
      </w:r>
      <w:bookmarkStart w:id="69" w:name="_Toc45697237"/>
      <w:bookmarkStart w:id="70" w:name="_Toc6578"/>
      <w:bookmarkStart w:id="71" w:name="_Toc22828073"/>
      <w:r>
        <w:rPr>
          <w:rFonts w:hint="eastAsia" w:ascii="宋体" w:hAnsi="宋体"/>
          <w:b/>
          <w:sz w:val="32"/>
          <w:szCs w:val="32"/>
          <w:highlight w:val="none"/>
        </w:rPr>
        <w:t>评标</w:t>
      </w:r>
      <w:bookmarkEnd w:id="69"/>
      <w:bookmarkEnd w:id="70"/>
      <w:bookmarkEnd w:id="71"/>
    </w:p>
    <w:p>
      <w:pPr>
        <w:spacing w:line="360" w:lineRule="auto"/>
        <w:jc w:val="both"/>
        <w:rPr>
          <w:rFonts w:ascii="宋体" w:hAnsi="宋体"/>
          <w:b/>
          <w:sz w:val="28"/>
          <w:highlight w:val="none"/>
        </w:rPr>
      </w:pPr>
      <w:bookmarkStart w:id="72" w:name="bookmark59"/>
      <w:bookmarkEnd w:id="72"/>
      <w:r>
        <w:rPr>
          <w:rFonts w:hint="eastAsia" w:ascii="宋体" w:hAnsi="宋体"/>
          <w:b/>
          <w:sz w:val="28"/>
          <w:highlight w:val="none"/>
        </w:rPr>
        <w:t>6.1评标委员会</w:t>
      </w:r>
    </w:p>
    <w:p>
      <w:pPr>
        <w:pStyle w:val="8"/>
        <w:snapToGrid w:val="0"/>
        <w:spacing w:line="360" w:lineRule="auto"/>
        <w:ind w:left="0" w:firstLine="480" w:firstLineChars="200"/>
        <w:jc w:val="both"/>
        <w:rPr>
          <w:rFonts w:ascii="宋体" w:hAnsi="宋体"/>
          <w:highlight w:val="none"/>
        </w:rPr>
      </w:pPr>
      <w:r>
        <w:rPr>
          <w:rFonts w:ascii="宋体" w:hAnsi="宋体"/>
          <w:highlight w:val="none"/>
        </w:rPr>
        <w:t>6.1.1</w:t>
      </w:r>
      <w:r>
        <w:rPr>
          <w:rFonts w:hint="eastAsia" w:ascii="宋体" w:hAnsi="宋体"/>
          <w:spacing w:val="-4"/>
          <w:highlight w:val="none"/>
        </w:rPr>
        <w:t>评标由招标人依法组建的评标委员会负责。评标委员会由</w:t>
      </w:r>
      <w:r>
        <w:rPr>
          <w:rFonts w:hint="eastAsia" w:ascii="宋体" w:hAnsi="宋体"/>
          <w:spacing w:val="-1"/>
          <w:highlight w:val="none"/>
        </w:rPr>
        <w:t>有关技术、经济等方面的专家组成。评标委员会成员人数以及</w:t>
      </w:r>
      <w:r>
        <w:rPr>
          <w:rFonts w:hint="eastAsia" w:ascii="宋体" w:hAnsi="宋体"/>
          <w:highlight w:val="none"/>
        </w:rPr>
        <w:t>技术、经济等方面专家的确定方式见投标人须知前附表。</w:t>
      </w:r>
    </w:p>
    <w:p>
      <w:pPr>
        <w:spacing w:line="360" w:lineRule="auto"/>
        <w:jc w:val="both"/>
        <w:rPr>
          <w:rFonts w:ascii="宋体" w:hAnsi="宋体"/>
          <w:b/>
          <w:sz w:val="28"/>
          <w:highlight w:val="none"/>
        </w:rPr>
      </w:pPr>
      <w:bookmarkStart w:id="73" w:name="bookmark60"/>
      <w:bookmarkEnd w:id="73"/>
      <w:r>
        <w:rPr>
          <w:rFonts w:hint="eastAsia" w:ascii="宋体" w:hAnsi="宋体"/>
          <w:b/>
          <w:sz w:val="28"/>
          <w:highlight w:val="none"/>
        </w:rPr>
        <w:t>6.2评标原则</w:t>
      </w:r>
    </w:p>
    <w:p>
      <w:pPr>
        <w:pStyle w:val="8"/>
        <w:snapToGrid w:val="0"/>
        <w:spacing w:line="360" w:lineRule="auto"/>
        <w:ind w:left="0" w:firstLine="480" w:firstLineChars="200"/>
        <w:jc w:val="both"/>
        <w:rPr>
          <w:rFonts w:ascii="宋体" w:hAnsi="宋体"/>
          <w:highlight w:val="none"/>
        </w:rPr>
      </w:pPr>
      <w:r>
        <w:rPr>
          <w:rFonts w:hint="eastAsia" w:ascii="宋体" w:hAnsi="宋体"/>
          <w:highlight w:val="none"/>
        </w:rPr>
        <w:t>评标活动遵循公平、公正、科学和择优的原则。</w:t>
      </w:r>
    </w:p>
    <w:p>
      <w:pPr>
        <w:spacing w:line="360" w:lineRule="auto"/>
        <w:jc w:val="both"/>
        <w:rPr>
          <w:rFonts w:ascii="宋体" w:hAnsi="宋体"/>
          <w:b/>
          <w:sz w:val="28"/>
          <w:highlight w:val="none"/>
        </w:rPr>
      </w:pPr>
      <w:bookmarkStart w:id="74" w:name="bookmark61"/>
      <w:bookmarkEnd w:id="74"/>
      <w:r>
        <w:rPr>
          <w:rFonts w:hint="eastAsia" w:ascii="宋体" w:hAnsi="宋体"/>
          <w:b/>
          <w:sz w:val="28"/>
          <w:highlight w:val="none"/>
        </w:rPr>
        <w:t>6.3评标</w:t>
      </w:r>
    </w:p>
    <w:p>
      <w:pPr>
        <w:pStyle w:val="8"/>
        <w:snapToGrid w:val="0"/>
        <w:spacing w:line="360" w:lineRule="auto"/>
        <w:ind w:left="0" w:firstLine="480" w:firstLineChars="200"/>
        <w:jc w:val="both"/>
        <w:rPr>
          <w:rFonts w:ascii="宋体" w:hAnsi="宋体"/>
          <w:highlight w:val="none"/>
        </w:rPr>
      </w:pPr>
      <w:r>
        <w:rPr>
          <w:rFonts w:ascii="宋体" w:hAnsi="宋体"/>
          <w:highlight w:val="none"/>
        </w:rPr>
        <w:t>6.3.1</w:t>
      </w:r>
      <w:r>
        <w:rPr>
          <w:rFonts w:hint="eastAsia" w:ascii="宋体" w:hAnsi="宋体"/>
          <w:highlight w:val="none"/>
        </w:rPr>
        <w:t>评标委员会按照第三章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规定的方法、评审因素、标准和程序对投标文件进行评审。第三章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没有规定的方法、评审因素和标准，不作为评标依据。</w:t>
      </w:r>
    </w:p>
    <w:p>
      <w:pPr>
        <w:pStyle w:val="8"/>
        <w:snapToGrid w:val="0"/>
        <w:spacing w:line="360" w:lineRule="auto"/>
        <w:ind w:left="0" w:firstLine="480" w:firstLineChars="200"/>
        <w:jc w:val="both"/>
        <w:rPr>
          <w:rFonts w:ascii="宋体" w:hAnsi="宋体"/>
          <w:highlight w:val="none"/>
        </w:rPr>
      </w:pPr>
      <w:r>
        <w:rPr>
          <w:rFonts w:ascii="宋体" w:hAnsi="宋体"/>
          <w:highlight w:val="none"/>
        </w:rPr>
        <w:t>6.3.2</w:t>
      </w:r>
      <w:r>
        <w:rPr>
          <w:rFonts w:hint="eastAsia" w:ascii="宋体" w:hAnsi="宋体"/>
          <w:highlight w:val="none"/>
        </w:rPr>
        <w:t>评标完成后，评标委员会应当向招标人提交书面评标报告和中标候选人名单。评标委员会推荐中标候选人的人数见投标人须知前附表。</w:t>
      </w:r>
    </w:p>
    <w:p>
      <w:pPr>
        <w:spacing w:line="480" w:lineRule="exact"/>
        <w:jc w:val="both"/>
        <w:rPr>
          <w:rFonts w:ascii="宋体" w:hAnsi="宋体"/>
          <w:b/>
          <w:sz w:val="32"/>
          <w:szCs w:val="32"/>
          <w:highlight w:val="none"/>
        </w:rPr>
      </w:pPr>
      <w:bookmarkStart w:id="75" w:name="bookmark62"/>
      <w:bookmarkEnd w:id="75"/>
      <w:bookmarkStart w:id="76" w:name="_Toc22898"/>
      <w:bookmarkStart w:id="77" w:name="_Toc45697238"/>
      <w:bookmarkStart w:id="78" w:name="_Toc22828074"/>
      <w:r>
        <w:rPr>
          <w:rFonts w:ascii="宋体" w:hAnsi="宋体"/>
          <w:b/>
          <w:sz w:val="32"/>
          <w:szCs w:val="32"/>
          <w:highlight w:val="none"/>
        </w:rPr>
        <w:t>7.合同授予</w:t>
      </w:r>
      <w:bookmarkEnd w:id="76"/>
      <w:bookmarkEnd w:id="77"/>
      <w:bookmarkEnd w:id="78"/>
    </w:p>
    <w:p>
      <w:pPr>
        <w:spacing w:line="480" w:lineRule="exact"/>
        <w:jc w:val="both"/>
        <w:rPr>
          <w:rFonts w:ascii="宋体" w:hAnsi="宋体"/>
          <w:b/>
          <w:sz w:val="28"/>
          <w:highlight w:val="none"/>
        </w:rPr>
      </w:pPr>
      <w:bookmarkStart w:id="79" w:name="bookmark63"/>
      <w:bookmarkEnd w:id="79"/>
      <w:bookmarkStart w:id="80" w:name="bookmark66"/>
      <w:bookmarkEnd w:id="80"/>
      <w:r>
        <w:rPr>
          <w:rFonts w:hint="eastAsia" w:ascii="宋体" w:hAnsi="宋体"/>
          <w:b/>
          <w:sz w:val="28"/>
          <w:highlight w:val="none"/>
        </w:rPr>
        <w:t>7.1中标候选人公示媒介及期限</w:t>
      </w:r>
    </w:p>
    <w:p>
      <w:pPr>
        <w:pStyle w:val="8"/>
        <w:kinsoku w:val="0"/>
        <w:snapToGrid w:val="0"/>
        <w:spacing w:line="480" w:lineRule="exact"/>
        <w:ind w:left="0" w:firstLine="480" w:firstLineChars="200"/>
        <w:jc w:val="both"/>
        <w:rPr>
          <w:rFonts w:hAnsi="宋体"/>
          <w:highlight w:val="none"/>
        </w:rPr>
      </w:pPr>
      <w:r>
        <w:rPr>
          <w:rFonts w:hint="eastAsia"/>
          <w:highlight w:val="none"/>
        </w:rPr>
        <w:t xml:space="preserve">  </w:t>
      </w:r>
      <w:r>
        <w:rPr>
          <w:rFonts w:hint="eastAsia" w:hAnsi="宋体"/>
          <w:highlight w:val="none"/>
        </w:rPr>
        <w:t>7.1.1中标候选人公示媒介及期限见投标人须知前附表。</w:t>
      </w:r>
    </w:p>
    <w:p>
      <w:pPr>
        <w:spacing w:line="480" w:lineRule="exact"/>
        <w:ind w:firstLine="480" w:firstLineChars="200"/>
        <w:jc w:val="both"/>
        <w:rPr>
          <w:highlight w:val="none"/>
        </w:rPr>
      </w:pPr>
      <w:r>
        <w:rPr>
          <w:rFonts w:hint="eastAsia" w:hAnsi="宋体"/>
          <w:highlight w:val="none"/>
        </w:rPr>
        <w:t>7.1.2</w:t>
      </w:r>
      <w:r>
        <w:rPr>
          <w:rFonts w:hint="eastAsia"/>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pPr>
        <w:spacing w:line="480" w:lineRule="exact"/>
        <w:jc w:val="both"/>
        <w:rPr>
          <w:rFonts w:ascii="宋体" w:hAnsi="宋体"/>
          <w:b/>
          <w:sz w:val="28"/>
          <w:highlight w:val="none"/>
        </w:rPr>
      </w:pPr>
      <w:bookmarkStart w:id="81" w:name="bookmark67"/>
      <w:bookmarkEnd w:id="81"/>
      <w:r>
        <w:rPr>
          <w:rFonts w:hint="eastAsia" w:ascii="宋体" w:hAnsi="宋体"/>
          <w:b/>
          <w:sz w:val="28"/>
          <w:highlight w:val="none"/>
        </w:rPr>
        <w:t>7.2定标方式</w:t>
      </w:r>
    </w:p>
    <w:p>
      <w:pPr>
        <w:spacing w:line="480" w:lineRule="exact"/>
        <w:ind w:firstLine="480" w:firstLineChars="200"/>
        <w:jc w:val="both"/>
        <w:rPr>
          <w:rFonts w:hint="eastAsia"/>
          <w:highlight w:val="none"/>
        </w:rPr>
      </w:pPr>
      <w:r>
        <w:rPr>
          <w:rFonts w:hint="eastAsia"/>
          <w:highlight w:val="none"/>
        </w:rPr>
        <w:t>除投标人须知前附表规定评标委员会直接确定中标人外，招标人依据评标委员会推荐的中标候选人确定中标人。</w:t>
      </w:r>
    </w:p>
    <w:p>
      <w:pPr>
        <w:spacing w:line="480" w:lineRule="exact"/>
        <w:ind w:firstLine="480" w:firstLineChars="200"/>
        <w:jc w:val="both"/>
        <w:rPr>
          <w:rFonts w:hint="eastAsia"/>
          <w:highlight w:val="none"/>
        </w:rPr>
      </w:pPr>
      <w:r>
        <w:rPr>
          <w:rFonts w:hint="eastAsia"/>
          <w:highlight w:val="none"/>
        </w:rPr>
        <w:t>国有资金占控股或者主导地位的依法必须进行招标的项目，</w:t>
      </w:r>
      <w:r>
        <w:rPr>
          <w:rFonts w:hint="eastAsia"/>
          <w:b/>
          <w:bCs/>
          <w:highlight w:val="none"/>
        </w:rPr>
        <w:t>招标人应当确定</w:t>
      </w:r>
      <w:r>
        <w:rPr>
          <w:rFonts w:hint="eastAsia"/>
          <w:b/>
          <w:bCs/>
          <w:highlight w:val="none"/>
          <w:lang w:eastAsia="zh-CN"/>
        </w:rPr>
        <w:t>排名第一的</w:t>
      </w:r>
      <w:r>
        <w:rPr>
          <w:rFonts w:hint="eastAsia"/>
          <w:b/>
          <w:bCs/>
          <w:highlight w:val="none"/>
        </w:rPr>
        <w:t>中标候选人</w:t>
      </w:r>
      <w:r>
        <w:rPr>
          <w:rFonts w:hint="eastAsia"/>
          <w:b/>
          <w:bCs/>
          <w:highlight w:val="none"/>
          <w:lang w:eastAsia="zh-CN"/>
        </w:rPr>
        <w:t>在投标截止时间至中标通知书发出之日，参与投标资质在“浙江省建筑市场监管公共服务系统”上动态核查结果若是“不合格”状态（或者资质“合格”状态的等级低于投标要求的资质等级）</w:t>
      </w:r>
      <w:r>
        <w:rPr>
          <w:rFonts w:hint="eastAsia"/>
          <w:highlight w:val="none"/>
          <w:lang w:eastAsia="zh-CN"/>
        </w:rPr>
        <w:t>、</w:t>
      </w:r>
      <w:r>
        <w:rPr>
          <w:rFonts w:hint="eastAsia"/>
          <w:highlight w:val="none"/>
        </w:rPr>
        <w:t>放弃中标、因不可抗力不能履行合同、不按照招标文件要求提交履约保证金，或者被查实存在影响中标结果的违法行为等情形，不符合中标条件的，本次招标失败，重新组织招标。</w:t>
      </w:r>
    </w:p>
    <w:p>
      <w:pPr>
        <w:spacing w:line="360" w:lineRule="auto"/>
        <w:jc w:val="both"/>
        <w:rPr>
          <w:rFonts w:ascii="宋体" w:hAnsi="宋体"/>
          <w:b/>
          <w:sz w:val="28"/>
          <w:highlight w:val="none"/>
        </w:rPr>
      </w:pPr>
      <w:r>
        <w:rPr>
          <w:rFonts w:hint="eastAsia" w:ascii="宋体" w:hAnsi="宋体"/>
          <w:b/>
          <w:sz w:val="28"/>
          <w:highlight w:val="none"/>
        </w:rPr>
        <w:t>7.3中标通知</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在本章第</w:t>
      </w:r>
      <w:r>
        <w:rPr>
          <w:rFonts w:hAnsi="宋体"/>
          <w:highlight w:val="none"/>
        </w:rPr>
        <w:t>3.3</w:t>
      </w:r>
      <w:r>
        <w:rPr>
          <w:rFonts w:hint="eastAsia" w:hAnsi="宋体"/>
          <w:highlight w:val="none"/>
        </w:rPr>
        <w:t>款规定的投标有效期内，招标人以书面形式向中标人发出中标通知书，同时将中标结果通知未中标的投标人。</w:t>
      </w:r>
    </w:p>
    <w:p>
      <w:pPr>
        <w:spacing w:line="360" w:lineRule="auto"/>
        <w:jc w:val="both"/>
        <w:rPr>
          <w:rFonts w:ascii="宋体" w:hAnsi="宋体"/>
          <w:b/>
          <w:sz w:val="28"/>
          <w:highlight w:val="none"/>
        </w:rPr>
      </w:pPr>
      <w:bookmarkStart w:id="82" w:name="bookmark69"/>
      <w:bookmarkEnd w:id="82"/>
      <w:bookmarkStart w:id="83" w:name="bookmark68"/>
      <w:bookmarkEnd w:id="83"/>
      <w:r>
        <w:rPr>
          <w:rFonts w:hint="eastAsia" w:ascii="宋体" w:hAnsi="宋体"/>
          <w:b/>
          <w:sz w:val="28"/>
          <w:highlight w:val="none"/>
        </w:rPr>
        <w:t>7.4履约担保</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7.4.1</w:t>
      </w:r>
      <w:r>
        <w:rPr>
          <w:rFonts w:hint="eastAsia" w:ascii="宋体" w:hAnsi="宋体"/>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pPr>
        <w:pStyle w:val="8"/>
        <w:kinsoku w:val="0"/>
        <w:snapToGrid w:val="0"/>
        <w:spacing w:line="360" w:lineRule="auto"/>
        <w:ind w:left="0" w:firstLine="480" w:firstLineChars="200"/>
        <w:jc w:val="both"/>
        <w:rPr>
          <w:rFonts w:ascii="宋体" w:hAnsi="宋体"/>
          <w:sz w:val="14"/>
          <w:szCs w:val="14"/>
          <w:highlight w:val="none"/>
        </w:rPr>
      </w:pPr>
      <w:r>
        <w:rPr>
          <w:rFonts w:ascii="宋体" w:hAnsi="宋体"/>
          <w:highlight w:val="none"/>
        </w:rPr>
        <w:t>7.4.2</w:t>
      </w:r>
      <w:r>
        <w:rPr>
          <w:rFonts w:hint="eastAsia" w:ascii="宋体" w:hAnsi="宋体"/>
          <w:highlight w:val="none"/>
        </w:rPr>
        <w:t>中标人不能按本章第</w:t>
      </w:r>
      <w:r>
        <w:rPr>
          <w:rFonts w:ascii="宋体" w:hAnsi="宋体"/>
          <w:highlight w:val="none"/>
        </w:rPr>
        <w:t>7.4.1</w:t>
      </w:r>
      <w:r>
        <w:rPr>
          <w:rFonts w:hint="eastAsia" w:ascii="宋体" w:hAnsi="宋体"/>
          <w:highlight w:val="none"/>
        </w:rPr>
        <w:t>项要求提交履约担保的，视为放弃中标，其投标保证金不予退还，给招标人造成的损失超过投标保证金数额的，中标人还应当对超过部分予以赔偿。</w:t>
      </w:r>
    </w:p>
    <w:p>
      <w:pPr>
        <w:spacing w:line="360" w:lineRule="auto"/>
        <w:jc w:val="both"/>
        <w:rPr>
          <w:rFonts w:ascii="宋体" w:hAnsi="宋体"/>
          <w:b/>
          <w:sz w:val="28"/>
          <w:highlight w:val="none"/>
        </w:rPr>
      </w:pPr>
      <w:bookmarkStart w:id="84" w:name="bookmark70"/>
      <w:bookmarkEnd w:id="84"/>
      <w:r>
        <w:rPr>
          <w:rFonts w:hint="eastAsia" w:ascii="宋体" w:hAnsi="宋体"/>
          <w:b/>
          <w:sz w:val="28"/>
          <w:highlight w:val="none"/>
        </w:rPr>
        <w:t>7.5签订合同</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7.5.1</w:t>
      </w:r>
      <w:r>
        <w:rPr>
          <w:rFonts w:hint="eastAsia" w:ascii="宋体" w:hAnsi="宋体"/>
          <w:highlight w:val="none"/>
        </w:rPr>
        <w:t>招标人和中标人应当在中标通知书发出之日起</w:t>
      </w:r>
      <w:r>
        <w:rPr>
          <w:rFonts w:ascii="宋体" w:hAnsi="宋体"/>
          <w:highlight w:val="none"/>
        </w:rPr>
        <w:t>30</w:t>
      </w:r>
      <w:r>
        <w:rPr>
          <w:rFonts w:hint="eastAsia" w:ascii="宋体" w:hAnsi="宋体"/>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7.5.2</w:t>
      </w:r>
      <w:r>
        <w:rPr>
          <w:rFonts w:hint="eastAsia" w:ascii="宋体" w:hAnsi="宋体"/>
          <w:highlight w:val="none"/>
        </w:rPr>
        <w:t>发出中标通知书后，招标人无正当理由拒签合同，招标人向中标人退还投标保证金；给中标人造成损失的，还应当赔偿损失。</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7.5.3</w:t>
      </w:r>
      <w:r>
        <w:rPr>
          <w:rFonts w:hint="eastAsia" w:ascii="宋体" w:hAnsi="宋体"/>
          <w:highlight w:val="none"/>
        </w:rPr>
        <w:t>联合体中标的，联合体各方应当共同与招标人签订合同，就中标项目向招标人承担连带责任。</w:t>
      </w:r>
    </w:p>
    <w:p>
      <w:pPr>
        <w:spacing w:line="360" w:lineRule="auto"/>
        <w:jc w:val="both"/>
        <w:rPr>
          <w:rFonts w:ascii="宋体" w:hAnsi="宋体"/>
          <w:b/>
          <w:sz w:val="32"/>
          <w:szCs w:val="32"/>
          <w:highlight w:val="none"/>
        </w:rPr>
      </w:pPr>
      <w:bookmarkStart w:id="85" w:name="bookmark71"/>
      <w:bookmarkEnd w:id="85"/>
      <w:bookmarkStart w:id="86" w:name="_Toc494121485"/>
      <w:bookmarkStart w:id="87" w:name="_Toc29433"/>
      <w:bookmarkStart w:id="88" w:name="_Toc45697239"/>
      <w:bookmarkStart w:id="89" w:name="_Toc22828075"/>
      <w:r>
        <w:rPr>
          <w:rFonts w:ascii="宋体" w:hAnsi="宋体"/>
          <w:b/>
          <w:sz w:val="32"/>
          <w:szCs w:val="32"/>
          <w:highlight w:val="none"/>
        </w:rPr>
        <w:t>8.重新招标和不再招标</w:t>
      </w:r>
      <w:bookmarkEnd w:id="86"/>
      <w:bookmarkEnd w:id="87"/>
      <w:bookmarkEnd w:id="88"/>
    </w:p>
    <w:p>
      <w:pPr>
        <w:spacing w:line="360" w:lineRule="auto"/>
        <w:jc w:val="both"/>
        <w:rPr>
          <w:rFonts w:ascii="宋体" w:hAnsi="宋体"/>
          <w:b/>
          <w:sz w:val="28"/>
          <w:highlight w:val="none"/>
        </w:rPr>
      </w:pPr>
      <w:r>
        <w:rPr>
          <w:rFonts w:hint="eastAsia" w:ascii="宋体" w:hAnsi="宋体"/>
          <w:b/>
          <w:sz w:val="28"/>
          <w:highlight w:val="none"/>
        </w:rPr>
        <w:t>8.1重新招标</w:t>
      </w:r>
    </w:p>
    <w:p>
      <w:pPr>
        <w:snapToGrid w:val="0"/>
        <w:spacing w:line="360" w:lineRule="auto"/>
        <w:ind w:firstLine="480" w:firstLineChars="200"/>
        <w:jc w:val="both"/>
        <w:rPr>
          <w:rFonts w:ascii="宋体" w:hAnsi="宋体"/>
          <w:highlight w:val="none"/>
        </w:rPr>
      </w:pPr>
      <w:r>
        <w:rPr>
          <w:rFonts w:hint="eastAsia" w:ascii="宋体" w:hAnsi="宋体"/>
          <w:highlight w:val="none"/>
        </w:rPr>
        <w:t>有下列情形之一的，招标人将重新招标：</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投标截止时间止，投标人少于</w:t>
      </w:r>
      <w:r>
        <w:rPr>
          <w:rFonts w:ascii="宋体" w:hAnsi="宋体"/>
          <w:highlight w:val="none"/>
        </w:rPr>
        <w:t>3个的</w:t>
      </w:r>
      <w:r>
        <w:rPr>
          <w:rFonts w:hint="eastAsia" w:ascii="宋体" w:hAnsi="宋体"/>
          <w:highlight w:val="none"/>
        </w:rPr>
        <w:t>；</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）经评标委员会评审后否决所有投标的；</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）其他情形见须知前附表。</w:t>
      </w:r>
    </w:p>
    <w:p>
      <w:pPr>
        <w:spacing w:line="360" w:lineRule="auto"/>
        <w:jc w:val="both"/>
        <w:rPr>
          <w:rFonts w:ascii="宋体" w:hAnsi="宋体"/>
          <w:b/>
          <w:sz w:val="28"/>
          <w:highlight w:val="none"/>
        </w:rPr>
      </w:pPr>
      <w:r>
        <w:rPr>
          <w:rFonts w:hint="eastAsia" w:ascii="宋体" w:hAnsi="宋体"/>
          <w:b/>
          <w:sz w:val="28"/>
          <w:highlight w:val="none"/>
        </w:rPr>
        <w:t>8.2不再招标</w:t>
      </w:r>
    </w:p>
    <w:p>
      <w:pPr>
        <w:snapToGrid w:val="0"/>
        <w:spacing w:line="360" w:lineRule="auto"/>
        <w:ind w:firstLine="480" w:firstLineChars="200"/>
        <w:jc w:val="both"/>
        <w:rPr>
          <w:rFonts w:ascii="宋体" w:hAnsi="宋体"/>
          <w:highlight w:val="none"/>
        </w:rPr>
      </w:pPr>
      <w:r>
        <w:rPr>
          <w:rFonts w:hint="eastAsia" w:ascii="宋体" w:hAnsi="宋体"/>
          <w:highlight w:val="none"/>
        </w:rPr>
        <w:t>见须知前附表。</w:t>
      </w:r>
    </w:p>
    <w:bookmarkEnd w:id="89"/>
    <w:p>
      <w:pPr>
        <w:spacing w:line="360" w:lineRule="auto"/>
        <w:jc w:val="both"/>
        <w:rPr>
          <w:rFonts w:ascii="宋体" w:hAnsi="宋体"/>
          <w:b/>
          <w:sz w:val="32"/>
          <w:szCs w:val="32"/>
          <w:highlight w:val="none"/>
        </w:rPr>
      </w:pPr>
      <w:bookmarkStart w:id="90" w:name="bookmark77"/>
      <w:bookmarkEnd w:id="90"/>
      <w:bookmarkStart w:id="91" w:name="_Toc14014"/>
      <w:bookmarkStart w:id="92" w:name="_Toc494121486"/>
      <w:bookmarkStart w:id="93" w:name="_Toc45697240"/>
      <w:bookmarkStart w:id="94" w:name="_Toc22828076"/>
      <w:r>
        <w:rPr>
          <w:rFonts w:ascii="宋体" w:hAnsi="宋体"/>
          <w:b/>
          <w:sz w:val="32"/>
          <w:szCs w:val="32"/>
          <w:highlight w:val="none"/>
        </w:rPr>
        <w:t>9.纪律和监督</w:t>
      </w:r>
      <w:bookmarkEnd w:id="91"/>
      <w:bookmarkEnd w:id="92"/>
      <w:bookmarkEnd w:id="93"/>
    </w:p>
    <w:p>
      <w:pPr>
        <w:spacing w:line="360" w:lineRule="auto"/>
        <w:jc w:val="both"/>
        <w:rPr>
          <w:rFonts w:ascii="宋体" w:hAnsi="宋体"/>
          <w:b/>
          <w:sz w:val="28"/>
          <w:highlight w:val="none"/>
        </w:rPr>
      </w:pPr>
      <w:r>
        <w:rPr>
          <w:rFonts w:hint="eastAsia" w:ascii="宋体" w:hAnsi="宋体"/>
          <w:b/>
          <w:sz w:val="28"/>
          <w:highlight w:val="none"/>
        </w:rPr>
        <w:t>9.1对招标人的纪律要求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招标人不得泄漏招标投标活动中应当保密的情况和资料，不得与投标人串通损害国家利益、社会公共利益或者他人合法权益。</w:t>
      </w:r>
    </w:p>
    <w:p>
      <w:pPr>
        <w:spacing w:line="360" w:lineRule="auto"/>
        <w:jc w:val="both"/>
        <w:rPr>
          <w:rFonts w:ascii="宋体" w:hAnsi="宋体"/>
          <w:b/>
          <w:sz w:val="28"/>
          <w:highlight w:val="none"/>
        </w:rPr>
      </w:pPr>
      <w:r>
        <w:rPr>
          <w:rFonts w:hint="eastAsia" w:ascii="宋体" w:hAnsi="宋体"/>
          <w:b/>
          <w:sz w:val="28"/>
          <w:highlight w:val="none"/>
        </w:rPr>
        <w:t>9.2对投标人的纪律要求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both"/>
        <w:rPr>
          <w:rFonts w:ascii="宋体" w:hAnsi="宋体"/>
          <w:b/>
          <w:sz w:val="28"/>
          <w:highlight w:val="none"/>
        </w:rPr>
      </w:pPr>
      <w:r>
        <w:rPr>
          <w:rFonts w:hint="eastAsia" w:ascii="宋体" w:hAnsi="宋体"/>
          <w:b/>
          <w:sz w:val="28"/>
          <w:highlight w:val="none"/>
        </w:rPr>
        <w:t>9.3对评标委员会成员的纪律要求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jc w:val="both"/>
        <w:rPr>
          <w:rFonts w:ascii="宋体" w:hAnsi="宋体"/>
          <w:b/>
          <w:sz w:val="28"/>
          <w:highlight w:val="none"/>
        </w:rPr>
      </w:pPr>
      <w:r>
        <w:rPr>
          <w:rFonts w:hint="eastAsia" w:ascii="宋体" w:hAnsi="宋体"/>
          <w:b/>
          <w:sz w:val="28"/>
          <w:highlight w:val="none"/>
        </w:rPr>
        <w:t>9.4对与评标活动有关的工作人员的纪律要求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jc w:val="both"/>
        <w:rPr>
          <w:rFonts w:ascii="宋体" w:hAnsi="宋体"/>
          <w:b/>
          <w:sz w:val="28"/>
          <w:highlight w:val="none"/>
        </w:rPr>
      </w:pPr>
      <w:r>
        <w:rPr>
          <w:rFonts w:hint="eastAsia" w:ascii="宋体" w:hAnsi="宋体"/>
          <w:b/>
          <w:sz w:val="28"/>
          <w:highlight w:val="none"/>
        </w:rPr>
        <w:t>9.5异议和投诉</w:t>
      </w:r>
    </w:p>
    <w:p>
      <w:pPr>
        <w:snapToGrid w:val="0"/>
        <w:spacing w:line="360" w:lineRule="auto"/>
        <w:ind w:firstLine="480" w:firstLineChars="200"/>
        <w:jc w:val="both"/>
        <w:rPr>
          <w:rFonts w:ascii="宋体" w:hAnsi="宋体"/>
          <w:highlight w:val="none"/>
        </w:rPr>
      </w:pPr>
      <w:r>
        <w:rPr>
          <w:rFonts w:ascii="宋体" w:hAnsi="宋体"/>
          <w:highlight w:val="none"/>
        </w:rPr>
        <w:t>9.5.1异议</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1）潜在投标人或者其他利害关系人对招标文件有异议的，应当在投标截止时间10</w:t>
      </w:r>
      <w:r>
        <w:rPr>
          <w:rFonts w:hint="eastAsia" w:ascii="宋体" w:hAnsi="宋体"/>
          <w:highlight w:val="none"/>
        </w:rPr>
        <w:t>日前以书面形式向招标人提出。招标人将在收到异议之日起</w:t>
      </w:r>
      <w:r>
        <w:rPr>
          <w:rFonts w:ascii="宋体" w:hAnsi="宋体"/>
          <w:highlight w:val="none"/>
        </w:rPr>
        <w:t>3</w:t>
      </w:r>
      <w:r>
        <w:rPr>
          <w:rFonts w:hint="eastAsia" w:ascii="宋体" w:hAnsi="宋体"/>
          <w:highlight w:val="none"/>
        </w:rPr>
        <w:t>日内作出书面答复；作出答复前，暂停招标投标活动。</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2）投标人认为开标不符合有关规定的，应当在开标</w:t>
      </w:r>
      <w:r>
        <w:rPr>
          <w:rFonts w:hint="eastAsia" w:ascii="宋体" w:hAnsi="宋体"/>
          <w:highlight w:val="none"/>
        </w:rPr>
        <w:t>时</w:t>
      </w:r>
      <w:r>
        <w:rPr>
          <w:rFonts w:ascii="宋体" w:hAnsi="宋体"/>
          <w:highlight w:val="none"/>
        </w:rPr>
        <w:t>提出异议。招标人将当场对异议给</w:t>
      </w:r>
      <w:r>
        <w:rPr>
          <w:rFonts w:hint="eastAsia" w:ascii="宋体" w:hAnsi="宋体"/>
          <w:highlight w:val="none"/>
        </w:rPr>
        <w:t>予处理或者告知处理的办法。异议和答复应记入开标记录或者制作专门记录以存档备查。</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3）投标人及其他利害关系人对评标结果有异议的，应当在中标候选人公示期内以书面形式向招标人提出。招标人将在收到异议之日起3</w:t>
      </w:r>
      <w:r>
        <w:rPr>
          <w:rFonts w:hint="eastAsia" w:ascii="宋体" w:hAnsi="宋体"/>
          <w:highlight w:val="none"/>
        </w:rPr>
        <w:t>日内作出书面答复；作出答复前，暂停招标投标活动。</w:t>
      </w:r>
    </w:p>
    <w:p>
      <w:pPr>
        <w:snapToGrid w:val="0"/>
        <w:spacing w:line="360" w:lineRule="auto"/>
        <w:ind w:firstLine="480" w:firstLineChars="200"/>
        <w:jc w:val="both"/>
        <w:rPr>
          <w:rFonts w:ascii="宋体" w:hAnsi="宋体"/>
          <w:highlight w:val="none"/>
        </w:rPr>
      </w:pPr>
      <w:r>
        <w:rPr>
          <w:rFonts w:ascii="宋体" w:hAnsi="宋体"/>
          <w:highlight w:val="none"/>
        </w:rPr>
        <w:t>9.5.2投诉</w:t>
      </w:r>
    </w:p>
    <w:p>
      <w:pPr>
        <w:snapToGrid w:val="0"/>
        <w:spacing w:line="360" w:lineRule="auto"/>
        <w:ind w:firstLine="480" w:firstLineChars="200"/>
        <w:jc w:val="both"/>
        <w:rPr>
          <w:rFonts w:ascii="宋体" w:hAnsi="宋体"/>
          <w:highlight w:val="none"/>
        </w:rPr>
      </w:pPr>
      <w:r>
        <w:rPr>
          <w:rFonts w:hint="eastAsia" w:ascii="宋体" w:hAnsi="宋体"/>
          <w:highlight w:val="none"/>
        </w:rPr>
        <w:t>投标人或者其他利害关系人认为招标投标活动不符合法律、行政法规和招标文件规定的，可以自知道或者应当知道之日起</w:t>
      </w:r>
      <w:r>
        <w:rPr>
          <w:rFonts w:ascii="宋体" w:hAnsi="宋体"/>
          <w:highlight w:val="none"/>
        </w:rPr>
        <w:t>10日内向有关行政监督部门投诉。投诉应当有明确的请求和必要的证明资料，具体要求按国家、省及</w:t>
      </w:r>
      <w:r>
        <w:rPr>
          <w:rFonts w:hint="eastAsia" w:ascii="宋体" w:hAnsi="宋体"/>
          <w:highlight w:val="none"/>
        </w:rPr>
        <w:t>当地招投标主管部门制定的规定。就招标文件、开标和评标结果投诉的，应当先向招标人提出异议，异议答复期不计算在前款规定的期限内。</w:t>
      </w:r>
    </w:p>
    <w:p>
      <w:pPr>
        <w:snapToGrid w:val="0"/>
        <w:spacing w:line="360" w:lineRule="auto"/>
        <w:ind w:firstLine="480" w:firstLineChars="200"/>
        <w:jc w:val="both"/>
        <w:rPr>
          <w:rFonts w:ascii="宋体" w:hAnsi="宋体"/>
          <w:highlight w:val="none"/>
        </w:rPr>
      </w:pPr>
      <w:r>
        <w:rPr>
          <w:rFonts w:hint="eastAsia" w:ascii="宋体" w:hAnsi="宋体"/>
          <w:highlight w:val="none"/>
        </w:rPr>
        <w:t>上述时限最后一日如遇国家法定休假日的，顺延至法定休假日后的第一个工作日。</w:t>
      </w:r>
    </w:p>
    <w:bookmarkEnd w:id="94"/>
    <w:p>
      <w:pPr>
        <w:spacing w:line="360" w:lineRule="auto"/>
        <w:jc w:val="both"/>
        <w:rPr>
          <w:rFonts w:ascii="宋体" w:hAnsi="宋体"/>
          <w:b/>
          <w:sz w:val="28"/>
          <w:highlight w:val="none"/>
        </w:rPr>
      </w:pPr>
      <w:bookmarkStart w:id="95" w:name="bookmark78"/>
      <w:bookmarkEnd w:id="95"/>
      <w:bookmarkStart w:id="96" w:name="_Toc144974547"/>
      <w:bookmarkStart w:id="97" w:name="_Toc149922238"/>
      <w:bookmarkStart w:id="98" w:name="_Toc8305366"/>
      <w:bookmarkStart w:id="99" w:name="_Toc1392"/>
      <w:bookmarkStart w:id="100" w:name="_Toc152042357"/>
      <w:bookmarkStart w:id="101" w:name="_Toc152045580"/>
      <w:bookmarkStart w:id="102" w:name="_Toc16521964"/>
      <w:r>
        <w:rPr>
          <w:rFonts w:hint="eastAsia" w:ascii="宋体" w:hAnsi="宋体"/>
          <w:b/>
          <w:sz w:val="28"/>
          <w:highlight w:val="none"/>
        </w:rPr>
        <w:t>10. 需要补充的其他内容</w:t>
      </w:r>
      <w:bookmarkEnd w:id="96"/>
      <w:bookmarkEnd w:id="97"/>
      <w:bookmarkEnd w:id="98"/>
      <w:bookmarkEnd w:id="99"/>
      <w:bookmarkEnd w:id="100"/>
      <w:bookmarkEnd w:id="101"/>
      <w:bookmarkEnd w:id="102"/>
    </w:p>
    <w:p>
      <w:pPr>
        <w:spacing w:line="400" w:lineRule="exact"/>
        <w:ind w:firstLine="480" w:firstLineChars="200"/>
        <w:jc w:val="both"/>
        <w:rPr>
          <w:rFonts w:ascii="宋体" w:hAnsi="宋体" w:cs="宋体"/>
          <w:highlight w:val="none"/>
        </w:rPr>
      </w:pPr>
      <w:r>
        <w:rPr>
          <w:rFonts w:hint="eastAsia" w:ascii="宋体" w:hAnsi="宋体" w:cs="宋体"/>
          <w:highlight w:val="none"/>
        </w:rPr>
        <w:t>需要补充的其他内容：见投标人须知前附表。</w:t>
      </w:r>
    </w:p>
    <w:p>
      <w:pPr>
        <w:rPr>
          <w:highlight w:val="none"/>
        </w:rPr>
        <w:sectPr>
          <w:footerReference r:id="rId5" w:type="default"/>
          <w:pgSz w:w="12240" w:h="15840"/>
          <w:pgMar w:top="1400" w:right="1434" w:bottom="1123" w:left="1434" w:header="0" w:footer="918" w:gutter="0"/>
          <w:cols w:space="0" w:num="1"/>
        </w:sectPr>
      </w:pPr>
    </w:p>
    <w:p>
      <w:pPr>
        <w:pStyle w:val="2"/>
        <w:rPr>
          <w:highlight w:val="none"/>
        </w:rPr>
      </w:pPr>
      <w:bookmarkStart w:id="103" w:name="_Toc19767"/>
      <w:bookmarkStart w:id="104" w:name="_Toc45697242"/>
      <w:bookmarkStart w:id="105" w:name="_Toc24639"/>
      <w:bookmarkStart w:id="106" w:name="_Toc22828078"/>
      <w:r>
        <w:rPr>
          <w:rFonts w:hint="eastAsia"/>
          <w:highlight w:val="none"/>
        </w:rPr>
        <w:t>第三章</w:t>
      </w:r>
      <w:r>
        <w:rPr>
          <w:highlight w:val="none"/>
        </w:rPr>
        <w:t xml:space="preserve"> </w:t>
      </w:r>
      <w:r>
        <w:rPr>
          <w:rFonts w:hint="eastAsia"/>
          <w:highlight w:val="none"/>
        </w:rPr>
        <w:t>评标办法</w:t>
      </w:r>
      <w:bookmarkEnd w:id="103"/>
      <w:bookmarkEnd w:id="104"/>
      <w:bookmarkEnd w:id="105"/>
      <w:bookmarkEnd w:id="106"/>
    </w:p>
    <w:p>
      <w:pPr>
        <w:pStyle w:val="9"/>
        <w:spacing w:line="360" w:lineRule="auto"/>
        <w:ind w:left="0" w:firstLine="480" w:firstLineChars="200"/>
        <w:jc w:val="both"/>
        <w:rPr>
          <w:sz w:val="24"/>
        </w:rPr>
      </w:pPr>
      <w:bookmarkStart w:id="107" w:name="bookmark94"/>
      <w:bookmarkEnd w:id="107"/>
      <w:r>
        <w:rPr>
          <w:rFonts w:hint="eastAsia"/>
          <w:sz w:val="24"/>
        </w:rPr>
        <w:t>本项目评标办法采用资信商务评估法。</w:t>
      </w:r>
    </w:p>
    <w:p>
      <w:pPr>
        <w:pStyle w:val="27"/>
        <w:snapToGrid w:val="0"/>
        <w:spacing w:line="360" w:lineRule="auto"/>
        <w:ind w:firstLine="480" w:firstLineChars="200"/>
        <w:jc w:val="both"/>
        <w:rPr>
          <w:rFonts w:hint="eastAsia" w:ascii="宋体" w:hAnsi="宋体"/>
        </w:rPr>
      </w:pPr>
      <w:r>
        <w:rPr>
          <w:rFonts w:hint="eastAsia" w:ascii="宋体" w:hAnsi="宋体"/>
        </w:rPr>
        <w:t>一、评</w:t>
      </w:r>
      <w:bookmarkStart w:id="108" w:name="_Toc67589034"/>
      <w:r>
        <w:rPr>
          <w:rFonts w:hint="eastAsia" w:ascii="宋体" w:hAnsi="宋体"/>
        </w:rPr>
        <w:t>标程序</w:t>
      </w:r>
    </w:p>
    <w:p>
      <w:pPr>
        <w:pStyle w:val="27"/>
        <w:snapToGrid w:val="0"/>
        <w:spacing w:line="360" w:lineRule="auto"/>
        <w:ind w:firstLine="480" w:firstLineChars="200"/>
        <w:jc w:val="both"/>
        <w:rPr>
          <w:rFonts w:hint="eastAsia" w:ascii="宋体" w:hAnsi="宋体"/>
        </w:rPr>
      </w:pPr>
      <w:r>
        <w:rPr>
          <w:rFonts w:hint="eastAsia" w:ascii="宋体" w:hAnsi="宋体"/>
        </w:rPr>
        <w:t>（一）商</w:t>
      </w:r>
      <w:bookmarkEnd w:id="108"/>
      <w:r>
        <w:rPr>
          <w:rFonts w:hint="eastAsia" w:ascii="宋体" w:hAnsi="宋体"/>
        </w:rPr>
        <w:t>务标评审</w:t>
      </w:r>
    </w:p>
    <w:p>
      <w:pPr>
        <w:pStyle w:val="27"/>
        <w:snapToGrid w:val="0"/>
        <w:spacing w:line="360" w:lineRule="auto"/>
        <w:ind w:firstLine="480" w:firstLineChars="200"/>
        <w:jc w:val="both"/>
        <w:rPr>
          <w:rFonts w:hint="eastAsia" w:ascii="宋体" w:hAnsi="宋体"/>
        </w:rPr>
      </w:pPr>
      <w:r>
        <w:rPr>
          <w:rFonts w:hint="eastAsia" w:ascii="宋体" w:hAnsi="宋体"/>
        </w:rPr>
        <w:t>（二）资信标评审</w:t>
      </w:r>
    </w:p>
    <w:p>
      <w:pPr>
        <w:pStyle w:val="27"/>
        <w:snapToGrid w:val="0"/>
        <w:spacing w:line="360" w:lineRule="auto"/>
        <w:ind w:firstLine="480" w:firstLineChars="200"/>
        <w:jc w:val="both"/>
        <w:rPr>
          <w:rFonts w:ascii="宋体" w:hAnsi="宋体"/>
        </w:rPr>
      </w:pPr>
      <w:r>
        <w:rPr>
          <w:rFonts w:hint="eastAsia" w:ascii="宋体" w:hAnsi="宋体"/>
        </w:rPr>
        <w:t>（三）评标总得分的确定</w:t>
      </w:r>
    </w:p>
    <w:p>
      <w:pPr>
        <w:pStyle w:val="27"/>
        <w:snapToGrid w:val="0"/>
        <w:spacing w:line="360" w:lineRule="auto"/>
        <w:ind w:firstLine="480" w:firstLineChars="200"/>
        <w:jc w:val="both"/>
        <w:rPr>
          <w:rFonts w:hint="eastAsia" w:ascii="宋体" w:hAnsi="宋体"/>
          <w:highlight w:val="none"/>
        </w:rPr>
      </w:pPr>
      <w:r>
        <w:rPr>
          <w:rFonts w:hint="eastAsia" w:ascii="宋体" w:hAnsi="宋体"/>
        </w:rPr>
        <w:t>（</w:t>
      </w:r>
      <w:r>
        <w:rPr>
          <w:rFonts w:hint="eastAsia" w:ascii="宋体" w:hAnsi="宋体"/>
          <w:highlight w:val="none"/>
        </w:rPr>
        <w:t>四）资格审查并推荐中标候选人</w:t>
      </w:r>
    </w:p>
    <w:p>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二、商务标评审（9</w:t>
      </w:r>
      <w:r>
        <w:rPr>
          <w:rFonts w:hint="eastAsia" w:ascii="宋体" w:hAnsi="宋体"/>
          <w:highlight w:val="none"/>
          <w:lang w:val="en-US" w:eastAsia="zh-CN"/>
        </w:rPr>
        <w:t>0</w:t>
      </w:r>
      <w:r>
        <w:rPr>
          <w:rFonts w:hint="eastAsia" w:ascii="宋体" w:hAnsi="宋体"/>
          <w:highlight w:val="none"/>
        </w:rPr>
        <w:t>分）</w:t>
      </w:r>
    </w:p>
    <w:p>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评标委员会发现投标人投标文件商务标存在招标文件规定应当否决投标情形的，应先对投标人进行书面询问核对，情况属实的，否决其投标。</w:t>
      </w:r>
    </w:p>
    <w:p>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评标委员会对确定为实质上响应招标文件要求的投标文件进行复核, 看其是否有计算上、累计上或表达上的错误。修正错误的顺序和原则如下：</w:t>
      </w:r>
    </w:p>
    <w:p>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（2）在总报价不变的前提下，评标委员会以合理原则，通过调整组价的相应内容使其一致。</w:t>
      </w:r>
    </w:p>
    <w:p>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（一）评标标底价</w:t>
      </w:r>
    </w:p>
    <w:p>
      <w:pPr>
        <w:pStyle w:val="27"/>
        <w:snapToGrid w:val="0"/>
        <w:spacing w:line="360" w:lineRule="auto"/>
        <w:ind w:firstLine="480" w:firstLineChars="200"/>
        <w:jc w:val="both"/>
        <w:rPr>
          <w:rFonts w:hint="eastAsia" w:ascii="宋体" w:hAnsi="宋体"/>
        </w:rPr>
      </w:pPr>
      <w:r>
        <w:rPr>
          <w:rFonts w:hint="eastAsia" w:ascii="宋体" w:hAnsi="宋体"/>
        </w:rPr>
        <w:t>最高投标限价乘以调整系数作为评标标底价，即评标标底价＝最高投标限价×调整系数。（以元为单位，保留整数，小数点后第1位四舍五入）</w:t>
      </w:r>
    </w:p>
    <w:p>
      <w:pPr>
        <w:pStyle w:val="27"/>
        <w:snapToGrid w:val="0"/>
        <w:spacing w:line="360" w:lineRule="auto"/>
        <w:ind w:firstLine="480" w:firstLineChars="200"/>
        <w:jc w:val="both"/>
        <w:rPr>
          <w:rFonts w:hint="eastAsia" w:ascii="宋体" w:hAnsi="宋体" w:cs="宋体"/>
          <w:color w:val="000000"/>
          <w:kern w:val="2"/>
        </w:rPr>
      </w:pPr>
      <w:r>
        <w:rPr>
          <w:rFonts w:hint="eastAsia" w:ascii="宋体" w:hAnsi="宋体" w:cs="宋体"/>
          <w:color w:val="000000"/>
          <w:kern w:val="2"/>
        </w:rPr>
        <w:t>调整系数＝（100–D）%，D值在0.00～0.99范围内随机抽取产生。先从0～9中抽取十分位数字X，再从0～9中抽取百分位数字Y，则抽取的D值即为0.XY。</w:t>
      </w:r>
    </w:p>
    <w:p>
      <w:pPr>
        <w:pStyle w:val="27"/>
        <w:snapToGrid w:val="0"/>
        <w:spacing w:line="360" w:lineRule="auto"/>
        <w:ind w:firstLine="480" w:firstLineChars="200"/>
        <w:jc w:val="both"/>
        <w:rPr>
          <w:rFonts w:hint="eastAsia" w:ascii="宋体" w:hAnsi="宋体"/>
        </w:rPr>
      </w:pPr>
      <w:r>
        <w:rPr>
          <w:rFonts w:hint="eastAsia" w:ascii="宋体" w:hAnsi="宋体"/>
        </w:rPr>
        <w:t>（二）商务标得分</w:t>
      </w:r>
    </w:p>
    <w:p>
      <w:pPr>
        <w:pStyle w:val="27"/>
        <w:snapToGrid w:val="0"/>
        <w:spacing w:line="360" w:lineRule="auto"/>
        <w:ind w:firstLine="480" w:firstLineChars="200"/>
        <w:jc w:val="both"/>
        <w:rPr>
          <w:rFonts w:hint="eastAsia" w:ascii="宋体" w:hAnsi="宋体"/>
        </w:rPr>
      </w:pPr>
      <w:r>
        <w:rPr>
          <w:rFonts w:hint="eastAsia" w:ascii="宋体" w:hAnsi="宋体"/>
        </w:rPr>
        <w:t>投标人的投标报价等于评标标底价的得90分。偏离评标标底价的，每高于或每低于评标标底价1个百分点的均扣2分，即商务标得分=90-|(投标报价-评标标底价)|/评标标底价×100×2（小数点后保留2位，小数点后第3位四舍五入）。评标委员会按投标人商务标得分从高到低进行排名，商务标得分相同的，投标报价低者排名靠前，投标报价相同的，由招标人代表抽签确定排名先后。</w:t>
      </w:r>
    </w:p>
    <w:p>
      <w:pPr>
        <w:pStyle w:val="27"/>
        <w:snapToGrid w:val="0"/>
        <w:spacing w:line="360" w:lineRule="auto"/>
        <w:ind w:firstLine="480" w:firstLineChars="200"/>
        <w:jc w:val="both"/>
        <w:rPr>
          <w:rFonts w:hint="eastAsia" w:ascii="宋体" w:hAnsi="宋体"/>
        </w:rPr>
      </w:pPr>
      <w:r>
        <w:rPr>
          <w:rFonts w:hint="eastAsia" w:ascii="宋体" w:hAnsi="宋体"/>
        </w:rPr>
        <w:t>此时所有经评审的有效投标文件（S家）≤30时，所有经评审的有效投标人商务标文件均予以通过；如此时S＞30时，商务标得分排名靠前的30家商务标文件予以通过，进入资信标评审阶段。其余投标人商务标文件不予通过，其投标文件不再进入资信标评审阶段，投标文件作无效标处理。</w:t>
      </w:r>
    </w:p>
    <w:p>
      <w:pPr>
        <w:pStyle w:val="27"/>
        <w:snapToGrid w:val="0"/>
        <w:spacing w:line="360" w:lineRule="auto"/>
        <w:ind w:firstLine="480" w:firstLineChars="200"/>
        <w:jc w:val="both"/>
        <w:rPr>
          <w:rFonts w:hint="eastAsia" w:ascii="宋体" w:hAnsi="宋体"/>
        </w:rPr>
      </w:pPr>
      <w:r>
        <w:rPr>
          <w:rFonts w:hint="eastAsia" w:ascii="宋体" w:hAnsi="宋体"/>
        </w:rPr>
        <w:t>三、资信标评审（</w:t>
      </w:r>
      <w:r>
        <w:rPr>
          <w:rFonts w:hint="eastAsia" w:ascii="宋体" w:hAnsi="宋体"/>
          <w:lang w:val="en-US" w:eastAsia="zh-CN"/>
        </w:rPr>
        <w:t>5</w:t>
      </w:r>
      <w:r>
        <w:rPr>
          <w:rFonts w:hint="eastAsia" w:ascii="宋体" w:hAnsi="宋体"/>
        </w:rPr>
        <w:t>分）</w:t>
      </w:r>
    </w:p>
    <w:p>
      <w:pPr>
        <w:pStyle w:val="27"/>
        <w:snapToGrid w:val="0"/>
        <w:spacing w:line="360" w:lineRule="auto"/>
        <w:ind w:firstLine="480" w:firstLineChars="200"/>
        <w:jc w:val="both"/>
        <w:rPr>
          <w:rFonts w:hint="eastAsia" w:ascii="宋体" w:hAnsi="宋体"/>
        </w:rPr>
      </w:pPr>
      <w:r>
        <w:rPr>
          <w:rFonts w:hint="eastAsia" w:ascii="宋体" w:hAnsi="宋体"/>
        </w:rPr>
        <w:t>评标委员会发现投标人投标文件资信标存在招标文件规定应当否决投标情形的，应先对投标人进行书面询问核对，情况属实的，否决其投标。</w:t>
      </w:r>
    </w:p>
    <w:p>
      <w:pPr>
        <w:pStyle w:val="27"/>
        <w:keepNext w:val="0"/>
        <w:keepLines w:val="0"/>
        <w:pageBreakBefore w:val="0"/>
        <w:widowControl w:val="0"/>
        <w:kinsoku/>
        <w:wordWrap/>
        <w:overflowPunct/>
        <w:topLinePunct w:val="0"/>
        <w:bidi w:val="0"/>
        <w:snapToGrid/>
        <w:spacing w:line="5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（一）投标人的信用评价分（</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w:t>
      </w:r>
    </w:p>
    <w:p>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u w:val="none"/>
          <w:lang w:eastAsia="zh-CN"/>
        </w:rPr>
      </w:pPr>
      <w:r>
        <w:rPr>
          <w:rFonts w:hint="eastAsia" w:ascii="宋体" w:hAnsi="宋体" w:eastAsia="宋体" w:cs="宋体"/>
          <w:color w:val="auto"/>
          <w:kern w:val="2"/>
          <w:sz w:val="24"/>
          <w:szCs w:val="24"/>
          <w:u w:val="none"/>
          <w:lang w:eastAsia="zh-CN"/>
        </w:rPr>
        <w:t>根据《台州市住房和城乡建设局关于公布建筑工程和市政公用工程企业信用等级划分标准的通知（试行）》（台建〔2022〕228号），浙江省建筑市场监管公共服务系统中房屋建筑工程和市政公用工程施工总承包企业评价等级分为 A、B、C、D、E 五个等级，各等级分值的具体标准如下：</w:t>
      </w:r>
    </w:p>
    <w:p>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u w:val="none"/>
          <w:lang w:eastAsia="zh-CN"/>
        </w:rPr>
      </w:pPr>
      <w:r>
        <w:rPr>
          <w:rFonts w:hint="eastAsia" w:ascii="宋体" w:hAnsi="宋体" w:eastAsia="宋体" w:cs="宋体"/>
          <w:color w:val="auto"/>
          <w:kern w:val="2"/>
          <w:sz w:val="24"/>
          <w:szCs w:val="24"/>
          <w:u w:val="none"/>
          <w:lang w:eastAsia="zh-CN"/>
        </w:rPr>
        <w:t>A级：110分以上（含110分）</w:t>
      </w:r>
    </w:p>
    <w:p>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u w:val="none"/>
          <w:lang w:eastAsia="zh-CN"/>
        </w:rPr>
      </w:pPr>
      <w:r>
        <w:rPr>
          <w:rFonts w:hint="eastAsia" w:ascii="宋体" w:hAnsi="宋体" w:eastAsia="宋体" w:cs="宋体"/>
          <w:color w:val="auto"/>
          <w:kern w:val="2"/>
          <w:sz w:val="24"/>
          <w:szCs w:val="24"/>
          <w:u w:val="none"/>
          <w:lang w:eastAsia="zh-CN"/>
        </w:rPr>
        <w:t>B级：105-110分（含105分）</w:t>
      </w:r>
    </w:p>
    <w:p>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u w:val="none"/>
          <w:lang w:eastAsia="zh-CN"/>
        </w:rPr>
      </w:pPr>
      <w:r>
        <w:rPr>
          <w:rFonts w:hint="eastAsia" w:ascii="宋体" w:hAnsi="宋体" w:eastAsia="宋体" w:cs="宋体"/>
          <w:color w:val="auto"/>
          <w:kern w:val="2"/>
          <w:sz w:val="24"/>
          <w:szCs w:val="24"/>
          <w:u w:val="none"/>
          <w:lang w:eastAsia="zh-CN"/>
        </w:rPr>
        <w:t>C级：100-105分（含100分）</w:t>
      </w:r>
    </w:p>
    <w:p>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u w:val="none"/>
          <w:lang w:eastAsia="zh-CN"/>
        </w:rPr>
      </w:pPr>
      <w:r>
        <w:rPr>
          <w:rFonts w:hint="eastAsia" w:ascii="宋体" w:hAnsi="宋体" w:eastAsia="宋体" w:cs="宋体"/>
          <w:color w:val="auto"/>
          <w:kern w:val="2"/>
          <w:sz w:val="24"/>
          <w:szCs w:val="24"/>
          <w:u w:val="none"/>
          <w:lang w:eastAsia="zh-CN"/>
        </w:rPr>
        <w:t>D级：90-100分（含90分）</w:t>
      </w:r>
    </w:p>
    <w:p>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u w:val="none"/>
          <w:lang w:eastAsia="zh-CN"/>
        </w:rPr>
      </w:pPr>
      <w:r>
        <w:rPr>
          <w:rFonts w:hint="eastAsia" w:ascii="宋体" w:hAnsi="宋体" w:eastAsia="宋体" w:cs="宋体"/>
          <w:color w:val="auto"/>
          <w:kern w:val="2"/>
          <w:sz w:val="24"/>
          <w:szCs w:val="24"/>
          <w:u w:val="none"/>
          <w:lang w:eastAsia="zh-CN"/>
        </w:rPr>
        <w:t>E级：90分以下。</w:t>
      </w:r>
    </w:p>
    <w:p>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与招标项目相同专业类别的投标人信用等级C及以上的，得3分；D的，得2.8分；E的，得2.3分；未取得与招标项目相同专业类别信用等级的投标人，其信用评价分为1.8分。</w:t>
      </w:r>
    </w:p>
    <w:p>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投标人的信用等级</w:t>
      </w:r>
      <w:r>
        <w:rPr>
          <w:rFonts w:hint="eastAsia" w:ascii="宋体" w:hAnsi="宋体" w:eastAsia="宋体" w:cs="宋体"/>
          <w:color w:val="auto"/>
          <w:kern w:val="2"/>
          <w:sz w:val="24"/>
          <w:szCs w:val="24"/>
          <w:lang w:eastAsia="zh-CN"/>
        </w:rPr>
        <w:t>及得分</w:t>
      </w:r>
      <w:r>
        <w:rPr>
          <w:rFonts w:hint="eastAsia" w:ascii="宋体" w:hAnsi="宋体" w:eastAsia="宋体" w:cs="宋体"/>
          <w:color w:val="auto"/>
          <w:kern w:val="2"/>
          <w:sz w:val="24"/>
          <w:szCs w:val="24"/>
        </w:rPr>
        <w:t>情况根据本工程投标截止日前两个月，经台州市建筑业信息管理网网站</w:t>
      </w:r>
      <w:r>
        <w:rPr>
          <w:rFonts w:hint="eastAsia" w:ascii="宋体" w:hAnsi="宋体" w:eastAsia="宋体" w:cs="宋体"/>
          <w:color w:val="auto"/>
          <w:kern w:val="2"/>
          <w:sz w:val="24"/>
          <w:szCs w:val="24"/>
          <w:lang w:val="en-US" w:eastAsia="zh-CN"/>
        </w:rPr>
        <w:t>省信用评价公示公布</w:t>
      </w:r>
      <w:r>
        <w:rPr>
          <w:rFonts w:hint="eastAsia" w:ascii="宋体" w:hAnsi="宋体" w:eastAsia="宋体" w:cs="宋体"/>
          <w:color w:val="auto"/>
          <w:kern w:val="2"/>
          <w:sz w:val="24"/>
          <w:szCs w:val="24"/>
        </w:rPr>
        <w:t>发布的评审结果为准（例：投标截止日为7月X日采用台州市建筑业信息管理网网站发布的5月份信用等级）。</w:t>
      </w:r>
    </w:p>
    <w:p>
      <w:pPr>
        <w:keepNext w:val="0"/>
        <w:keepLines w:val="0"/>
        <w:pageBreakBefore w:val="0"/>
        <w:widowControl w:val="0"/>
        <w:numPr>
          <w:ilvl w:val="0"/>
          <w:numId w:val="0"/>
        </w:numPr>
        <w:kinsoku/>
        <w:wordWrap/>
        <w:overflowPunct/>
        <w:topLinePunct w:val="0"/>
        <w:bidi w:val="0"/>
        <w:snapToGrid/>
        <w:spacing w:line="500" w:lineRule="exact"/>
        <w:ind w:firstLine="723" w:firstLineChars="300"/>
        <w:jc w:val="both"/>
        <w:textAlignment w:val="auto"/>
        <w:rPr>
          <w:rFonts w:hint="eastAsia" w:ascii="宋体" w:hAnsi="宋体" w:eastAsia="宋体" w:cs="宋体"/>
          <w:b/>
          <w:bCs/>
          <w:color w:val="auto"/>
          <w:kern w:val="2"/>
          <w:sz w:val="24"/>
          <w:szCs w:val="24"/>
        </w:rPr>
      </w:pPr>
      <w:r>
        <w:rPr>
          <w:rFonts w:hint="eastAsia" w:ascii="宋体" w:hAnsi="宋体" w:cs="宋体"/>
          <w:b/>
          <w:bCs/>
          <w:color w:val="auto"/>
          <w:kern w:val="2"/>
          <w:sz w:val="24"/>
          <w:szCs w:val="24"/>
          <w:lang w:val="en-US" w:eastAsia="zh-CN"/>
        </w:rPr>
        <w:t>(二）</w:t>
      </w:r>
      <w:r>
        <w:rPr>
          <w:rFonts w:hint="eastAsia" w:ascii="宋体" w:hAnsi="宋体" w:eastAsia="宋体" w:cs="宋体"/>
          <w:b/>
          <w:bCs/>
          <w:color w:val="auto"/>
          <w:kern w:val="2"/>
          <w:sz w:val="24"/>
          <w:szCs w:val="24"/>
          <w:lang w:eastAsia="zh-CN"/>
        </w:rPr>
        <w:t>项目负责人</w:t>
      </w:r>
      <w:r>
        <w:rPr>
          <w:rFonts w:hint="eastAsia" w:ascii="宋体" w:hAnsi="宋体" w:eastAsia="宋体" w:cs="宋体"/>
          <w:b/>
          <w:bCs/>
          <w:color w:val="auto"/>
          <w:kern w:val="2"/>
          <w:sz w:val="24"/>
          <w:szCs w:val="24"/>
        </w:rPr>
        <w:t>的信用评价分（</w:t>
      </w:r>
      <w:r>
        <w:rPr>
          <w:rFonts w:hint="eastAsia" w:ascii="宋体" w:hAnsi="宋体" w:eastAsia="宋体" w:cs="宋体"/>
          <w:b/>
          <w:bCs/>
          <w:color w:val="auto"/>
          <w:kern w:val="2"/>
          <w:sz w:val="24"/>
          <w:szCs w:val="24"/>
          <w:lang w:val="en-US" w:eastAsia="zh-CN"/>
        </w:rPr>
        <w:t>2</w:t>
      </w:r>
      <w:r>
        <w:rPr>
          <w:rFonts w:hint="eastAsia" w:ascii="宋体" w:hAnsi="宋体" w:eastAsia="宋体" w:cs="宋体"/>
          <w:b/>
          <w:bCs/>
          <w:color w:val="auto"/>
          <w:kern w:val="2"/>
          <w:sz w:val="24"/>
          <w:szCs w:val="24"/>
        </w:rPr>
        <w:t>分）</w:t>
      </w:r>
    </w:p>
    <w:p>
      <w:pPr>
        <w:keepNext w:val="0"/>
        <w:keepLines w:val="0"/>
        <w:pageBreakBefore w:val="0"/>
        <w:widowControl w:val="0"/>
        <w:numPr>
          <w:ilvl w:val="0"/>
          <w:numId w:val="0"/>
        </w:numPr>
        <w:kinsoku/>
        <w:wordWrap/>
        <w:overflowPunct/>
        <w:topLinePunct w:val="0"/>
        <w:bidi w:val="0"/>
        <w:snapToGrid/>
        <w:spacing w:line="500" w:lineRule="exact"/>
        <w:ind w:firstLine="720" w:firstLineChars="3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此项所有项目负责人均得满分</w:t>
      </w:r>
      <w:r>
        <w:rPr>
          <w:rFonts w:hint="eastAsia" w:ascii="宋体" w:hAnsi="宋体" w:cs="宋体"/>
          <w:color w:val="auto"/>
          <w:kern w:val="2"/>
          <w:sz w:val="24"/>
          <w:szCs w:val="24"/>
          <w:lang w:val="en-US" w:eastAsia="zh-CN"/>
        </w:rPr>
        <w:t>。</w:t>
      </w:r>
    </w:p>
    <w:p>
      <w:pPr>
        <w:keepNext w:val="0"/>
        <w:keepLines w:val="0"/>
        <w:pageBreakBefore w:val="0"/>
        <w:numPr>
          <w:ilvl w:val="0"/>
          <w:numId w:val="0"/>
        </w:numPr>
        <w:kinsoku/>
        <w:wordWrap/>
        <w:overflowPunct/>
        <w:topLinePunct w:val="0"/>
        <w:bidi w:val="0"/>
        <w:snapToGrid/>
        <w:spacing w:line="500" w:lineRule="exact"/>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kern w:val="2"/>
          <w:sz w:val="24"/>
          <w:szCs w:val="24"/>
          <w:lang w:eastAsia="zh-CN"/>
        </w:rPr>
        <w:t>（三）</w:t>
      </w:r>
      <w:r>
        <w:rPr>
          <w:rFonts w:hint="eastAsia" w:ascii="宋体" w:hAnsi="宋体" w:eastAsia="宋体" w:cs="宋体"/>
          <w:b/>
          <w:bCs/>
          <w:color w:val="auto"/>
          <w:kern w:val="2"/>
          <w:sz w:val="24"/>
          <w:szCs w:val="24"/>
        </w:rPr>
        <w:t>资信标得分＝投标人的信用评价分</w:t>
      </w:r>
      <w:r>
        <w:rPr>
          <w:rFonts w:hint="eastAsia" w:ascii="宋体" w:hAnsi="宋体" w:eastAsia="宋体" w:cs="宋体"/>
          <w:b/>
          <w:bCs/>
          <w:color w:val="auto"/>
          <w:kern w:val="2"/>
          <w:sz w:val="24"/>
          <w:szCs w:val="24"/>
          <w:lang w:val="en-US" w:eastAsia="zh-CN"/>
        </w:rPr>
        <w:t>+项目负责人的信用评价分</w:t>
      </w:r>
      <w:r>
        <w:rPr>
          <w:rFonts w:hint="eastAsia" w:ascii="宋体" w:hAnsi="宋体" w:eastAsia="宋体" w:cs="宋体"/>
          <w:b/>
          <w:bCs/>
          <w:color w:val="auto"/>
          <w:sz w:val="24"/>
          <w:szCs w:val="24"/>
          <w:lang w:eastAsia="zh-CN"/>
        </w:rPr>
        <w:t>。</w:t>
      </w:r>
    </w:p>
    <w:p>
      <w:pPr>
        <w:pStyle w:val="27"/>
        <w:snapToGrid w:val="0"/>
        <w:spacing w:line="360" w:lineRule="auto"/>
        <w:ind w:firstLine="480" w:firstLineChars="200"/>
        <w:jc w:val="both"/>
        <w:rPr>
          <w:rFonts w:hint="eastAsia" w:ascii="宋体" w:hAnsi="宋体"/>
        </w:rPr>
      </w:pPr>
      <w:r>
        <w:rPr>
          <w:rFonts w:hint="eastAsia" w:ascii="宋体" w:hAnsi="宋体"/>
        </w:rPr>
        <w:t>四、评标总得分的确定（小数点后保留2位，小数点后第3位四舍五入）</w:t>
      </w:r>
    </w:p>
    <w:p>
      <w:pPr>
        <w:pStyle w:val="27"/>
        <w:snapToGrid w:val="0"/>
        <w:spacing w:line="360" w:lineRule="auto"/>
        <w:ind w:firstLine="480" w:firstLineChars="200"/>
        <w:jc w:val="both"/>
        <w:rPr>
          <w:rFonts w:hint="eastAsia" w:ascii="宋体" w:hAnsi="宋体"/>
        </w:rPr>
      </w:pPr>
      <w:r>
        <w:rPr>
          <w:rFonts w:hint="eastAsia" w:ascii="宋体" w:hAnsi="宋体"/>
        </w:rPr>
        <w:t>投标人的评标总得分＝资信标得分＋商务标得分。</w:t>
      </w:r>
    </w:p>
    <w:p>
      <w:pPr>
        <w:pStyle w:val="27"/>
        <w:snapToGrid w:val="0"/>
        <w:spacing w:line="360" w:lineRule="auto"/>
        <w:ind w:firstLine="480" w:firstLineChars="200"/>
        <w:jc w:val="both"/>
        <w:rPr>
          <w:rFonts w:hint="eastAsia" w:ascii="宋体" w:hAnsi="宋体"/>
        </w:rPr>
      </w:pPr>
      <w:r>
        <w:rPr>
          <w:rFonts w:hint="eastAsia" w:ascii="宋体" w:hAnsi="宋体"/>
        </w:rPr>
        <w:t>五、资格审查并推荐中标候选人</w:t>
      </w:r>
    </w:p>
    <w:p>
      <w:pPr>
        <w:pStyle w:val="27"/>
        <w:snapToGrid w:val="0"/>
        <w:spacing w:line="360" w:lineRule="auto"/>
        <w:ind w:firstLine="480" w:firstLineChars="200"/>
        <w:jc w:val="both"/>
        <w:rPr>
          <w:rFonts w:hint="eastAsia" w:ascii="宋体" w:hAnsi="宋体"/>
        </w:rPr>
      </w:pPr>
      <w:r>
        <w:rPr>
          <w:rFonts w:hint="eastAsia" w:ascii="宋体" w:hAnsi="宋体"/>
        </w:rPr>
        <w:t>评标委员会对投标人按评标总得分从高到低进行排名，即总得分最高者排名第一，次高者排名第二。如出现总得分相同的，按照以下优先顺序确定排序：（一）资信标得分高者；（二）投标报价低者；（三）抽签确定。</w:t>
      </w:r>
    </w:p>
    <w:p>
      <w:pPr>
        <w:pStyle w:val="27"/>
        <w:snapToGrid w:val="0"/>
        <w:spacing w:line="360" w:lineRule="auto"/>
        <w:ind w:firstLine="480" w:firstLineChars="200"/>
        <w:jc w:val="both"/>
        <w:rPr>
          <w:rFonts w:hint="eastAsia" w:ascii="宋体" w:hAnsi="宋体"/>
        </w:rPr>
      </w:pPr>
      <w:r>
        <w:rPr>
          <w:rFonts w:hint="eastAsia" w:ascii="宋体" w:hAnsi="宋体"/>
        </w:rPr>
        <w:t>评标委员会按排名顺序</w:t>
      </w:r>
      <w:r>
        <w:rPr>
          <w:rFonts w:hint="eastAsia" w:ascii="宋体" w:hAnsi="宋体" w:cs="宋体"/>
          <w:color w:val="000000"/>
          <w:kern w:val="2"/>
        </w:rPr>
        <w:t>依次对拟推荐为中标候选人（中标候选人的人数见投标人须知前附表）的投标人和其拟派的项目负责人</w:t>
      </w:r>
      <w:r>
        <w:rPr>
          <w:rFonts w:hint="eastAsia" w:ascii="宋体" w:hAnsi="宋体"/>
        </w:rPr>
        <w:t>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pPr>
        <w:snapToGrid w:val="0"/>
        <w:spacing w:line="360" w:lineRule="auto"/>
        <w:ind w:firstLine="480" w:firstLineChars="200"/>
        <w:jc w:val="both"/>
      </w:pPr>
      <w:r>
        <w:rPr>
          <w:rFonts w:hint="eastAsia" w:ascii="宋体" w:hAnsi="宋体" w:cs="宋体"/>
          <w:color w:val="000000"/>
          <w:kern w:val="2"/>
        </w:rPr>
        <w:t>当有效投标人＜3个时，评标委员会应判定本次投标是否具有竞争力，若评标委员会认为本次投标明显缺乏竞争的，可以否决全部投标。</w:t>
      </w:r>
    </w:p>
    <w:p>
      <w:pPr>
        <w:pStyle w:val="2"/>
        <w:rPr>
          <w:rFonts w:hint="eastAsia"/>
          <w:highlight w:val="none"/>
        </w:rPr>
      </w:pPr>
      <w:bookmarkStart w:id="109" w:name="_Toc22828079"/>
      <w:bookmarkStart w:id="110" w:name="_Toc45697243"/>
      <w:bookmarkStart w:id="111" w:name="_Toc25289"/>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highlight w:val="none"/>
        </w:rPr>
      </w:pPr>
      <w:bookmarkStart w:id="112" w:name="_Toc24801"/>
      <w:r>
        <w:rPr>
          <w:rFonts w:hint="eastAsia"/>
          <w:highlight w:val="none"/>
        </w:rPr>
        <w:t>第四章</w:t>
      </w:r>
      <w:r>
        <w:rPr>
          <w:highlight w:val="none"/>
        </w:rPr>
        <w:t xml:space="preserve"> </w:t>
      </w:r>
      <w:r>
        <w:rPr>
          <w:rFonts w:hint="eastAsia"/>
          <w:highlight w:val="none"/>
        </w:rPr>
        <w:t>合同条款及格式</w:t>
      </w:r>
      <w:bookmarkEnd w:id="109"/>
      <w:bookmarkEnd w:id="110"/>
      <w:bookmarkEnd w:id="111"/>
      <w:bookmarkEnd w:id="112"/>
    </w:p>
    <w:p>
      <w:pPr>
        <w:pStyle w:val="8"/>
        <w:kinsoku w:val="0"/>
        <w:ind w:left="0"/>
        <w:rPr>
          <w:rFonts w:ascii="Microsoft JhengHei" w:eastAsia="等线" w:cs="Microsoft JhengHei"/>
          <w:b/>
          <w:bCs/>
          <w:sz w:val="20"/>
          <w:szCs w:val="20"/>
          <w:highlight w:val="none"/>
        </w:rPr>
      </w:pPr>
      <w:bookmarkStart w:id="113" w:name="bookmark180"/>
      <w:bookmarkEnd w:id="113"/>
    </w:p>
    <w:p>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pPr>
        <w:spacing w:line="440" w:lineRule="exact"/>
        <w:jc w:val="both"/>
        <w:rPr>
          <w:rFonts w:ascii="宋体" w:hAnsi="宋体" w:cs="宋体"/>
          <w:highlight w:val="none"/>
        </w:rPr>
      </w:pPr>
      <w:bookmarkStart w:id="114" w:name="_Toc151471690"/>
      <w:bookmarkStart w:id="115" w:name="_Toc149922241"/>
      <w:r>
        <w:rPr>
          <w:rFonts w:hint="eastAsia" w:ascii="宋体" w:hAnsi="宋体" w:cs="宋体"/>
          <w:highlight w:val="none"/>
        </w:rPr>
        <w:t>合同专用条款中的主要条款将由招标人(发包人)与中标人(承包人)根据投标文件签订。</w:t>
      </w:r>
      <w:bookmarkEnd w:id="114"/>
      <w:bookmarkEnd w:id="115"/>
      <w:bookmarkStart w:id="116" w:name="bookmark181"/>
      <w:bookmarkEnd w:id="116"/>
    </w:p>
    <w:p>
      <w:pPr>
        <w:pStyle w:val="2"/>
        <w:ind w:firstLine="420" w:firstLineChars="200"/>
        <w:rPr>
          <w:sz w:val="21"/>
          <w:szCs w:val="21"/>
          <w:highlight w:val="none"/>
        </w:rPr>
      </w:pPr>
    </w:p>
    <w:p>
      <w:pPr>
        <w:pStyle w:val="2"/>
        <w:ind w:firstLine="422" w:firstLineChars="200"/>
        <w:rPr>
          <w:sz w:val="21"/>
          <w:szCs w:val="21"/>
          <w:highlight w:val="none"/>
        </w:rPr>
      </w:pPr>
      <w:r>
        <w:rPr>
          <w:rFonts w:ascii="宋体" w:hAnsi="宋体"/>
          <w:b/>
          <w:sz w:val="21"/>
          <w:szCs w:val="21"/>
          <w:highlight w:val="none"/>
        </w:rPr>
        <w:br w:type="page"/>
      </w:r>
      <w:bookmarkStart w:id="117" w:name="_Toc45697245"/>
    </w:p>
    <w:p>
      <w:pPr>
        <w:pStyle w:val="34"/>
        <w:jc w:val="center"/>
        <w:rPr>
          <w:sz w:val="32"/>
          <w:szCs w:val="32"/>
          <w:highlight w:val="none"/>
        </w:rPr>
      </w:pPr>
      <w:bookmarkStart w:id="118" w:name="_Toc26457"/>
      <w:bookmarkStart w:id="119" w:name="_Toc4203"/>
      <w:bookmarkStart w:id="120" w:name="_Toc394573945"/>
      <w:r>
        <w:rPr>
          <w:sz w:val="32"/>
          <w:szCs w:val="32"/>
          <w:highlight w:val="none"/>
        </w:rPr>
        <w:t>第一部分　　合同协议书</w:t>
      </w:r>
      <w:bookmarkEnd w:id="118"/>
      <w:bookmarkEnd w:id="119"/>
      <w:bookmarkEnd w:id="120"/>
    </w:p>
    <w:p>
      <w:pPr>
        <w:spacing w:line="360" w:lineRule="auto"/>
        <w:rPr>
          <w:rFonts w:eastAsia="仿宋_GB2312"/>
          <w:highlight w:val="none"/>
          <w:u w:val="single"/>
        </w:rPr>
      </w:pPr>
    </w:p>
    <w:p>
      <w:pPr>
        <w:spacing w:line="400" w:lineRule="exact"/>
        <w:ind w:firstLine="48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三门海润金鳞湖经济开发有限公司</w:t>
      </w:r>
      <w:r>
        <w:rPr>
          <w:rFonts w:hint="eastAsia" w:ascii="宋体" w:hAnsi="宋体" w:cs="宋体"/>
          <w:b/>
          <w:highlight w:val="none"/>
          <w:u w:val="single"/>
        </w:rPr>
        <w:t xml:space="preserve">  </w:t>
      </w:r>
    </w:p>
    <w:p>
      <w:pPr>
        <w:spacing w:line="400" w:lineRule="exact"/>
        <w:ind w:firstLine="48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pPr>
        <w:spacing w:line="400" w:lineRule="exact"/>
        <w:ind w:firstLine="480" w:firstLineChars="200"/>
        <w:rPr>
          <w:rFonts w:ascii="宋体" w:hAnsi="宋体" w:cs="宋体"/>
          <w:highlight w:val="none"/>
        </w:rPr>
      </w:pPr>
      <w:bookmarkStart w:id="121" w:name="_Toc351203481"/>
      <w:r>
        <w:rPr>
          <w:rFonts w:hint="eastAsia" w:ascii="宋体" w:hAnsi="宋体" w:cs="宋体"/>
          <w:highlight w:val="none"/>
        </w:rPr>
        <w:t>根据《</w:t>
      </w:r>
      <w:r>
        <w:rPr>
          <w:rFonts w:hint="eastAsia" w:ascii="宋体" w:hAnsi="宋体" w:cs="宋体"/>
          <w:spacing w:val="-17"/>
          <w:highlight w:val="none"/>
        </w:rPr>
        <w:t>中华人民共和国民法典</w:t>
      </w:r>
      <w:r>
        <w:rPr>
          <w:rFonts w:hint="eastAsia" w:ascii="宋体" w:hAnsi="宋体" w:cs="宋体"/>
          <w:highlight w:val="none"/>
        </w:rPr>
        <w:t>》、《中华人民共和国建筑法》及有关法律规定，遵循平等、自愿、公平和诚实信用的原则，双方就</w:t>
      </w:r>
      <w:r>
        <w:rPr>
          <w:rFonts w:hint="eastAsia" w:ascii="宋体" w:hAnsi="宋体" w:cs="宋体"/>
          <w:bCs/>
          <w:highlight w:val="none"/>
          <w:u w:val="single"/>
          <w:lang w:eastAsia="zh-CN"/>
        </w:rPr>
        <w:t>环大周塘区块配套基础设施提升工程一北岸大道至鲍家道路沿线改造提升工程</w:t>
      </w:r>
      <w:r>
        <w:rPr>
          <w:rFonts w:hint="eastAsia" w:ascii="宋体" w:hAnsi="宋体" w:cs="宋体"/>
          <w:highlight w:val="none"/>
        </w:rPr>
        <w:t>施工及有关事项协商一致，共同达成如下协议：</w:t>
      </w:r>
    </w:p>
    <w:p>
      <w:pPr>
        <w:spacing w:line="400" w:lineRule="exact"/>
        <w:ind w:firstLine="482" w:firstLineChars="200"/>
        <w:rPr>
          <w:rFonts w:ascii="宋体" w:hAnsi="宋体" w:cs="宋体"/>
          <w:highlight w:val="none"/>
        </w:rPr>
      </w:pPr>
      <w:r>
        <w:rPr>
          <w:rFonts w:hint="eastAsia" w:ascii="宋体" w:hAnsi="宋体" w:cs="宋体"/>
          <w:b/>
          <w:highlight w:val="none"/>
        </w:rPr>
        <w:t>一、工程概况</w:t>
      </w:r>
      <w:bookmarkEnd w:id="121"/>
    </w:p>
    <w:p>
      <w:pPr>
        <w:spacing w:line="400" w:lineRule="exact"/>
        <w:ind w:firstLine="480" w:firstLineChars="200"/>
        <w:rPr>
          <w:rFonts w:ascii="宋体" w:hAnsi="宋体" w:cs="宋体"/>
          <w:bCs/>
          <w:highlight w:val="none"/>
          <w:u w:val="single"/>
        </w:rPr>
      </w:pPr>
      <w:bookmarkStart w:id="122"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环大周塘区块配套基础设施提升工程一北岸大道至鲍家道路沿线改造提升工程</w:t>
      </w:r>
      <w:r>
        <w:rPr>
          <w:rFonts w:hint="eastAsia" w:ascii="宋体" w:hAnsi="宋体" w:cs="宋体"/>
          <w:bCs/>
          <w:highlight w:val="none"/>
          <w:u w:val="single"/>
        </w:rPr>
        <w:t xml:space="preserve">  </w:t>
      </w:r>
      <w:r>
        <w:rPr>
          <w:rFonts w:hint="eastAsia" w:ascii="宋体" w:hAnsi="宋体" w:cs="宋体"/>
          <w:bCs/>
          <w:highlight w:val="none"/>
        </w:rPr>
        <w:t>。</w:t>
      </w:r>
    </w:p>
    <w:p>
      <w:pPr>
        <w:spacing w:line="400" w:lineRule="exact"/>
        <w:ind w:firstLine="480" w:firstLineChars="200"/>
        <w:rPr>
          <w:rFonts w:ascii="宋体" w:hAnsi="宋体" w:cs="宋体"/>
          <w:bCs/>
          <w:highlight w:val="none"/>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eastAsia="zh-CN"/>
        </w:rPr>
        <w:t>三门县</w:t>
      </w:r>
      <w:r>
        <w:rPr>
          <w:rFonts w:hint="eastAsia" w:ascii="宋体" w:hAnsi="宋体" w:cs="宋体"/>
          <w:bCs/>
          <w:highlight w:val="none"/>
          <w:u w:val="single"/>
        </w:rPr>
        <w:t xml:space="preserve">  </w:t>
      </w:r>
      <w:r>
        <w:rPr>
          <w:rFonts w:hint="eastAsia" w:ascii="宋体" w:hAnsi="宋体" w:cs="宋体"/>
          <w:bCs/>
          <w:highlight w:val="none"/>
        </w:rPr>
        <w:t>。</w:t>
      </w:r>
    </w:p>
    <w:p>
      <w:pPr>
        <w:widowControl/>
        <w:spacing w:line="400" w:lineRule="exact"/>
        <w:ind w:firstLine="480" w:firstLineChars="200"/>
        <w:rPr>
          <w:rFonts w:ascii="宋体" w:hAnsi="宋体" w:cs="宋体"/>
          <w:bCs/>
          <w:highlight w:val="none"/>
        </w:rPr>
      </w:pPr>
      <w:r>
        <w:rPr>
          <w:rFonts w:hint="eastAsia" w:ascii="宋体" w:hAnsi="宋体" w:cs="宋体"/>
          <w:bCs/>
          <w:highlight w:val="none"/>
        </w:rPr>
        <w:t>3．工程立项批准文号：</w:t>
      </w:r>
      <w:r>
        <w:rPr>
          <w:rFonts w:hint="eastAsia" w:ascii="宋体" w:hAnsi="宋体" w:cs="宋体"/>
          <w:bCs/>
          <w:highlight w:val="none"/>
          <w:u w:val="single"/>
          <w:lang w:eastAsia="zh-CN"/>
        </w:rPr>
        <w:t>2406-31022-04-01-539840</w:t>
      </w:r>
      <w:r>
        <w:rPr>
          <w:rFonts w:hint="eastAsia" w:ascii="宋体" w:hAnsi="宋体" w:cs="宋体"/>
          <w:highlight w:val="none"/>
          <w:u w:val="single"/>
        </w:rPr>
        <w:t xml:space="preserve"> </w:t>
      </w:r>
      <w:r>
        <w:rPr>
          <w:rFonts w:hint="eastAsia" w:ascii="宋体" w:hAnsi="宋体" w:cs="宋体"/>
          <w:bCs/>
          <w:highlight w:val="none"/>
          <w:u w:val="single"/>
        </w:rPr>
        <w:t xml:space="preserve"> </w:t>
      </w:r>
      <w:r>
        <w:rPr>
          <w:rFonts w:hint="eastAsia" w:ascii="宋体" w:hAnsi="宋体" w:cs="宋体"/>
          <w:bCs/>
          <w:highlight w:val="none"/>
        </w:rPr>
        <w:t>。</w:t>
      </w:r>
    </w:p>
    <w:p>
      <w:pPr>
        <w:spacing w:line="400" w:lineRule="exact"/>
        <w:ind w:firstLine="480" w:firstLineChars="200"/>
        <w:rPr>
          <w:rFonts w:ascii="宋体" w:hAnsi="宋体" w:cs="宋体"/>
          <w:bCs/>
          <w:highlight w:val="none"/>
        </w:rPr>
      </w:pPr>
      <w:r>
        <w:rPr>
          <w:rFonts w:hint="eastAsia" w:ascii="宋体" w:hAnsi="宋体" w:cs="宋体"/>
          <w:bCs/>
          <w:highlight w:val="none"/>
        </w:rPr>
        <w:t>4．资金来源：</w:t>
      </w:r>
      <w:r>
        <w:rPr>
          <w:rFonts w:hint="eastAsia" w:ascii="宋体" w:hAnsi="宋体" w:cs="宋体"/>
          <w:bCs/>
          <w:highlight w:val="none"/>
          <w:u w:val="single"/>
        </w:rPr>
        <w:t></w:t>
      </w:r>
      <w:r>
        <w:rPr>
          <w:rFonts w:hint="eastAsia" w:ascii="宋体" w:hAnsi="宋体" w:cs="宋体"/>
          <w:bCs/>
          <w:highlight w:val="none"/>
          <w:u w:val="single"/>
          <w:lang w:eastAsia="zh-CN"/>
        </w:rPr>
        <w:t>上级拨款</w:t>
      </w:r>
      <w:r>
        <w:rPr>
          <w:rFonts w:hint="eastAsia" w:ascii="宋体" w:hAnsi="宋体" w:cs="宋体"/>
          <w:bCs/>
          <w:highlight w:val="none"/>
          <w:u w:val="single"/>
        </w:rPr>
        <w:t xml:space="preserve">  </w:t>
      </w:r>
      <w:r>
        <w:rPr>
          <w:rFonts w:hint="eastAsia" w:ascii="宋体" w:hAnsi="宋体" w:cs="宋体"/>
          <w:bCs/>
          <w:highlight w:val="none"/>
        </w:rPr>
        <w:t>。</w:t>
      </w:r>
    </w:p>
    <w:p>
      <w:pPr>
        <w:pStyle w:val="12"/>
        <w:spacing w:line="400" w:lineRule="exact"/>
        <w:ind w:firstLine="480" w:firstLineChars="200"/>
        <w:rPr>
          <w:rFonts w:hAnsi="宋体" w:cs="宋体"/>
          <w:sz w:val="24"/>
          <w:szCs w:val="24"/>
          <w:highlight w:val="none"/>
          <w:u w:val="single"/>
        </w:rPr>
      </w:pPr>
      <w:r>
        <w:rPr>
          <w:rFonts w:hint="eastAsia" w:hAnsi="宋体" w:cs="宋体"/>
          <w:bCs/>
          <w:sz w:val="24"/>
          <w:szCs w:val="24"/>
          <w:highlight w:val="none"/>
        </w:rPr>
        <w:t>5．工程内容：</w:t>
      </w:r>
      <w:r>
        <w:rPr>
          <w:rFonts w:hint="eastAsia" w:hAnsi="宋体" w:cs="宋体"/>
          <w:sz w:val="24"/>
          <w:szCs w:val="24"/>
          <w:highlight w:val="none"/>
          <w:u w:val="single"/>
        </w:rPr>
        <w:t>招标人提供的施工图纸范围内及预算审核书中所包含的所有内容。</w:t>
      </w:r>
    </w:p>
    <w:p>
      <w:pPr>
        <w:spacing w:line="400" w:lineRule="exact"/>
        <w:ind w:firstLine="480" w:firstLineChars="200"/>
        <w:rPr>
          <w:rFonts w:ascii="宋体" w:hAnsi="宋体" w:cs="宋体"/>
          <w:bCs/>
          <w:highlight w:val="none"/>
        </w:rPr>
      </w:pPr>
      <w:r>
        <w:rPr>
          <w:rFonts w:hint="eastAsia" w:ascii="宋体" w:hAnsi="宋体" w:cs="宋体"/>
          <w:bCs/>
          <w:highlight w:val="none"/>
        </w:rPr>
        <w:t>群体工程应附《承包人承揽工程项目一览表》（附件1）。</w:t>
      </w:r>
    </w:p>
    <w:p>
      <w:pPr>
        <w:spacing w:line="400" w:lineRule="exact"/>
        <w:ind w:firstLine="480" w:firstLineChars="200"/>
        <w:rPr>
          <w:rFonts w:ascii="宋体" w:hAnsi="宋体" w:cs="宋体"/>
          <w:bCs/>
          <w:highlight w:val="none"/>
        </w:rPr>
      </w:pPr>
      <w:r>
        <w:rPr>
          <w:rFonts w:hint="eastAsia" w:ascii="宋体" w:hAnsi="宋体" w:cs="宋体"/>
          <w:bCs/>
          <w:highlight w:val="none"/>
        </w:rPr>
        <w:t>6．工程承包范围：</w:t>
      </w:r>
    </w:p>
    <w:p>
      <w:pPr>
        <w:spacing w:line="400" w:lineRule="exact"/>
        <w:ind w:firstLine="480" w:firstLineChars="200"/>
        <w:rPr>
          <w:rFonts w:ascii="宋体" w:hAnsi="宋体" w:cs="宋体"/>
          <w:bCs/>
          <w:highlight w:val="none"/>
        </w:rPr>
      </w:pPr>
      <w:r>
        <w:rPr>
          <w:rFonts w:hint="eastAsia" w:ascii="宋体" w:hAnsi="宋体" w:cs="宋体"/>
          <w:bCs/>
          <w:highlight w:val="none"/>
        </w:rPr>
        <w:t>（1）发包人提供的施工图纸范围内所包含的所有内容，为施工总承包；</w:t>
      </w:r>
    </w:p>
    <w:p>
      <w:pPr>
        <w:pStyle w:val="8"/>
        <w:spacing w:line="400" w:lineRule="exact"/>
        <w:ind w:firstLine="360" w:firstLineChars="150"/>
        <w:rPr>
          <w:rFonts w:ascii="宋体" w:hAnsi="宋体" w:cs="宋体"/>
          <w:highlight w:val="none"/>
          <w:u w:val="single"/>
        </w:rPr>
      </w:pPr>
      <w:r>
        <w:rPr>
          <w:rFonts w:hint="eastAsia" w:ascii="宋体" w:hAnsi="宋体" w:cs="宋体"/>
          <w:highlight w:val="none"/>
        </w:rPr>
        <w:t>（2）不包括发包人另行发包的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pPr>
        <w:spacing w:line="400" w:lineRule="exact"/>
        <w:ind w:firstLine="482" w:firstLineChars="200"/>
        <w:rPr>
          <w:rFonts w:ascii="宋体" w:hAnsi="宋体" w:cs="宋体"/>
          <w:b/>
          <w:highlight w:val="none"/>
        </w:rPr>
      </w:pPr>
      <w:r>
        <w:rPr>
          <w:rFonts w:hint="eastAsia" w:ascii="宋体" w:hAnsi="宋体" w:cs="宋体"/>
          <w:b/>
          <w:highlight w:val="none"/>
        </w:rPr>
        <w:t>二、合同工期</w:t>
      </w:r>
      <w:bookmarkEnd w:id="122"/>
    </w:p>
    <w:p>
      <w:pPr>
        <w:spacing w:line="400" w:lineRule="exact"/>
        <w:ind w:firstLine="48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pPr>
        <w:spacing w:line="400" w:lineRule="exact"/>
        <w:ind w:firstLine="48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pPr>
        <w:spacing w:line="400" w:lineRule="exact"/>
        <w:ind w:firstLine="48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3" w:name="_Toc351203483"/>
      <w:r>
        <w:rPr>
          <w:rFonts w:hint="eastAsia" w:ascii="宋体" w:hAnsi="宋体" w:cs="宋体"/>
          <w:b/>
          <w:highlight w:val="none"/>
        </w:rPr>
        <w:t>三、质量标准</w:t>
      </w:r>
      <w:bookmarkEnd w:id="123"/>
    </w:p>
    <w:p>
      <w:pPr>
        <w:spacing w:line="400" w:lineRule="exact"/>
        <w:ind w:firstLine="48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4" w:name="_Toc351203484"/>
      <w:r>
        <w:rPr>
          <w:rFonts w:hint="eastAsia" w:ascii="宋体" w:hAnsi="宋体" w:cs="宋体"/>
          <w:b/>
          <w:highlight w:val="none"/>
        </w:rPr>
        <w:t>四、签约合同价与合同价格形式</w:t>
      </w:r>
      <w:bookmarkEnd w:id="124"/>
      <w:r>
        <w:rPr>
          <w:rFonts w:hint="eastAsia" w:ascii="宋体" w:hAnsi="宋体" w:cs="宋体"/>
          <w:b/>
          <w:highlight w:val="none"/>
        </w:rPr>
        <w:tab/>
      </w:r>
    </w:p>
    <w:p>
      <w:pPr>
        <w:spacing w:line="400" w:lineRule="exact"/>
        <w:ind w:firstLine="480" w:firstLineChars="200"/>
        <w:rPr>
          <w:rFonts w:ascii="宋体" w:hAnsi="宋体" w:cs="宋体"/>
          <w:highlight w:val="none"/>
        </w:rPr>
      </w:pPr>
      <w:r>
        <w:rPr>
          <w:rFonts w:hint="eastAsia" w:ascii="宋体" w:hAnsi="宋体" w:cs="宋体"/>
          <w:highlight w:val="none"/>
        </w:rPr>
        <w:t>1．签约合同价为：</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其中：</w:t>
      </w:r>
    </w:p>
    <w:p>
      <w:pPr>
        <w:spacing w:line="400" w:lineRule="exact"/>
        <w:ind w:firstLine="480" w:firstLineChars="200"/>
        <w:rPr>
          <w:rFonts w:ascii="宋体" w:hAnsi="宋体" w:cs="宋体"/>
          <w:highlight w:val="none"/>
        </w:rPr>
      </w:pPr>
      <w:r>
        <w:rPr>
          <w:rFonts w:hint="eastAsia" w:ascii="宋体" w:hAnsi="宋体" w:cs="宋体"/>
          <w:highlight w:val="none"/>
        </w:rPr>
        <w:t>（1）安全文明施工费：</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（2）材料和工程设备暂估价金额：</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（3）专业工程暂估价金额：</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（4）暂列金额：</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rPr>
        <w:t>。</w:t>
      </w:r>
    </w:p>
    <w:p>
      <w:pPr>
        <w:spacing w:line="400" w:lineRule="exact"/>
        <w:ind w:firstLine="480" w:firstLineChars="200"/>
        <w:rPr>
          <w:rFonts w:ascii="宋体" w:hAnsi="宋体" w:cs="宋体"/>
          <w:highlight w:val="none"/>
        </w:rPr>
      </w:pPr>
      <w:bookmarkStart w:id="125" w:name="_Toc351203485"/>
      <w:r>
        <w:rPr>
          <w:rFonts w:hint="eastAsia" w:ascii="宋体" w:hAnsi="宋体" w:cs="宋体"/>
          <w:highlight w:val="none"/>
        </w:rPr>
        <w:t>3．发包人向承包人支付工程价款及其他应当支付的款项均须汇入承包人合同协议书中的银行账户。</w:t>
      </w:r>
    </w:p>
    <w:p>
      <w:pPr>
        <w:spacing w:line="400" w:lineRule="exact"/>
        <w:ind w:firstLine="48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（1） </w:t>
      </w:r>
      <w:r>
        <w:rPr>
          <w:rFonts w:hint="eastAsia" w:ascii="宋体" w:hAnsi="宋体" w:cs="宋体"/>
          <w:highlight w:val="none"/>
        </w:rPr>
        <w:t>种方法，并与工程计价时采用的计税方法一致。</w:t>
      </w:r>
    </w:p>
    <w:p>
      <w:pPr>
        <w:spacing w:line="400" w:lineRule="exact"/>
        <w:ind w:firstLine="403" w:firstLineChars="168"/>
        <w:rPr>
          <w:rFonts w:ascii="宋体" w:hAnsi="宋体" w:cs="宋体"/>
          <w:highlight w:val="none"/>
        </w:rPr>
      </w:pPr>
      <w:r>
        <w:rPr>
          <w:rFonts w:hint="eastAsia" w:ascii="宋体" w:hAnsi="宋体" w:cs="宋体"/>
          <w:highlight w:val="none"/>
          <w:shd w:val="clear" w:color="auto" w:fill="FFFFFF"/>
        </w:rPr>
        <w:t>（1）一般计税方法。</w:t>
      </w:r>
    </w:p>
    <w:p>
      <w:pPr>
        <w:spacing w:line="400" w:lineRule="exact"/>
        <w:ind w:firstLine="403"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pPr>
        <w:spacing w:line="400" w:lineRule="exact"/>
        <w:ind w:firstLine="482" w:firstLineChars="200"/>
        <w:rPr>
          <w:rFonts w:ascii="宋体" w:hAnsi="宋体" w:cs="宋体"/>
          <w:b/>
          <w:highlight w:val="none"/>
        </w:rPr>
      </w:pPr>
      <w:r>
        <w:rPr>
          <w:rFonts w:hint="eastAsia" w:ascii="宋体" w:hAnsi="宋体" w:cs="宋体"/>
          <w:b/>
          <w:highlight w:val="none"/>
        </w:rPr>
        <w:t>五、</w:t>
      </w:r>
      <w:bookmarkEnd w:id="125"/>
      <w:r>
        <w:rPr>
          <w:rFonts w:hint="eastAsia" w:ascii="宋体" w:hAnsi="宋体" w:cs="宋体"/>
          <w:b/>
          <w:highlight w:val="none"/>
        </w:rPr>
        <w:t>项目经理</w:t>
      </w:r>
    </w:p>
    <w:p>
      <w:pPr>
        <w:spacing w:line="400" w:lineRule="exact"/>
        <w:ind w:firstLine="48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6" w:name="_Toc351203486"/>
      <w:r>
        <w:rPr>
          <w:rFonts w:hint="eastAsia" w:ascii="宋体" w:hAnsi="宋体" w:cs="宋体"/>
          <w:b/>
          <w:highlight w:val="none"/>
        </w:rPr>
        <w:t>六、合同文件构成</w:t>
      </w:r>
      <w:bookmarkEnd w:id="126"/>
    </w:p>
    <w:p>
      <w:pPr>
        <w:spacing w:line="400" w:lineRule="exact"/>
        <w:ind w:firstLine="480" w:firstLineChars="200"/>
        <w:rPr>
          <w:rFonts w:ascii="宋体" w:hAnsi="宋体" w:cs="宋体"/>
          <w:bCs/>
          <w:highlight w:val="none"/>
        </w:rPr>
      </w:pPr>
      <w:r>
        <w:rPr>
          <w:rFonts w:hint="eastAsia" w:ascii="宋体" w:hAnsi="宋体" w:cs="宋体"/>
          <w:bCs/>
          <w:highlight w:val="none"/>
        </w:rPr>
        <w:t>本协议书与下列文件一起构成合同文件：</w:t>
      </w:r>
    </w:p>
    <w:p>
      <w:pPr>
        <w:spacing w:line="400" w:lineRule="exact"/>
        <w:ind w:firstLine="480" w:firstLineChars="200"/>
        <w:rPr>
          <w:rFonts w:ascii="宋体" w:hAnsi="宋体" w:cs="宋体"/>
          <w:bCs/>
          <w:highlight w:val="none"/>
        </w:rPr>
      </w:pPr>
      <w:r>
        <w:rPr>
          <w:rFonts w:hint="eastAsia" w:ascii="宋体" w:hAnsi="宋体" w:cs="宋体"/>
          <w:bCs/>
          <w:highlight w:val="none"/>
        </w:rPr>
        <w:t>（1）中标通知书（如果有）；</w:t>
      </w:r>
    </w:p>
    <w:p>
      <w:pPr>
        <w:spacing w:line="400" w:lineRule="exact"/>
        <w:ind w:firstLine="480" w:firstLineChars="200"/>
        <w:rPr>
          <w:rFonts w:ascii="宋体" w:hAnsi="宋体" w:cs="宋体"/>
          <w:bCs/>
          <w:highlight w:val="none"/>
        </w:rPr>
      </w:pPr>
      <w:r>
        <w:rPr>
          <w:rFonts w:hint="eastAsia" w:ascii="宋体" w:hAnsi="宋体" w:cs="宋体"/>
          <w:bCs/>
          <w:highlight w:val="none"/>
        </w:rPr>
        <w:t>（2）投标函及其附录（如果有）；</w:t>
      </w:r>
    </w:p>
    <w:p>
      <w:pPr>
        <w:spacing w:line="400" w:lineRule="exact"/>
        <w:ind w:firstLine="480" w:firstLineChars="200"/>
        <w:rPr>
          <w:rFonts w:ascii="宋体" w:hAnsi="宋体" w:cs="宋体"/>
          <w:bCs/>
          <w:highlight w:val="none"/>
        </w:rPr>
      </w:pPr>
      <w:r>
        <w:rPr>
          <w:rFonts w:hint="eastAsia" w:ascii="宋体" w:hAnsi="宋体" w:cs="宋体"/>
          <w:bCs/>
          <w:highlight w:val="none"/>
        </w:rPr>
        <w:t>（3）专用合同条款及其附件；</w:t>
      </w:r>
    </w:p>
    <w:p>
      <w:pPr>
        <w:spacing w:line="400" w:lineRule="exact"/>
        <w:ind w:firstLine="480" w:firstLineChars="200"/>
        <w:rPr>
          <w:rFonts w:ascii="宋体" w:hAnsi="宋体" w:cs="宋体"/>
          <w:bCs/>
          <w:highlight w:val="none"/>
        </w:rPr>
      </w:pPr>
      <w:r>
        <w:rPr>
          <w:rFonts w:hint="eastAsia" w:ascii="宋体" w:hAnsi="宋体" w:cs="宋体"/>
          <w:bCs/>
          <w:highlight w:val="none"/>
        </w:rPr>
        <w:t>（4）通用合同条款；</w:t>
      </w:r>
    </w:p>
    <w:p>
      <w:pPr>
        <w:spacing w:line="400" w:lineRule="exact"/>
        <w:ind w:firstLine="480" w:firstLineChars="200"/>
        <w:rPr>
          <w:rFonts w:ascii="宋体" w:hAnsi="宋体" w:cs="宋体"/>
          <w:bCs/>
          <w:highlight w:val="none"/>
        </w:rPr>
      </w:pPr>
      <w:r>
        <w:rPr>
          <w:rFonts w:hint="eastAsia" w:ascii="宋体" w:hAnsi="宋体" w:cs="宋体"/>
          <w:bCs/>
          <w:highlight w:val="none"/>
        </w:rPr>
        <w:t>（5）技术标准和要求；</w:t>
      </w:r>
    </w:p>
    <w:p>
      <w:pPr>
        <w:spacing w:line="400" w:lineRule="exact"/>
        <w:ind w:firstLine="480" w:firstLineChars="200"/>
        <w:rPr>
          <w:rFonts w:ascii="宋体" w:hAnsi="宋体" w:cs="宋体"/>
          <w:bCs/>
          <w:highlight w:val="none"/>
        </w:rPr>
      </w:pPr>
      <w:r>
        <w:rPr>
          <w:rFonts w:hint="eastAsia" w:ascii="宋体" w:hAnsi="宋体" w:cs="宋体"/>
          <w:bCs/>
          <w:highlight w:val="none"/>
        </w:rPr>
        <w:t>（6）图纸；</w:t>
      </w:r>
    </w:p>
    <w:p>
      <w:pPr>
        <w:spacing w:line="400" w:lineRule="exact"/>
        <w:ind w:firstLine="480" w:firstLineChars="200"/>
        <w:rPr>
          <w:rFonts w:ascii="宋体" w:hAnsi="宋体" w:cs="宋体"/>
          <w:bCs/>
          <w:highlight w:val="none"/>
        </w:rPr>
      </w:pPr>
      <w:r>
        <w:rPr>
          <w:rFonts w:hint="eastAsia" w:ascii="宋体" w:hAnsi="宋体" w:cs="宋体"/>
          <w:bCs/>
          <w:highlight w:val="none"/>
        </w:rPr>
        <w:t>（7）已标价工程量清单或预算审核书；</w:t>
      </w:r>
    </w:p>
    <w:p>
      <w:pPr>
        <w:spacing w:line="400" w:lineRule="exact"/>
        <w:ind w:firstLine="480" w:firstLineChars="200"/>
        <w:rPr>
          <w:rFonts w:ascii="宋体" w:hAnsi="宋体" w:cs="宋体"/>
          <w:bCs/>
          <w:highlight w:val="none"/>
        </w:rPr>
      </w:pPr>
      <w:r>
        <w:rPr>
          <w:rFonts w:hint="eastAsia" w:ascii="宋体" w:hAnsi="宋体" w:cs="宋体"/>
          <w:bCs/>
          <w:highlight w:val="none"/>
        </w:rPr>
        <w:t>（8）其他合同文件。</w:t>
      </w:r>
    </w:p>
    <w:p>
      <w:pPr>
        <w:spacing w:line="400" w:lineRule="exact"/>
        <w:ind w:firstLine="480" w:firstLineChars="200"/>
        <w:rPr>
          <w:rFonts w:ascii="宋体" w:hAnsi="宋体" w:cs="宋体"/>
          <w:bCs/>
          <w:highlight w:val="none"/>
        </w:rPr>
      </w:pPr>
      <w:bookmarkStart w:id="127" w:name="_Toc351203487"/>
      <w:r>
        <w:rPr>
          <w:rFonts w:hint="eastAsia" w:ascii="宋体" w:hAnsi="宋体" w:cs="宋体"/>
          <w:bCs/>
          <w:highlight w:val="none"/>
        </w:rPr>
        <w:t>在合同订立及履行过程中形成的与合同有关的文件均构成合同文件组成部分。</w:t>
      </w:r>
    </w:p>
    <w:p>
      <w:pPr>
        <w:spacing w:line="400" w:lineRule="exact"/>
        <w:ind w:firstLine="48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482" w:firstLineChars="200"/>
        <w:rPr>
          <w:rFonts w:ascii="宋体" w:hAnsi="宋体" w:cs="宋体"/>
          <w:b/>
          <w:bCs/>
          <w:highlight w:val="none"/>
        </w:rPr>
      </w:pPr>
      <w:r>
        <w:rPr>
          <w:rFonts w:hint="eastAsia" w:ascii="宋体" w:hAnsi="宋体" w:cs="宋体"/>
          <w:b/>
          <w:highlight w:val="none"/>
        </w:rPr>
        <w:t>七、</w:t>
      </w:r>
      <w:bookmarkEnd w:id="127"/>
      <w:r>
        <w:rPr>
          <w:rFonts w:hint="eastAsia" w:ascii="宋体" w:hAnsi="宋体" w:cs="宋体"/>
          <w:b/>
          <w:highlight w:val="none"/>
        </w:rPr>
        <w:t>创优目标</w:t>
      </w:r>
    </w:p>
    <w:p>
      <w:pPr>
        <w:spacing w:line="400" w:lineRule="exact"/>
        <w:ind w:firstLine="480" w:firstLineChars="200"/>
        <w:rPr>
          <w:rFonts w:ascii="宋体" w:hAnsi="宋体" w:cs="宋体"/>
          <w:bCs/>
          <w:highlight w:val="none"/>
        </w:rPr>
      </w:pPr>
      <w:bookmarkStart w:id="128" w:name="_Toc351203488"/>
      <w:r>
        <w:rPr>
          <w:rFonts w:hint="eastAsia" w:ascii="宋体" w:hAnsi="宋体" w:cs="宋体"/>
          <w:bCs/>
          <w:highlight w:val="none"/>
        </w:rPr>
        <w:t>工程质量创〔/〕优质工程。</w:t>
      </w:r>
    </w:p>
    <w:p>
      <w:pPr>
        <w:spacing w:line="400" w:lineRule="exact"/>
        <w:ind w:firstLine="48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pPr>
        <w:spacing w:line="400" w:lineRule="exact"/>
        <w:ind w:firstLine="482" w:firstLineChars="200"/>
        <w:rPr>
          <w:rFonts w:ascii="宋体" w:hAnsi="宋体" w:cs="宋体"/>
          <w:b/>
          <w:highlight w:val="none"/>
        </w:rPr>
      </w:pPr>
      <w:r>
        <w:rPr>
          <w:rFonts w:hint="eastAsia" w:ascii="宋体" w:hAnsi="宋体" w:cs="宋体"/>
          <w:b/>
          <w:highlight w:val="none"/>
        </w:rPr>
        <w:t>八、承诺</w:t>
      </w:r>
    </w:p>
    <w:p>
      <w:pPr>
        <w:spacing w:line="400" w:lineRule="exact"/>
        <w:ind w:firstLine="48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pPr>
        <w:spacing w:line="400" w:lineRule="exact"/>
        <w:ind w:firstLine="48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pPr>
        <w:spacing w:line="400" w:lineRule="exact"/>
        <w:ind w:firstLine="48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pPr>
        <w:spacing w:line="400" w:lineRule="exact"/>
        <w:ind w:firstLine="48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pPr>
        <w:spacing w:line="400" w:lineRule="exact"/>
        <w:ind w:firstLine="482" w:firstLineChars="200"/>
        <w:rPr>
          <w:rFonts w:ascii="宋体" w:hAnsi="宋体" w:cs="宋体"/>
          <w:bCs/>
          <w:highlight w:val="none"/>
        </w:rPr>
      </w:pPr>
      <w:r>
        <w:rPr>
          <w:rFonts w:hint="eastAsia" w:ascii="宋体" w:hAnsi="宋体" w:cs="宋体"/>
          <w:b/>
          <w:highlight w:val="none"/>
        </w:rPr>
        <w:t xml:space="preserve"> 九、词语含义</w:t>
      </w:r>
      <w:bookmarkEnd w:id="128"/>
    </w:p>
    <w:p>
      <w:pPr>
        <w:spacing w:line="400" w:lineRule="exact"/>
        <w:ind w:firstLine="48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9" w:name="_Toc351203489"/>
      <w:r>
        <w:rPr>
          <w:rFonts w:hint="eastAsia" w:ascii="宋体" w:hAnsi="宋体" w:cs="宋体"/>
          <w:bCs/>
          <w:highlight w:val="none"/>
        </w:rPr>
        <w:t>十</w:t>
      </w:r>
      <w:r>
        <w:rPr>
          <w:rFonts w:hint="eastAsia" w:ascii="宋体" w:hAnsi="宋体" w:cs="宋体"/>
          <w:b/>
          <w:highlight w:val="none"/>
        </w:rPr>
        <w:t>、签订时间</w:t>
      </w:r>
      <w:bookmarkEnd w:id="129"/>
    </w:p>
    <w:p>
      <w:pPr>
        <w:spacing w:line="400" w:lineRule="exact"/>
        <w:ind w:firstLine="48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0" w:name="_Toc351203490"/>
      <w:r>
        <w:rPr>
          <w:rFonts w:hint="eastAsia" w:ascii="宋体" w:hAnsi="宋体" w:cs="宋体"/>
          <w:b/>
          <w:highlight w:val="none"/>
        </w:rPr>
        <w:t>十一、签订地点</w:t>
      </w:r>
      <w:bookmarkEnd w:id="130"/>
    </w:p>
    <w:p>
      <w:pPr>
        <w:spacing w:line="400" w:lineRule="exact"/>
        <w:ind w:firstLine="48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三门海润金鳞湖经济开发有限公司</w:t>
      </w:r>
      <w:r>
        <w:rPr>
          <w:rFonts w:hint="eastAsia" w:ascii="宋体" w:hAnsi="宋体" w:cs="宋体"/>
          <w:bCs/>
          <w:highlight w:val="none"/>
          <w:u w:val="single"/>
        </w:rPr>
        <w:t xml:space="preserve"> </w:t>
      </w:r>
      <w:r>
        <w:rPr>
          <w:rFonts w:hint="eastAsia" w:ascii="宋体" w:hAnsi="宋体" w:cs="宋体"/>
          <w:bCs/>
          <w:highlight w:val="none"/>
        </w:rPr>
        <w:t>签订。</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1" w:name="_Toc351203491"/>
      <w:r>
        <w:rPr>
          <w:rFonts w:hint="eastAsia" w:ascii="宋体" w:hAnsi="宋体" w:cs="宋体"/>
          <w:b/>
          <w:highlight w:val="none"/>
        </w:rPr>
        <w:t>十二、补充协议</w:t>
      </w:r>
      <w:bookmarkEnd w:id="131"/>
    </w:p>
    <w:p>
      <w:pPr>
        <w:spacing w:line="400" w:lineRule="exact"/>
        <w:ind w:firstLine="48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2" w:name="_Toc351203492"/>
      <w:r>
        <w:rPr>
          <w:rFonts w:hint="eastAsia" w:ascii="宋体" w:hAnsi="宋体" w:cs="宋体"/>
          <w:b/>
          <w:highlight w:val="none"/>
        </w:rPr>
        <w:t>十三、合同生效</w:t>
      </w:r>
      <w:bookmarkEnd w:id="132"/>
    </w:p>
    <w:p>
      <w:pPr>
        <w:spacing w:line="400" w:lineRule="exact"/>
        <w:ind w:firstLine="48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3" w:name="_Toc351203493"/>
      <w:r>
        <w:rPr>
          <w:rFonts w:hint="eastAsia" w:ascii="宋体" w:hAnsi="宋体" w:cs="宋体"/>
          <w:b/>
          <w:highlight w:val="none"/>
        </w:rPr>
        <w:t>十四、合同份数</w:t>
      </w:r>
      <w:bookmarkEnd w:id="133"/>
    </w:p>
    <w:p>
      <w:pPr>
        <w:spacing w:line="400" w:lineRule="exact"/>
        <w:ind w:firstLine="48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highlight w:val="none"/>
        </w:rPr>
      </w:pPr>
      <w:r>
        <w:rPr>
          <w:rFonts w:hint="eastAsia" w:ascii="宋体" w:hAnsi="宋体" w:cs="宋体"/>
          <w:highlight w:val="none"/>
        </w:rPr>
        <w:t>发包人：  (公章)                       承包人：  (公章)</w:t>
      </w:r>
    </w:p>
    <w:p>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法定代表人或其委托代理人：            法定代表人或其委托代理人：</w:t>
      </w:r>
    </w:p>
    <w:p>
      <w:pPr>
        <w:spacing w:line="400" w:lineRule="exact"/>
        <w:ind w:firstLine="480" w:firstLineChars="200"/>
        <w:rPr>
          <w:rFonts w:ascii="宋体" w:hAnsi="宋体" w:cs="宋体"/>
          <w:highlight w:val="none"/>
        </w:rPr>
      </w:pPr>
      <w:r>
        <w:rPr>
          <w:rFonts w:hint="eastAsia" w:ascii="宋体" w:hAnsi="宋体" w:cs="宋体"/>
          <w:highlight w:val="none"/>
        </w:rPr>
        <w:t>（签字）                                  （签字）</w:t>
      </w:r>
    </w:p>
    <w:p>
      <w:pPr>
        <w:spacing w:line="400" w:lineRule="exact"/>
        <w:ind w:firstLine="480" w:firstLineChars="200"/>
        <w:rPr>
          <w:rFonts w:ascii="宋体" w:hAnsi="宋体" w:cs="宋体"/>
          <w:highlight w:val="none"/>
          <w:u w:val="single"/>
        </w:rPr>
      </w:pPr>
    </w:p>
    <w:p>
      <w:pPr>
        <w:tabs>
          <w:tab w:val="left" w:pos="4410"/>
        </w:tabs>
        <w:spacing w:line="400" w:lineRule="exact"/>
        <w:ind w:firstLine="48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pPr>
        <w:spacing w:line="400" w:lineRule="exact"/>
        <w:ind w:firstLine="48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p>
    <w:p>
      <w:pPr>
        <w:spacing w:line="400" w:lineRule="exact"/>
        <w:ind w:firstLine="480" w:firstLineChars="200"/>
        <w:rPr>
          <w:rFonts w:ascii="宋体" w:hAnsi="宋体" w:cs="宋体"/>
          <w:highlight w:val="none"/>
        </w:rPr>
      </w:pPr>
    </w:p>
    <w:p>
      <w:pPr>
        <w:pStyle w:val="34"/>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134" w:name="_Toc9672"/>
      <w:bookmarkStart w:id="135" w:name="_Toc228163246"/>
      <w:bookmarkStart w:id="136" w:name="_Toc394573946"/>
      <w:bookmarkStart w:id="137" w:name="_Toc16349"/>
      <w:r>
        <w:rPr>
          <w:rFonts w:hint="eastAsia" w:ascii="宋体" w:hAnsi="宋体" w:eastAsia="宋体" w:cs="宋体"/>
          <w:sz w:val="24"/>
          <w:szCs w:val="24"/>
          <w:highlight w:val="none"/>
        </w:rPr>
        <w:t>第二部分   通用合同条款</w:t>
      </w:r>
      <w:bookmarkEnd w:id="134"/>
      <w:bookmarkEnd w:id="135"/>
      <w:bookmarkEnd w:id="136"/>
      <w:bookmarkEnd w:id="137"/>
    </w:p>
    <w:p>
      <w:pPr>
        <w:pStyle w:val="35"/>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pPr>
        <w:pStyle w:val="34"/>
        <w:spacing w:before="0"/>
        <w:jc w:val="center"/>
        <w:rPr>
          <w:rFonts w:ascii="宋体" w:hAnsi="宋体" w:eastAsia="宋体" w:cs="宋体"/>
          <w:sz w:val="24"/>
          <w:szCs w:val="24"/>
          <w:highlight w:val="none"/>
        </w:rPr>
      </w:pPr>
      <w:bookmarkStart w:id="138" w:name="_Toc394573947"/>
      <w:bookmarkStart w:id="139" w:name="_Toc267919286"/>
      <w:bookmarkStart w:id="140" w:name="_Toc29736"/>
      <w:bookmarkStart w:id="141" w:name="_Toc26372"/>
      <w:bookmarkStart w:id="142" w:name="_Toc278377207"/>
      <w:r>
        <w:rPr>
          <w:rFonts w:hint="eastAsia" w:ascii="宋体" w:hAnsi="宋体" w:eastAsia="宋体" w:cs="宋体"/>
          <w:sz w:val="24"/>
          <w:szCs w:val="24"/>
          <w:highlight w:val="none"/>
        </w:rPr>
        <w:t>第三部分　　专用合同条款</w:t>
      </w:r>
      <w:bookmarkEnd w:id="138"/>
      <w:bookmarkEnd w:id="139"/>
      <w:bookmarkEnd w:id="140"/>
      <w:bookmarkEnd w:id="141"/>
      <w:bookmarkEnd w:id="142"/>
    </w:p>
    <w:p>
      <w:pPr>
        <w:pStyle w:val="6"/>
        <w:spacing w:before="0" w:after="0" w:line="400" w:lineRule="exact"/>
        <w:ind w:firstLine="482" w:firstLineChars="200"/>
        <w:rPr>
          <w:rFonts w:ascii="宋体" w:hAnsi="宋体" w:eastAsia="宋体" w:cs="宋体"/>
          <w:sz w:val="24"/>
          <w:szCs w:val="24"/>
          <w:highlight w:val="none"/>
        </w:rPr>
      </w:pPr>
      <w:bookmarkStart w:id="143" w:name="_Toc351203633"/>
      <w:bookmarkStart w:id="144" w:name="_Toc228163249"/>
      <w:r>
        <w:rPr>
          <w:rFonts w:hint="eastAsia" w:ascii="宋体" w:hAnsi="宋体" w:eastAsia="宋体" w:cs="宋体"/>
          <w:sz w:val="24"/>
          <w:szCs w:val="24"/>
          <w:highlight w:val="none"/>
        </w:rPr>
        <w:t>1</w:t>
      </w:r>
      <w:bookmarkStart w:id="145" w:name="_Toc296346657"/>
      <w:bookmarkStart w:id="146" w:name="_Toc292559866"/>
      <w:bookmarkStart w:id="147" w:name="_Toc296347155"/>
      <w:bookmarkStart w:id="148" w:name="_Toc296890984"/>
      <w:bookmarkStart w:id="149" w:name="_Toc292559361"/>
      <w:bookmarkStart w:id="150" w:name="_Toc296891196"/>
      <w:bookmarkStart w:id="151" w:name="_Toc297048342"/>
      <w:bookmarkStart w:id="152" w:name="_Toc296503156"/>
      <w:bookmarkStart w:id="153" w:name="_Toc297120456"/>
      <w:bookmarkStart w:id="154" w:name="_Toc296944495"/>
      <w:r>
        <w:rPr>
          <w:rFonts w:hint="eastAsia" w:ascii="宋体" w:hAnsi="宋体" w:eastAsia="宋体" w:cs="宋体"/>
          <w:sz w:val="24"/>
          <w:szCs w:val="24"/>
          <w:highlight w:val="none"/>
        </w:rPr>
        <w:t>. 一般约定</w:t>
      </w:r>
      <w:bookmarkEnd w:id="143"/>
    </w:p>
    <w:bookmarkEnd w:id="145"/>
    <w:bookmarkEnd w:id="146"/>
    <w:bookmarkEnd w:id="147"/>
    <w:bookmarkEnd w:id="148"/>
    <w:bookmarkEnd w:id="149"/>
    <w:bookmarkEnd w:id="150"/>
    <w:bookmarkEnd w:id="151"/>
    <w:bookmarkEnd w:id="152"/>
    <w:bookmarkEnd w:id="153"/>
    <w:bookmarkEnd w:id="154"/>
    <w:p>
      <w:pPr>
        <w:spacing w:line="400" w:lineRule="exact"/>
        <w:ind w:firstLine="480" w:firstLineChars="200"/>
        <w:rPr>
          <w:rFonts w:ascii="宋体" w:hAnsi="宋体" w:cs="宋体"/>
          <w:highlight w:val="none"/>
        </w:rPr>
      </w:pPr>
      <w:r>
        <w:rPr>
          <w:rFonts w:hint="eastAsia" w:ascii="宋体" w:hAnsi="宋体" w:cs="宋体"/>
          <w:highlight w:val="none"/>
        </w:rPr>
        <w:t>1.1 词语定义</w:t>
      </w:r>
    </w:p>
    <w:p>
      <w:pPr>
        <w:spacing w:line="400" w:lineRule="exact"/>
        <w:ind w:firstLine="480" w:firstLineChars="200"/>
        <w:rPr>
          <w:rFonts w:ascii="宋体" w:hAnsi="宋体" w:cs="宋体"/>
          <w:highlight w:val="none"/>
        </w:rPr>
      </w:pPr>
      <w:r>
        <w:rPr>
          <w:rFonts w:hint="eastAsia" w:ascii="宋体" w:hAnsi="宋体" w:cs="宋体"/>
          <w:highlight w:val="none"/>
        </w:rPr>
        <w:t>1.1.1合同</w:t>
      </w:r>
    </w:p>
    <w:p>
      <w:pPr>
        <w:spacing w:line="400" w:lineRule="exact"/>
        <w:ind w:firstLine="480" w:firstLineChars="200"/>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工程招标文件、《三门县政府投资项目变更管理办法》 （三政办规【2023】4号）、《关于进一步规范报送工程变更资料的通知》 （三发改【2021】42号）除投标函及其附录和已标价工程量清单或预算审核书外的其它投标文件，上述管理办法如有变动时，按从新原则执行。</w:t>
      </w:r>
    </w:p>
    <w:p>
      <w:pPr>
        <w:spacing w:line="400" w:lineRule="exact"/>
        <w:ind w:firstLine="480" w:firstLineChars="200"/>
        <w:rPr>
          <w:rFonts w:ascii="宋体" w:hAnsi="宋体" w:cs="宋体"/>
          <w:highlight w:val="none"/>
        </w:rPr>
      </w:pPr>
      <w:r>
        <w:rPr>
          <w:rFonts w:hint="eastAsia" w:ascii="宋体" w:hAnsi="宋体" w:cs="宋体"/>
          <w:highlight w:val="none"/>
        </w:rPr>
        <w:t>1.1.2 合同当事人及其他相关方</w:t>
      </w:r>
    </w:p>
    <w:p>
      <w:pPr>
        <w:spacing w:line="400" w:lineRule="exact"/>
        <w:ind w:firstLine="480" w:firstLineChars="200"/>
        <w:rPr>
          <w:rFonts w:ascii="宋体" w:hAnsi="宋体" w:cs="宋体"/>
          <w:highlight w:val="none"/>
        </w:rPr>
      </w:pPr>
      <w:r>
        <w:rPr>
          <w:rFonts w:hint="eastAsia" w:ascii="宋体" w:hAnsi="宋体" w:cs="宋体"/>
          <w:highlight w:val="none"/>
        </w:rPr>
        <w:t>1.1.2.4监理人：</w:t>
      </w:r>
    </w:p>
    <w:p>
      <w:pPr>
        <w:spacing w:line="400" w:lineRule="exact"/>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1.1.2.5 设计人：</w:t>
      </w:r>
    </w:p>
    <w:p>
      <w:pPr>
        <w:spacing w:line="400" w:lineRule="exact"/>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1.1.3 工程和设备</w:t>
      </w:r>
    </w:p>
    <w:p>
      <w:pPr>
        <w:spacing w:line="400" w:lineRule="exact"/>
        <w:ind w:firstLine="480" w:firstLineChars="200"/>
        <w:rPr>
          <w:rFonts w:ascii="宋体" w:hAnsi="宋体" w:cs="宋体"/>
          <w:highlight w:val="none"/>
        </w:rPr>
      </w:pPr>
      <w:r>
        <w:rPr>
          <w:rFonts w:hint="eastAsia" w:ascii="宋体" w:hAnsi="宋体" w:cs="宋体"/>
          <w:highlight w:val="none"/>
        </w:rPr>
        <w:t>1.1.3.7 作为施工现场组成部分的其他场所包括：</w:t>
      </w:r>
      <w:r>
        <w:rPr>
          <w:rFonts w:hint="eastAsia" w:ascii="宋体" w:hAnsi="宋体" w:cs="宋体"/>
          <w:highlight w:val="none"/>
          <w:u w:val="single"/>
        </w:rPr>
        <w:t xml:space="preserve"> </w:t>
      </w:r>
      <w:r>
        <w:rPr>
          <w:rFonts w:hint="eastAsia" w:ascii="宋体" w:hAnsi="宋体" w:cs="宋体"/>
          <w:spacing w:val="-3"/>
          <w:highlight w:val="none"/>
          <w:u w:val="single"/>
          <w:lang w:val="en-US" w:eastAsia="zh-CN"/>
        </w:rPr>
        <w:t xml:space="preserve"> </w:t>
      </w:r>
      <w:r>
        <w:rPr>
          <w:rFonts w:hint="eastAsia" w:ascii="宋体" w:hAnsi="宋体" w:cs="宋体"/>
          <w:highlight w:val="none"/>
          <w:u w:val="single"/>
        </w:rPr>
        <w:t>临时占地</w:t>
      </w:r>
      <w:r>
        <w:rPr>
          <w:rFonts w:hint="eastAsia" w:ascii="宋体" w:hAnsi="宋体" w:cs="宋体"/>
          <w:spacing w:val="-3"/>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1.1.3.9 永久占地包括：</w:t>
      </w:r>
      <w:r>
        <w:rPr>
          <w:rFonts w:hint="eastAsia" w:ascii="宋体" w:hAnsi="宋体" w:cs="宋体"/>
          <w:spacing w:val="-3"/>
          <w:highlight w:val="none"/>
          <w:u w:val="single"/>
        </w:rPr>
        <w:t>建设工程规划用地红线范围内的占地</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1.1.3.10 临时占地包括：</w:t>
      </w:r>
      <w:r>
        <w:rPr>
          <w:rFonts w:hint="eastAsia" w:ascii="宋体" w:hAnsi="宋体" w:cs="宋体"/>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spacing w:val="-3"/>
          <w:highlight w:val="none"/>
          <w:u w:val="single"/>
        </w:rPr>
        <w:t>现场情况自行合理安排，费用由承包人承担。</w:t>
      </w:r>
    </w:p>
    <w:p>
      <w:pPr>
        <w:spacing w:line="400" w:lineRule="exact"/>
        <w:ind w:firstLine="480" w:firstLineChars="200"/>
        <w:rPr>
          <w:rFonts w:ascii="宋体" w:hAnsi="宋体" w:cs="宋体"/>
          <w:highlight w:val="none"/>
        </w:rPr>
      </w:pPr>
      <w:r>
        <w:rPr>
          <w:rFonts w:hint="eastAsia" w:ascii="宋体" w:hAnsi="宋体" w:cs="宋体"/>
          <w:highlight w:val="none"/>
        </w:rPr>
        <w:t xml:space="preserve">1.3法律 </w:t>
      </w:r>
    </w:p>
    <w:p>
      <w:pPr>
        <w:spacing w:line="400" w:lineRule="exact"/>
        <w:ind w:firstLine="480" w:firstLineChars="200"/>
        <w:rPr>
          <w:rFonts w:hint="eastAsia" w:ascii="宋体" w:hAnsi="宋体" w:eastAsia="宋体" w:cs="宋体"/>
          <w:highlight w:val="none"/>
          <w:u w:val="single"/>
        </w:rPr>
      </w:pPr>
      <w:r>
        <w:rPr>
          <w:rFonts w:hint="eastAsia" w:ascii="宋体" w:hAnsi="宋体" w:cs="宋体"/>
          <w:highlight w:val="none"/>
        </w:rPr>
        <w:t>适用于合同的其他规范性文件</w:t>
      </w:r>
      <w:r>
        <w:rPr>
          <w:rFonts w:hint="eastAsia" w:ascii="宋体" w:hAnsi="宋体" w:cs="宋体"/>
          <w:highlight w:val="none"/>
          <w:u w:val="single"/>
        </w:rPr>
        <w:t>：</w:t>
      </w:r>
      <w:r>
        <w:rPr>
          <w:rFonts w:hint="eastAsia" w:ascii="宋体" w:hAnsi="宋体" w:eastAsia="宋体" w:cs="宋体"/>
          <w:highlight w:val="none"/>
          <w:u w:val="single"/>
        </w:rPr>
        <w:t>《建设工程工程量清单计价规范》（GB50500-2013）、《浙江省建设工程工程量清单计价指引》（2013版）、《建设工程工程量计算规范（2013）浙江省补充规定》（浙建站计﹝2013﹞63号、浙建站计[2014]31号）。《浙江省建设工程计价规则》（2018版）、《浙江省建设工程施工机械台班费用定额》（2018版）、《浙江省建筑安装材料基期价格》（2018版）、《浙江省房屋建筑与装饰工程预算定额》（2018版）、《浙江省通用安装工程预算定额》（2018版）、《浙江省市政工程预算定额》（2018版）、《浙江省园林绿化及仿古建筑工程预算定额（2018版）》及工程所在地现行的有关工程造价方面规定。</w:t>
      </w:r>
    </w:p>
    <w:p>
      <w:pPr>
        <w:spacing w:line="400" w:lineRule="exact"/>
        <w:ind w:firstLine="482" w:firstLineChars="200"/>
        <w:rPr>
          <w:rFonts w:ascii="宋体" w:hAnsi="宋体" w:cs="宋体"/>
          <w:b/>
          <w:highlight w:val="none"/>
        </w:rPr>
      </w:pPr>
      <w:r>
        <w:rPr>
          <w:rFonts w:hint="eastAsia" w:ascii="宋体" w:hAnsi="宋体" w:cs="宋体"/>
          <w:b/>
          <w:highlight w:val="none"/>
        </w:rPr>
        <w:t>1.4 标准和规范</w:t>
      </w:r>
    </w:p>
    <w:p>
      <w:pPr>
        <w:spacing w:line="400" w:lineRule="exact"/>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pPr>
        <w:spacing w:line="400" w:lineRule="exact"/>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pPr>
        <w:spacing w:line="400" w:lineRule="exact"/>
        <w:ind w:firstLine="482" w:firstLineChars="200"/>
        <w:rPr>
          <w:rFonts w:ascii="宋体" w:hAnsi="宋体" w:cs="宋体"/>
          <w:b/>
          <w:highlight w:val="none"/>
        </w:rPr>
      </w:pPr>
      <w:r>
        <w:rPr>
          <w:rFonts w:hint="eastAsia" w:ascii="宋体" w:hAnsi="宋体" w:cs="宋体"/>
          <w:b/>
          <w:highlight w:val="none"/>
        </w:rPr>
        <w:t>1.5 合同文件的优先顺序</w:t>
      </w:r>
    </w:p>
    <w:p>
      <w:pPr>
        <w:spacing w:line="400" w:lineRule="exact"/>
        <w:ind w:firstLine="480" w:firstLineChars="200"/>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pPr>
        <w:spacing w:line="400" w:lineRule="exact"/>
        <w:ind w:firstLine="482" w:firstLineChars="200"/>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pPr>
        <w:spacing w:line="400" w:lineRule="exact"/>
        <w:ind w:firstLine="480" w:firstLineChars="200"/>
        <w:rPr>
          <w:rFonts w:ascii="宋体" w:hAnsi="宋体" w:cs="宋体"/>
          <w:highlight w:val="none"/>
        </w:rPr>
      </w:pPr>
      <w:r>
        <w:rPr>
          <w:rFonts w:hint="eastAsia" w:ascii="宋体" w:hAnsi="宋体" w:cs="宋体"/>
          <w:highlight w:val="none"/>
        </w:rPr>
        <w:t>1.6.1 图纸的提供</w:t>
      </w:r>
    </w:p>
    <w:p>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开工日期前14天前</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1.6.4 承包人文件</w:t>
      </w:r>
    </w:p>
    <w:p>
      <w:pPr>
        <w:spacing w:line="400" w:lineRule="exact"/>
        <w:ind w:firstLine="480" w:firstLineChars="200"/>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pPr>
        <w:spacing w:line="400" w:lineRule="exact"/>
        <w:ind w:firstLine="480" w:firstLineChars="200"/>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1.6.5 现场图纸准备</w:t>
      </w:r>
    </w:p>
    <w:p>
      <w:pPr>
        <w:spacing w:line="400" w:lineRule="exact"/>
        <w:ind w:firstLine="480" w:firstLineChars="200"/>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1.7 联络</w:t>
      </w:r>
    </w:p>
    <w:p>
      <w:pPr>
        <w:spacing w:line="400" w:lineRule="exact"/>
        <w:ind w:firstLine="480" w:firstLineChars="200"/>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w:t>
      </w:r>
      <w:r>
        <w:rPr>
          <w:rFonts w:hint="eastAsia" w:ascii="宋体" w:hAnsi="宋体" w:cs="宋体"/>
          <w:highlight w:val="none"/>
          <w:u w:val="single"/>
          <w:lang w:val="en-US" w:eastAsia="zh-CN"/>
        </w:rPr>
        <w:t xml:space="preserve">3 </w:t>
      </w:r>
      <w:r>
        <w:rPr>
          <w:rFonts w:hint="eastAsia" w:ascii="宋体" w:hAnsi="宋体" w:cs="宋体"/>
          <w:highlight w:val="none"/>
          <w:u w:val="single"/>
        </w:rPr>
        <w:t xml:space="preserve"> </w:t>
      </w:r>
      <w:r>
        <w:rPr>
          <w:rFonts w:hint="eastAsia" w:ascii="宋体" w:hAnsi="宋体" w:cs="宋体"/>
          <w:highlight w:val="none"/>
        </w:rPr>
        <w:t>天内将与合同有关的通知、批准、证明、证书、指示、指令、要求、请求、同意、意见、确定和决定等书面函件送达对方当事人</w:t>
      </w:r>
      <w:r>
        <w:rPr>
          <w:rFonts w:hint="eastAsia"/>
          <w:highlight w:val="none"/>
        </w:rPr>
        <w:t>，紧急函件应在收到函件及函件工作到期前尽快送达对方，并给对方预留合理反应时间。</w:t>
      </w:r>
    </w:p>
    <w:p>
      <w:pPr>
        <w:spacing w:line="400" w:lineRule="exact"/>
        <w:ind w:firstLine="480" w:firstLineChars="200"/>
        <w:rPr>
          <w:rFonts w:ascii="宋体" w:hAnsi="宋体" w:cs="宋体"/>
          <w:highlight w:val="none"/>
        </w:rPr>
      </w:pPr>
      <w:r>
        <w:rPr>
          <w:rFonts w:hint="eastAsia" w:ascii="宋体" w:hAnsi="宋体" w:cs="宋体"/>
          <w:highlight w:val="none"/>
        </w:rPr>
        <w:t xml:space="preserve"> 1.7.2发包人接收文件的地点：</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发包人接收文件的电子信箱：</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发包人指定的接收人为：</w:t>
      </w:r>
      <w:r>
        <w:rPr>
          <w:rFonts w:hint="eastAsia" w:ascii="宋体" w:hAnsi="宋体" w:cs="宋体"/>
          <w:highlight w:val="none"/>
          <w:u w:val="single"/>
        </w:rPr>
        <w:t xml:space="preserve">    （注：2 人以上及联系电话）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承包人接收文件的地点：</w:t>
      </w:r>
      <w:r>
        <w:rPr>
          <w:rFonts w:hint="eastAsia" w:ascii="宋体" w:hAnsi="宋体" w:cs="宋体"/>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承包人接收文件的电子信箱：</w:t>
      </w:r>
      <w:r>
        <w:rPr>
          <w:rFonts w:hint="eastAsia" w:ascii="宋体" w:hAnsi="宋体" w:cs="宋体"/>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承包人指定的接收人为：</w:t>
      </w:r>
      <w:r>
        <w:rPr>
          <w:rFonts w:hint="eastAsia" w:ascii="宋体" w:hAnsi="宋体" w:cs="宋体"/>
          <w:highlight w:val="none"/>
          <w:u w:val="single"/>
        </w:rPr>
        <w:t xml:space="preserve">    （注：2人以上及联系电话）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监理人接收文件的地点：</w:t>
      </w:r>
      <w:r>
        <w:rPr>
          <w:rFonts w:hint="eastAsia" w:ascii="宋体" w:hAnsi="宋体" w:cs="宋体"/>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监理人接收文件的电子信箱：</w:t>
      </w:r>
      <w:r>
        <w:rPr>
          <w:rFonts w:hint="eastAsia" w:ascii="宋体" w:hAnsi="宋体" w:cs="宋体"/>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监理人指定的接收人为：</w:t>
      </w:r>
      <w:r>
        <w:rPr>
          <w:rFonts w:hint="eastAsia" w:ascii="宋体" w:hAnsi="宋体" w:cs="宋体"/>
          <w:highlight w:val="none"/>
          <w:u w:val="single"/>
        </w:rPr>
        <w:t xml:space="preserve">    （注：2人以上及联系电话）     </w:t>
      </w:r>
      <w:r>
        <w:rPr>
          <w:rFonts w:hint="eastAsia" w:ascii="宋体" w:hAnsi="宋体" w:cs="宋体"/>
          <w:highlight w:val="none"/>
        </w:rPr>
        <w:t xml:space="preserve"> 。</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发包人、承包人、监理人的文件接收地址、接收人（含联系电话）发生变动的，应提前7天通知各方。</w:t>
      </w:r>
    </w:p>
    <w:p>
      <w:pPr>
        <w:spacing w:line="400" w:lineRule="exact"/>
        <w:ind w:firstLine="480" w:firstLineChars="200"/>
        <w:rPr>
          <w:rFonts w:ascii="宋体" w:hAnsi="宋体" w:cs="宋体"/>
          <w:highlight w:val="none"/>
        </w:rPr>
      </w:pPr>
      <w:r>
        <w:rPr>
          <w:rFonts w:hint="eastAsia" w:ascii="宋体" w:hAnsi="宋体" w:cs="宋体"/>
          <w:highlight w:val="none"/>
        </w:rPr>
        <w:t>1.10 交通运输</w:t>
      </w:r>
    </w:p>
    <w:p>
      <w:pPr>
        <w:spacing w:line="400" w:lineRule="exact"/>
        <w:ind w:firstLine="480" w:firstLineChars="200"/>
        <w:rPr>
          <w:rFonts w:ascii="宋体" w:hAnsi="宋体" w:cs="宋体"/>
          <w:highlight w:val="none"/>
        </w:rPr>
      </w:pPr>
      <w:r>
        <w:rPr>
          <w:rFonts w:hint="eastAsia" w:ascii="宋体" w:hAnsi="宋体" w:cs="宋体"/>
          <w:highlight w:val="none"/>
        </w:rPr>
        <w:t>1</w:t>
      </w:r>
      <w:bookmarkStart w:id="155" w:name="_Toc318581155"/>
      <w:bookmarkStart w:id="156" w:name="_Toc312677986"/>
      <w:bookmarkStart w:id="157" w:name="_Toc303539100"/>
      <w:bookmarkStart w:id="158" w:name="_Toc300934943"/>
      <w:bookmarkStart w:id="159" w:name="_Toc304295521"/>
      <w:r>
        <w:rPr>
          <w:rFonts w:hint="eastAsia" w:ascii="宋体" w:hAnsi="宋体" w:cs="宋体"/>
          <w:highlight w:val="none"/>
        </w:rPr>
        <w:t>.10.1 出入现场的权利</w:t>
      </w:r>
    </w:p>
    <w:p>
      <w:pPr>
        <w:spacing w:line="400" w:lineRule="exact"/>
        <w:ind w:firstLine="480" w:firstLineChars="200"/>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155"/>
    <w:bookmarkEnd w:id="156"/>
    <w:bookmarkEnd w:id="157"/>
    <w:bookmarkEnd w:id="158"/>
    <w:bookmarkEnd w:id="159"/>
    <w:p>
      <w:pPr>
        <w:spacing w:line="400" w:lineRule="exact"/>
        <w:ind w:firstLine="480" w:firstLineChars="200"/>
        <w:rPr>
          <w:rFonts w:ascii="宋体" w:hAnsi="宋体" w:cs="宋体"/>
          <w:highlight w:val="none"/>
        </w:rPr>
      </w:pPr>
      <w:r>
        <w:rPr>
          <w:rFonts w:hint="eastAsia" w:ascii="宋体" w:hAnsi="宋体" w:cs="宋体"/>
          <w:highlight w:val="none"/>
        </w:rPr>
        <w:t>1</w:t>
      </w:r>
      <w:bookmarkStart w:id="160" w:name="_Toc312677987"/>
      <w:bookmarkStart w:id="161" w:name="_Toc304295522"/>
      <w:bookmarkStart w:id="162" w:name="_Toc300934944"/>
      <w:bookmarkStart w:id="163" w:name="_Toc318581156"/>
      <w:bookmarkStart w:id="164" w:name="_Toc303539101"/>
      <w:r>
        <w:rPr>
          <w:rFonts w:hint="eastAsia" w:ascii="宋体" w:hAnsi="宋体" w:cs="宋体"/>
          <w:highlight w:val="none"/>
        </w:rPr>
        <w:t>.10.3 场内交通</w:t>
      </w:r>
    </w:p>
    <w:bookmarkEnd w:id="160"/>
    <w:bookmarkEnd w:id="161"/>
    <w:bookmarkEnd w:id="162"/>
    <w:bookmarkEnd w:id="163"/>
    <w:bookmarkEnd w:id="164"/>
    <w:p>
      <w:pPr>
        <w:spacing w:line="400" w:lineRule="exact"/>
        <w:ind w:firstLine="480" w:firstLineChars="200"/>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pPr>
        <w:spacing w:line="400" w:lineRule="exact"/>
        <w:ind w:firstLine="480" w:firstLineChars="200"/>
        <w:rPr>
          <w:rFonts w:ascii="宋体" w:hAnsi="宋体" w:cs="宋体"/>
          <w:highlight w:val="none"/>
        </w:rPr>
      </w:pPr>
      <w:r>
        <w:rPr>
          <w:rFonts w:hint="eastAsia" w:ascii="宋体" w:hAnsi="宋体" w:cs="宋体"/>
          <w:highlight w:val="none"/>
        </w:rPr>
        <w:t>1.10.4超大件和超重件的运输</w:t>
      </w:r>
    </w:p>
    <w:p>
      <w:pPr>
        <w:spacing w:line="400" w:lineRule="exact"/>
        <w:ind w:firstLine="480" w:firstLineChars="200"/>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1.11 知识产权</w:t>
      </w:r>
    </w:p>
    <w:p>
      <w:pPr>
        <w:spacing w:line="400" w:lineRule="exact"/>
        <w:ind w:firstLine="480" w:firstLineChars="200"/>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pPr>
        <w:spacing w:line="400" w:lineRule="exact"/>
        <w:ind w:firstLine="482" w:firstLineChars="200"/>
        <w:rPr>
          <w:rFonts w:ascii="宋体" w:hAnsi="宋体" w:cs="宋体"/>
          <w:b/>
          <w:highlight w:val="none"/>
        </w:rPr>
      </w:pPr>
      <w:r>
        <w:rPr>
          <w:rFonts w:hint="eastAsia" w:ascii="宋体" w:hAnsi="宋体" w:cs="宋体"/>
          <w:b/>
          <w:highlight w:val="none"/>
        </w:rPr>
        <w:t>1.13工程量清单错误的修正</w:t>
      </w:r>
    </w:p>
    <w:p>
      <w:pPr>
        <w:spacing w:line="400" w:lineRule="exact"/>
        <w:ind w:firstLine="480" w:firstLineChars="200"/>
        <w:rPr>
          <w:rFonts w:ascii="宋体" w:hAnsi="宋体" w:cs="宋体"/>
          <w:highlight w:val="none"/>
        </w:rPr>
      </w:pPr>
      <w:bookmarkStart w:id="165"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pPr>
        <w:pStyle w:val="6"/>
        <w:spacing w:before="0" w:after="0" w:line="400" w:lineRule="exact"/>
        <w:ind w:firstLine="480" w:firstLineChars="200"/>
        <w:rPr>
          <w:rFonts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编制依据计算的综合单价偏差±30%以上），工程量增加，调整综合单价的工程量偏差范围及综合单价确定方法按专用条款10.4.1（1）（2）（3）（4）条约定，工程量减少按投标综合单价计算，不调整综合单价。</w:t>
      </w: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bookmarkStart w:id="166" w:name="_Toc296346658"/>
      <w:bookmarkStart w:id="167" w:name="_Toc292559867"/>
      <w:bookmarkStart w:id="168" w:name="_Toc296944496"/>
      <w:bookmarkStart w:id="169" w:name="_Toc296347156"/>
      <w:bookmarkStart w:id="170" w:name="_Toc292559362"/>
      <w:bookmarkStart w:id="171" w:name="_Toc297048343"/>
      <w:bookmarkStart w:id="172" w:name="_Toc297120457"/>
      <w:bookmarkStart w:id="173" w:name="_Toc296890985"/>
      <w:bookmarkStart w:id="174" w:name="_Toc296891197"/>
      <w:bookmarkStart w:id="175" w:name="_Toc296503157"/>
      <w:r>
        <w:rPr>
          <w:rFonts w:hint="eastAsia" w:ascii="宋体" w:hAnsi="宋体" w:eastAsia="宋体" w:cs="宋体"/>
          <w:sz w:val="24"/>
          <w:szCs w:val="24"/>
          <w:highlight w:val="none"/>
        </w:rPr>
        <w:t>. 发包人</w:t>
      </w:r>
      <w:bookmarkEnd w:id="165"/>
    </w:p>
    <w:bookmarkEnd w:id="166"/>
    <w:bookmarkEnd w:id="167"/>
    <w:bookmarkEnd w:id="168"/>
    <w:bookmarkEnd w:id="169"/>
    <w:bookmarkEnd w:id="170"/>
    <w:bookmarkEnd w:id="171"/>
    <w:bookmarkEnd w:id="172"/>
    <w:bookmarkEnd w:id="173"/>
    <w:bookmarkEnd w:id="174"/>
    <w:bookmarkEnd w:id="175"/>
    <w:p>
      <w:pPr>
        <w:spacing w:line="400" w:lineRule="exact"/>
        <w:ind w:firstLine="480" w:firstLineChars="200"/>
        <w:rPr>
          <w:rFonts w:ascii="宋体" w:hAnsi="宋体" w:cs="宋体"/>
          <w:highlight w:val="none"/>
        </w:rPr>
      </w:pPr>
      <w:r>
        <w:rPr>
          <w:rFonts w:hint="eastAsia" w:ascii="宋体" w:hAnsi="宋体" w:cs="宋体"/>
          <w:highlight w:val="none"/>
        </w:rPr>
        <w:t>2.2 发包人代表</w:t>
      </w:r>
    </w:p>
    <w:p>
      <w:pPr>
        <w:spacing w:line="400" w:lineRule="exact"/>
        <w:ind w:firstLine="480" w:firstLineChars="200"/>
        <w:rPr>
          <w:rFonts w:ascii="宋体" w:hAnsi="宋体" w:cs="宋体"/>
          <w:highlight w:val="none"/>
        </w:rPr>
      </w:pPr>
      <w:r>
        <w:rPr>
          <w:rFonts w:hint="eastAsia" w:ascii="宋体" w:hAnsi="宋体" w:cs="宋体"/>
          <w:highlight w:val="none"/>
        </w:rPr>
        <w:t>发包人代表：</w:t>
      </w:r>
    </w:p>
    <w:p>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b/>
          <w:highlight w:val="none"/>
          <w:u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2.4 施工现场、施工条件和基础资料的提供</w:t>
      </w:r>
    </w:p>
    <w:p>
      <w:pPr>
        <w:spacing w:line="400" w:lineRule="exact"/>
        <w:ind w:firstLine="480" w:firstLineChars="200"/>
        <w:rPr>
          <w:rFonts w:ascii="宋体" w:hAnsi="宋体" w:cs="宋体"/>
          <w:highlight w:val="none"/>
        </w:rPr>
      </w:pPr>
      <w:r>
        <w:rPr>
          <w:rFonts w:hint="eastAsia" w:ascii="宋体" w:hAnsi="宋体" w:cs="宋体"/>
          <w:highlight w:val="none"/>
        </w:rPr>
        <w:t>2.4.1 提供施工现场</w:t>
      </w:r>
    </w:p>
    <w:p>
      <w:pPr>
        <w:spacing w:line="400" w:lineRule="exact"/>
        <w:ind w:firstLine="480" w:firstLineChars="200"/>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pPr>
        <w:spacing w:line="400" w:lineRule="exact"/>
        <w:ind w:firstLine="480" w:firstLineChars="200"/>
        <w:rPr>
          <w:rFonts w:ascii="宋体" w:hAnsi="宋体" w:cs="宋体"/>
          <w:highlight w:val="none"/>
        </w:rPr>
      </w:pPr>
      <w:r>
        <w:rPr>
          <w:rFonts w:hint="eastAsia" w:ascii="宋体" w:hAnsi="宋体" w:cs="宋体"/>
          <w:highlight w:val="none"/>
        </w:rPr>
        <w:t>2.4.2 提供施工条件</w:t>
      </w:r>
    </w:p>
    <w:p>
      <w:pPr>
        <w:spacing w:line="400" w:lineRule="exact"/>
        <w:ind w:firstLine="480" w:firstLineChars="200"/>
        <w:rPr>
          <w:rFonts w:ascii="宋体" w:hAnsi="宋体" w:cs="宋体"/>
          <w:highlight w:val="none"/>
          <w:u w:val="single"/>
        </w:rPr>
      </w:pPr>
      <w:r>
        <w:rPr>
          <w:rFonts w:hint="eastAsia" w:ascii="宋体" w:hAnsi="宋体" w:cs="宋体"/>
          <w:highlight w:val="none"/>
        </w:rPr>
        <w:t>关于发包人应负责提供施工所需要的条件，包括：</w:t>
      </w:r>
      <w:r>
        <w:rPr>
          <w:rFonts w:hint="eastAsia" w:ascii="宋体" w:hAnsi="宋体" w:cs="宋体"/>
          <w:spacing w:val="-3"/>
          <w:highlight w:val="none"/>
          <w:u w:val="single"/>
        </w:rPr>
        <w:t>施工现场临水和临电接入点由发包人落实到位，委托承包人办理，涉及场地有关的接表、接线及其他接入点之后的工作，施工期间的设施维护工作由承包人负责。</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2.5 资金来源证明及支付担保</w:t>
      </w:r>
    </w:p>
    <w:p>
      <w:pPr>
        <w:spacing w:line="400" w:lineRule="exact"/>
        <w:ind w:firstLine="480" w:firstLineChars="200"/>
        <w:rPr>
          <w:rFonts w:ascii="宋体" w:hAnsi="宋体" w:cs="宋体"/>
          <w:highlight w:val="none"/>
        </w:rPr>
      </w:pPr>
      <w:r>
        <w:rPr>
          <w:rFonts w:hint="eastAsia" w:ascii="宋体" w:hAnsi="宋体" w:cs="宋体"/>
          <w:highlight w:val="none"/>
        </w:rPr>
        <w:t>发包人提供资金来源证明的期限要求：</w:t>
      </w:r>
      <w:r>
        <w:rPr>
          <w:rFonts w:hint="eastAsia" w:ascii="宋体" w:hAnsi="宋体" w:cs="宋体"/>
          <w:highlight w:val="none"/>
          <w:u w:val="single"/>
        </w:rPr>
        <w:t></w:t>
      </w:r>
      <w:r>
        <w:rPr>
          <w:rFonts w:hint="eastAsia" w:ascii="宋体" w:hAnsi="宋体" w:cs="宋体"/>
          <w:highlight w:val="none"/>
          <w:u w:val="single"/>
          <w:lang w:val="en-US" w:eastAsia="zh-CN"/>
        </w:rPr>
        <w:t>/</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发包人是否提供支付担保：</w:t>
      </w:r>
      <w:r>
        <w:rPr>
          <w:rFonts w:hint="eastAsia" w:ascii="宋体" w:hAnsi="宋体" w:cs="宋体"/>
          <w:highlight w:val="none"/>
          <w:u w:val="single"/>
        </w:rPr>
        <w:t xml:space="preserve">  </w:t>
      </w:r>
      <w:r>
        <w:rPr>
          <w:rFonts w:hint="eastAsia" w:ascii="宋体" w:hAnsi="宋体" w:cs="宋体"/>
          <w:highlight w:val="none"/>
          <w:u w:val="single"/>
          <w:lang w:val="en-US" w:eastAsia="zh-CN"/>
        </w:rPr>
        <w:t>/</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发包人提供支付担保的形式：</w:t>
      </w:r>
      <w:r>
        <w:rPr>
          <w:rFonts w:hint="eastAsia" w:ascii="宋体" w:hAnsi="宋体" w:cs="宋体"/>
          <w:highlight w:val="none"/>
          <w:u w:val="single"/>
        </w:rPr>
        <w:t>银行保函、保险机构保证保险保单，融资担保公司保函。</w:t>
      </w:r>
    </w:p>
    <w:p>
      <w:pPr>
        <w:spacing w:line="400" w:lineRule="exact"/>
        <w:ind w:firstLine="482" w:firstLineChars="200"/>
        <w:rPr>
          <w:rFonts w:ascii="宋体" w:hAnsi="宋体" w:cs="宋体"/>
          <w:b/>
          <w:bCs/>
          <w:highlight w:val="none"/>
        </w:rPr>
      </w:pPr>
      <w:bookmarkStart w:id="176" w:name="_Toc351203635"/>
      <w:r>
        <w:rPr>
          <w:rFonts w:hint="eastAsia" w:ascii="宋体" w:hAnsi="宋体" w:cs="宋体"/>
          <w:b/>
          <w:bCs/>
          <w:highlight w:val="none"/>
        </w:rPr>
        <w:t>2.6 支付合同价款</w:t>
      </w:r>
    </w:p>
    <w:p>
      <w:pPr>
        <w:spacing w:line="400" w:lineRule="exact"/>
        <w:ind w:firstLine="480" w:firstLineChars="200"/>
        <w:rPr>
          <w:rFonts w:ascii="宋体" w:hAnsi="宋体" w:cs="宋体"/>
          <w:highlight w:val="none"/>
        </w:rPr>
      </w:pPr>
      <w:r>
        <w:rPr>
          <w:rFonts w:hint="eastAsia" w:ascii="宋体" w:hAnsi="宋体" w:cs="宋体"/>
          <w:highlight w:val="none"/>
        </w:rPr>
        <w:t>发包人应按合同约定向承包人及时支付合同价款。</w:t>
      </w:r>
    </w:p>
    <w:p>
      <w:pPr>
        <w:spacing w:line="400" w:lineRule="exact"/>
        <w:ind w:firstLine="482" w:firstLineChars="200"/>
        <w:rPr>
          <w:rFonts w:ascii="宋体" w:hAnsi="宋体" w:cs="宋体"/>
          <w:b/>
          <w:bCs/>
          <w:highlight w:val="none"/>
        </w:rPr>
      </w:pPr>
      <w:r>
        <w:rPr>
          <w:rFonts w:hint="eastAsia" w:ascii="宋体" w:hAnsi="宋体" w:cs="宋体"/>
          <w:b/>
          <w:bCs/>
          <w:highlight w:val="none"/>
        </w:rPr>
        <w:t>2.7 组织竣工验收</w:t>
      </w:r>
    </w:p>
    <w:p>
      <w:pPr>
        <w:spacing w:line="400" w:lineRule="exact"/>
        <w:ind w:firstLine="480" w:firstLineChars="200"/>
        <w:rPr>
          <w:rFonts w:ascii="宋体" w:hAnsi="宋体" w:cs="宋体"/>
          <w:highlight w:val="none"/>
        </w:rPr>
      </w:pPr>
      <w:r>
        <w:rPr>
          <w:rFonts w:hint="eastAsia" w:ascii="宋体" w:hAnsi="宋体" w:cs="宋体"/>
          <w:highlight w:val="none"/>
        </w:rPr>
        <w:t>发包人应按合同约定及时组织竣工验收。</w:t>
      </w:r>
    </w:p>
    <w:p>
      <w:pPr>
        <w:spacing w:line="400" w:lineRule="exact"/>
        <w:ind w:firstLine="480" w:firstLineChars="200"/>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bookmarkStart w:id="177" w:name="_Toc292559868"/>
      <w:bookmarkStart w:id="178" w:name="_Toc296503158"/>
      <w:bookmarkStart w:id="179" w:name="_Toc292559363"/>
      <w:bookmarkStart w:id="180" w:name="_Toc296890986"/>
      <w:bookmarkStart w:id="181" w:name="_Toc297048344"/>
      <w:bookmarkStart w:id="182" w:name="_Toc296944497"/>
      <w:bookmarkStart w:id="183" w:name="_Toc296347157"/>
      <w:bookmarkStart w:id="184" w:name="_Toc297120458"/>
      <w:bookmarkStart w:id="185" w:name="_Toc296891198"/>
      <w:bookmarkStart w:id="186" w:name="_Toc296346659"/>
      <w:r>
        <w:rPr>
          <w:rFonts w:hint="eastAsia" w:ascii="宋体" w:hAnsi="宋体" w:eastAsia="宋体" w:cs="宋体"/>
          <w:sz w:val="24"/>
          <w:szCs w:val="24"/>
          <w:highlight w:val="none"/>
        </w:rPr>
        <w:t>. 承包人</w:t>
      </w:r>
      <w:bookmarkEnd w:id="176"/>
    </w:p>
    <w:bookmarkEnd w:id="177"/>
    <w:bookmarkEnd w:id="178"/>
    <w:bookmarkEnd w:id="179"/>
    <w:bookmarkEnd w:id="180"/>
    <w:bookmarkEnd w:id="181"/>
    <w:bookmarkEnd w:id="182"/>
    <w:bookmarkEnd w:id="183"/>
    <w:bookmarkEnd w:id="184"/>
    <w:bookmarkEnd w:id="185"/>
    <w:bookmarkEnd w:id="186"/>
    <w:p>
      <w:pPr>
        <w:spacing w:line="400" w:lineRule="exact"/>
        <w:ind w:firstLine="480" w:firstLineChars="200"/>
        <w:rPr>
          <w:rFonts w:ascii="宋体" w:hAnsi="宋体" w:cs="宋体"/>
          <w:highlight w:val="none"/>
        </w:rPr>
      </w:pPr>
      <w:r>
        <w:rPr>
          <w:rFonts w:hint="eastAsia" w:ascii="宋体" w:hAnsi="宋体" w:cs="宋体"/>
          <w:highlight w:val="none"/>
        </w:rPr>
        <w:t>3.1 承包人的一般义务</w:t>
      </w:r>
    </w:p>
    <w:p>
      <w:pPr>
        <w:spacing w:line="400" w:lineRule="exact"/>
        <w:ind w:firstLine="480" w:firstLineChars="200"/>
        <w:rPr>
          <w:rFonts w:ascii="宋体" w:hAnsi="宋体" w:cs="宋体"/>
          <w:highlight w:val="none"/>
        </w:rPr>
      </w:pPr>
      <w:r>
        <w:rPr>
          <w:rFonts w:hint="eastAsia" w:ascii="宋体" w:hAnsi="宋体" w:cs="宋体"/>
          <w:highlight w:val="none"/>
        </w:rPr>
        <w:t>（9）承包人提交的竣工资料的内容：</w:t>
      </w:r>
      <w:r>
        <w:rPr>
          <w:rFonts w:hint="eastAsia" w:ascii="宋体" w:hAnsi="宋体" w:cs="宋体"/>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（10）承包人应履行的其他义务：</w:t>
      </w:r>
    </w:p>
    <w:p>
      <w:pPr>
        <w:pStyle w:val="27"/>
        <w:tabs>
          <w:tab w:val="left" w:pos="1345"/>
        </w:tabs>
        <w:spacing w:line="400" w:lineRule="exact"/>
        <w:ind w:firstLine="480" w:firstLineChars="200"/>
        <w:rPr>
          <w:rFonts w:ascii="宋体" w:hAnsi="宋体" w:cs="宋体"/>
          <w:highlight w:val="none"/>
          <w:u w:val="single"/>
        </w:rPr>
      </w:pPr>
      <w:r>
        <w:rPr>
          <w:rFonts w:hint="eastAsia" w:ascii="宋体" w:hAnsi="宋体" w:cs="宋体"/>
          <w:highlight w:val="none"/>
          <w:u w:val="single"/>
        </w:rPr>
        <w:t>a.</w:t>
      </w: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b.在施工中必须严格按照规范操作，</w:t>
      </w:r>
      <w:r>
        <w:rPr>
          <w:rFonts w:hint="eastAsia" w:ascii="宋体" w:hAnsi="宋体" w:cs="宋体"/>
          <w:spacing w:val="-3"/>
          <w:highlight w:val="none"/>
          <w:u w:val="single"/>
        </w:rPr>
        <w:t>并针对周围树木、管线和邻近建筑物实际情况</w:t>
      </w:r>
      <w:r>
        <w:rPr>
          <w:rFonts w:hint="eastAsia" w:ascii="宋体" w:hAnsi="宋体" w:cs="宋体"/>
          <w:highlight w:val="none"/>
          <w:u w:val="single"/>
        </w:rPr>
        <w:t>，采取相应防护措施，对不按规范要求施工或未采取防护措施的，造成的损失由承包人承担。</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c.本项目施工安全由承包人负总责。</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d.按当地有关部门要求，由承包人办理的有关施工场地交通、环卫和施工噪音管理等手续。</w:t>
      </w:r>
    </w:p>
    <w:p>
      <w:pPr>
        <w:pStyle w:val="27"/>
        <w:tabs>
          <w:tab w:val="left" w:pos="1120"/>
        </w:tabs>
        <w:spacing w:line="400" w:lineRule="exact"/>
        <w:rPr>
          <w:rFonts w:ascii="宋体" w:hAnsi="宋体" w:cs="宋体"/>
          <w:b/>
          <w:highlight w:val="none"/>
          <w:u w:val="single"/>
        </w:rPr>
      </w:pPr>
      <w:r>
        <w:rPr>
          <w:rFonts w:hint="eastAsia" w:ascii="宋体" w:hAnsi="宋体" w:cs="宋体"/>
          <w:highlight w:val="none"/>
          <w:u w:val="single"/>
          <w:lang w:val="en-US" w:eastAsia="zh-CN"/>
        </w:rPr>
        <w:t>e</w:t>
      </w:r>
      <w:r>
        <w:rPr>
          <w:rFonts w:hint="eastAsia" w:ascii="宋体" w:hAnsi="宋体" w:cs="宋体"/>
          <w:highlight w:val="none"/>
          <w:u w:val="single"/>
        </w:rPr>
        <w:t>.</w:t>
      </w:r>
      <w:r>
        <w:rPr>
          <w:rFonts w:hint="eastAsia" w:ascii="宋体" w:hAnsi="宋体" w:cs="宋体"/>
          <w:b/>
          <w:highlight w:val="none"/>
          <w:u w:val="single"/>
        </w:rPr>
        <w:t xml:space="preserve"> 其他：</w:t>
      </w:r>
    </w:p>
    <w:p>
      <w:pPr>
        <w:spacing w:line="400" w:lineRule="exact"/>
        <w:ind w:firstLine="482" w:firstLineChars="200"/>
        <w:rPr>
          <w:rFonts w:ascii="宋体" w:hAnsi="宋体" w:cs="宋体"/>
          <w:b/>
          <w:highlight w:val="none"/>
          <w:u w:val="single"/>
        </w:rPr>
      </w:pPr>
      <w:r>
        <w:rPr>
          <w:rFonts w:hint="eastAsia" w:ascii="宋体" w:hAnsi="宋体" w:cs="宋体"/>
          <w:b/>
          <w:highlight w:val="none"/>
        </w:rPr>
        <w:t>①</w:t>
      </w:r>
      <w:r>
        <w:rPr>
          <w:rFonts w:hint="eastAsia" w:ascii="宋体" w:hAnsi="宋体" w:cs="宋体"/>
          <w:b/>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highlight w:val="none"/>
        </w:rPr>
        <w:t>。</w:t>
      </w:r>
    </w:p>
    <w:p>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②</w:t>
      </w:r>
      <w:r>
        <w:rPr>
          <w:rFonts w:hint="eastAsia" w:ascii="宋体" w:hAnsi="宋体" w:cs="宋体"/>
          <w:b/>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pPr>
        <w:tabs>
          <w:tab w:val="left" w:pos="450"/>
        </w:tabs>
        <w:snapToGrid w:val="0"/>
        <w:spacing w:line="400" w:lineRule="exact"/>
        <w:ind w:firstLine="354" w:firstLineChars="147"/>
        <w:rPr>
          <w:rFonts w:ascii="宋体" w:hAnsi="宋体" w:cs="宋体"/>
          <w:b/>
          <w:highlight w:val="none"/>
          <w:u w:val="single"/>
        </w:rPr>
      </w:pPr>
      <w:r>
        <w:rPr>
          <w:rFonts w:hint="eastAsia" w:ascii="宋体" w:hAnsi="宋体" w:cs="宋体"/>
          <w:b/>
          <w:highlight w:val="none"/>
          <w:u w:val="single"/>
        </w:rPr>
        <w:t>f、农民工工资按三人社〔2019〕41号关于全面治理拖欠农民工工资问题的实施意见执行。</w:t>
      </w:r>
    </w:p>
    <w:p>
      <w:pPr>
        <w:spacing w:line="400" w:lineRule="exact"/>
        <w:ind w:firstLine="480" w:firstLineChars="200"/>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承包人向发包人承诺按照本合同约定及现场甲方和监理工程师的指令进行施工。竣工后，保修期内承担工程质量保修责任，并履行本合同约定的全部义务 。</w:t>
      </w:r>
    </w:p>
    <w:p>
      <w:pPr>
        <w:spacing w:line="400" w:lineRule="exact"/>
        <w:ind w:firstLine="480" w:firstLineChars="200"/>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pPr>
        <w:spacing w:line="400" w:lineRule="exact"/>
        <w:ind w:firstLine="480" w:firstLineChars="200"/>
        <w:rPr>
          <w:rFonts w:ascii="宋体" w:hAnsi="宋体" w:cs="宋体"/>
          <w:highlight w:val="none"/>
        </w:rPr>
      </w:pPr>
      <w:r>
        <w:rPr>
          <w:rFonts w:hint="eastAsia" w:ascii="宋体" w:hAnsi="宋体" w:cs="宋体"/>
          <w:highlight w:val="none"/>
        </w:rPr>
        <w:t>3.2 项目经理</w:t>
      </w:r>
    </w:p>
    <w:p>
      <w:pPr>
        <w:spacing w:line="400" w:lineRule="exact"/>
        <w:ind w:firstLine="480" w:firstLineChars="200"/>
        <w:rPr>
          <w:rFonts w:ascii="宋体" w:hAnsi="宋体" w:cs="宋体"/>
          <w:highlight w:val="none"/>
        </w:rPr>
      </w:pPr>
      <w:r>
        <w:rPr>
          <w:rFonts w:hint="eastAsia" w:ascii="宋体" w:hAnsi="宋体" w:cs="宋体"/>
          <w:highlight w:val="none"/>
        </w:rPr>
        <w:t>3.2.1 项目经理：</w:t>
      </w:r>
    </w:p>
    <w:p>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pPr>
        <w:spacing w:line="400" w:lineRule="exact"/>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pPr>
        <w:pStyle w:val="8"/>
        <w:spacing w:line="400" w:lineRule="exact"/>
        <w:ind w:firstLine="480" w:firstLineChars="200"/>
        <w:rPr>
          <w:rFonts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w:t>
      </w:r>
    </w:p>
    <w:p>
      <w:pPr>
        <w:pStyle w:val="8"/>
        <w:spacing w:line="400" w:lineRule="exact"/>
        <w:ind w:firstLine="480" w:firstLineChars="200"/>
        <w:rPr>
          <w:rFonts w:ascii="宋体" w:hAnsi="宋体" w:cs="宋体"/>
          <w:highlight w:val="none"/>
          <w:u w:val="single"/>
        </w:rPr>
      </w:pPr>
      <w:r>
        <w:rPr>
          <w:rFonts w:hint="eastAsia" w:ascii="宋体" w:hAnsi="宋体" w:cs="宋体"/>
          <w:highlight w:val="none"/>
          <w:u w:val="single"/>
        </w:rPr>
        <w:t>月到岗达不到约定天数，按相关行业主管部发布的规定处理；遇有工程检查、验收或参观等活动时，无特殊原因不得离开施工现场。</w:t>
      </w:r>
    </w:p>
    <w:p>
      <w:pPr>
        <w:spacing w:line="400" w:lineRule="exact"/>
        <w:ind w:firstLine="480" w:firstLineChars="200"/>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发包人有权要求更换项目负责人，由此增加的费用和（或）延误的工期由承包人承担，并承担违约责任。</w:t>
      </w:r>
    </w:p>
    <w:p>
      <w:pPr>
        <w:spacing w:line="400" w:lineRule="exact"/>
        <w:ind w:firstLine="480" w:firstLineChars="200"/>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岗率</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400" w:lineRule="exact"/>
        <w:ind w:firstLine="480" w:firstLineChars="200"/>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400" w:lineRule="exact"/>
        <w:ind w:firstLine="480" w:firstLineChars="200"/>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pPr>
        <w:spacing w:line="400" w:lineRule="exact"/>
        <w:ind w:firstLine="480" w:firstLineChars="200"/>
        <w:rPr>
          <w:rFonts w:ascii="宋体" w:hAnsi="宋体" w:cs="宋体"/>
          <w:highlight w:val="none"/>
        </w:rPr>
      </w:pPr>
      <w:r>
        <w:rPr>
          <w:rFonts w:hint="eastAsia" w:ascii="宋体" w:hAnsi="宋体" w:cs="宋体"/>
          <w:highlight w:val="none"/>
        </w:rPr>
        <w:t>3.3 承包人人员</w:t>
      </w:r>
    </w:p>
    <w:p>
      <w:pPr>
        <w:spacing w:line="400" w:lineRule="exact"/>
        <w:ind w:firstLine="480" w:firstLineChars="200"/>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pPr>
        <w:spacing w:line="400" w:lineRule="exact"/>
        <w:ind w:firstLine="480" w:firstLineChars="200"/>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按通用条款执行；未经批准擅自离开施工现场按相关行业主管部发布的规定处理；另遇有工程检查、验收或参观等活动时，无特殊原因不得请假。</w:t>
      </w:r>
    </w:p>
    <w:p>
      <w:pPr>
        <w:spacing w:line="400" w:lineRule="exact"/>
        <w:ind w:firstLine="480" w:firstLineChars="200"/>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pPr>
        <w:spacing w:line="400" w:lineRule="exact"/>
        <w:ind w:firstLine="480" w:firstLineChars="200"/>
        <w:rPr>
          <w:rFonts w:ascii="宋体" w:hAnsi="宋体" w:cs="宋体"/>
          <w:highlight w:val="none"/>
        </w:rPr>
      </w:pPr>
      <w:r>
        <w:rPr>
          <w:rFonts w:hint="eastAsia" w:ascii="宋体" w:hAnsi="宋体" w:cs="宋体"/>
          <w:highlight w:val="none"/>
        </w:rPr>
        <w:t>3</w:t>
      </w:r>
      <w:bookmarkStart w:id="187" w:name="_Toc296347158"/>
      <w:bookmarkStart w:id="188" w:name="_Toc297048345"/>
      <w:bookmarkStart w:id="189" w:name="_Toc312677988"/>
      <w:bookmarkStart w:id="190" w:name="_Toc296890987"/>
      <w:bookmarkStart w:id="191" w:name="_Toc296944498"/>
      <w:bookmarkStart w:id="192" w:name="_Toc300934945"/>
      <w:bookmarkStart w:id="193" w:name="_Toc297216151"/>
      <w:bookmarkStart w:id="194" w:name="_Toc292559364"/>
      <w:bookmarkStart w:id="195" w:name="_Toc297123492"/>
      <w:bookmarkStart w:id="196" w:name="_Toc304295523"/>
      <w:bookmarkStart w:id="197" w:name="_Toc296346660"/>
      <w:bookmarkStart w:id="198" w:name="_Toc296891199"/>
      <w:bookmarkStart w:id="199" w:name="_Toc292559869"/>
      <w:bookmarkStart w:id="200" w:name="_Toc303539102"/>
      <w:bookmarkStart w:id="201" w:name="_Toc296503159"/>
      <w:bookmarkStart w:id="202" w:name="_Toc297120459"/>
      <w:r>
        <w:rPr>
          <w:rFonts w:hint="eastAsia" w:ascii="宋体" w:hAnsi="宋体" w:cs="宋体"/>
          <w:highlight w:val="none"/>
        </w:rPr>
        <w:t>.5 分包</w:t>
      </w:r>
    </w:p>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Pr>
        <w:spacing w:line="400" w:lineRule="exact"/>
        <w:ind w:firstLine="480" w:firstLineChars="200"/>
        <w:rPr>
          <w:rFonts w:ascii="宋体" w:hAnsi="宋体" w:cs="宋体"/>
          <w:highlight w:val="none"/>
        </w:rPr>
      </w:pPr>
      <w:bookmarkStart w:id="203" w:name="_Toc318581159"/>
      <w:bookmarkStart w:id="204" w:name="_Toc312677990"/>
      <w:r>
        <w:rPr>
          <w:rFonts w:hint="eastAsia" w:ascii="宋体" w:hAnsi="宋体" w:cs="宋体"/>
          <w:highlight w:val="none"/>
        </w:rPr>
        <w:t>3</w:t>
      </w:r>
      <w:bookmarkStart w:id="205" w:name="_Toc296347159"/>
      <w:bookmarkStart w:id="206" w:name="_Toc292559870"/>
      <w:bookmarkStart w:id="207" w:name="_Toc297048346"/>
      <w:bookmarkStart w:id="208" w:name="_Toc297216152"/>
      <w:bookmarkStart w:id="209" w:name="_Toc296346661"/>
      <w:bookmarkStart w:id="210" w:name="_Toc296944499"/>
      <w:bookmarkStart w:id="211" w:name="_Toc300934946"/>
      <w:bookmarkStart w:id="212" w:name="_Toc296891200"/>
      <w:bookmarkStart w:id="213" w:name="_Toc303539103"/>
      <w:bookmarkStart w:id="214" w:name="_Toc292559365"/>
      <w:bookmarkStart w:id="215" w:name="_Toc297120460"/>
      <w:bookmarkStart w:id="216" w:name="_Toc304295524"/>
      <w:bookmarkStart w:id="217" w:name="_Toc296503160"/>
      <w:bookmarkStart w:id="218" w:name="_Toc296890988"/>
      <w:bookmarkStart w:id="219" w:name="_Toc297123493"/>
      <w:bookmarkStart w:id="220" w:name="_Toc312677989"/>
      <w:bookmarkStart w:id="221" w:name="_Toc318581158"/>
      <w:r>
        <w:rPr>
          <w:rFonts w:hint="eastAsia" w:ascii="宋体" w:hAnsi="宋体" w:cs="宋体"/>
          <w:highlight w:val="none"/>
        </w:rPr>
        <w:t>.5.1 分包的一般约定</w:t>
      </w:r>
    </w:p>
    <w:p>
      <w:pPr>
        <w:spacing w:line="400" w:lineRule="exact"/>
        <w:ind w:firstLine="480" w:firstLineChars="200"/>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   工程主体结构、关键性工作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Start w:id="222" w:name="_Toc296346662"/>
      <w:bookmarkStart w:id="223" w:name="_Toc297048347"/>
      <w:bookmarkStart w:id="224" w:name="_Toc296891201"/>
      <w:bookmarkStart w:id="225" w:name="_Toc297123494"/>
      <w:bookmarkStart w:id="226" w:name="_Toc296890989"/>
      <w:bookmarkStart w:id="227" w:name="_Toc296944500"/>
      <w:bookmarkStart w:id="228" w:name="_Toc304295525"/>
      <w:bookmarkStart w:id="229" w:name="_Toc297120461"/>
      <w:bookmarkStart w:id="230" w:name="_Toc300934947"/>
      <w:bookmarkStart w:id="231" w:name="_Toc296503161"/>
      <w:bookmarkStart w:id="232" w:name="_Toc296347160"/>
      <w:bookmarkStart w:id="233" w:name="_Toc303539104"/>
      <w:bookmarkStart w:id="234" w:name="_Toc297216153"/>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Pr>
        <w:spacing w:line="400" w:lineRule="exact"/>
        <w:ind w:firstLine="360" w:firstLineChars="150"/>
        <w:rPr>
          <w:rFonts w:ascii="宋体" w:hAnsi="宋体" w:cs="宋体"/>
          <w:highlight w:val="none"/>
        </w:rPr>
      </w:pPr>
      <w:r>
        <w:rPr>
          <w:rFonts w:hint="eastAsia" w:ascii="宋体" w:hAnsi="宋体" w:cs="宋体"/>
          <w:highlight w:val="none"/>
        </w:rPr>
        <w:t xml:space="preserve"> 3.5.2分包的确定</w:t>
      </w:r>
    </w:p>
    <w:p>
      <w:pPr>
        <w:spacing w:line="400" w:lineRule="exact"/>
        <w:ind w:firstLine="480" w:firstLineChars="200"/>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cs="宋体"/>
          <w:highlight w:val="none"/>
          <w:u w:val="single"/>
        </w:rPr>
        <w:t xml:space="preserve">   除工程主体结构、关键性工作以外其它专业工程         </w:t>
      </w:r>
    </w:p>
    <w:p>
      <w:pPr>
        <w:spacing w:line="400" w:lineRule="exact"/>
        <w:ind w:firstLine="480" w:firstLineChars="200"/>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分包单位资质与分包专业相对应，在分包前应征得发包人认可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3.5.4 分包合同价款</w:t>
      </w:r>
    </w:p>
    <w:p>
      <w:pPr>
        <w:spacing w:line="400" w:lineRule="exact"/>
        <w:ind w:firstLine="480" w:firstLineChars="200"/>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203"/>
    <w:bookmarkEnd w:id="204"/>
    <w:p>
      <w:pPr>
        <w:spacing w:line="400" w:lineRule="exact"/>
        <w:ind w:firstLine="480" w:firstLineChars="200"/>
        <w:rPr>
          <w:rFonts w:ascii="宋体" w:hAnsi="宋体" w:cs="宋体"/>
          <w:highlight w:val="none"/>
        </w:rPr>
      </w:pPr>
      <w:r>
        <w:rPr>
          <w:rFonts w:hint="eastAsia" w:ascii="宋体" w:hAnsi="宋体" w:cs="宋体"/>
          <w:highlight w:val="none"/>
        </w:rPr>
        <w:t>3.6 工程照管与成品、半成品保护</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3.7 履约担保</w:t>
      </w:r>
    </w:p>
    <w:p>
      <w:pPr>
        <w:spacing w:line="400" w:lineRule="exact"/>
        <w:ind w:firstLine="480" w:firstLineChars="200"/>
        <w:rPr>
          <w:rFonts w:ascii="宋体" w:hAnsi="宋体" w:cs="宋体"/>
          <w:highlight w:val="none"/>
        </w:rPr>
      </w:pPr>
      <w:bookmarkStart w:id="235" w:name="_Toc351203636"/>
      <w:r>
        <w:rPr>
          <w:rFonts w:hint="eastAsia" w:ascii="宋体" w:hAnsi="宋体" w:cs="宋体"/>
          <w:highlight w:val="none"/>
        </w:rPr>
        <w:t>承包人是否提供履约担保：</w:t>
      </w:r>
      <w:r>
        <w:rPr>
          <w:rFonts w:hint="eastAsia" w:ascii="宋体" w:hAnsi="宋体" w:cs="宋体"/>
          <w:highlight w:val="none"/>
          <w:u w:val="single"/>
        </w:rPr>
        <w:t xml:space="preserve"> 提供履约担保 </w:t>
      </w:r>
      <w:r>
        <w:rPr>
          <w:rFonts w:hint="eastAsia" w:ascii="宋体" w:hAnsi="宋体" w:cs="宋体"/>
          <w:highlight w:val="none"/>
        </w:rPr>
        <w:t>。</w:t>
      </w:r>
    </w:p>
    <w:p>
      <w:pPr>
        <w:widowControl/>
        <w:spacing w:line="400" w:lineRule="exact"/>
        <w:ind w:firstLine="480" w:firstLineChars="200"/>
        <w:rPr>
          <w:rFonts w:ascii="宋体" w:hAnsi="宋体" w:cs="宋体"/>
          <w:highlight w:val="none"/>
        </w:rPr>
      </w:pPr>
      <w:r>
        <w:rPr>
          <w:rFonts w:hint="eastAsia" w:ascii="宋体" w:hAnsi="宋体" w:cs="宋体"/>
          <w:highlight w:val="none"/>
        </w:rPr>
        <w:t>承包人提供履约担保的形式、金额：</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highlight w:val="none"/>
        </w:rPr>
        <w:t>。</w:t>
      </w:r>
    </w:p>
    <w:p>
      <w:pPr>
        <w:spacing w:line="400" w:lineRule="exact"/>
        <w:ind w:firstLine="482" w:firstLineChars="200"/>
        <w:rPr>
          <w:rFonts w:ascii="宋体" w:hAnsi="宋体" w:cs="宋体"/>
          <w:b/>
          <w:highlight w:val="none"/>
          <w:u w:val="single"/>
        </w:rPr>
      </w:pPr>
      <w:r>
        <w:rPr>
          <w:rFonts w:hint="eastAsia" w:ascii="宋体" w:hAnsi="宋体" w:cs="宋体"/>
          <w:b/>
          <w:highlight w:val="none"/>
          <w:u w:val="single"/>
        </w:rPr>
        <w:t>以现金形式提交履约担保的，发包人在工程完工验收合格后10天内，向承包人全额返还；承包人应保证履约担保在工程完工验收合格前持续有效。</w:t>
      </w: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bookmarkStart w:id="236" w:name="_Toc296346663"/>
      <w:bookmarkStart w:id="237" w:name="_Toc292559366"/>
      <w:bookmarkStart w:id="238" w:name="_Toc296503162"/>
      <w:bookmarkStart w:id="239" w:name="_Toc297120462"/>
      <w:bookmarkStart w:id="240" w:name="_Toc296347161"/>
      <w:bookmarkStart w:id="241" w:name="_Toc292559871"/>
      <w:bookmarkStart w:id="242" w:name="_Toc267251413"/>
      <w:bookmarkStart w:id="243" w:name="_Toc296944501"/>
      <w:bookmarkStart w:id="244" w:name="_Toc296890990"/>
      <w:bookmarkStart w:id="245" w:name="_Toc297048348"/>
      <w:bookmarkStart w:id="246" w:name="_Toc296891202"/>
      <w:r>
        <w:rPr>
          <w:rFonts w:hint="eastAsia" w:ascii="宋体" w:hAnsi="宋体" w:eastAsia="宋体" w:cs="宋体"/>
          <w:sz w:val="24"/>
          <w:szCs w:val="24"/>
          <w:highlight w:val="none"/>
        </w:rPr>
        <w:t>. 监</w:t>
      </w:r>
      <w:bookmarkEnd w:id="236"/>
      <w:bookmarkEnd w:id="237"/>
      <w:bookmarkEnd w:id="238"/>
      <w:bookmarkEnd w:id="239"/>
      <w:bookmarkEnd w:id="240"/>
      <w:bookmarkEnd w:id="241"/>
      <w:bookmarkEnd w:id="242"/>
      <w:bookmarkEnd w:id="243"/>
      <w:bookmarkEnd w:id="244"/>
      <w:bookmarkEnd w:id="245"/>
      <w:bookmarkEnd w:id="246"/>
      <w:r>
        <w:rPr>
          <w:rFonts w:hint="eastAsia" w:ascii="宋体" w:hAnsi="宋体" w:eastAsia="宋体" w:cs="宋体"/>
          <w:sz w:val="24"/>
          <w:szCs w:val="24"/>
          <w:highlight w:val="none"/>
        </w:rPr>
        <w:t>理人</w:t>
      </w:r>
      <w:bookmarkEnd w:id="235"/>
    </w:p>
    <w:p>
      <w:pPr>
        <w:spacing w:line="400" w:lineRule="exact"/>
        <w:ind w:firstLine="480" w:firstLineChars="200"/>
        <w:rPr>
          <w:rFonts w:ascii="宋体" w:hAnsi="宋体" w:cs="宋体"/>
          <w:highlight w:val="none"/>
        </w:rPr>
      </w:pPr>
      <w:bookmarkStart w:id="247" w:name="_Toc267251418"/>
      <w:r>
        <w:rPr>
          <w:rFonts w:hint="eastAsia" w:ascii="宋体" w:hAnsi="宋体" w:cs="宋体"/>
          <w:highlight w:val="none"/>
        </w:rPr>
        <w:t>4.1监理人的一般规定</w:t>
      </w:r>
    </w:p>
    <w:p>
      <w:pPr>
        <w:spacing w:line="400" w:lineRule="exact"/>
        <w:ind w:firstLine="480" w:firstLineChars="200"/>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pPr>
        <w:spacing w:line="400" w:lineRule="exact"/>
        <w:ind w:firstLine="480" w:firstLineChars="200"/>
        <w:rPr>
          <w:rFonts w:ascii="宋体" w:hAnsi="宋体" w:cs="宋体"/>
          <w:highlight w:val="none"/>
        </w:rPr>
      </w:pPr>
      <w:r>
        <w:rPr>
          <w:rFonts w:hint="eastAsia" w:ascii="宋体" w:hAnsi="宋体" w:cs="宋体"/>
          <w:highlight w:val="none"/>
        </w:rPr>
        <w:t>4.2 监理人员</w:t>
      </w:r>
    </w:p>
    <w:p>
      <w:pPr>
        <w:spacing w:line="400" w:lineRule="exact"/>
        <w:ind w:firstLine="480" w:firstLineChars="200"/>
        <w:rPr>
          <w:rFonts w:ascii="宋体" w:hAnsi="宋体" w:cs="宋体"/>
          <w:highlight w:val="none"/>
        </w:rPr>
      </w:pPr>
      <w:r>
        <w:rPr>
          <w:rFonts w:hint="eastAsia" w:ascii="宋体" w:hAnsi="宋体" w:cs="宋体"/>
          <w:highlight w:val="none"/>
        </w:rPr>
        <w:t>总监理工程师：</w:t>
      </w:r>
    </w:p>
    <w:p>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关于监理人的其他约定：</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pPr>
        <w:spacing w:line="400" w:lineRule="exact"/>
        <w:ind w:firstLine="480" w:firstLineChars="200"/>
        <w:rPr>
          <w:rFonts w:ascii="宋体" w:hAnsi="宋体" w:cs="宋体"/>
          <w:highlight w:val="none"/>
        </w:rPr>
      </w:pPr>
      <w:r>
        <w:rPr>
          <w:rFonts w:hint="eastAsia" w:ascii="宋体" w:hAnsi="宋体" w:cs="宋体"/>
          <w:highlight w:val="none"/>
        </w:rPr>
        <w:t>4.4 商定或确定</w:t>
      </w:r>
    </w:p>
    <w:p>
      <w:pPr>
        <w:spacing w:line="400" w:lineRule="exact"/>
        <w:ind w:firstLine="480" w:firstLineChars="200"/>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pPr>
        <w:spacing w:line="400" w:lineRule="exact"/>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pPr>
        <w:pStyle w:val="6"/>
        <w:spacing w:before="0" w:after="0" w:line="400" w:lineRule="exact"/>
        <w:ind w:firstLine="482" w:firstLineChars="200"/>
        <w:rPr>
          <w:rFonts w:ascii="宋体" w:hAnsi="宋体" w:eastAsia="宋体" w:cs="宋体"/>
          <w:sz w:val="24"/>
          <w:szCs w:val="24"/>
          <w:highlight w:val="none"/>
        </w:rPr>
      </w:pPr>
      <w:bookmarkStart w:id="248" w:name="_Toc351203637"/>
      <w:r>
        <w:rPr>
          <w:rFonts w:hint="eastAsia" w:ascii="宋体" w:hAnsi="宋体" w:eastAsia="宋体" w:cs="宋体"/>
          <w:sz w:val="24"/>
          <w:szCs w:val="24"/>
          <w:highlight w:val="none"/>
        </w:rPr>
        <w:t>5</w:t>
      </w:r>
      <w:bookmarkEnd w:id="247"/>
      <w:bookmarkStart w:id="249" w:name="_Toc297048349"/>
      <w:bookmarkStart w:id="250" w:name="_Toc296891203"/>
      <w:bookmarkStart w:id="251" w:name="_Toc296944502"/>
      <w:bookmarkStart w:id="252" w:name="_Toc292559367"/>
      <w:bookmarkStart w:id="253" w:name="_Toc296503163"/>
      <w:bookmarkStart w:id="254" w:name="_Toc297120463"/>
      <w:bookmarkStart w:id="255" w:name="_Toc296346664"/>
      <w:bookmarkStart w:id="256" w:name="_Toc296347162"/>
      <w:bookmarkStart w:id="257" w:name="_Toc292559872"/>
      <w:bookmarkStart w:id="258" w:name="_Toc296890991"/>
      <w:r>
        <w:rPr>
          <w:rFonts w:hint="eastAsia" w:ascii="宋体" w:hAnsi="宋体" w:eastAsia="宋体" w:cs="宋体"/>
          <w:sz w:val="24"/>
          <w:szCs w:val="24"/>
          <w:highlight w:val="none"/>
        </w:rPr>
        <w:t>. 工程质量</w:t>
      </w:r>
      <w:bookmarkEnd w:id="248"/>
    </w:p>
    <w:p>
      <w:pPr>
        <w:spacing w:line="400" w:lineRule="exact"/>
        <w:ind w:firstLine="480" w:firstLineChars="200"/>
        <w:rPr>
          <w:rFonts w:ascii="宋体" w:hAnsi="宋体" w:cs="宋体"/>
          <w:highlight w:val="none"/>
        </w:rPr>
      </w:pPr>
      <w:bookmarkStart w:id="259" w:name="_Toc297216155"/>
      <w:bookmarkStart w:id="260" w:name="_Toc304295527"/>
      <w:bookmarkStart w:id="261" w:name="_Toc318581164"/>
      <w:bookmarkStart w:id="262" w:name="_Toc297123496"/>
      <w:bookmarkStart w:id="263" w:name="_Toc312677997"/>
      <w:bookmarkStart w:id="264" w:name="_Toc300934949"/>
      <w:bookmarkStart w:id="265" w:name="_Toc303539106"/>
      <w:r>
        <w:rPr>
          <w:rFonts w:hint="eastAsia" w:ascii="宋体" w:hAnsi="宋体" w:cs="宋体"/>
          <w:highlight w:val="none"/>
        </w:rPr>
        <w:t>5.1 质量要求</w:t>
      </w:r>
    </w:p>
    <w:p>
      <w:pPr>
        <w:spacing w:line="400" w:lineRule="exact"/>
        <w:ind w:firstLine="480" w:firstLineChars="200"/>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5.3 隐蔽工程检查</w:t>
      </w:r>
    </w:p>
    <w:p>
      <w:pPr>
        <w:spacing w:line="400" w:lineRule="exact"/>
        <w:ind w:firstLine="480" w:firstLineChars="200"/>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pPr>
        <w:spacing w:line="400" w:lineRule="exact"/>
        <w:ind w:firstLine="480" w:firstLineChars="200"/>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pPr>
        <w:spacing w:line="400" w:lineRule="exact"/>
        <w:ind w:firstLine="480" w:firstLineChars="200"/>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重要节点的隐蔽工程验收过程、验收部位除办理纸质验收记录，承包 人还应保留验收部位、验收过程、验收人员相片、影像等资料。</w:t>
      </w:r>
    </w:p>
    <w:p>
      <w:pPr>
        <w:pStyle w:val="6"/>
        <w:spacing w:before="0" w:after="0" w:line="400" w:lineRule="exact"/>
        <w:ind w:firstLine="482" w:firstLineChars="200"/>
        <w:rPr>
          <w:rFonts w:ascii="宋体" w:hAnsi="宋体" w:eastAsia="宋体" w:cs="宋体"/>
          <w:b w:val="0"/>
          <w:sz w:val="24"/>
          <w:szCs w:val="24"/>
          <w:highlight w:val="none"/>
        </w:rPr>
      </w:pPr>
      <w:bookmarkStart w:id="266" w:name="_Toc351203638"/>
      <w:r>
        <w:rPr>
          <w:rFonts w:hint="eastAsia" w:ascii="宋体" w:hAnsi="宋体" w:eastAsia="宋体" w:cs="宋体"/>
          <w:sz w:val="24"/>
          <w:szCs w:val="24"/>
          <w:highlight w:val="none"/>
        </w:rPr>
        <w:t>6. 安全文明施工与环境保护</w:t>
      </w:r>
      <w:bookmarkEnd w:id="266"/>
    </w:p>
    <w:p>
      <w:pPr>
        <w:spacing w:line="400" w:lineRule="exact"/>
        <w:ind w:firstLine="480" w:firstLineChars="200"/>
        <w:rPr>
          <w:rFonts w:ascii="宋体" w:hAnsi="宋体" w:cs="宋体"/>
          <w:highlight w:val="none"/>
        </w:rPr>
      </w:pPr>
      <w:r>
        <w:rPr>
          <w:rFonts w:hint="eastAsia" w:ascii="宋体" w:hAnsi="宋体" w:cs="宋体"/>
          <w:highlight w:val="none"/>
        </w:rPr>
        <w:t>6.1安全文明施工</w:t>
      </w:r>
    </w:p>
    <w:p>
      <w:pPr>
        <w:spacing w:line="400" w:lineRule="exact"/>
        <w:ind w:firstLine="480" w:firstLineChars="200"/>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pPr>
        <w:pStyle w:val="27"/>
        <w:tabs>
          <w:tab w:val="left" w:pos="1516"/>
        </w:tabs>
        <w:spacing w:line="400" w:lineRule="exact"/>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pPr>
        <w:pStyle w:val="27"/>
        <w:tabs>
          <w:tab w:val="left" w:pos="1516"/>
        </w:tabs>
        <w:spacing w:line="400" w:lineRule="exact"/>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6.1.5 文明施工</w:t>
      </w:r>
    </w:p>
    <w:p>
      <w:pPr>
        <w:spacing w:line="400" w:lineRule="exact"/>
        <w:ind w:firstLine="480" w:firstLineChars="200"/>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pPr>
        <w:spacing w:line="400" w:lineRule="exact"/>
        <w:ind w:firstLine="480" w:firstLineChars="200"/>
        <w:rPr>
          <w:rFonts w:ascii="宋体" w:hAnsi="宋体" w:cs="宋体"/>
          <w:highlight w:val="none"/>
          <w:u w:val="single"/>
        </w:rPr>
      </w:pPr>
      <w:r>
        <w:rPr>
          <w:rFonts w:hint="eastAsia" w:ascii="宋体" w:hAnsi="宋体" w:cs="宋体"/>
          <w:highlight w:val="none"/>
        </w:rPr>
        <w:t>6.1.6 关于安全文明施工费支付比例和支付期限的约定：</w:t>
      </w:r>
      <w:r>
        <w:rPr>
          <w:rFonts w:hint="eastAsia" w:ascii="宋体" w:hAnsi="宋体" w:cs="宋体"/>
          <w:highlight w:val="none"/>
          <w:u w:val="single"/>
        </w:rPr>
        <w:t>安全文明施工费预付费用包含在工程预付款内，与工程预付款一并支付，支付比例为安全文明施工费（不含创标化工地增加费）总额的50 %，</w:t>
      </w:r>
      <w:r>
        <w:rPr>
          <w:rFonts w:hint="eastAsia" w:ascii="宋体" w:hAnsi="宋体" w:cs="宋体"/>
          <w:spacing w:val="-3"/>
          <w:highlight w:val="none"/>
          <w:u w:val="single"/>
        </w:rPr>
        <w:t>金额为</w:t>
      </w:r>
      <w:r>
        <w:rPr>
          <w:rFonts w:hint="eastAsia" w:ascii="宋体" w:hAnsi="宋体" w:cs="宋体"/>
          <w:highlight w:val="none"/>
          <w:u w:val="single"/>
        </w:rPr>
        <w:t>（</w:t>
      </w:r>
      <w:r>
        <w:rPr>
          <w:rFonts w:hint="eastAsia" w:ascii="宋体" w:hAnsi="宋体" w:cs="宋体"/>
          <w:spacing w:val="2"/>
          <w:highlight w:val="none"/>
          <w:u w:val="single"/>
        </w:rPr>
        <w:t xml:space="preserve"> </w:t>
      </w:r>
      <w:r>
        <w:rPr>
          <w:rFonts w:hint="eastAsia" w:ascii="宋体" w:hAnsi="宋体" w:cs="宋体"/>
          <w:highlight w:val="none"/>
          <w:u w:val="single"/>
        </w:rPr>
        <w:t>）</w:t>
      </w:r>
      <w:r>
        <w:rPr>
          <w:rFonts w:hint="eastAsia" w:ascii="宋体" w:hAnsi="宋体" w:cs="宋体"/>
          <w:spacing w:val="-3"/>
          <w:highlight w:val="none"/>
          <w:u w:val="single"/>
        </w:rPr>
        <w:t>元</w:t>
      </w:r>
      <w:r>
        <w:rPr>
          <w:rFonts w:hint="eastAsia" w:ascii="宋体" w:hAnsi="宋体" w:cs="宋体"/>
          <w:highlight w:val="none"/>
          <w:u w:val="single"/>
        </w:rPr>
        <w:t>。其余部分与进度款同期支付。安全文明施工费的使用按通用合同条款执行。</w:t>
      </w:r>
    </w:p>
    <w:p>
      <w:pPr>
        <w:spacing w:line="400" w:lineRule="exact"/>
        <w:ind w:firstLine="480" w:firstLineChars="200"/>
        <w:rPr>
          <w:rFonts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259"/>
    <w:bookmarkEnd w:id="260"/>
    <w:bookmarkEnd w:id="261"/>
    <w:bookmarkEnd w:id="262"/>
    <w:bookmarkEnd w:id="263"/>
    <w:bookmarkEnd w:id="264"/>
    <w:bookmarkEnd w:id="265"/>
    <w:p>
      <w:pPr>
        <w:pStyle w:val="6"/>
        <w:spacing w:before="0" w:after="0" w:line="400" w:lineRule="exact"/>
        <w:ind w:firstLine="482" w:firstLineChars="200"/>
        <w:rPr>
          <w:rFonts w:ascii="宋体" w:hAnsi="宋体" w:eastAsia="宋体" w:cs="宋体"/>
          <w:sz w:val="24"/>
          <w:szCs w:val="24"/>
          <w:highlight w:val="none"/>
        </w:rPr>
      </w:pPr>
      <w:bookmarkStart w:id="267" w:name="_Toc351203639"/>
      <w:r>
        <w:rPr>
          <w:rFonts w:hint="eastAsia" w:ascii="宋体" w:hAnsi="宋体" w:eastAsia="宋体" w:cs="宋体"/>
          <w:sz w:val="24"/>
          <w:szCs w:val="24"/>
          <w:highlight w:val="none"/>
        </w:rPr>
        <w:t>7. 工期和进度</w:t>
      </w:r>
      <w:bookmarkEnd w:id="267"/>
    </w:p>
    <w:p>
      <w:pPr>
        <w:spacing w:line="400" w:lineRule="exact"/>
        <w:ind w:firstLine="480" w:firstLineChars="200"/>
        <w:rPr>
          <w:rFonts w:ascii="宋体" w:hAnsi="宋体" w:cs="宋体"/>
          <w:highlight w:val="none"/>
        </w:rPr>
      </w:pPr>
      <w:r>
        <w:rPr>
          <w:rFonts w:hint="eastAsia" w:ascii="宋体" w:hAnsi="宋体" w:cs="宋体"/>
          <w:highlight w:val="none"/>
        </w:rPr>
        <w:t>7.1 施工组织设计</w:t>
      </w:r>
    </w:p>
    <w:p>
      <w:pPr>
        <w:spacing w:line="400" w:lineRule="exact"/>
        <w:ind w:firstLine="480" w:firstLineChars="200"/>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对特殊工艺施工、危险性较大分部分项工程施工（如基坑支护方案、高大支模架方案、外墙悬挑架等专项施工方案），应按规定组织专家论证及办理审批手续。</w:t>
      </w:r>
    </w:p>
    <w:p>
      <w:pPr>
        <w:spacing w:line="400" w:lineRule="exact"/>
        <w:ind w:firstLine="480" w:firstLineChars="200"/>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spacing w:line="400" w:lineRule="exact"/>
        <w:ind w:firstLine="480" w:firstLineChars="200"/>
        <w:rPr>
          <w:rFonts w:ascii="宋体" w:hAnsi="宋体" w:cs="宋体"/>
          <w:highlight w:val="none"/>
        </w:rPr>
      </w:pPr>
      <w:r>
        <w:rPr>
          <w:rFonts w:hint="eastAsia" w:ascii="宋体" w:hAnsi="宋体" w:cs="宋体"/>
          <w:highlight w:val="none"/>
        </w:rPr>
        <w:t>7.1.2 施工组织设计的提交和修改</w:t>
      </w:r>
    </w:p>
    <w:p>
      <w:pPr>
        <w:spacing w:line="400" w:lineRule="exact"/>
        <w:ind w:firstLine="480" w:firstLineChars="200"/>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7</w:t>
      </w:r>
      <w:bookmarkStart w:id="268" w:name="_Toc303539123"/>
      <w:bookmarkStart w:id="269" w:name="_Toc300934966"/>
      <w:bookmarkStart w:id="270" w:name="_Toc304295541"/>
      <w:bookmarkStart w:id="271" w:name="_Toc312678005"/>
      <w:bookmarkStart w:id="272" w:name="_Toc297123514"/>
      <w:bookmarkStart w:id="273" w:name="_Toc312677479"/>
      <w:bookmarkStart w:id="274" w:name="_Toc297216173"/>
      <w:r>
        <w:rPr>
          <w:rFonts w:hint="eastAsia" w:ascii="宋体" w:hAnsi="宋体" w:cs="宋体"/>
          <w:highlight w:val="none"/>
        </w:rPr>
        <w:t>.2 施工进度计划</w:t>
      </w:r>
    </w:p>
    <w:p>
      <w:pPr>
        <w:spacing w:line="400" w:lineRule="exact"/>
        <w:ind w:firstLine="480" w:firstLineChars="200"/>
        <w:rPr>
          <w:rFonts w:ascii="宋体" w:hAnsi="宋体" w:cs="宋体"/>
          <w:highlight w:val="none"/>
        </w:rPr>
      </w:pPr>
      <w:r>
        <w:rPr>
          <w:rFonts w:hint="eastAsia" w:ascii="宋体" w:hAnsi="宋体" w:cs="宋体"/>
          <w:highlight w:val="none"/>
        </w:rPr>
        <w:t>7.2.2 施工进度计划的修订</w:t>
      </w:r>
    </w:p>
    <w:p>
      <w:pPr>
        <w:spacing w:line="400" w:lineRule="exact"/>
        <w:ind w:firstLine="480" w:firstLineChars="200"/>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7.3 开工</w:t>
      </w:r>
    </w:p>
    <w:bookmarkEnd w:id="268"/>
    <w:bookmarkEnd w:id="269"/>
    <w:bookmarkEnd w:id="270"/>
    <w:bookmarkEnd w:id="271"/>
    <w:bookmarkEnd w:id="272"/>
    <w:bookmarkEnd w:id="273"/>
    <w:bookmarkEnd w:id="274"/>
    <w:p>
      <w:pPr>
        <w:spacing w:line="400" w:lineRule="exact"/>
        <w:ind w:firstLine="480" w:firstLineChars="200"/>
        <w:rPr>
          <w:rFonts w:ascii="宋体" w:hAnsi="宋体" w:cs="宋体"/>
          <w:highlight w:val="none"/>
        </w:rPr>
      </w:pPr>
      <w:r>
        <w:rPr>
          <w:rFonts w:hint="eastAsia" w:ascii="宋体" w:hAnsi="宋体" w:cs="宋体"/>
          <w:highlight w:val="none"/>
        </w:rPr>
        <w:t>7.3.1 开工准备</w:t>
      </w:r>
    </w:p>
    <w:p>
      <w:pPr>
        <w:spacing w:line="400" w:lineRule="exact"/>
        <w:ind w:firstLine="480" w:firstLineChars="200"/>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合同签订后7天内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pPr>
        <w:spacing w:line="400" w:lineRule="exact"/>
        <w:ind w:firstLine="480" w:firstLineChars="200"/>
        <w:rPr>
          <w:rFonts w:ascii="宋体" w:hAnsi="宋体" w:cs="宋体"/>
          <w:highlight w:val="none"/>
        </w:rPr>
      </w:pPr>
      <w:r>
        <w:rPr>
          <w:rFonts w:hint="eastAsia" w:ascii="宋体" w:hAnsi="宋体" w:cs="宋体"/>
          <w:highlight w:val="none"/>
        </w:rPr>
        <w:t>7.3.2开工通知</w:t>
      </w:r>
    </w:p>
    <w:p>
      <w:pPr>
        <w:spacing w:line="400" w:lineRule="exact"/>
        <w:ind w:firstLine="480" w:firstLineChars="200"/>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pPr>
        <w:spacing w:line="400" w:lineRule="exact"/>
        <w:ind w:firstLine="480" w:firstLineChars="200"/>
        <w:rPr>
          <w:rFonts w:ascii="宋体" w:hAnsi="宋体" w:cs="宋体"/>
          <w:highlight w:val="none"/>
        </w:rPr>
      </w:pPr>
      <w:r>
        <w:rPr>
          <w:rFonts w:hint="eastAsia" w:ascii="宋体" w:hAnsi="宋体" w:cs="宋体"/>
          <w:highlight w:val="none"/>
        </w:rPr>
        <w:t>7.4 测量放线</w:t>
      </w:r>
    </w:p>
    <w:p>
      <w:pPr>
        <w:spacing w:line="400" w:lineRule="exact"/>
        <w:ind w:firstLine="480" w:firstLineChars="200"/>
        <w:rPr>
          <w:rFonts w:ascii="宋体" w:hAnsi="宋体" w:cs="宋体"/>
          <w:highlight w:val="non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pPr>
        <w:spacing w:line="400" w:lineRule="exact"/>
        <w:ind w:firstLine="480" w:firstLineChars="200"/>
        <w:rPr>
          <w:rFonts w:ascii="宋体" w:hAnsi="宋体" w:cs="宋体"/>
          <w:highlight w:val="none"/>
        </w:rPr>
      </w:pPr>
      <w:r>
        <w:rPr>
          <w:rFonts w:hint="eastAsia" w:ascii="宋体" w:hAnsi="宋体" w:cs="宋体"/>
          <w:highlight w:val="none"/>
        </w:rPr>
        <w:t>7</w:t>
      </w:r>
      <w:bookmarkStart w:id="275" w:name="_Toc297123516"/>
      <w:bookmarkStart w:id="276" w:name="_Toc312678010"/>
      <w:bookmarkStart w:id="277" w:name="_Toc303539125"/>
      <w:bookmarkStart w:id="278" w:name="_Toc304295546"/>
      <w:bookmarkStart w:id="279" w:name="_Toc297216175"/>
      <w:bookmarkStart w:id="280" w:name="_Toc300934968"/>
      <w:bookmarkStart w:id="281" w:name="_Toc312677484"/>
      <w:r>
        <w:rPr>
          <w:rFonts w:hint="eastAsia" w:ascii="宋体" w:hAnsi="宋体" w:cs="宋体"/>
          <w:highlight w:val="none"/>
        </w:rPr>
        <w:t>.5 工期延误</w:t>
      </w:r>
    </w:p>
    <w:bookmarkEnd w:id="275"/>
    <w:bookmarkEnd w:id="276"/>
    <w:bookmarkEnd w:id="277"/>
    <w:bookmarkEnd w:id="278"/>
    <w:bookmarkEnd w:id="279"/>
    <w:bookmarkEnd w:id="280"/>
    <w:bookmarkEnd w:id="281"/>
    <w:p>
      <w:pPr>
        <w:spacing w:line="400" w:lineRule="exact"/>
        <w:ind w:firstLine="480" w:firstLineChars="200"/>
        <w:rPr>
          <w:rFonts w:ascii="宋体" w:hAnsi="宋体" w:cs="宋体"/>
          <w:highlight w:val="none"/>
        </w:rPr>
      </w:pPr>
      <w:bookmarkStart w:id="282" w:name="_Toc318581171"/>
      <w:bookmarkStart w:id="283" w:name="_Toc312678014"/>
      <w:r>
        <w:rPr>
          <w:rFonts w:hint="eastAsia" w:ascii="宋体" w:hAnsi="宋体" w:cs="宋体"/>
          <w:highlight w:val="none"/>
        </w:rPr>
        <w:t>7.5.1 因发包人原因导致工期延误</w:t>
      </w:r>
    </w:p>
    <w:p>
      <w:pPr>
        <w:spacing w:line="400" w:lineRule="exact"/>
        <w:ind w:firstLine="480" w:firstLineChars="200"/>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7</w:t>
      </w:r>
      <w:bookmarkStart w:id="284" w:name="_Toc312677486"/>
      <w:bookmarkStart w:id="285" w:name="_Toc312678012"/>
      <w:bookmarkStart w:id="286" w:name="_Toc318581169"/>
      <w:bookmarkStart w:id="287" w:name="_Toc297123518"/>
      <w:bookmarkStart w:id="288" w:name="_Toc303539127"/>
      <w:bookmarkStart w:id="289" w:name="_Toc304295548"/>
      <w:bookmarkStart w:id="290" w:name="_Toc300934970"/>
      <w:bookmarkStart w:id="291" w:name="_Toc297216177"/>
      <w:r>
        <w:rPr>
          <w:rFonts w:hint="eastAsia" w:ascii="宋体" w:hAnsi="宋体" w:cs="宋体"/>
          <w:highlight w:val="none"/>
        </w:rPr>
        <w:t>.5.2 因承包人原因导致工期延误</w:t>
      </w:r>
    </w:p>
    <w:bookmarkEnd w:id="284"/>
    <w:bookmarkEnd w:id="285"/>
    <w:bookmarkEnd w:id="286"/>
    <w:p>
      <w:pPr>
        <w:pStyle w:val="8"/>
        <w:autoSpaceDE/>
        <w:autoSpaceDN/>
        <w:adjustRightInd/>
        <w:spacing w:line="400" w:lineRule="exact"/>
        <w:ind w:right="523"/>
        <w:rPr>
          <w:rFonts w:ascii="宋体" w:hAnsi="宋体" w:cs="宋体"/>
          <w:color w:val="0000FF"/>
          <w:highlight w:val="none"/>
        </w:rPr>
      </w:pPr>
      <w:r>
        <w:rPr>
          <w:rFonts w:hint="eastAsia" w:ascii="宋体" w:hAnsi="宋体" w:cs="宋体"/>
          <w:highlight w:val="none"/>
        </w:rPr>
        <w:t>因</w:t>
      </w:r>
      <w:bookmarkStart w:id="292" w:name="_Toc312678013"/>
      <w:bookmarkStart w:id="293" w:name="_Toc312677487"/>
      <w:bookmarkStart w:id="294" w:name="_Toc318581170"/>
      <w:r>
        <w:rPr>
          <w:rFonts w:hint="eastAsia" w:ascii="宋体" w:hAnsi="宋体" w:cs="宋体"/>
          <w:highlight w:val="none"/>
        </w:rPr>
        <w:t>承包人原因造成工期延误，逾期竣工违约金的计算方法为：</w:t>
      </w:r>
      <w:bookmarkEnd w:id="287"/>
      <w:bookmarkEnd w:id="288"/>
      <w:bookmarkEnd w:id="289"/>
      <w:bookmarkEnd w:id="290"/>
      <w:bookmarkEnd w:id="291"/>
      <w:bookmarkEnd w:id="292"/>
      <w:bookmarkEnd w:id="293"/>
      <w:r>
        <w:rPr>
          <w:rFonts w:hint="eastAsia" w:ascii="宋体" w:hAnsi="宋体" w:cs="宋体"/>
          <w:highlight w:val="none"/>
          <w:u w:val="single"/>
        </w:rPr>
        <w:t xml:space="preserve">        /       </w:t>
      </w:r>
      <w:r>
        <w:rPr>
          <w:rFonts w:hint="eastAsia" w:ascii="宋体" w:hAnsi="宋体" w:cs="宋体"/>
          <w:highlight w:val="none"/>
        </w:rPr>
        <w:t>。</w:t>
      </w:r>
    </w:p>
    <w:bookmarkEnd w:id="294"/>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因承包人原因造成工期延误，逾期竣工违约金的上限：</w:t>
      </w:r>
      <w:r>
        <w:rPr>
          <w:rFonts w:hint="eastAsia" w:ascii="宋体" w:hAnsi="宋体" w:cs="宋体"/>
          <w:highlight w:val="none"/>
          <w:u w:val="single"/>
        </w:rPr>
        <w:t>履约保证金额度，对发包人造成损失超过违约金的，除承担违约金外同时赔偿发包人损失</w:t>
      </w:r>
      <w:r>
        <w:rPr>
          <w:rFonts w:hint="eastAsia" w:ascii="宋体" w:hAnsi="宋体" w:cs="宋体"/>
          <w:highlight w:val="none"/>
        </w:rPr>
        <w:t>。</w:t>
      </w:r>
    </w:p>
    <w:bookmarkEnd w:id="282"/>
    <w:bookmarkEnd w:id="283"/>
    <w:p>
      <w:pPr>
        <w:spacing w:line="400" w:lineRule="exact"/>
        <w:ind w:firstLine="480" w:firstLineChars="200"/>
        <w:rPr>
          <w:rFonts w:ascii="宋体" w:hAnsi="宋体" w:cs="宋体"/>
          <w:highlight w:val="none"/>
        </w:rPr>
      </w:pPr>
      <w:r>
        <w:rPr>
          <w:rFonts w:hint="eastAsia" w:ascii="宋体" w:hAnsi="宋体" w:cs="宋体"/>
          <w:highlight w:val="none"/>
        </w:rPr>
        <w:t>7</w:t>
      </w:r>
      <w:bookmarkStart w:id="295" w:name="_Toc300934971"/>
      <w:bookmarkStart w:id="296" w:name="_Toc297216178"/>
      <w:bookmarkStart w:id="297" w:name="_Toc297123519"/>
      <w:bookmarkStart w:id="298" w:name="_Toc312678015"/>
      <w:bookmarkStart w:id="299" w:name="_Toc304295549"/>
      <w:bookmarkStart w:id="300" w:name="_Toc303539128"/>
      <w:r>
        <w:rPr>
          <w:rFonts w:hint="eastAsia" w:ascii="宋体" w:hAnsi="宋体" w:cs="宋体"/>
          <w:highlight w:val="none"/>
        </w:rPr>
        <w:t>.6 不</w:t>
      </w:r>
      <w:bookmarkEnd w:id="295"/>
      <w:bookmarkEnd w:id="296"/>
      <w:bookmarkEnd w:id="297"/>
      <w:bookmarkEnd w:id="298"/>
      <w:bookmarkEnd w:id="299"/>
      <w:bookmarkEnd w:id="300"/>
      <w:r>
        <w:rPr>
          <w:rFonts w:hint="eastAsia" w:ascii="宋体" w:hAnsi="宋体" w:cs="宋体"/>
          <w:highlight w:val="none"/>
        </w:rPr>
        <w:t>利物质条件</w:t>
      </w:r>
    </w:p>
    <w:p>
      <w:pPr>
        <w:spacing w:line="400" w:lineRule="exact"/>
        <w:ind w:firstLine="480" w:firstLineChars="200"/>
        <w:rPr>
          <w:rFonts w:ascii="宋体" w:hAnsi="宋体" w:cs="宋体"/>
          <w:highlight w:val="none"/>
        </w:rPr>
      </w:pPr>
      <w:bookmarkStart w:id="301" w:name="_Toc318581172"/>
      <w:bookmarkStart w:id="302" w:name="_Toc297123520"/>
      <w:bookmarkStart w:id="303" w:name="_Toc300934972"/>
      <w:bookmarkStart w:id="304" w:name="_Toc297216179"/>
      <w:bookmarkStart w:id="305" w:name="_Toc312678016"/>
      <w:bookmarkStart w:id="306" w:name="_Toc304295550"/>
      <w:bookmarkStart w:id="307" w:name="_Toc303539129"/>
      <w:r>
        <w:rPr>
          <w:rFonts w:hint="eastAsia" w:ascii="宋体" w:hAnsi="宋体" w:cs="宋体"/>
          <w:highlight w:val="none"/>
        </w:rPr>
        <w:t>不利物质条件的其他情形和有关约定：</w:t>
      </w:r>
    </w:p>
    <w:p>
      <w:pPr>
        <w:spacing w:line="400" w:lineRule="exact"/>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pPr>
        <w:spacing w:line="400" w:lineRule="exact"/>
        <w:ind w:firstLine="480" w:firstLineChars="200"/>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pPr>
        <w:spacing w:line="400" w:lineRule="exact"/>
        <w:ind w:firstLine="480" w:firstLineChars="200"/>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（5）地质勘探资料未涉及的地下管道、暗沟、岩层等。</w:t>
      </w:r>
    </w:p>
    <w:p>
      <w:pPr>
        <w:spacing w:line="400" w:lineRule="exact"/>
        <w:ind w:firstLine="480" w:firstLineChars="200"/>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301"/>
    <w:bookmarkEnd w:id="302"/>
    <w:bookmarkEnd w:id="303"/>
    <w:bookmarkEnd w:id="304"/>
    <w:bookmarkEnd w:id="305"/>
    <w:bookmarkEnd w:id="306"/>
    <w:bookmarkEnd w:id="307"/>
    <w:p>
      <w:pPr>
        <w:spacing w:line="400" w:lineRule="exact"/>
        <w:ind w:firstLine="480" w:firstLineChars="200"/>
        <w:rPr>
          <w:rFonts w:ascii="宋体" w:hAnsi="宋体" w:cs="宋体"/>
          <w:highlight w:val="none"/>
        </w:rPr>
      </w:pPr>
      <w:r>
        <w:rPr>
          <w:rFonts w:hint="eastAsia" w:ascii="宋体" w:hAnsi="宋体" w:cs="宋体"/>
          <w:highlight w:val="none"/>
        </w:rPr>
        <w:t>7</w:t>
      </w:r>
      <w:bookmarkStart w:id="308" w:name="_Toc297216180"/>
      <w:bookmarkStart w:id="309" w:name="_Toc297123521"/>
      <w:bookmarkStart w:id="310" w:name="_Toc303539130"/>
      <w:bookmarkStart w:id="311" w:name="_Toc300934973"/>
      <w:bookmarkStart w:id="312" w:name="_Toc304295551"/>
      <w:bookmarkStart w:id="313" w:name="_Toc312678017"/>
      <w:r>
        <w:rPr>
          <w:rFonts w:hint="eastAsia" w:ascii="宋体" w:hAnsi="宋体" w:cs="宋体"/>
          <w:highlight w:val="none"/>
        </w:rPr>
        <w:t>.7异常恶劣的气候条件</w:t>
      </w:r>
    </w:p>
    <w:bookmarkEnd w:id="308"/>
    <w:bookmarkEnd w:id="309"/>
    <w:bookmarkEnd w:id="310"/>
    <w:bookmarkEnd w:id="311"/>
    <w:bookmarkEnd w:id="312"/>
    <w:bookmarkEnd w:id="313"/>
    <w:p>
      <w:pPr>
        <w:spacing w:line="400" w:lineRule="exact"/>
        <w:ind w:firstLine="480" w:firstLineChars="200"/>
        <w:rPr>
          <w:rFonts w:ascii="宋体" w:hAnsi="宋体" w:cs="宋体"/>
          <w:highlight w:val="none"/>
        </w:rPr>
      </w:pPr>
      <w:r>
        <w:rPr>
          <w:rFonts w:hint="eastAsia" w:ascii="宋体" w:hAnsi="宋体" w:cs="宋体"/>
          <w:highlight w:val="none"/>
        </w:rPr>
        <w:t>发包人和承包人同意以下情形视为异常恶劣的气候条件：</w:t>
      </w:r>
    </w:p>
    <w:p>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400" w:lineRule="exact"/>
        <w:ind w:firstLine="480" w:firstLineChars="200"/>
        <w:rPr>
          <w:rFonts w:ascii="宋体" w:hAnsi="宋体" w:cs="宋体"/>
          <w:highlight w:val="none"/>
        </w:rPr>
      </w:pPr>
      <w:r>
        <w:rPr>
          <w:rFonts w:hint="eastAsia" w:ascii="宋体" w:hAnsi="宋体" w:cs="宋体"/>
          <w:highlight w:val="none"/>
        </w:rPr>
        <w:t>7.9 提前竣工的奖励</w:t>
      </w:r>
    </w:p>
    <w:p>
      <w:pPr>
        <w:spacing w:line="400" w:lineRule="exact"/>
        <w:ind w:firstLine="480" w:firstLineChars="200"/>
        <w:rPr>
          <w:rFonts w:ascii="宋体" w:hAnsi="宋体" w:cs="宋体"/>
          <w:highlight w:val="none"/>
        </w:rPr>
      </w:pPr>
      <w:r>
        <w:rPr>
          <w:rFonts w:hint="eastAsia" w:ascii="宋体" w:hAnsi="宋体" w:cs="宋体"/>
          <w:highlight w:val="none"/>
        </w:rPr>
        <w:t>7.9.2提前竣工的奖励：</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720" w:firstLineChars="300"/>
        <w:rPr>
          <w:rFonts w:ascii="宋体" w:hAnsi="宋体" w:cs="宋体"/>
          <w:highlight w:val="none"/>
        </w:rPr>
      </w:pPr>
      <w:r>
        <w:rPr>
          <w:rFonts w:hint="eastAsia" w:ascii="宋体" w:hAnsi="宋体" w:cs="宋体"/>
          <w:highlight w:val="none"/>
        </w:rPr>
        <w:t>提前竣工奖励的上限：</w:t>
      </w:r>
      <w:r>
        <w:rPr>
          <w:rFonts w:hint="eastAsia" w:ascii="宋体" w:hAnsi="宋体" w:cs="宋体"/>
          <w:highlight w:val="none"/>
          <w:u w:val="single"/>
        </w:rPr>
        <w:t xml:space="preserve"> </w:t>
      </w:r>
      <w:r>
        <w:rPr>
          <w:rFonts w:hint="eastAsia" w:ascii="宋体" w:hAnsi="宋体" w:cs="宋体"/>
          <w:highlight w:val="none"/>
          <w:u w:val="single"/>
          <w:lang w:val="en-US" w:eastAsia="zh-CN"/>
        </w:rPr>
        <w:t>/</w:t>
      </w:r>
      <w:r>
        <w:rPr>
          <w:rFonts w:hint="eastAsia" w:ascii="宋体" w:hAnsi="宋体" w:cs="宋体"/>
          <w:highlight w:val="none"/>
          <w:u w:val="single"/>
        </w:rPr>
        <w:t xml:space="preserve">  </w:t>
      </w:r>
      <w:r>
        <w:rPr>
          <w:rFonts w:hint="eastAsia" w:ascii="宋体" w:hAnsi="宋体" w:cs="宋体"/>
          <w:highlight w:val="none"/>
        </w:rPr>
        <w:t>。</w:t>
      </w:r>
    </w:p>
    <w:p>
      <w:pPr>
        <w:pStyle w:val="6"/>
        <w:spacing w:before="0" w:after="0" w:line="400" w:lineRule="exact"/>
        <w:ind w:firstLine="482" w:firstLineChars="200"/>
        <w:rPr>
          <w:rFonts w:ascii="宋体" w:hAnsi="宋体" w:eastAsia="宋体" w:cs="宋体"/>
          <w:sz w:val="24"/>
          <w:szCs w:val="24"/>
          <w:highlight w:val="none"/>
        </w:rPr>
      </w:pPr>
      <w:bookmarkStart w:id="314" w:name="_Toc351203640"/>
      <w:r>
        <w:rPr>
          <w:rFonts w:hint="eastAsia" w:ascii="宋体" w:hAnsi="宋体" w:eastAsia="宋体" w:cs="宋体"/>
          <w:sz w:val="24"/>
          <w:szCs w:val="24"/>
          <w:highlight w:val="none"/>
        </w:rPr>
        <w:t>8. 材料与设备</w:t>
      </w:r>
      <w:bookmarkEnd w:id="314"/>
    </w:p>
    <w:bookmarkEnd w:id="249"/>
    <w:bookmarkEnd w:id="250"/>
    <w:bookmarkEnd w:id="251"/>
    <w:bookmarkEnd w:id="252"/>
    <w:bookmarkEnd w:id="253"/>
    <w:bookmarkEnd w:id="254"/>
    <w:bookmarkEnd w:id="255"/>
    <w:bookmarkEnd w:id="256"/>
    <w:bookmarkEnd w:id="257"/>
    <w:bookmarkEnd w:id="258"/>
    <w:p>
      <w:pPr>
        <w:spacing w:line="400" w:lineRule="exact"/>
        <w:ind w:firstLine="480" w:firstLineChars="200"/>
        <w:rPr>
          <w:rFonts w:ascii="宋体" w:hAnsi="宋体" w:cs="宋体"/>
          <w:highlight w:val="none"/>
        </w:rPr>
      </w:pPr>
      <w:bookmarkStart w:id="315" w:name="_Toc296890996"/>
      <w:bookmarkStart w:id="316" w:name="_Toc304295557"/>
      <w:bookmarkStart w:id="317" w:name="_Toc303539137"/>
      <w:bookmarkStart w:id="318" w:name="_Toc297048354"/>
      <w:bookmarkStart w:id="319" w:name="_Toc296891208"/>
      <w:bookmarkStart w:id="320" w:name="_Toc296347167"/>
      <w:bookmarkStart w:id="321" w:name="_Toc300934980"/>
      <w:bookmarkStart w:id="322" w:name="_Toc296503168"/>
      <w:bookmarkStart w:id="323" w:name="_Toc312677494"/>
      <w:bookmarkStart w:id="324" w:name="_Toc296346669"/>
      <w:bookmarkStart w:id="325" w:name="_Toc318581173"/>
      <w:bookmarkStart w:id="326" w:name="_Toc296944507"/>
      <w:bookmarkStart w:id="327" w:name="_Toc312678020"/>
      <w:bookmarkStart w:id="328" w:name="_Toc297123528"/>
      <w:bookmarkStart w:id="329" w:name="_Toc297120468"/>
      <w:bookmarkStart w:id="330" w:name="_Toc297216187"/>
      <w:bookmarkStart w:id="331" w:name="_Toc267251424"/>
      <w:bookmarkStart w:id="332" w:name="_Toc280868655"/>
      <w:bookmarkStart w:id="333" w:name="_Toc280868656"/>
      <w:r>
        <w:rPr>
          <w:rFonts w:hint="eastAsia" w:ascii="宋体" w:hAnsi="宋体" w:cs="宋体"/>
          <w:highlight w:val="none"/>
        </w:rPr>
        <w:t>8.1 发包人供应材料与工程设备</w:t>
      </w:r>
    </w:p>
    <w:p>
      <w:pPr>
        <w:spacing w:line="400" w:lineRule="exact"/>
        <w:ind w:firstLine="615"/>
        <w:rPr>
          <w:rFonts w:ascii="宋体" w:hAnsi="宋体" w:cs="宋体"/>
          <w:highlight w:val="none"/>
        </w:rPr>
      </w:pPr>
      <w:r>
        <w:rPr>
          <w:rFonts w:hint="eastAsia" w:ascii="宋体" w:hAnsi="宋体" w:cs="宋体"/>
          <w:highlight w:val="none"/>
        </w:rPr>
        <w:t>本工程中</w:t>
      </w:r>
      <w:r>
        <w:rPr>
          <w:rFonts w:hint="eastAsia" w:ascii="宋体" w:hAnsi="宋体" w:cs="宋体"/>
          <w:highlight w:val="none"/>
          <w:u w:val="single"/>
        </w:rPr>
        <w:t xml:space="preserve">       /    </w:t>
      </w:r>
      <w:r>
        <w:rPr>
          <w:rFonts w:hint="eastAsia" w:ascii="宋体" w:hAnsi="宋体" w:cs="宋体"/>
          <w:highlight w:val="none"/>
        </w:rPr>
        <w:t>材料由发包人提供，详见附件2：发包人供应材料设备一览表。</w:t>
      </w:r>
    </w:p>
    <w:p>
      <w:pPr>
        <w:spacing w:line="400" w:lineRule="exact"/>
        <w:ind w:firstLine="615"/>
        <w:rPr>
          <w:rFonts w:ascii="宋体" w:hAnsi="宋体" w:cs="宋体"/>
          <w:highlight w:val="none"/>
        </w:rPr>
      </w:pPr>
      <w:r>
        <w:rPr>
          <w:rFonts w:hint="eastAsia" w:ascii="宋体" w:hAnsi="宋体" w:cs="宋体"/>
          <w:highlight w:val="none"/>
        </w:rPr>
        <w:t>发包人提供的</w:t>
      </w:r>
      <w:r>
        <w:rPr>
          <w:rFonts w:hint="eastAsia" w:ascii="宋体" w:hAnsi="宋体" w:cs="宋体"/>
          <w:highlight w:val="none"/>
          <w:u w:val="single"/>
        </w:rPr>
        <w:t xml:space="preserve">      /      </w:t>
      </w:r>
      <w:r>
        <w:rPr>
          <w:rFonts w:hint="eastAsia" w:ascii="宋体" w:hAnsi="宋体" w:cs="宋体"/>
          <w:highlight w:val="none"/>
        </w:rPr>
        <w:t>材料费用（除税价款）在每期应付工程款（或竣工结算）的税前工程造价中扣回。（适用一般计税方法）</w:t>
      </w:r>
    </w:p>
    <w:p>
      <w:pPr>
        <w:spacing w:line="400" w:lineRule="exact"/>
        <w:ind w:firstLine="615"/>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8.2 承包人采购材料与工程设备</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（1）材料品牌、规格和使用要求：按招标文件（相应）技术标准和要求执行。凡是招标文件注明规格、型号或品牌、产地的材料，承包人必须按照招标文件要求采购和施工；如需调整，必须经得发包人认可。</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（2）本工程已确定承包价的建筑材料均由承包人自行询价、采购、运输和保管。</w:t>
      </w:r>
    </w:p>
    <w:p>
      <w:pPr>
        <w:spacing w:line="400" w:lineRule="exact"/>
        <w:ind w:firstLine="480" w:firstLineChars="200"/>
        <w:rPr>
          <w:rFonts w:ascii="宋体" w:hAnsi="宋体" w:cs="宋体"/>
          <w:color w:val="FF0000"/>
          <w:highlight w:val="none"/>
          <w:u w:val="single"/>
        </w:rPr>
      </w:pPr>
      <w:r>
        <w:rPr>
          <w:rFonts w:hint="eastAsia" w:ascii="宋体" w:hAnsi="宋体" w:cs="宋体"/>
          <w:highlight w:val="none"/>
          <w:u w:val="single"/>
        </w:rPr>
        <w:t>（3）本工程要求使用材料要求：商品砼。</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（4）所有材料必须有质保书或合格证，符合施工图纸和规范要求，且品牌、产地需报发包人备案，否则，因此产生的后果均由承包人负责。</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（5）合同中原暂定价材料或由工程变更产生的无价材料（按有关规定 可不组织招标采购的）由承包人采购时，应由发包人签证确定价格后采购， 发包人收到承包人价格确定申请后，7 日内审批完毕。</w:t>
      </w:r>
    </w:p>
    <w:p>
      <w:pPr>
        <w:spacing w:line="400" w:lineRule="exact"/>
        <w:ind w:firstLine="480" w:firstLineChars="200"/>
        <w:rPr>
          <w:rFonts w:ascii="宋体" w:hAnsi="宋体" w:cs="宋体"/>
          <w:highlight w:val="none"/>
        </w:rPr>
      </w:pPr>
      <w:r>
        <w:rPr>
          <w:rFonts w:hint="eastAsia" w:ascii="宋体" w:hAnsi="宋体" w:cs="宋体"/>
          <w:highlight w:val="none"/>
        </w:rPr>
        <w:t>8</w:t>
      </w:r>
      <w:bookmarkStart w:id="334" w:name="_Toc280868654"/>
      <w:bookmarkStart w:id="335" w:name="_Toc297123527"/>
      <w:bookmarkStart w:id="336" w:name="_Toc296944506"/>
      <w:bookmarkStart w:id="337" w:name="_Toc300934979"/>
      <w:bookmarkStart w:id="338" w:name="_Toc304295556"/>
      <w:bookmarkStart w:id="339" w:name="_Toc296347166"/>
      <w:bookmarkStart w:id="340" w:name="_Toc303539136"/>
      <w:bookmarkStart w:id="341" w:name="_Toc296503167"/>
      <w:bookmarkStart w:id="342" w:name="_Toc292559877"/>
      <w:bookmarkStart w:id="343" w:name="_Toc296890995"/>
      <w:bookmarkStart w:id="344" w:name="_Toc312678019"/>
      <w:bookmarkStart w:id="345" w:name="_Toc297048353"/>
      <w:bookmarkStart w:id="346" w:name="_Toc312677493"/>
      <w:bookmarkStart w:id="347" w:name="_Toc296346668"/>
      <w:bookmarkStart w:id="348" w:name="_Toc296891207"/>
      <w:bookmarkStart w:id="349" w:name="_Toc297216186"/>
      <w:bookmarkStart w:id="350" w:name="_Toc292559372"/>
      <w:bookmarkStart w:id="351" w:name="_Toc297120467"/>
      <w:r>
        <w:rPr>
          <w:rFonts w:hint="eastAsia" w:ascii="宋体" w:hAnsi="宋体" w:cs="宋体"/>
          <w:highlight w:val="none"/>
        </w:rPr>
        <w:t>.4材料与工程设备的保管与使用</w:t>
      </w:r>
    </w:p>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Pr>
        <w:spacing w:line="400" w:lineRule="exact"/>
        <w:ind w:firstLine="480" w:firstLineChars="200"/>
        <w:rPr>
          <w:rFonts w:ascii="宋体" w:hAnsi="宋体" w:cs="宋体"/>
          <w:highlight w:val="none"/>
        </w:rPr>
      </w:pPr>
      <w:r>
        <w:rPr>
          <w:rFonts w:hint="eastAsia" w:ascii="宋体" w:hAnsi="宋体" w:cs="宋体"/>
          <w:highlight w:val="none"/>
        </w:rPr>
        <w:t>8</w:t>
      </w:r>
      <w:bookmarkStart w:id="352" w:name="_Toc292559373"/>
      <w:bookmarkStart w:id="353" w:name="_Toc292559878"/>
      <w:r>
        <w:rPr>
          <w:rFonts w:hint="eastAsia" w:ascii="宋体" w:hAnsi="宋体" w:cs="宋体"/>
          <w:highlight w:val="none"/>
        </w:rPr>
        <w:t>.4.1发包人供应的材料设备的保管费用的承担：</w:t>
      </w:r>
      <w:bookmarkEnd w:id="352"/>
      <w:bookmarkEnd w:id="353"/>
    </w:p>
    <w:p>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发包人支付承包人保管费（或称总承包服务费），以提供材料金额（含进项税）为基数，乘以费率（  /  ）%计算。</w:t>
      </w:r>
    </w:p>
    <w:p>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pPr>
        <w:spacing w:line="400" w:lineRule="exact"/>
        <w:ind w:firstLine="480" w:firstLineChars="200"/>
        <w:rPr>
          <w:rFonts w:ascii="宋体" w:hAnsi="宋体" w:cs="宋体"/>
          <w:highlight w:val="none"/>
        </w:rPr>
      </w:pPr>
      <w:r>
        <w:rPr>
          <w:rFonts w:hint="eastAsia" w:ascii="宋体" w:hAnsi="宋体" w:cs="宋体"/>
          <w:highlight w:val="none"/>
        </w:rPr>
        <w:t>8.6 样品</w:t>
      </w:r>
    </w:p>
    <w:p>
      <w:pPr>
        <w:spacing w:line="400" w:lineRule="exact"/>
        <w:ind w:firstLine="480" w:firstLineChars="200"/>
        <w:rPr>
          <w:rFonts w:ascii="宋体" w:hAnsi="宋体" w:cs="宋体"/>
          <w:highlight w:val="none"/>
        </w:rPr>
      </w:pPr>
      <w:r>
        <w:rPr>
          <w:rFonts w:hint="eastAsia" w:ascii="宋体" w:hAnsi="宋体" w:cs="宋体"/>
          <w:highlight w:val="none"/>
        </w:rPr>
        <w:t>8.6.1 样品的报送与封存</w:t>
      </w:r>
    </w:p>
    <w:p>
      <w:pPr>
        <w:spacing w:line="400" w:lineRule="exact"/>
        <w:ind w:firstLine="480" w:firstLineChars="200"/>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pPr>
        <w:spacing w:line="400" w:lineRule="exact"/>
        <w:ind w:firstLine="480" w:firstLineChars="200"/>
        <w:rPr>
          <w:rFonts w:ascii="宋体" w:hAnsi="宋体" w:cs="宋体"/>
          <w:highlight w:val="none"/>
        </w:rPr>
      </w:pPr>
      <w:r>
        <w:rPr>
          <w:rFonts w:hint="eastAsia" w:ascii="宋体" w:hAnsi="宋体" w:cs="宋体"/>
          <w:highlight w:val="none"/>
        </w:rPr>
        <w:t>8.8 施工设备和临时设施</w:t>
      </w:r>
    </w:p>
    <w:p>
      <w:pPr>
        <w:spacing w:line="400" w:lineRule="exact"/>
        <w:ind w:firstLine="480" w:firstLineChars="200"/>
        <w:rPr>
          <w:rFonts w:ascii="宋体" w:hAnsi="宋体" w:cs="宋体"/>
          <w:highlight w:val="none"/>
        </w:rPr>
      </w:pPr>
      <w:r>
        <w:rPr>
          <w:rFonts w:hint="eastAsia" w:ascii="宋体" w:hAnsi="宋体" w:cs="宋体"/>
          <w:highlight w:val="none"/>
        </w:rPr>
        <w:t>8.8.1 承包人提供的施工设备和临时设施</w:t>
      </w:r>
    </w:p>
    <w:p>
      <w:pPr>
        <w:spacing w:line="400" w:lineRule="exact"/>
        <w:ind w:firstLine="480" w:firstLineChars="200"/>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Pr>
        <w:pStyle w:val="6"/>
        <w:spacing w:before="0" w:after="0" w:line="400" w:lineRule="exact"/>
        <w:ind w:firstLine="482" w:firstLineChars="200"/>
        <w:rPr>
          <w:rFonts w:ascii="宋体" w:hAnsi="宋体" w:eastAsia="宋体" w:cs="宋体"/>
          <w:sz w:val="24"/>
          <w:szCs w:val="24"/>
          <w:highlight w:val="none"/>
        </w:rPr>
      </w:pPr>
      <w:bookmarkStart w:id="354" w:name="_Toc351203641"/>
      <w:r>
        <w:rPr>
          <w:rFonts w:hint="eastAsia" w:ascii="宋体" w:hAnsi="宋体" w:eastAsia="宋体" w:cs="宋体"/>
          <w:sz w:val="24"/>
          <w:szCs w:val="24"/>
          <w:highlight w:val="none"/>
        </w:rPr>
        <w:t>9</w:t>
      </w:r>
      <w:bookmarkEnd w:id="331"/>
      <w:bookmarkEnd w:id="332"/>
      <w:bookmarkEnd w:id="333"/>
      <w:bookmarkStart w:id="355" w:name="_Toc297123533"/>
      <w:bookmarkStart w:id="356" w:name="_Toc312678021"/>
      <w:bookmarkStart w:id="357" w:name="_Toc312677495"/>
      <w:bookmarkStart w:id="358" w:name="_Toc304295559"/>
      <w:bookmarkStart w:id="359" w:name="_Toc300934982"/>
      <w:bookmarkStart w:id="360" w:name="_Toc303539139"/>
      <w:bookmarkStart w:id="361" w:name="_Toc297216192"/>
      <w:bookmarkStart w:id="362" w:name="_Toc292559378"/>
      <w:bookmarkStart w:id="363" w:name="_Toc296891001"/>
      <w:bookmarkStart w:id="364" w:name="_Toc296347172"/>
      <w:bookmarkStart w:id="365" w:name="_Toc297048359"/>
      <w:bookmarkStart w:id="366" w:name="_Toc297120473"/>
      <w:bookmarkStart w:id="367" w:name="_Toc267251427"/>
      <w:bookmarkStart w:id="368" w:name="_Toc296891213"/>
      <w:bookmarkStart w:id="369" w:name="_Toc267251428"/>
      <w:bookmarkStart w:id="370" w:name="_Toc296944512"/>
      <w:bookmarkStart w:id="371" w:name="_Toc296346674"/>
      <w:bookmarkStart w:id="372" w:name="_Toc296503173"/>
      <w:bookmarkStart w:id="373" w:name="_Toc292559883"/>
      <w:r>
        <w:rPr>
          <w:rFonts w:hint="eastAsia" w:ascii="宋体" w:hAnsi="宋体" w:eastAsia="宋体" w:cs="宋体"/>
          <w:sz w:val="24"/>
          <w:szCs w:val="24"/>
          <w:highlight w:val="none"/>
        </w:rPr>
        <w:t>. 试验与检验</w:t>
      </w:r>
      <w:bookmarkEnd w:id="354"/>
    </w:p>
    <w:bookmarkEnd w:id="355"/>
    <w:bookmarkEnd w:id="356"/>
    <w:bookmarkEnd w:id="357"/>
    <w:bookmarkEnd w:id="358"/>
    <w:bookmarkEnd w:id="359"/>
    <w:bookmarkEnd w:id="360"/>
    <w:bookmarkEnd w:id="361"/>
    <w:p>
      <w:pPr>
        <w:spacing w:line="400" w:lineRule="exact"/>
        <w:ind w:firstLine="480" w:firstLineChars="200"/>
        <w:rPr>
          <w:rFonts w:ascii="宋体" w:hAnsi="宋体" w:cs="宋体"/>
          <w:highlight w:val="none"/>
        </w:rPr>
      </w:pPr>
      <w:bookmarkStart w:id="374" w:name="_Toc297216195"/>
      <w:bookmarkStart w:id="375" w:name="_Toc303539142"/>
      <w:bookmarkStart w:id="376" w:name="_Toc312678024"/>
      <w:bookmarkStart w:id="377" w:name="_Toc312677498"/>
      <w:bookmarkStart w:id="378" w:name="_Toc318581174"/>
      <w:bookmarkStart w:id="379" w:name="_Toc304295562"/>
      <w:bookmarkStart w:id="380" w:name="_Toc297123536"/>
      <w:bookmarkStart w:id="381" w:name="_Toc300934985"/>
      <w:r>
        <w:rPr>
          <w:rFonts w:hint="eastAsia" w:ascii="宋体" w:hAnsi="宋体" w:cs="宋体"/>
          <w:highlight w:val="none"/>
        </w:rPr>
        <w:t>9</w:t>
      </w:r>
      <w:bookmarkStart w:id="382" w:name="_Toc304295560"/>
      <w:bookmarkStart w:id="383" w:name="_Toc312677496"/>
      <w:bookmarkStart w:id="384" w:name="_Toc297123534"/>
      <w:bookmarkStart w:id="385" w:name="_Toc297216193"/>
      <w:bookmarkStart w:id="386" w:name="_Toc303539140"/>
      <w:bookmarkStart w:id="387" w:name="_Toc300934983"/>
      <w:bookmarkStart w:id="388" w:name="_Toc312678022"/>
      <w:r>
        <w:rPr>
          <w:rFonts w:hint="eastAsia" w:ascii="宋体" w:hAnsi="宋体" w:cs="宋体"/>
          <w:highlight w:val="none"/>
        </w:rPr>
        <w:t>.1试验设备与试验人员</w:t>
      </w:r>
    </w:p>
    <w:bookmarkEnd w:id="382"/>
    <w:bookmarkEnd w:id="383"/>
    <w:bookmarkEnd w:id="384"/>
    <w:bookmarkEnd w:id="385"/>
    <w:bookmarkEnd w:id="386"/>
    <w:bookmarkEnd w:id="387"/>
    <w:bookmarkEnd w:id="388"/>
    <w:p>
      <w:pPr>
        <w:spacing w:line="400" w:lineRule="exact"/>
        <w:ind w:firstLine="480" w:firstLineChars="200"/>
        <w:rPr>
          <w:rFonts w:ascii="宋体" w:hAnsi="宋体" w:cs="宋体"/>
          <w:highlight w:val="none"/>
        </w:rPr>
      </w:pPr>
      <w:r>
        <w:rPr>
          <w:rFonts w:hint="eastAsia" w:ascii="宋体" w:hAnsi="宋体" w:cs="宋体"/>
          <w:highlight w:val="none"/>
        </w:rPr>
        <w:t>9</w:t>
      </w:r>
      <w:bookmarkStart w:id="389" w:name="_Toc312677497"/>
      <w:bookmarkStart w:id="390" w:name="_Toc297123535"/>
      <w:bookmarkStart w:id="391" w:name="_Toc297216194"/>
      <w:bookmarkStart w:id="392" w:name="_Toc304295561"/>
      <w:bookmarkStart w:id="393" w:name="_Toc303539141"/>
      <w:bookmarkStart w:id="394" w:name="_Toc312678023"/>
      <w:bookmarkStart w:id="395" w:name="_Toc300934984"/>
      <w:r>
        <w:rPr>
          <w:rFonts w:hint="eastAsia" w:ascii="宋体" w:hAnsi="宋体" w:cs="宋体"/>
          <w:highlight w:val="none"/>
        </w:rPr>
        <w:t>.1.2 试验设备</w:t>
      </w:r>
    </w:p>
    <w:p>
      <w:pPr>
        <w:spacing w:line="400" w:lineRule="exact"/>
        <w:ind w:firstLine="480" w:firstLineChars="200"/>
        <w:rPr>
          <w:rFonts w:ascii="宋体" w:hAnsi="宋体" w:cs="宋体"/>
          <w:highlight w:val="none"/>
        </w:rPr>
      </w:pPr>
      <w:r>
        <w:rPr>
          <w:rFonts w:hint="eastAsia" w:ascii="宋体" w:hAnsi="宋体" w:cs="宋体"/>
          <w:highlight w:val="none"/>
        </w:rPr>
        <w:t>施工现场需要配置的试验场所：</w:t>
      </w:r>
      <w:bookmarkEnd w:id="389"/>
      <w:bookmarkEnd w:id="390"/>
      <w:bookmarkEnd w:id="391"/>
      <w:bookmarkEnd w:id="392"/>
      <w:bookmarkEnd w:id="393"/>
      <w:bookmarkEnd w:id="394"/>
      <w:bookmarkEnd w:id="395"/>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9.3 材料、工程设备和工程的试验和检验</w:t>
      </w:r>
    </w:p>
    <w:p>
      <w:pPr>
        <w:spacing w:line="400" w:lineRule="exact"/>
        <w:ind w:firstLine="480" w:firstLineChars="200"/>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400" w:lineRule="exact"/>
        <w:ind w:firstLine="480" w:firstLineChars="200"/>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400" w:lineRule="exact"/>
        <w:ind w:firstLine="480" w:firstLineChars="200"/>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400" w:lineRule="exact"/>
        <w:ind w:firstLine="480" w:firstLineChars="200"/>
        <w:rPr>
          <w:rFonts w:ascii="宋体" w:hAnsi="宋体" w:cs="宋体"/>
          <w:highlight w:val="none"/>
        </w:rPr>
      </w:pPr>
      <w:r>
        <w:rPr>
          <w:rFonts w:hint="eastAsia" w:ascii="宋体" w:hAnsi="宋体" w:cs="宋体"/>
          <w:highlight w:val="none"/>
        </w:rPr>
        <w:t>9.4 现场工艺试验</w:t>
      </w:r>
    </w:p>
    <w:p>
      <w:pPr>
        <w:spacing w:line="400" w:lineRule="exact"/>
        <w:ind w:firstLine="480" w:firstLineChars="200"/>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374"/>
    <w:bookmarkEnd w:id="375"/>
    <w:bookmarkEnd w:id="376"/>
    <w:bookmarkEnd w:id="377"/>
    <w:bookmarkEnd w:id="378"/>
    <w:bookmarkEnd w:id="379"/>
    <w:bookmarkEnd w:id="380"/>
    <w:bookmarkEnd w:id="381"/>
    <w:p>
      <w:pPr>
        <w:pStyle w:val="6"/>
        <w:spacing w:before="0" w:after="0" w:line="400" w:lineRule="exact"/>
        <w:ind w:firstLine="482" w:firstLineChars="200"/>
        <w:rPr>
          <w:rFonts w:ascii="宋体" w:hAnsi="宋体" w:eastAsia="宋体" w:cs="宋体"/>
          <w:sz w:val="24"/>
          <w:szCs w:val="24"/>
          <w:highlight w:val="none"/>
        </w:rPr>
      </w:pPr>
      <w:bookmarkStart w:id="396" w:name="_Toc351203642"/>
      <w:r>
        <w:rPr>
          <w:rFonts w:hint="eastAsia" w:ascii="宋体" w:hAnsi="宋体" w:eastAsia="宋体" w:cs="宋体"/>
          <w:sz w:val="24"/>
          <w:szCs w:val="24"/>
          <w:highlight w:val="none"/>
        </w:rPr>
        <w:t>1</w:t>
      </w:r>
      <w:bookmarkEnd w:id="362"/>
      <w:bookmarkEnd w:id="363"/>
      <w:bookmarkEnd w:id="364"/>
      <w:bookmarkEnd w:id="365"/>
      <w:bookmarkEnd w:id="366"/>
      <w:bookmarkEnd w:id="367"/>
      <w:bookmarkEnd w:id="368"/>
      <w:bookmarkEnd w:id="369"/>
      <w:bookmarkEnd w:id="370"/>
      <w:bookmarkEnd w:id="371"/>
      <w:bookmarkEnd w:id="372"/>
      <w:bookmarkEnd w:id="373"/>
      <w:bookmarkStart w:id="397" w:name="_Toc300934989"/>
      <w:bookmarkStart w:id="398" w:name="_Toc297120493"/>
      <w:bookmarkStart w:id="399" w:name="_Toc296347192"/>
      <w:bookmarkStart w:id="400" w:name="_Toc292559398"/>
      <w:bookmarkStart w:id="401" w:name="_Toc297048379"/>
      <w:bookmarkStart w:id="402" w:name="_Toc292559903"/>
      <w:bookmarkStart w:id="403" w:name="_Toc296503193"/>
      <w:bookmarkStart w:id="404" w:name="_Toc297123540"/>
      <w:bookmarkStart w:id="405" w:name="_Toc297216199"/>
      <w:bookmarkStart w:id="406" w:name="_Toc303539146"/>
      <w:bookmarkStart w:id="407" w:name="_Toc304295566"/>
      <w:bookmarkStart w:id="408" w:name="_Toc296346694"/>
      <w:bookmarkStart w:id="409" w:name="_Toc296891233"/>
      <w:bookmarkStart w:id="410" w:name="_Toc296944532"/>
      <w:bookmarkStart w:id="411" w:name="_Toc296891021"/>
      <w:bookmarkStart w:id="412" w:name="_Toc312678025"/>
      <w:bookmarkStart w:id="413" w:name="_Toc312677499"/>
      <w:bookmarkStart w:id="414" w:name="_Toc267251440"/>
      <w:bookmarkStart w:id="415" w:name="_Toc267251435"/>
      <w:bookmarkStart w:id="416" w:name="_Toc267251441"/>
      <w:bookmarkStart w:id="417" w:name="_Toc267251439"/>
      <w:bookmarkStart w:id="418" w:name="_Toc267251433"/>
      <w:bookmarkStart w:id="419" w:name="_Toc267251437"/>
      <w:bookmarkStart w:id="420" w:name="_Toc267251442"/>
      <w:r>
        <w:rPr>
          <w:rFonts w:hint="eastAsia" w:ascii="宋体" w:hAnsi="宋体" w:eastAsia="宋体" w:cs="宋体"/>
          <w:sz w:val="24"/>
          <w:szCs w:val="24"/>
          <w:highlight w:val="none"/>
        </w:rPr>
        <w:t>0. 变更</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bookmarkEnd w:id="412"/>
    <w:bookmarkEnd w:id="413"/>
    <w:p>
      <w:pPr>
        <w:spacing w:line="400" w:lineRule="exact"/>
        <w:ind w:firstLine="480" w:firstLineChars="200"/>
        <w:rPr>
          <w:rFonts w:ascii="宋体" w:hAnsi="宋体" w:cs="宋体"/>
          <w:highlight w:val="none"/>
        </w:rPr>
      </w:pPr>
      <w:r>
        <w:rPr>
          <w:rFonts w:hint="eastAsia" w:ascii="宋体" w:hAnsi="宋体" w:cs="宋体"/>
          <w:highlight w:val="none"/>
        </w:rPr>
        <w:t>1</w:t>
      </w:r>
      <w:bookmarkStart w:id="421" w:name="_Toc296891234"/>
      <w:bookmarkStart w:id="422" w:name="_Toc296346695"/>
      <w:bookmarkStart w:id="423" w:name="_Toc297123541"/>
      <w:bookmarkStart w:id="424" w:name="_Toc297216200"/>
      <w:bookmarkStart w:id="425" w:name="_Toc300934990"/>
      <w:bookmarkStart w:id="426" w:name="_Toc303539147"/>
      <w:bookmarkStart w:id="427" w:name="_Toc296347193"/>
      <w:bookmarkStart w:id="428" w:name="_Toc296503194"/>
      <w:bookmarkStart w:id="429" w:name="_Toc292559904"/>
      <w:bookmarkStart w:id="430" w:name="_Toc296944533"/>
      <w:bookmarkStart w:id="431" w:name="_Toc304295567"/>
      <w:bookmarkStart w:id="432" w:name="_Toc297048380"/>
      <w:bookmarkStart w:id="433" w:name="_Toc312678026"/>
      <w:bookmarkStart w:id="434" w:name="_Toc297120494"/>
      <w:bookmarkStart w:id="435" w:name="_Toc296891022"/>
      <w:bookmarkStart w:id="436" w:name="_Toc312677500"/>
      <w:bookmarkStart w:id="437" w:name="_Toc292559399"/>
      <w:r>
        <w:rPr>
          <w:rFonts w:hint="eastAsia" w:ascii="宋体" w:hAnsi="宋体" w:cs="宋体"/>
          <w:highlight w:val="none"/>
        </w:rPr>
        <w:t>0.1变更的范围</w:t>
      </w:r>
    </w:p>
    <w:p>
      <w:pPr>
        <w:spacing w:line="400" w:lineRule="exact"/>
        <w:ind w:firstLine="480" w:firstLineChars="200"/>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pPr>
        <w:spacing w:line="400" w:lineRule="exact"/>
        <w:ind w:firstLine="480" w:firstLineChars="200"/>
        <w:rPr>
          <w:rFonts w:ascii="宋体" w:hAnsi="宋体" w:cs="宋体"/>
          <w:highlight w:val="none"/>
        </w:rPr>
      </w:pPr>
      <w:r>
        <w:rPr>
          <w:rFonts w:hint="eastAsia" w:ascii="宋体" w:hAnsi="宋体" w:cs="宋体"/>
          <w:highlight w:val="none"/>
        </w:rPr>
        <w:t>10.4 变更估价</w:t>
      </w:r>
    </w:p>
    <w:p>
      <w:pPr>
        <w:spacing w:line="400" w:lineRule="exact"/>
        <w:ind w:firstLine="480" w:firstLineChars="200"/>
        <w:rPr>
          <w:rFonts w:ascii="宋体" w:hAnsi="宋体" w:cs="宋体"/>
          <w:highlight w:val="none"/>
        </w:rPr>
      </w:pPr>
      <w:r>
        <w:rPr>
          <w:rFonts w:hint="eastAsia" w:ascii="宋体" w:hAnsi="宋体" w:cs="宋体"/>
          <w:highlight w:val="none"/>
        </w:rPr>
        <w:t>10.4.1 变更估价原则</w:t>
      </w:r>
    </w:p>
    <w:p>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关于变更估价的约定: </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3）（4）条约定调整，工程量减少按投标综合单价计算，不调整综合单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pPr>
        <w:spacing w:line="400" w:lineRule="exact"/>
        <w:ind w:firstLine="480" w:firstLineChars="200"/>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pPr>
        <w:spacing w:line="400" w:lineRule="exact"/>
        <w:ind w:firstLine="480" w:firstLineChars="200"/>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pPr>
        <w:spacing w:line="400" w:lineRule="exact"/>
        <w:ind w:firstLine="480" w:firstLineChars="200"/>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pPr>
        <w:spacing w:line="400" w:lineRule="exact"/>
        <w:ind w:firstLine="480" w:firstLineChars="200"/>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pPr>
        <w:spacing w:line="400" w:lineRule="exact"/>
        <w:ind w:firstLine="480" w:firstLineChars="200"/>
        <w:rPr>
          <w:rFonts w:ascii="宋体" w:hAnsi="宋体" w:cs="宋体"/>
          <w:highlight w:val="none"/>
        </w:rPr>
      </w:pPr>
      <w:r>
        <w:rPr>
          <w:rFonts w:hint="eastAsia" w:ascii="宋体" w:hAnsi="宋体" w:cs="宋体"/>
          <w:highlight w:val="none"/>
        </w:rPr>
        <w:t>10.4.2 变更估价程序</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pPr>
        <w:spacing w:line="400" w:lineRule="exact"/>
        <w:ind w:firstLine="482" w:firstLineChars="200"/>
        <w:rPr>
          <w:rFonts w:ascii="宋体" w:hAnsi="宋体" w:cs="宋体"/>
          <w:b/>
          <w:highlight w:val="none"/>
          <w:u w:val="single"/>
        </w:rPr>
      </w:pPr>
      <w:r>
        <w:rPr>
          <w:rFonts w:hint="eastAsia" w:ascii="宋体" w:hAnsi="宋体" w:cs="宋体"/>
          <w:b/>
          <w:highlight w:val="none"/>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pPr>
        <w:spacing w:line="400" w:lineRule="exact"/>
        <w:ind w:firstLine="480" w:firstLineChars="200"/>
        <w:rPr>
          <w:rFonts w:ascii="宋体" w:hAnsi="宋体" w:cs="宋体"/>
          <w:highlight w:val="none"/>
        </w:rPr>
      </w:pPr>
      <w:r>
        <w:rPr>
          <w:rFonts w:hint="eastAsia" w:ascii="宋体" w:hAnsi="宋体" w:cs="宋体"/>
          <w:highlight w:val="none"/>
        </w:rPr>
        <w:t>1</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Start w:id="438" w:name="_Toc292559402"/>
      <w:bookmarkStart w:id="439" w:name="_Toc292559907"/>
      <w:bookmarkStart w:id="440" w:name="_Toc297216203"/>
      <w:bookmarkStart w:id="441" w:name="_Toc297120497"/>
      <w:bookmarkStart w:id="442" w:name="_Toc296891237"/>
      <w:bookmarkStart w:id="443" w:name="_Toc296347196"/>
      <w:bookmarkStart w:id="444" w:name="_Toc297123544"/>
      <w:bookmarkStart w:id="445" w:name="_Toc296944536"/>
      <w:bookmarkStart w:id="446" w:name="_Toc297048383"/>
      <w:bookmarkStart w:id="447" w:name="_Toc303539150"/>
      <w:bookmarkStart w:id="448" w:name="_Toc300934993"/>
      <w:bookmarkStart w:id="449" w:name="_Toc296346698"/>
      <w:bookmarkStart w:id="450" w:name="_Toc296503197"/>
      <w:bookmarkStart w:id="451" w:name="_Toc296891025"/>
      <w:bookmarkStart w:id="452" w:name="_Toc304295570"/>
      <w:bookmarkStart w:id="453" w:name="_Toc312678029"/>
      <w:bookmarkStart w:id="454" w:name="_Toc312677503"/>
      <w:r>
        <w:rPr>
          <w:rFonts w:hint="eastAsia" w:ascii="宋体" w:hAnsi="宋体" w:cs="宋体"/>
          <w:highlight w:val="none"/>
        </w:rPr>
        <w:t>0.5承</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Start w:id="455" w:name="_Toc297123545"/>
      <w:bookmarkStart w:id="456" w:name="_Toc297120503"/>
      <w:bookmarkStart w:id="457" w:name="_Toc296347202"/>
      <w:bookmarkStart w:id="458" w:name="_Toc296944542"/>
      <w:bookmarkStart w:id="459" w:name="_Toc297216204"/>
      <w:bookmarkStart w:id="460" w:name="_Toc296503203"/>
      <w:bookmarkStart w:id="461" w:name="_Toc300934994"/>
      <w:bookmarkStart w:id="462" w:name="_Toc303539151"/>
      <w:bookmarkStart w:id="463" w:name="_Toc292559913"/>
      <w:bookmarkStart w:id="464" w:name="_Toc292559408"/>
      <w:bookmarkStart w:id="465" w:name="_Toc296891031"/>
      <w:bookmarkStart w:id="466" w:name="_Toc296346704"/>
      <w:bookmarkStart w:id="467" w:name="_Toc296891243"/>
      <w:bookmarkStart w:id="468" w:name="_Toc297048389"/>
      <w:r>
        <w:rPr>
          <w:rFonts w:hint="eastAsia" w:ascii="宋体" w:hAnsi="宋体" w:cs="宋体"/>
          <w:highlight w:val="none"/>
        </w:rPr>
        <w:t>包人的合理化建议</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Pr>
        <w:spacing w:line="400" w:lineRule="exact"/>
        <w:ind w:firstLine="480" w:firstLineChars="200"/>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承</w:t>
      </w:r>
      <w:bookmarkStart w:id="469" w:name="_Toc312677504"/>
      <w:bookmarkStart w:id="470" w:name="_Toc303539152"/>
      <w:bookmarkStart w:id="471" w:name="_Toc296944543"/>
      <w:bookmarkStart w:id="472" w:name="_Toc297123546"/>
      <w:bookmarkStart w:id="473" w:name="_Toc296891244"/>
      <w:bookmarkStart w:id="474" w:name="_Toc312678030"/>
      <w:bookmarkStart w:id="475" w:name="_Toc297120504"/>
      <w:bookmarkStart w:id="476" w:name="_Toc296503204"/>
      <w:bookmarkStart w:id="477" w:name="_Toc296347203"/>
      <w:bookmarkStart w:id="478" w:name="_Toc300934995"/>
      <w:bookmarkStart w:id="479" w:name="_Toc297216205"/>
      <w:bookmarkStart w:id="480" w:name="_Toc292559409"/>
      <w:bookmarkStart w:id="481" w:name="_Toc292559914"/>
      <w:bookmarkStart w:id="482" w:name="_Toc304295571"/>
      <w:bookmarkStart w:id="483" w:name="_Toc296346705"/>
      <w:bookmarkStart w:id="484" w:name="_Toc296891032"/>
      <w:bookmarkStart w:id="485" w:name="_Toc297048390"/>
      <w:bookmarkStart w:id="486" w:name="_Toc318581175"/>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Pr>
        <w:spacing w:line="400" w:lineRule="exact"/>
        <w:ind w:firstLine="480" w:firstLineChars="200"/>
        <w:rPr>
          <w:rFonts w:ascii="宋体" w:hAnsi="宋体" w:cs="宋体"/>
          <w:highlight w:val="none"/>
        </w:rPr>
      </w:pPr>
      <w:r>
        <w:rPr>
          <w:rFonts w:hint="eastAsia" w:ascii="宋体" w:hAnsi="宋体" w:cs="宋体"/>
          <w:highlight w:val="none"/>
        </w:rPr>
        <w:t>1</w:t>
      </w:r>
      <w:bookmarkStart w:id="487" w:name="_Toc300934997"/>
      <w:bookmarkStart w:id="488" w:name="_Toc296944538"/>
      <w:bookmarkStart w:id="489" w:name="_Toc292559404"/>
      <w:bookmarkStart w:id="490" w:name="_Toc296346700"/>
      <w:bookmarkStart w:id="491" w:name="_Toc296891027"/>
      <w:bookmarkStart w:id="492" w:name="_Toc297123548"/>
      <w:bookmarkStart w:id="493" w:name="_Toc297120499"/>
      <w:bookmarkStart w:id="494" w:name="_Toc296503199"/>
      <w:bookmarkStart w:id="495" w:name="_Toc296891239"/>
      <w:bookmarkStart w:id="496" w:name="_Toc296347198"/>
      <w:bookmarkStart w:id="497" w:name="_Toc312678033"/>
      <w:bookmarkStart w:id="498" w:name="_Toc304295574"/>
      <w:bookmarkStart w:id="499" w:name="_Toc297216207"/>
      <w:bookmarkStart w:id="500" w:name="_Toc292559909"/>
      <w:bookmarkStart w:id="501" w:name="_Toc312677507"/>
      <w:bookmarkStart w:id="502" w:name="_Toc303539154"/>
      <w:bookmarkStart w:id="503" w:name="_Toc297048385"/>
      <w:r>
        <w:rPr>
          <w:rFonts w:hint="eastAsia" w:ascii="宋体" w:hAnsi="宋体" w:cs="宋体"/>
          <w:highlight w:val="none"/>
        </w:rPr>
        <w:t>0.7 暂估价</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Pr>
        <w:spacing w:line="400" w:lineRule="exact"/>
        <w:ind w:firstLine="480" w:firstLineChars="200"/>
        <w:rPr>
          <w:rFonts w:ascii="宋体" w:hAnsi="宋体" w:cs="宋体"/>
          <w:highlight w:val="none"/>
        </w:rPr>
      </w:pPr>
      <w:r>
        <w:rPr>
          <w:rFonts w:hint="eastAsia" w:ascii="宋体" w:hAnsi="宋体" w:cs="宋体"/>
          <w:highlight w:val="none"/>
        </w:rPr>
        <w:t>暂</w:t>
      </w:r>
      <w:bookmarkStart w:id="504" w:name="_Toc312677508"/>
      <w:bookmarkStart w:id="505" w:name="_Toc312678034"/>
      <w:bookmarkStart w:id="506" w:name="_Toc318581176"/>
      <w:r>
        <w:rPr>
          <w:rFonts w:hint="eastAsia" w:ascii="宋体" w:hAnsi="宋体" w:cs="宋体"/>
          <w:highlight w:val="none"/>
        </w:rPr>
        <w:t>估价材料和工程设备的明细详见工程量清单与计价：清单报价相关内容。</w:t>
      </w:r>
    </w:p>
    <w:bookmarkEnd w:id="504"/>
    <w:bookmarkEnd w:id="505"/>
    <w:bookmarkEnd w:id="506"/>
    <w:p>
      <w:pPr>
        <w:spacing w:line="400" w:lineRule="exact"/>
        <w:ind w:firstLine="480" w:firstLineChars="200"/>
        <w:rPr>
          <w:rFonts w:ascii="宋体" w:hAnsi="宋体" w:cs="宋体"/>
          <w:highlight w:val="none"/>
        </w:rPr>
      </w:pPr>
      <w:r>
        <w:rPr>
          <w:rFonts w:hint="eastAsia" w:ascii="宋体" w:hAnsi="宋体" w:cs="宋体"/>
          <w:highlight w:val="none"/>
        </w:rPr>
        <w:t>1</w:t>
      </w:r>
      <w:bookmarkStart w:id="507" w:name="_Toc318581177"/>
      <w:bookmarkStart w:id="508" w:name="_Toc312678035"/>
      <w:bookmarkStart w:id="509" w:name="_Toc312677509"/>
      <w:r>
        <w:rPr>
          <w:rFonts w:hint="eastAsia" w:ascii="宋体" w:hAnsi="宋体" w:cs="宋体"/>
          <w:highlight w:val="none"/>
        </w:rPr>
        <w:t>0.7.1 依法必须招标的暂估价项目</w:t>
      </w:r>
    </w:p>
    <w:bookmarkEnd w:id="507"/>
    <w:bookmarkEnd w:id="508"/>
    <w:bookmarkEnd w:id="509"/>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pPr>
        <w:spacing w:line="400" w:lineRule="exact"/>
        <w:ind w:firstLine="480" w:firstLineChars="200"/>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pPr>
        <w:spacing w:line="400" w:lineRule="exact"/>
        <w:ind w:firstLine="480" w:firstLineChars="200"/>
        <w:rPr>
          <w:rFonts w:ascii="宋体" w:hAnsi="宋体" w:cs="宋体"/>
          <w:highlight w:val="none"/>
        </w:rPr>
      </w:pPr>
      <w:r>
        <w:rPr>
          <w:rFonts w:hint="eastAsia" w:ascii="宋体" w:hAnsi="宋体" w:cs="宋体"/>
          <w:highlight w:val="none"/>
        </w:rPr>
        <w:t>第3种方式：承包人直接实施的暂估价项目</w:t>
      </w:r>
    </w:p>
    <w:p>
      <w:pPr>
        <w:spacing w:line="400" w:lineRule="exact"/>
        <w:ind w:firstLine="480" w:firstLineChars="200"/>
        <w:rPr>
          <w:rFonts w:ascii="宋体" w:hAnsi="宋体" w:cs="宋体"/>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pPr>
        <w:pStyle w:val="8"/>
        <w:spacing w:line="400" w:lineRule="exact"/>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pPr>
        <w:pStyle w:val="9"/>
        <w:spacing w:line="400" w:lineRule="exact"/>
        <w:ind w:firstLine="240"/>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 xml:space="preserve">10.8 暂列金额 </w:t>
      </w:r>
    </w:p>
    <w:p>
      <w:pPr>
        <w:spacing w:line="400" w:lineRule="exact"/>
        <w:ind w:firstLine="480" w:firstLineChars="200"/>
        <w:rPr>
          <w:rFonts w:ascii="宋体" w:hAnsi="宋体" w:cs="宋体"/>
          <w:highlight w:val="none"/>
        </w:rPr>
      </w:pPr>
      <w:r>
        <w:rPr>
          <w:rFonts w:hint="eastAsia" w:ascii="宋体" w:hAnsi="宋体" w:cs="宋体"/>
          <w:highlight w:val="none"/>
        </w:rPr>
        <w:t>合同当事人关于暂列金额使用的约定：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创标化工地增加费计算方式：</w:t>
      </w:r>
      <w:r>
        <w:rPr>
          <w:rFonts w:hint="eastAsia" w:ascii="宋体" w:hAnsi="宋体" w:cs="宋体"/>
          <w:highlight w:val="none"/>
          <w:u w:val="single"/>
        </w:rPr>
        <w:t xml:space="preserve">   本工程无创标化工地目标    。</w:t>
      </w:r>
    </w:p>
    <w:p>
      <w:pPr>
        <w:spacing w:line="400" w:lineRule="exact"/>
        <w:ind w:firstLine="480" w:firstLineChars="200"/>
        <w:rPr>
          <w:rFonts w:ascii="宋体" w:hAnsi="宋体" w:cs="宋体"/>
          <w:highlight w:val="none"/>
        </w:rPr>
      </w:pPr>
      <w:r>
        <w:rPr>
          <w:rFonts w:hint="eastAsia" w:ascii="宋体" w:hAnsi="宋体" w:cs="宋体"/>
          <w:highlight w:val="none"/>
        </w:rPr>
        <w:t>创优质工程增加费计算方式：</w:t>
      </w:r>
      <w:r>
        <w:rPr>
          <w:rFonts w:hint="eastAsia" w:ascii="宋体" w:hAnsi="宋体" w:cs="宋体"/>
          <w:highlight w:val="none"/>
          <w:u w:val="single"/>
        </w:rPr>
        <w:t xml:space="preserve">   本工程无创标化工地目标     </w:t>
      </w:r>
      <w:r>
        <w:rPr>
          <w:rFonts w:hint="eastAsia" w:ascii="宋体" w:hAnsi="宋体" w:cs="宋体"/>
          <w:highlight w:val="none"/>
        </w:rPr>
        <w:t>。</w:t>
      </w:r>
    </w:p>
    <w:p>
      <w:pPr>
        <w:pStyle w:val="6"/>
        <w:spacing w:before="0" w:after="0" w:line="400" w:lineRule="exact"/>
        <w:ind w:firstLine="482" w:firstLineChars="200"/>
        <w:rPr>
          <w:rFonts w:ascii="宋体" w:hAnsi="宋体" w:eastAsia="宋体" w:cs="宋体"/>
          <w:sz w:val="24"/>
          <w:szCs w:val="24"/>
          <w:highlight w:val="none"/>
        </w:rPr>
      </w:pPr>
      <w:bookmarkStart w:id="510" w:name="_Toc351203643"/>
      <w:r>
        <w:rPr>
          <w:rFonts w:hint="eastAsia" w:ascii="宋体" w:hAnsi="宋体" w:eastAsia="宋体" w:cs="宋体"/>
          <w:sz w:val="24"/>
          <w:szCs w:val="24"/>
          <w:highlight w:val="none"/>
        </w:rPr>
        <w:t>11. 价格调整</w:t>
      </w:r>
      <w:bookmarkEnd w:id="510"/>
    </w:p>
    <w:p>
      <w:pPr>
        <w:pStyle w:val="27"/>
        <w:tabs>
          <w:tab w:val="left" w:pos="1486"/>
        </w:tabs>
        <w:snapToGrid w:val="0"/>
        <w:spacing w:line="400" w:lineRule="exact"/>
        <w:rPr>
          <w:rFonts w:ascii="宋体" w:hAnsi="宋体" w:cs="宋体"/>
          <w:highlight w:val="none"/>
        </w:rPr>
      </w:pPr>
      <w:bookmarkStart w:id="511" w:name="_Toc312678039"/>
      <w:bookmarkStart w:id="512" w:name="_Toc297048387"/>
      <w:bookmarkStart w:id="513" w:name="_Toc296346702"/>
      <w:bookmarkStart w:id="514" w:name="_Toc297120501"/>
      <w:bookmarkStart w:id="515" w:name="_Toc292559911"/>
      <w:bookmarkStart w:id="516" w:name="_Toc296944540"/>
      <w:bookmarkStart w:id="517" w:name="_Toc296891241"/>
      <w:bookmarkStart w:id="518" w:name="_Toc297216209"/>
      <w:bookmarkStart w:id="519" w:name="_Toc297123550"/>
      <w:bookmarkStart w:id="520" w:name="_Toc296503201"/>
      <w:bookmarkStart w:id="521" w:name="_Toc296891029"/>
      <w:bookmarkStart w:id="522" w:name="_Toc300935000"/>
      <w:bookmarkStart w:id="523" w:name="_Toc296347200"/>
      <w:bookmarkStart w:id="524" w:name="_Toc292559406"/>
      <w:bookmarkStart w:id="525" w:name="_Toc303539157"/>
      <w:bookmarkStart w:id="526" w:name="_Toc304295577"/>
      <w:r>
        <w:rPr>
          <w:rFonts w:hint="eastAsia" w:ascii="宋体" w:hAnsi="宋体" w:cs="宋体"/>
          <w:highlight w:val="none"/>
        </w:rPr>
        <w:t>1.1市场价格波动引起的调整</w:t>
      </w:r>
    </w:p>
    <w:p>
      <w:pPr>
        <w:pStyle w:val="27"/>
        <w:tabs>
          <w:tab w:val="left" w:pos="1486"/>
        </w:tabs>
        <w:snapToGrid w:val="0"/>
        <w:spacing w:line="400" w:lineRule="exact"/>
        <w:ind w:firstLine="720" w:firstLineChars="300"/>
        <w:rPr>
          <w:rFonts w:ascii="宋体" w:hAnsi="宋体" w:cs="宋体"/>
          <w:color w:val="0000FF"/>
          <w:highlight w:val="none"/>
        </w:rPr>
      </w:pPr>
      <w:r>
        <w:rPr>
          <w:rFonts w:hint="eastAsia" w:ascii="宋体" w:hAnsi="宋体" w:cs="宋体"/>
          <w:highlight w:val="none"/>
        </w:rPr>
        <w:t>市场价格波动是否调整合同价格的约定：</w:t>
      </w:r>
      <w:r>
        <w:rPr>
          <w:rFonts w:hint="eastAsia" w:ascii="宋体" w:hAnsi="宋体"/>
          <w:szCs w:val="21"/>
          <w:highlight w:val="none"/>
          <w:u w:val="single"/>
        </w:rPr>
        <w:t>分部分项及技术措施项目综合单价中的〔人工（包括机械费中机上人工）、材料（钢材</w:t>
      </w:r>
      <w:r>
        <w:rPr>
          <w:rFonts w:hint="eastAsia" w:ascii="宋体" w:hAnsi="宋体"/>
          <w:szCs w:val="21"/>
          <w:highlight w:val="none"/>
          <w:u w:val="single"/>
          <w:lang w:eastAsia="zh-CN"/>
        </w:rPr>
        <w:t>、钢筋</w:t>
      </w:r>
      <w:r>
        <w:rPr>
          <w:rFonts w:hint="eastAsia" w:ascii="宋体" w:hAnsi="宋体"/>
          <w:szCs w:val="21"/>
          <w:highlight w:val="none"/>
          <w:u w:val="single"/>
        </w:rPr>
        <w:t>、水泥、商品砼、砂、石子）市场价格波动调整价格，再按投标含量调整综合单价；其余材料及机械费（除机上人工）市场价格波动不调整。人工（含机上人工）调整的差价部分不作为企业管理费、利润及施工组织措施费、规费的取费基数，仅另计取税金。调整时间均为在合同工期范围内。</w:t>
      </w:r>
    </w:p>
    <w:p>
      <w:pPr>
        <w:pStyle w:val="8"/>
        <w:snapToGrid w:val="0"/>
        <w:spacing w:line="400" w:lineRule="exact"/>
        <w:ind w:firstLine="480" w:firstLineChars="200"/>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pPr>
        <w:pStyle w:val="8"/>
        <w:snapToGrid w:val="0"/>
        <w:spacing w:line="400" w:lineRule="exact"/>
        <w:ind w:firstLine="720" w:firstLineChars="300"/>
        <w:rPr>
          <w:rFonts w:ascii="宋体" w:hAnsi="宋体" w:cs="宋体"/>
          <w:highlight w:val="none"/>
        </w:rPr>
      </w:pPr>
      <w:r>
        <w:rPr>
          <w:rFonts w:hint="eastAsia" w:ascii="宋体" w:hAnsi="宋体" w:cs="宋体"/>
          <w:highlight w:val="none"/>
        </w:rPr>
        <w:t>第 1 种方式：采用价格指数进行价格调整。</w:t>
      </w:r>
    </w:p>
    <w:p>
      <w:pPr>
        <w:pStyle w:val="8"/>
        <w:tabs>
          <w:tab w:val="left" w:pos="8155"/>
          <w:tab w:val="left" w:pos="9367"/>
        </w:tabs>
        <w:snapToGrid w:val="0"/>
        <w:spacing w:line="400" w:lineRule="exact"/>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pPr>
        <w:pStyle w:val="8"/>
        <w:tabs>
          <w:tab w:val="left" w:pos="8155"/>
          <w:tab w:val="left" w:pos="9367"/>
        </w:tabs>
        <w:snapToGrid w:val="0"/>
        <w:spacing w:line="400" w:lineRule="exact"/>
        <w:rPr>
          <w:rFonts w:ascii="宋体" w:hAnsi="宋体" w:cs="宋体"/>
          <w:highlight w:val="none"/>
        </w:rPr>
      </w:pPr>
      <w:r>
        <w:rPr>
          <w:rFonts w:hint="eastAsia" w:ascii="宋体" w:hAnsi="宋体" w:cs="宋体"/>
          <w:highlight w:val="none"/>
        </w:rPr>
        <w:t xml:space="preserve">     第 2 种方式：采用造价信息进行价格调整。</w:t>
      </w:r>
    </w:p>
    <w:p>
      <w:pPr>
        <w:pStyle w:val="9"/>
        <w:spacing w:line="400" w:lineRule="exact"/>
        <w:ind w:firstLine="600" w:firstLineChars="250"/>
        <w:rPr>
          <w:rFonts w:ascii="宋体" w:hAnsi="宋体" w:cs="宋体"/>
          <w:sz w:val="24"/>
          <w:highlight w:val="none"/>
          <w:u w:val="single"/>
        </w:rPr>
      </w:pPr>
      <w:r>
        <w:rPr>
          <w:rFonts w:hint="eastAsia" w:ascii="宋体" w:hAnsi="宋体" w:cs="宋体"/>
          <w:sz w:val="24"/>
          <w:highlight w:val="none"/>
          <w:u w:val="single"/>
        </w:rPr>
        <w:t>（1）关于基准价格的约定：A1=编制招标控制价（预算审核书）时所采用 《台州造价》（工程所在地）对应的人工、材料价格。</w:t>
      </w:r>
    </w:p>
    <w:p>
      <w:pPr>
        <w:spacing w:line="360" w:lineRule="exact"/>
        <w:ind w:firstLine="480" w:firstLineChars="200"/>
        <w:rPr>
          <w:rFonts w:ascii="宋体" w:hAnsi="宋体"/>
          <w:szCs w:val="21"/>
          <w:highlight w:val="none"/>
          <w:u w:val="single"/>
        </w:rPr>
      </w:pPr>
      <w:r>
        <w:rPr>
          <w:rFonts w:hint="eastAsia" w:ascii="宋体" w:hAnsi="宋体" w:cs="宋体"/>
          <w:highlight w:val="none"/>
          <w:u w:val="single"/>
        </w:rPr>
        <w:t>（2）市场价格约定：A2＝施工期所对应的《台州造价》（正刊）三门信息价所对应的材料（人工）信息价算术平均价。</w:t>
      </w:r>
      <w:r>
        <w:rPr>
          <w:rFonts w:hint="eastAsia" w:ascii="宋体" w:hAnsi="宋体" w:cs="宋体"/>
          <w:szCs w:val="21"/>
          <w:highlight w:val="none"/>
        </w:rPr>
        <w:t>（注：房屋建筑的结构施工期以基础垫层砼施工所在月份开始计，至屋面梁板砼浇筑所在月份为止，具体以施工现场记录或试块报告为准；结构施工期不超过合同总工期70%月份，超过则按70%计结构施工期月数（注：遇有小数即进位取整）)。</w:t>
      </w:r>
    </w:p>
    <w:p>
      <w:pPr>
        <w:pStyle w:val="8"/>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（3）调整方法 </w:t>
      </w:r>
    </w:p>
    <w:p>
      <w:pPr>
        <w:pStyle w:val="8"/>
        <w:spacing w:line="400" w:lineRule="exact"/>
        <w:ind w:firstLine="360" w:firstLineChars="150"/>
        <w:rPr>
          <w:rFonts w:ascii="宋体" w:hAnsi="宋体" w:cs="宋体"/>
          <w:highlight w:val="none"/>
          <w:u w:val="single"/>
        </w:rPr>
      </w:pPr>
      <w:r>
        <w:rPr>
          <w:rFonts w:hint="eastAsia" w:ascii="宋体" w:hAnsi="宋体" w:cs="宋体"/>
          <w:highlight w:val="none"/>
          <w:u w:val="single"/>
        </w:rPr>
        <w:t xml:space="preserve">a.当 A2＞A1 时，该材料（人工）结算单价按超出的金额调增，即该材 料（人工）结算单价=承包人的投标单价+（A2－A1）； </w:t>
      </w:r>
    </w:p>
    <w:p>
      <w:pPr>
        <w:pStyle w:val="8"/>
        <w:spacing w:line="400" w:lineRule="exact"/>
        <w:ind w:firstLine="360" w:firstLineChars="150"/>
        <w:rPr>
          <w:rFonts w:ascii="宋体" w:hAnsi="宋体" w:cs="宋体"/>
          <w:highlight w:val="none"/>
          <w:u w:val="single"/>
        </w:rPr>
      </w:pPr>
      <w:r>
        <w:rPr>
          <w:rFonts w:hint="eastAsia" w:ascii="宋体" w:hAnsi="宋体" w:cs="宋体"/>
          <w:highlight w:val="none"/>
          <w:u w:val="single"/>
        </w:rPr>
        <w:t xml:space="preserve">b.当 A2＜A1 时，该材料（人工）结算单价按低于的金额调减，即该材 料（人工）结算单价=承包人的投标单价－（A1－A2）； </w:t>
      </w:r>
    </w:p>
    <w:p>
      <w:pPr>
        <w:pStyle w:val="8"/>
        <w:spacing w:line="400" w:lineRule="exact"/>
        <w:ind w:firstLine="360" w:firstLineChars="150"/>
        <w:rPr>
          <w:rFonts w:ascii="宋体" w:hAnsi="宋体" w:cs="宋体"/>
          <w:highlight w:val="none"/>
        </w:rPr>
      </w:pPr>
      <w:r>
        <w:rPr>
          <w:rFonts w:hint="eastAsia" w:ascii="宋体" w:hAnsi="宋体" w:cs="宋体"/>
          <w:highlight w:val="none"/>
          <w:u w:val="single"/>
        </w:rPr>
        <w:t>c.当 A2＝A1 时，该材料（人工）结算单价不作调整。</w:t>
      </w:r>
    </w:p>
    <w:p>
      <w:pPr>
        <w:pStyle w:val="8"/>
        <w:tabs>
          <w:tab w:val="left" w:pos="4953"/>
          <w:tab w:val="left" w:pos="6316"/>
        </w:tabs>
        <w:snapToGrid w:val="0"/>
        <w:spacing w:line="400" w:lineRule="exact"/>
        <w:ind w:firstLine="480" w:firstLineChars="200"/>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pPr>
        <w:pStyle w:val="27"/>
        <w:tabs>
          <w:tab w:val="left" w:pos="1591"/>
          <w:tab w:val="left" w:pos="1592"/>
        </w:tabs>
        <w:snapToGrid w:val="0"/>
        <w:spacing w:line="400" w:lineRule="exact"/>
        <w:ind w:firstLine="720" w:firstLineChars="300"/>
        <w:rPr>
          <w:rFonts w:ascii="宋体" w:hAnsi="宋体" w:cs="宋体"/>
          <w:highlight w:val="none"/>
        </w:rPr>
      </w:pPr>
      <w:r>
        <w:rPr>
          <w:rFonts w:hint="eastAsia" w:ascii="宋体" w:hAnsi="宋体" w:cs="宋体"/>
          <w:highlight w:val="none"/>
        </w:rPr>
        <w:t>11.2法律变化引起的调整 ：</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414"/>
    <w:bookmarkEnd w:id="415"/>
    <w:bookmarkEnd w:id="416"/>
    <w:bookmarkEnd w:id="417"/>
    <w:bookmarkEnd w:id="418"/>
    <w:bookmarkEnd w:id="419"/>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Pr>
        <w:pStyle w:val="6"/>
        <w:spacing w:before="0" w:after="0" w:line="400" w:lineRule="exact"/>
        <w:ind w:firstLine="482" w:firstLineChars="200"/>
        <w:rPr>
          <w:rFonts w:ascii="宋体" w:hAnsi="宋体" w:eastAsia="宋体" w:cs="宋体"/>
          <w:sz w:val="24"/>
          <w:szCs w:val="24"/>
          <w:highlight w:val="none"/>
        </w:rPr>
      </w:pPr>
      <w:bookmarkStart w:id="527" w:name="_Toc296891033"/>
      <w:bookmarkStart w:id="528" w:name="_Toc292559915"/>
      <w:bookmarkStart w:id="529" w:name="_Toc296891245"/>
      <w:bookmarkStart w:id="530" w:name="_Toc297048391"/>
      <w:bookmarkStart w:id="531" w:name="_Toc296503205"/>
      <w:bookmarkStart w:id="532" w:name="_Toc296944544"/>
      <w:bookmarkStart w:id="533" w:name="_Toc296347204"/>
      <w:bookmarkStart w:id="534" w:name="_Toc292559410"/>
      <w:bookmarkStart w:id="535" w:name="_Toc297120505"/>
      <w:bookmarkStart w:id="536" w:name="_Toc296346706"/>
      <w:bookmarkStart w:id="537" w:name="_Toc351203644"/>
      <w:bookmarkStart w:id="538" w:name="_Toc300935002"/>
      <w:bookmarkStart w:id="539" w:name="_Toc297123552"/>
      <w:bookmarkStart w:id="540" w:name="_Toc297216211"/>
      <w:bookmarkStart w:id="541" w:name="_Toc304295579"/>
      <w:bookmarkStart w:id="542" w:name="_Toc303539159"/>
      <w:bookmarkStart w:id="543" w:name="_Toc312678040"/>
      <w:r>
        <w:rPr>
          <w:rFonts w:hint="eastAsia" w:ascii="宋体" w:hAnsi="宋体" w:eastAsia="宋体" w:cs="宋体"/>
          <w:sz w:val="24"/>
          <w:szCs w:val="24"/>
          <w:highlight w:val="none"/>
        </w:rPr>
        <w:t xml:space="preserve">12. </w:t>
      </w:r>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sz w:val="24"/>
          <w:szCs w:val="24"/>
          <w:highlight w:val="none"/>
        </w:rPr>
        <w:t>合同价格、计量与支付</w:t>
      </w:r>
      <w:bookmarkEnd w:id="537"/>
    </w:p>
    <w:bookmarkEnd w:id="538"/>
    <w:bookmarkEnd w:id="539"/>
    <w:bookmarkEnd w:id="540"/>
    <w:bookmarkEnd w:id="541"/>
    <w:bookmarkEnd w:id="542"/>
    <w:bookmarkEnd w:id="543"/>
    <w:p>
      <w:pPr>
        <w:spacing w:line="400" w:lineRule="exact"/>
        <w:ind w:firstLine="480" w:firstLineChars="200"/>
        <w:rPr>
          <w:rFonts w:ascii="宋体" w:hAnsi="宋体" w:cs="宋体"/>
          <w:highlight w:val="none"/>
        </w:rPr>
      </w:pPr>
      <w:bookmarkStart w:id="544" w:name="_Toc267251461"/>
      <w:bookmarkStart w:id="545" w:name="_Toc292559411"/>
      <w:bookmarkStart w:id="546" w:name="_Toc292559916"/>
      <w:bookmarkStart w:id="547" w:name="_Toc296944545"/>
      <w:bookmarkStart w:id="548" w:name="_Toc297048392"/>
      <w:bookmarkStart w:id="549" w:name="_Toc297120506"/>
      <w:bookmarkStart w:id="550" w:name="_Toc296503206"/>
      <w:bookmarkStart w:id="551" w:name="_Toc296347205"/>
      <w:bookmarkStart w:id="552" w:name="_Toc296891246"/>
      <w:bookmarkStart w:id="553" w:name="_Toc296346707"/>
      <w:bookmarkStart w:id="554" w:name="_Toc296891034"/>
      <w:bookmarkStart w:id="555" w:name="_Toc312678041"/>
      <w:bookmarkStart w:id="556" w:name="_Toc304295580"/>
      <w:bookmarkStart w:id="557" w:name="_Toc300935003"/>
      <w:bookmarkStart w:id="558" w:name="_Toc303539160"/>
      <w:bookmarkStart w:id="559" w:name="_Toc297123553"/>
      <w:bookmarkStart w:id="560" w:name="_Toc297216212"/>
      <w:r>
        <w:rPr>
          <w:rFonts w:hint="eastAsia" w:ascii="宋体" w:hAnsi="宋体" w:cs="宋体"/>
          <w:highlight w:val="none"/>
        </w:rPr>
        <w:t>12.1 合</w:t>
      </w:r>
      <w:bookmarkEnd w:id="544"/>
      <w:bookmarkEnd w:id="545"/>
      <w:bookmarkEnd w:id="546"/>
      <w:r>
        <w:rPr>
          <w:rFonts w:hint="eastAsia" w:ascii="宋体" w:hAnsi="宋体" w:cs="宋体"/>
          <w:highlight w:val="none"/>
        </w:rPr>
        <w:t>同价</w:t>
      </w:r>
      <w:bookmarkEnd w:id="547"/>
      <w:bookmarkEnd w:id="548"/>
      <w:bookmarkEnd w:id="549"/>
      <w:bookmarkEnd w:id="550"/>
      <w:bookmarkEnd w:id="551"/>
      <w:bookmarkEnd w:id="552"/>
      <w:bookmarkEnd w:id="553"/>
      <w:bookmarkEnd w:id="554"/>
      <w:r>
        <w:rPr>
          <w:rFonts w:hint="eastAsia" w:ascii="宋体" w:hAnsi="宋体" w:cs="宋体"/>
          <w:highlight w:val="none"/>
        </w:rPr>
        <w:t>格形式</w:t>
      </w:r>
    </w:p>
    <w:p>
      <w:pPr>
        <w:spacing w:line="400" w:lineRule="exact"/>
        <w:ind w:firstLine="480" w:firstLineChars="200"/>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555"/>
    <w:bookmarkEnd w:id="556"/>
    <w:bookmarkEnd w:id="557"/>
    <w:bookmarkEnd w:id="558"/>
    <w:bookmarkEnd w:id="559"/>
    <w:bookmarkEnd w:id="560"/>
    <w:p>
      <w:pPr>
        <w:spacing w:line="400" w:lineRule="exact"/>
        <w:ind w:firstLine="480" w:firstLineChars="200"/>
        <w:rPr>
          <w:rFonts w:ascii="宋体" w:hAnsi="宋体" w:cs="宋体"/>
          <w:highlight w:val="none"/>
        </w:rPr>
      </w:pPr>
      <w:r>
        <w:rPr>
          <w:rFonts w:hint="eastAsia" w:ascii="宋体" w:hAnsi="宋体" w:cs="宋体"/>
          <w:highlight w:val="none"/>
        </w:rPr>
        <w:t>1．单价合同。</w:t>
      </w:r>
    </w:p>
    <w:p>
      <w:pPr>
        <w:spacing w:line="400" w:lineRule="exact"/>
        <w:ind w:firstLine="480" w:firstLineChars="200"/>
        <w:rPr>
          <w:rFonts w:ascii="宋体" w:hAnsi="宋体" w:cs="宋体"/>
          <w:highlight w:val="none"/>
        </w:rPr>
      </w:pPr>
      <w:r>
        <w:rPr>
          <w:rFonts w:hint="eastAsia" w:ascii="宋体" w:hAnsi="宋体" w:cs="宋体"/>
          <w:highlight w:val="none"/>
        </w:rPr>
        <w:t>综合单价包含的风险范围：</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本工程结算价的计算方式同投标价。除风险范围以外约定的调整外，以下内容按承包人的投标承诺一次性包定：</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（1）综合单价；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（2）施工组织措施项目费的费项及费率；</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（3）规费费率、税金税率；</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（4）计日工单价：技术工</w:t>
      </w:r>
      <w:r>
        <w:rPr>
          <w:rFonts w:hint="eastAsia" w:ascii="宋体" w:hAnsi="宋体" w:cs="宋体"/>
          <w:highlight w:val="none"/>
          <w:u w:val="single"/>
          <w:lang w:val="en-US" w:eastAsia="zh-CN"/>
        </w:rPr>
        <w:t>310</w:t>
      </w:r>
      <w:r>
        <w:rPr>
          <w:rFonts w:hint="eastAsia" w:ascii="宋体" w:hAnsi="宋体" w:cs="宋体"/>
          <w:highlight w:val="none"/>
          <w:u w:val="single"/>
        </w:rPr>
        <w:t>元/工日、普工20</w:t>
      </w:r>
      <w:r>
        <w:rPr>
          <w:rFonts w:hint="eastAsia" w:ascii="宋体" w:hAnsi="宋体" w:cs="宋体"/>
          <w:highlight w:val="none"/>
          <w:u w:val="single"/>
          <w:lang w:val="en-US" w:eastAsia="zh-CN"/>
        </w:rPr>
        <w:t>5</w:t>
      </w:r>
      <w:r>
        <w:rPr>
          <w:rFonts w:hint="eastAsia" w:ascii="宋体" w:hAnsi="宋体" w:cs="宋体"/>
          <w:highlight w:val="none"/>
          <w:u w:val="single"/>
        </w:rPr>
        <w:t>元/工日，工日数经发包人签证，该项费用仅另计算税金；</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a. 自备发电机、储水设施费用：包括由于停电、停水及施工用水加压而增加的费用。</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c.实际施工中可能发生街道管理费、干扰费、环保费、占道押金等其它管理费。</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d.土方开挖及外运、处置及泥浆外运、处置按当地有关要求办理，施工过程中不管运距是否有变化，不再另行计取费用，承包人报价自行考虑。</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e.除合同另有规定外，承包人应在工程完工后竣工验收前，无条件清除施工区和生活区及其附近的施工废弃物，并按监理人批准的环境保护措施计划完成环境恢复。</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f.建筑垃圾外运应按当地有关要求办理，如垃圾运至指定地点集中处理等。建筑垃圾外运及场地清理费用发生的费用已包含在合同价内，不再另行计取。</w:t>
      </w:r>
    </w:p>
    <w:p>
      <w:pPr>
        <w:adjustRightInd/>
        <w:spacing w:line="400" w:lineRule="exact"/>
        <w:ind w:firstLine="482" w:firstLineChars="200"/>
        <w:rPr>
          <w:rFonts w:ascii="宋体" w:hAnsi="宋体" w:cs="宋体"/>
          <w:b/>
          <w:bCs/>
          <w:highlight w:val="none"/>
          <w:u w:val="single"/>
        </w:rPr>
      </w:pPr>
      <w:r>
        <w:rPr>
          <w:rFonts w:hint="eastAsia" w:ascii="宋体" w:hAnsi="宋体" w:cs="宋体"/>
          <w:b/>
          <w:bCs/>
          <w:highlight w:val="none"/>
          <w:u w:val="single"/>
        </w:rPr>
        <w:t>g.商品砼、土方运输运距由承包人报价时综合考虑，施工过程中不管运距是否有变化，综合单价都不予调整。</w:t>
      </w:r>
    </w:p>
    <w:p>
      <w:pPr>
        <w:adjustRightInd/>
        <w:spacing w:line="400" w:lineRule="exact"/>
        <w:ind w:firstLine="480" w:firstLineChars="200"/>
        <w:rPr>
          <w:rFonts w:ascii="宋体" w:hAnsi="宋体" w:cs="宋体"/>
          <w:highlight w:val="none"/>
        </w:rPr>
      </w:pPr>
      <w:r>
        <w:rPr>
          <w:rFonts w:hint="eastAsia" w:ascii="宋体" w:hAnsi="宋体" w:cs="宋体"/>
          <w:highlight w:val="none"/>
        </w:rPr>
        <w:t>风险费用的计算方法：</w:t>
      </w:r>
      <w:r>
        <w:rPr>
          <w:rFonts w:hint="eastAsia" w:ascii="宋体" w:hAnsi="宋体" w:cs="宋体"/>
          <w:highlight w:val="none"/>
          <w:u w:val="single"/>
        </w:rPr>
        <w:t>已包含在合同价内</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风险范围以外合同价格的调整方法：</w:t>
      </w:r>
    </w:p>
    <w:p>
      <w:pPr>
        <w:spacing w:line="400" w:lineRule="exact"/>
        <w:ind w:left="420"/>
        <w:rPr>
          <w:rFonts w:ascii="宋体" w:hAnsi="宋体" w:cs="宋体"/>
          <w:highlight w:val="none"/>
          <w:u w:val="single"/>
        </w:rPr>
      </w:pPr>
      <w:r>
        <w:rPr>
          <w:rFonts w:hint="eastAsia" w:ascii="宋体" w:hAnsi="宋体" w:cs="宋体"/>
          <w:highlight w:val="none"/>
          <w:u w:val="single"/>
        </w:rPr>
        <w:t>（1）工程量按照专用条款12.3.1条规定，由承包人计量，发包人及有委托的相关机构审核。</w:t>
      </w:r>
    </w:p>
    <w:p>
      <w:pPr>
        <w:spacing w:line="400" w:lineRule="exact"/>
        <w:ind w:left="420"/>
        <w:rPr>
          <w:rFonts w:ascii="宋体" w:hAnsi="宋体" w:cs="宋体"/>
          <w:highlight w:val="none"/>
          <w:u w:val="single"/>
          <w:lang w:val="zh-CN"/>
        </w:rPr>
      </w:pPr>
      <w:r>
        <w:rPr>
          <w:rFonts w:hint="eastAsia" w:ascii="宋体" w:hAnsi="宋体" w:cs="宋体"/>
          <w:highlight w:val="none"/>
          <w:u w:val="single"/>
        </w:rPr>
        <w:t>（2）市场价格波动引起的调整按专用合同条款第11.1款的约定调整。</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（3）因发包人提供的工程量清单项目工程数量计算偏差或工程变更引 起的工程量增加，综合单价的确定按专用条款10.4.1条执行。</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（4）发包人提供的工程量清单项目漏项、错项、工程变更引起的新增项目、工程量清单项目特征局部变更，与已标价工程量清单项目不同或相类似项目，其综合单价的确定方法按专用条款10.4.1条约定调整。</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（5）因非承包人原因的分部分项工程量清单漏项、错项、工程变更及清单工程量增减等，引起措施项目内容、工程数量发生变化，则调整措施项目费用：</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a、采用综合单价计价的按专用条款第10.4.1条计算综合单价。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b、计量单位采用以“项”计价的措施项目，工程量清单项目及工程数量变化引起措施变动部分重新组价。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c、施工组织措施项目，按合同约定费率内容，调整措施费用计算基数。</w:t>
      </w:r>
    </w:p>
    <w:p>
      <w:pPr>
        <w:autoSpaceDE/>
        <w:autoSpaceDN/>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（6）未在投标价中包含的专项施工方案（注：主要指超过一定规模的危险性较大的分部分项工程）的施工及论证费用，根据施工现场实际参照合同专用条款10.4.1款约定方法确定或签证。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pPr>
        <w:autoSpaceDE/>
        <w:autoSpaceDN/>
        <w:adjustRightInd/>
        <w:spacing w:line="400" w:lineRule="exact"/>
        <w:ind w:firstLine="482" w:firstLineChars="200"/>
        <w:rPr>
          <w:rFonts w:ascii="宋体" w:hAnsi="宋体" w:cs="宋体"/>
          <w:highlight w:val="none"/>
          <w:u w:val="single"/>
        </w:rPr>
      </w:pPr>
      <w:r>
        <w:rPr>
          <w:rFonts w:hint="eastAsia" w:ascii="宋体" w:hAnsi="宋体" w:cs="宋体"/>
          <w:b/>
          <w:highlight w:val="none"/>
          <w:u w:val="single"/>
        </w:rPr>
        <w:t>（7）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pPr>
        <w:autoSpaceDE/>
        <w:autoSpaceDN/>
        <w:adjustRightInd/>
        <w:spacing w:line="400" w:lineRule="exact"/>
        <w:ind w:firstLine="482" w:firstLineChars="200"/>
        <w:rPr>
          <w:rFonts w:ascii="宋体" w:hAnsi="宋体" w:cs="宋体"/>
          <w:b/>
          <w:bCs/>
          <w:color w:val="auto"/>
          <w:highlight w:val="none"/>
        </w:rPr>
      </w:pPr>
      <w:bookmarkStart w:id="561" w:name="_Toc303539161"/>
      <w:bookmarkStart w:id="562" w:name="_Toc300935004"/>
      <w:bookmarkStart w:id="563" w:name="_Toc297216213"/>
      <w:bookmarkStart w:id="564" w:name="_Toc304295581"/>
      <w:bookmarkStart w:id="565" w:name="_Toc312678042"/>
      <w:bookmarkStart w:id="566" w:name="_Toc297123554"/>
      <w:r>
        <w:rPr>
          <w:rFonts w:hint="eastAsia" w:ascii="宋体" w:hAnsi="宋体" w:cs="宋体"/>
          <w:b/>
          <w:bCs/>
          <w:color w:val="auto"/>
          <w:highlight w:val="none"/>
        </w:rPr>
        <w:t>12.2 预付款</w:t>
      </w:r>
    </w:p>
    <w:p>
      <w:pPr>
        <w:pStyle w:val="8"/>
        <w:autoSpaceDE/>
        <w:autoSpaceDN/>
        <w:adjustRightInd/>
        <w:spacing w:line="400" w:lineRule="exact"/>
        <w:rPr>
          <w:rFonts w:ascii="宋体" w:hAnsi="宋体" w:cs="宋体"/>
          <w:b/>
          <w:bCs/>
          <w:color w:val="auto"/>
          <w:highlight w:val="none"/>
        </w:rPr>
      </w:pPr>
      <w:r>
        <w:rPr>
          <w:rFonts w:hint="eastAsia" w:ascii="宋体" w:hAnsi="宋体" w:cs="宋体"/>
          <w:b/>
          <w:bCs/>
          <w:color w:val="auto"/>
          <w:highlight w:val="none"/>
        </w:rPr>
        <w:t>12.2.1预付款的支付</w:t>
      </w:r>
    </w:p>
    <w:p>
      <w:pPr>
        <w:pStyle w:val="8"/>
        <w:spacing w:line="400" w:lineRule="exact"/>
        <w:rPr>
          <w:rFonts w:ascii="宋体" w:hAnsi="宋体" w:cs="宋体"/>
          <w:color w:val="auto"/>
          <w:highlight w:val="none"/>
          <w:u w:val="single"/>
        </w:rPr>
      </w:pPr>
      <w:r>
        <w:rPr>
          <w:rFonts w:hint="eastAsia" w:ascii="宋体" w:hAnsi="宋体" w:cs="宋体"/>
          <w:color w:val="auto"/>
          <w:highlight w:val="none"/>
        </w:rPr>
        <w:t>预付款支付比例或金额：</w:t>
      </w:r>
      <w:r>
        <w:rPr>
          <w:rFonts w:hint="eastAsia" w:ascii="宋体" w:hAnsi="宋体" w:cs="宋体"/>
          <w:b/>
          <w:bCs/>
          <w:color w:val="auto"/>
          <w:highlight w:val="none"/>
          <w:u w:val="single"/>
        </w:rPr>
        <w:t>签约合同价的10%，金额（    ）元，包含专用条款6.1.6条所列的安全文明施工费。</w:t>
      </w:r>
    </w:p>
    <w:p>
      <w:pPr>
        <w:pStyle w:val="8"/>
        <w:spacing w:line="400" w:lineRule="exact"/>
        <w:rPr>
          <w:rFonts w:ascii="宋体" w:hAnsi="宋体" w:cs="宋体"/>
          <w:highlight w:val="none"/>
        </w:rPr>
      </w:pPr>
      <w:r>
        <w:rPr>
          <w:rFonts w:hint="eastAsia" w:ascii="宋体" w:hAnsi="宋体" w:cs="宋体"/>
          <w:highlight w:val="none"/>
        </w:rPr>
        <w:t xml:space="preserve">预付款支付期限： </w:t>
      </w:r>
      <w:r>
        <w:rPr>
          <w:rFonts w:hint="eastAsia" w:ascii="宋体" w:hAnsi="宋体" w:cs="宋体"/>
          <w:highlight w:val="none"/>
          <w:u w:val="single"/>
        </w:rPr>
        <w:t xml:space="preserve">开工通知载明的开工日期前人员设备进场后7天内支付 </w:t>
      </w:r>
      <w:r>
        <w:rPr>
          <w:rFonts w:hint="eastAsia" w:ascii="宋体" w:hAnsi="宋体" w:cs="宋体"/>
          <w:highlight w:val="none"/>
        </w:rPr>
        <w:t>。</w:t>
      </w:r>
    </w:p>
    <w:p>
      <w:pPr>
        <w:widowControl/>
        <w:spacing w:line="400" w:lineRule="exact"/>
        <w:ind w:firstLine="480" w:firstLineChars="200"/>
        <w:rPr>
          <w:rFonts w:ascii="宋体" w:hAnsi="宋体" w:cs="宋体"/>
          <w:highlight w:val="none"/>
          <w:u w:val="single"/>
        </w:rPr>
      </w:pPr>
      <w:r>
        <w:rPr>
          <w:rFonts w:hint="eastAsia" w:ascii="宋体" w:hAnsi="宋体" w:cs="宋体"/>
          <w:highlight w:val="none"/>
        </w:rPr>
        <w:t>预付款扣回的方式：</w:t>
      </w:r>
      <w:r>
        <w:rPr>
          <w:rFonts w:hint="eastAsia" w:ascii="宋体" w:hAnsi="宋体" w:cs="宋体"/>
          <w:highlight w:val="none"/>
          <w:u w:val="single"/>
        </w:rPr>
        <w:t>不扣回，作为工程款抵扣。</w:t>
      </w:r>
    </w:p>
    <w:bookmarkEnd w:id="561"/>
    <w:bookmarkEnd w:id="562"/>
    <w:bookmarkEnd w:id="563"/>
    <w:bookmarkEnd w:id="564"/>
    <w:bookmarkEnd w:id="565"/>
    <w:bookmarkEnd w:id="566"/>
    <w:p>
      <w:pPr>
        <w:spacing w:line="400" w:lineRule="exact"/>
        <w:ind w:firstLine="480" w:firstLineChars="200"/>
        <w:rPr>
          <w:rFonts w:ascii="宋体" w:hAnsi="宋体" w:cs="宋体"/>
          <w:highlight w:val="none"/>
        </w:rPr>
      </w:pPr>
      <w:r>
        <w:rPr>
          <w:rFonts w:hint="eastAsia" w:ascii="宋体" w:hAnsi="宋体" w:cs="宋体"/>
          <w:highlight w:val="none"/>
        </w:rPr>
        <w:t>12.2.2  预付款担保</w:t>
      </w:r>
    </w:p>
    <w:p>
      <w:pPr>
        <w:spacing w:line="380" w:lineRule="exact"/>
        <w:ind w:firstLine="480" w:firstLineChars="200"/>
        <w:rPr>
          <w:szCs w:val="21"/>
          <w:highlight w:val="none"/>
          <w:u w:val="single"/>
        </w:rPr>
      </w:pPr>
      <w:r>
        <w:rPr>
          <w:rFonts w:hint="eastAsia"/>
          <w:szCs w:val="21"/>
          <w:highlight w:val="none"/>
        </w:rPr>
        <w:t>承包人提交预付款担保的期限：</w:t>
      </w:r>
      <w:r>
        <w:rPr>
          <w:rFonts w:hint="eastAsia"/>
          <w:szCs w:val="21"/>
          <w:highlight w:val="none"/>
          <w:u w:val="single"/>
        </w:rPr>
        <w:t xml:space="preserve">  发包人支付预付款前提交，计量价款付至合同价的 90%且预付款全部转为工程款时，保函自动失效，在此之前承包人应保证预付款保函有效性。</w:t>
      </w:r>
    </w:p>
    <w:p>
      <w:pPr>
        <w:spacing w:line="380" w:lineRule="exact"/>
        <w:ind w:firstLine="480" w:firstLineChars="200"/>
        <w:rPr>
          <w:szCs w:val="21"/>
          <w:highlight w:val="none"/>
          <w:u w:val="single"/>
        </w:rPr>
      </w:pPr>
      <w:r>
        <w:rPr>
          <w:rFonts w:hint="eastAsia"/>
          <w:szCs w:val="21"/>
          <w:highlight w:val="none"/>
        </w:rPr>
        <w:t>预付款担保的形式为：</w:t>
      </w:r>
      <w:r>
        <w:rPr>
          <w:rFonts w:hint="eastAsia"/>
          <w:szCs w:val="21"/>
          <w:highlight w:val="none"/>
          <w:u w:val="single"/>
        </w:rPr>
        <w:t>承包人提交预付款保函 (仅指银行保函、保险机构保证保险保单、融资担保公司保证保函)，金额为签约合同价的</w:t>
      </w:r>
      <w:r>
        <w:rPr>
          <w:rFonts w:hint="eastAsia"/>
          <w:szCs w:val="21"/>
          <w:highlight w:val="none"/>
          <w:u w:val="single"/>
          <w:lang w:val="en-US" w:eastAsia="zh-CN"/>
        </w:rPr>
        <w:t>10</w:t>
      </w:r>
      <w:r>
        <w:rPr>
          <w:rFonts w:hint="eastAsia"/>
          <w:szCs w:val="21"/>
          <w:highlight w:val="none"/>
          <w:u w:val="single"/>
        </w:rPr>
        <w:t>%。</w:t>
      </w:r>
    </w:p>
    <w:p>
      <w:pPr>
        <w:spacing w:line="400" w:lineRule="exact"/>
        <w:ind w:firstLine="480" w:firstLineChars="200"/>
        <w:rPr>
          <w:rFonts w:ascii="宋体" w:hAnsi="宋体" w:cs="宋体"/>
          <w:highlight w:val="none"/>
        </w:rPr>
      </w:pPr>
      <w:r>
        <w:rPr>
          <w:rFonts w:hint="eastAsia" w:ascii="宋体" w:hAnsi="宋体" w:cs="宋体"/>
          <w:highlight w:val="none"/>
        </w:rPr>
        <w:t>12.3 计量</w:t>
      </w:r>
    </w:p>
    <w:p>
      <w:pPr>
        <w:spacing w:line="400" w:lineRule="exact"/>
        <w:ind w:firstLine="480" w:firstLineChars="200"/>
        <w:rPr>
          <w:rFonts w:ascii="宋体" w:hAnsi="宋体" w:cs="宋体"/>
          <w:highlight w:val="none"/>
        </w:rPr>
      </w:pPr>
      <w:r>
        <w:rPr>
          <w:rFonts w:hint="eastAsia" w:ascii="宋体" w:hAnsi="宋体" w:cs="宋体"/>
          <w:highlight w:val="none"/>
        </w:rPr>
        <w:t>12.3.1 计量原则</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工程量计算按照实际完成施工图纸范围内和经发包人同意增加的施工内容按实计算，工程量计算规则按：</w:t>
      </w:r>
      <w:r>
        <w:rPr>
          <w:rFonts w:hint="eastAsia" w:ascii="宋体" w:hAnsi="宋体" w:eastAsia="宋体" w:cs="宋体"/>
          <w:highlight w:val="none"/>
          <w:u w:val="single"/>
        </w:rPr>
        <w:t>《建设工程工程量清单计价规范》（GB50500-2013）、《浙江省建设工程工程量清单计价指引》（2013版）、《建设工程工程量计算规范（2013）浙江省补充规定》（浙建站计﹝2013﹞63号、浙建站计[2014]31号）。《浙江省建设工程计价规则》（2018版）、《浙江省建设工程施工机械台班费用定额》（2018版）、《浙江省建筑安装材料基期价格》（2018版）、《浙江省房屋建筑与装饰工程预算定额》（2018版）、《浙江省通用安装工程预算定额》（2018版）、《浙江省市政工程预算定额》（2018版）、《浙江省园林绿化及仿古建筑工程预算定额（2018版）》</w:t>
      </w:r>
      <w:r>
        <w:rPr>
          <w:rFonts w:hint="eastAsia" w:ascii="宋体" w:hAnsi="宋体" w:cs="宋体"/>
          <w:highlight w:val="none"/>
          <w:u w:val="single"/>
        </w:rPr>
        <w:t>及工程所在地现行的有关工程造价方面规定及发包人提供的工程量清单中说明的工程量计算规则计算，由承包人计量、发包人及有关部门审核。</w:t>
      </w:r>
    </w:p>
    <w:p>
      <w:pPr>
        <w:spacing w:line="400" w:lineRule="exact"/>
        <w:ind w:firstLine="480" w:firstLineChars="200"/>
        <w:rPr>
          <w:rFonts w:ascii="宋体" w:hAnsi="宋体" w:cs="宋体"/>
          <w:highlight w:val="none"/>
        </w:rPr>
      </w:pPr>
      <w:r>
        <w:rPr>
          <w:rFonts w:hint="eastAsia" w:ascii="宋体" w:hAnsi="宋体" w:cs="宋体"/>
          <w:highlight w:val="none"/>
        </w:rPr>
        <w:t>12.3.2 计量周期：</w:t>
      </w:r>
    </w:p>
    <w:p>
      <w:pPr>
        <w:spacing w:line="400" w:lineRule="exact"/>
        <w:ind w:firstLine="480" w:firstLineChars="200"/>
        <w:rPr>
          <w:rFonts w:ascii="宋体" w:hAnsi="宋体" w:cs="宋体"/>
          <w:highlight w:val="none"/>
        </w:rPr>
      </w:pPr>
      <w:r>
        <w:rPr>
          <w:rFonts w:hint="eastAsia" w:ascii="宋体" w:hAnsi="宋体" w:cs="宋体"/>
          <w:highlight w:val="none"/>
        </w:rPr>
        <w:t>关于计量周期的约定：</w:t>
      </w:r>
      <w:r>
        <w:rPr>
          <w:rFonts w:hint="eastAsia" w:ascii="宋体" w:hAnsi="宋体" w:cs="宋体"/>
          <w:highlight w:val="none"/>
          <w:u w:val="single"/>
        </w:rPr>
        <w:t xml:space="preserve"> 按月计量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12.3.3 单价合同的计量</w:t>
      </w:r>
    </w:p>
    <w:p>
      <w:pPr>
        <w:spacing w:line="400" w:lineRule="exact"/>
        <w:ind w:firstLine="480" w:firstLineChars="200"/>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12.4 工程进度款支付</w:t>
      </w:r>
    </w:p>
    <w:p>
      <w:pPr>
        <w:spacing w:line="400" w:lineRule="exact"/>
        <w:ind w:firstLine="480" w:firstLineChars="200"/>
        <w:rPr>
          <w:rFonts w:ascii="宋体" w:hAnsi="宋体" w:cs="宋体"/>
          <w:highlight w:val="none"/>
        </w:rPr>
      </w:pPr>
      <w:bookmarkStart w:id="567" w:name="_Toc296944550"/>
      <w:bookmarkStart w:id="568" w:name="_Toc292559416"/>
      <w:bookmarkStart w:id="569" w:name="_Toc296503211"/>
      <w:bookmarkStart w:id="570" w:name="_Toc296347210"/>
      <w:bookmarkStart w:id="571" w:name="_Toc303539163"/>
      <w:bookmarkStart w:id="572" w:name="_Toc297048397"/>
      <w:bookmarkStart w:id="573" w:name="_Toc297120511"/>
      <w:bookmarkStart w:id="574" w:name="_Toc296891039"/>
      <w:bookmarkStart w:id="575" w:name="_Toc296891251"/>
      <w:bookmarkStart w:id="576" w:name="_Toc297123556"/>
      <w:bookmarkStart w:id="577" w:name="_Toc300935006"/>
      <w:bookmarkStart w:id="578" w:name="_Toc297216215"/>
      <w:bookmarkStart w:id="579" w:name="_Toc292559921"/>
      <w:bookmarkStart w:id="580" w:name="_Toc296346712"/>
      <w:r>
        <w:rPr>
          <w:rFonts w:hint="eastAsia" w:ascii="宋体" w:hAnsi="宋体" w:cs="宋体"/>
          <w:highlight w:val="none"/>
        </w:rPr>
        <w:t>12.4.1 付款周期</w:t>
      </w:r>
    </w:p>
    <w:p>
      <w:pPr>
        <w:spacing w:line="400" w:lineRule="exact"/>
        <w:ind w:firstLine="480" w:firstLineChars="200"/>
        <w:rPr>
          <w:rFonts w:ascii="宋体" w:hAnsi="宋体" w:cs="宋体"/>
          <w:highlight w:val="none"/>
        </w:rPr>
      </w:pPr>
      <w:r>
        <w:rPr>
          <w:rFonts w:hint="eastAsia" w:ascii="宋体" w:hAnsi="宋体" w:cs="宋体"/>
          <w:highlight w:val="none"/>
        </w:rPr>
        <w:t>关于付款周期的约定：</w:t>
      </w:r>
      <w:r>
        <w:rPr>
          <w:rFonts w:hint="eastAsia" w:ascii="宋体" w:hAnsi="宋体" w:cs="宋体"/>
          <w:highlight w:val="none"/>
          <w:u w:val="single"/>
        </w:rPr>
        <w:t xml:space="preserve"> 按月支付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12.4.2 进度付款申请单的编制</w:t>
      </w:r>
    </w:p>
    <w:p>
      <w:pPr>
        <w:spacing w:line="400" w:lineRule="exact"/>
        <w:ind w:firstLine="480" w:firstLineChars="200"/>
        <w:rPr>
          <w:rFonts w:ascii="宋体" w:hAnsi="宋体" w:cs="宋体"/>
          <w:highlight w:val="none"/>
        </w:rPr>
      </w:pPr>
      <w:r>
        <w:rPr>
          <w:rFonts w:hint="eastAsia" w:ascii="宋体" w:hAnsi="宋体" w:cs="宋体"/>
          <w:highlight w:val="none"/>
        </w:rPr>
        <w:t>关于进度付款申请单编制的约定：</w:t>
      </w:r>
    </w:p>
    <w:p>
      <w:pPr>
        <w:autoSpaceDE/>
        <w:autoSpaceDN/>
        <w:adjustRightInd/>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设计单位等）对工程竣工验收并签署工程质量合格文件后，支付至进度款审核汇总的合同价格的 90%（含预付款）。</w:t>
      </w:r>
    </w:p>
    <w:p>
      <w:pPr>
        <w:autoSpaceDE/>
        <w:autoSpaceDN/>
        <w:adjustRightInd/>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（2）工程结算款经审定后付至结算价100%。发包人支付完成最后工程结算付款前，承包人向发包人提供1.5 %的工程结算价款的质量保证金保函。</w:t>
      </w:r>
    </w:p>
    <w:p>
      <w:pPr>
        <w:pStyle w:val="8"/>
        <w:autoSpaceDE/>
        <w:autoSpaceDN/>
        <w:adjustRightInd/>
        <w:spacing w:line="400" w:lineRule="exact"/>
        <w:ind w:left="0" w:firstLine="482" w:firstLineChars="200"/>
        <w:rPr>
          <w:rFonts w:ascii="宋体" w:hAnsi="宋体" w:cs="宋体"/>
          <w:b/>
          <w:color w:val="auto"/>
          <w:highlight w:val="none"/>
          <w:u w:val="single"/>
        </w:rPr>
      </w:pPr>
      <w:r>
        <w:rPr>
          <w:rFonts w:hint="eastAsia" w:ascii="宋体" w:hAnsi="宋体" w:cs="宋体"/>
          <w:b/>
          <w:color w:val="auto"/>
          <w:highlight w:val="none"/>
          <w:u w:val="single"/>
        </w:rPr>
        <w:t>（3）发包人将当期应付工程进度款的[20]%单独拨付到承包人开设的农民工工资（劳务费）专用账户，承包人应确保专款专用。</w:t>
      </w:r>
    </w:p>
    <w:p>
      <w:pPr>
        <w:autoSpaceDE/>
        <w:autoSpaceDN/>
        <w:adjustRightInd/>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（4）其余按合同通用条款。承包人收取备料款及每期工程款时应开具正式发票。</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hint="eastAsia" w:ascii="宋体" w:hAnsi="宋体" w:cs="宋体"/>
          <w:color w:val="auto"/>
          <w:highlight w:val="none"/>
        </w:rPr>
        <w:t>2.4.3 进度付款申请单的提交</w:t>
      </w:r>
    </w:p>
    <w:p>
      <w:pPr>
        <w:spacing w:line="400" w:lineRule="exact"/>
        <w:ind w:firstLine="480" w:firstLineChars="200"/>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12.4.4 进度款审核和支付</w:t>
      </w:r>
    </w:p>
    <w:p>
      <w:pPr>
        <w:spacing w:line="400" w:lineRule="exact"/>
        <w:ind w:firstLine="480" w:firstLineChars="200"/>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pPr>
        <w:spacing w:line="400" w:lineRule="exact"/>
        <w:ind w:firstLine="480" w:firstLineChars="200"/>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pPr>
        <w:spacing w:line="400" w:lineRule="exact"/>
        <w:ind w:firstLine="480" w:firstLineChars="200"/>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支付应付工程进度（备料）款的利息，利率</w:t>
      </w:r>
      <w:r>
        <w:rPr>
          <w:rFonts w:hint="eastAsia" w:ascii="宋体" w:hAnsi="宋体" w:cs="宋体"/>
          <w:b/>
          <w:bCs/>
          <w:highlight w:val="none"/>
          <w:u w:val="single"/>
        </w:rPr>
        <w:t>按同期全国银行间同业拆借中心公布的贷款市场报价利率</w:t>
      </w:r>
      <w:r>
        <w:rPr>
          <w:rFonts w:hint="eastAsia" w:ascii="宋体" w:hAnsi="宋体" w:cs="宋体"/>
          <w:highlight w:val="none"/>
          <w:u w:val="single"/>
        </w:rPr>
        <w:t>，时间为从约定应付之日起至支付之日止计算利息</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pPr>
        <w:spacing w:line="400" w:lineRule="exact"/>
        <w:ind w:firstLine="482" w:firstLineChars="200"/>
        <w:rPr>
          <w:rFonts w:ascii="宋体" w:hAnsi="宋体" w:cs="宋体"/>
          <w:b/>
          <w:highlight w:val="none"/>
        </w:rPr>
      </w:pPr>
      <w:r>
        <w:rPr>
          <w:rFonts w:hint="eastAsia" w:ascii="宋体" w:hAnsi="宋体" w:cs="宋体"/>
          <w:b/>
          <w:highlight w:val="none"/>
        </w:rPr>
        <w:t>12.4.6 支付分解表的编制</w:t>
      </w:r>
    </w:p>
    <w:p>
      <w:pPr>
        <w:spacing w:line="400" w:lineRule="exact"/>
        <w:ind w:firstLine="480" w:firstLineChars="200"/>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2" w:firstLineChars="200"/>
        <w:rPr>
          <w:rFonts w:ascii="宋体" w:hAnsi="宋体" w:cs="宋体"/>
          <w:b/>
          <w:highlight w:val="none"/>
        </w:rPr>
      </w:pPr>
      <w:r>
        <w:rPr>
          <w:rFonts w:hint="eastAsia" w:ascii="宋体" w:hAnsi="宋体" w:cs="宋体"/>
          <w:b/>
          <w:highlight w:val="none"/>
        </w:rPr>
        <w:t>12.5 支付账户：</w:t>
      </w:r>
    </w:p>
    <w:bookmarkEnd w:id="420"/>
    <w:p>
      <w:pPr>
        <w:spacing w:line="400" w:lineRule="exact"/>
        <w:ind w:firstLine="480" w:firstLineChars="200"/>
        <w:rPr>
          <w:rFonts w:ascii="宋体" w:hAnsi="宋体" w:cs="宋体"/>
          <w:highlight w:val="none"/>
          <w:u w:val="single"/>
        </w:rPr>
      </w:pPr>
      <w:bookmarkStart w:id="581" w:name="_Toc351203645"/>
      <w:bookmarkStart w:id="582" w:name="_Toc297048405"/>
      <w:bookmarkStart w:id="583" w:name="_Toc297216223"/>
      <w:bookmarkStart w:id="584" w:name="_Toc296891259"/>
      <w:bookmarkStart w:id="585" w:name="_Toc296346720"/>
      <w:bookmarkStart w:id="586" w:name="_Toc292559424"/>
      <w:bookmarkStart w:id="587" w:name="_Toc296347218"/>
      <w:bookmarkStart w:id="588" w:name="_Toc303539172"/>
      <w:bookmarkStart w:id="589" w:name="_Toc296503219"/>
      <w:bookmarkStart w:id="590" w:name="_Toc296891047"/>
      <w:bookmarkStart w:id="591" w:name="_Toc296944558"/>
      <w:bookmarkStart w:id="592" w:name="_Toc300935015"/>
      <w:bookmarkStart w:id="593" w:name="_Toc292559929"/>
      <w:bookmarkStart w:id="594" w:name="_Toc297123564"/>
      <w:bookmarkStart w:id="595" w:name="_Toc312678053"/>
      <w:bookmarkStart w:id="596" w:name="_Toc297120519"/>
      <w:bookmarkStart w:id="597" w:name="_Toc304295593"/>
      <w:r>
        <w:rPr>
          <w:rFonts w:hint="eastAsia" w:ascii="宋体" w:hAnsi="宋体" w:cs="宋体"/>
          <w:highlight w:val="none"/>
          <w:u w:val="single"/>
        </w:rPr>
        <w:t>发包人将当期应付工程进度款的（20）%拨付到承包人的农民工工资专用账户：       ；</w:t>
      </w:r>
    </w:p>
    <w:p>
      <w:pPr>
        <w:spacing w:line="400" w:lineRule="exact"/>
        <w:ind w:firstLine="480" w:firstLineChars="200"/>
        <w:rPr>
          <w:rFonts w:ascii="宋体" w:hAnsi="宋体" w:cs="宋体"/>
          <w:highlight w:val="none"/>
        </w:rPr>
      </w:pPr>
      <w:r>
        <w:rPr>
          <w:rFonts w:hint="eastAsia" w:ascii="宋体" w:hAnsi="宋体" w:cs="宋体"/>
          <w:highlight w:val="none"/>
        </w:rPr>
        <w:t>其余合同价款支付至合同协议书中约定的承包人帐户。</w:t>
      </w:r>
    </w:p>
    <w:p>
      <w:pPr>
        <w:spacing w:line="400" w:lineRule="exact"/>
        <w:ind w:firstLine="480" w:firstLineChars="200"/>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581"/>
    </w:p>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Pr>
        <w:spacing w:line="400" w:lineRule="exact"/>
        <w:ind w:firstLine="480" w:firstLineChars="200"/>
        <w:rPr>
          <w:rFonts w:ascii="宋体" w:hAnsi="宋体" w:cs="宋体"/>
          <w:highlight w:val="none"/>
        </w:rPr>
      </w:pPr>
      <w:bookmarkStart w:id="598" w:name="_Toc267251470"/>
      <w:bookmarkStart w:id="599" w:name="_Toc267251473"/>
      <w:bookmarkStart w:id="600" w:name="_Toc267251472"/>
      <w:bookmarkStart w:id="601" w:name="_Toc267251474"/>
      <w:bookmarkStart w:id="602" w:name="_Toc267251471"/>
      <w:bookmarkStart w:id="603" w:name="_Toc267251476"/>
      <w:bookmarkStart w:id="604" w:name="_Toc267251475"/>
      <w:bookmarkStart w:id="605" w:name="_Toc280868709"/>
      <w:r>
        <w:rPr>
          <w:rFonts w:hint="eastAsia" w:ascii="宋体" w:hAnsi="宋体" w:cs="宋体"/>
          <w:highlight w:val="none"/>
        </w:rPr>
        <w:t>13.1 分部分项工程验收</w:t>
      </w:r>
    </w:p>
    <w:p>
      <w:pPr>
        <w:spacing w:line="400" w:lineRule="exact"/>
        <w:ind w:firstLine="480" w:firstLineChars="200"/>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pPr>
        <w:spacing w:line="400" w:lineRule="exact"/>
        <w:ind w:firstLine="480" w:firstLineChars="200"/>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pPr>
        <w:spacing w:line="400" w:lineRule="exact"/>
        <w:ind w:firstLine="480" w:firstLineChars="200"/>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pPr>
        <w:spacing w:line="400" w:lineRule="exact"/>
        <w:ind w:firstLine="480" w:firstLineChars="200"/>
        <w:rPr>
          <w:rFonts w:ascii="宋体" w:hAnsi="宋体" w:cs="宋体"/>
          <w:highlight w:val="none"/>
        </w:rPr>
      </w:pPr>
      <w:bookmarkStart w:id="606" w:name="_Toc292559933"/>
      <w:bookmarkStart w:id="607" w:name="_Toc297216224"/>
      <w:bookmarkStart w:id="608" w:name="_Toc312678056"/>
      <w:bookmarkStart w:id="609" w:name="_Toc297048409"/>
      <w:bookmarkStart w:id="610" w:name="_Toc304295596"/>
      <w:bookmarkStart w:id="611" w:name="_Toc300935016"/>
      <w:bookmarkStart w:id="612" w:name="_Toc296944562"/>
      <w:bookmarkStart w:id="613" w:name="_Toc296347222"/>
      <w:bookmarkStart w:id="614" w:name="_Toc303539173"/>
      <w:bookmarkStart w:id="615" w:name="_Toc296891051"/>
      <w:bookmarkStart w:id="616" w:name="_Toc296503223"/>
      <w:bookmarkStart w:id="617" w:name="_Toc296346724"/>
      <w:bookmarkStart w:id="618" w:name="_Toc296891263"/>
      <w:bookmarkStart w:id="619" w:name="_Toc297123565"/>
      <w:bookmarkStart w:id="620" w:name="_Toc292559428"/>
      <w:bookmarkStart w:id="621" w:name="_Toc297120523"/>
      <w:r>
        <w:rPr>
          <w:rFonts w:hint="eastAsia" w:ascii="宋体" w:hAnsi="宋体" w:cs="宋体"/>
          <w:highlight w:val="none"/>
        </w:rPr>
        <w:t>13.2 竣工验收</w:t>
      </w:r>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Pr>
        <w:spacing w:line="400" w:lineRule="exact"/>
        <w:ind w:firstLine="480" w:firstLineChars="200"/>
        <w:rPr>
          <w:rFonts w:ascii="宋体" w:hAnsi="宋体" w:cs="宋体"/>
          <w:highlight w:val="none"/>
        </w:rPr>
      </w:pPr>
      <w:bookmarkStart w:id="622" w:name="_Toc280868704"/>
      <w:bookmarkStart w:id="623" w:name="_Toc280868705"/>
      <w:bookmarkStart w:id="624" w:name="_Toc280868706"/>
      <w:bookmarkStart w:id="625" w:name="_Toc280868707"/>
      <w:bookmarkStart w:id="626" w:name="_Toc280868708"/>
      <w:r>
        <w:rPr>
          <w:rFonts w:hint="eastAsia" w:ascii="宋体" w:hAnsi="宋体" w:cs="宋体"/>
          <w:highlight w:val="none"/>
        </w:rPr>
        <w:t>13.2.2竣工验收程序</w:t>
      </w:r>
    </w:p>
    <w:bookmarkEnd w:id="622"/>
    <w:p>
      <w:pPr>
        <w:spacing w:line="400" w:lineRule="exact"/>
        <w:ind w:firstLine="480" w:firstLineChars="200"/>
        <w:rPr>
          <w:rFonts w:ascii="宋体" w:hAnsi="宋体" w:cs="宋体"/>
          <w:highlight w:val="none"/>
        </w:rPr>
      </w:pPr>
      <w:r>
        <w:rPr>
          <w:rFonts w:hint="eastAsia" w:ascii="宋体" w:hAnsi="宋体" w:cs="宋体"/>
          <w:highlight w:val="none"/>
        </w:rPr>
        <w:t>关于竣工验收程序的约定：</w:t>
      </w:r>
      <w:r>
        <w:rPr>
          <w:rFonts w:hint="eastAsia" w:ascii="宋体" w:hAnsi="宋体" w:cs="宋体"/>
          <w:highlight w:val="none"/>
          <w:u w:val="single"/>
        </w:rPr>
        <w:t xml:space="preserve"> 竣工验收程序按合同通用条款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400" w:lineRule="exact"/>
        <w:ind w:firstLine="480" w:firstLineChars="200"/>
        <w:rPr>
          <w:rFonts w:ascii="宋体" w:hAnsi="宋体" w:cs="宋体"/>
          <w:highlight w:val="none"/>
          <w:u w:val="single"/>
        </w:rPr>
      </w:pPr>
      <w:r>
        <w:rPr>
          <w:rFonts w:hint="eastAsia" w:ascii="宋体" w:hAnsi="宋体" w:cs="宋体"/>
          <w:highlight w:val="none"/>
        </w:rPr>
        <w:t>发包人不按照本项约定组织竣工验收、颁发工程接收证书的违约金的计算方法</w:t>
      </w:r>
      <w:r>
        <w:rPr>
          <w:rFonts w:hint="eastAsia" w:ascii="宋体" w:hAnsi="宋体" w:cs="宋体"/>
          <w:highlight w:val="none"/>
          <w:u w:val="single"/>
        </w:rPr>
        <w:t>：不计违约金。</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因发包人原因，未在监理人接收到承包人提交的验收申请报告42天内完成验收，或完成验收不予签发工程接收证书的，以提交验收申请报告的日期为实际竣工日期。</w:t>
      </w:r>
    </w:p>
    <w:p>
      <w:pPr>
        <w:spacing w:line="400" w:lineRule="exact"/>
        <w:ind w:firstLine="480" w:firstLineChars="200"/>
        <w:rPr>
          <w:rFonts w:ascii="宋体" w:hAnsi="宋体" w:cs="宋体"/>
          <w:highlight w:val="none"/>
        </w:rPr>
      </w:pPr>
      <w:r>
        <w:rPr>
          <w:rFonts w:hint="eastAsia" w:ascii="宋体" w:hAnsi="宋体" w:cs="宋体"/>
          <w:highlight w:val="none"/>
        </w:rPr>
        <w:t>13.2.3竣工日期</w:t>
      </w:r>
    </w:p>
    <w:p>
      <w:pPr>
        <w:spacing w:line="400" w:lineRule="exact"/>
        <w:ind w:firstLine="480" w:firstLineChars="200"/>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pPr>
        <w:spacing w:line="400" w:lineRule="exact"/>
        <w:ind w:firstLine="480" w:firstLineChars="200"/>
        <w:rPr>
          <w:rFonts w:ascii="宋体" w:hAnsi="宋体" w:cs="宋体"/>
          <w:highlight w:val="none"/>
        </w:rPr>
      </w:pPr>
      <w:r>
        <w:rPr>
          <w:rFonts w:hint="eastAsia" w:ascii="宋体" w:hAnsi="宋体" w:cs="宋体"/>
          <w:highlight w:val="none"/>
        </w:rPr>
        <w:t>（2）其余按通用合同条款。</w:t>
      </w:r>
    </w:p>
    <w:bookmarkEnd w:id="623"/>
    <w:p>
      <w:pPr>
        <w:spacing w:line="400" w:lineRule="exact"/>
        <w:ind w:firstLine="480" w:firstLineChars="200"/>
        <w:rPr>
          <w:rFonts w:ascii="宋体" w:hAnsi="宋体" w:cs="宋体"/>
          <w:highlight w:val="none"/>
        </w:rPr>
      </w:pPr>
      <w:r>
        <w:rPr>
          <w:rFonts w:hint="eastAsia" w:ascii="宋体" w:hAnsi="宋体" w:cs="宋体"/>
          <w:highlight w:val="none"/>
        </w:rPr>
        <w:t>13.2.5移交、接收全部与部分工程</w:t>
      </w:r>
    </w:p>
    <w:bookmarkEnd w:id="624"/>
    <w:p>
      <w:pPr>
        <w:spacing w:line="400" w:lineRule="exact"/>
        <w:ind w:firstLine="480" w:firstLineChars="200"/>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625"/>
    <w:p>
      <w:pPr>
        <w:spacing w:line="400" w:lineRule="exact"/>
        <w:ind w:firstLine="480" w:firstLineChars="200"/>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13.3 工程试车</w:t>
      </w:r>
    </w:p>
    <w:bookmarkEnd w:id="626"/>
    <w:p>
      <w:pPr>
        <w:spacing w:line="400" w:lineRule="exact"/>
        <w:ind w:firstLine="480" w:firstLineChars="200"/>
        <w:rPr>
          <w:rFonts w:ascii="宋体" w:hAnsi="宋体" w:cs="宋体"/>
          <w:highlight w:val="none"/>
        </w:rPr>
      </w:pPr>
      <w:r>
        <w:rPr>
          <w:rFonts w:hint="eastAsia" w:ascii="宋体" w:hAnsi="宋体" w:cs="宋体"/>
          <w:highlight w:val="none"/>
        </w:rPr>
        <w:t>13.3.1 试车程序</w:t>
      </w:r>
    </w:p>
    <w:p>
      <w:pPr>
        <w:spacing w:line="400" w:lineRule="exact"/>
        <w:ind w:firstLine="480" w:firstLineChars="200"/>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pPr>
        <w:spacing w:line="400" w:lineRule="exact"/>
        <w:ind w:firstLine="480" w:firstLineChars="200"/>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pPr>
        <w:spacing w:line="400" w:lineRule="exact"/>
        <w:ind w:firstLine="480" w:firstLineChars="200"/>
        <w:rPr>
          <w:rFonts w:ascii="宋体" w:hAnsi="宋体" w:cs="宋体"/>
          <w:highlight w:val="none"/>
        </w:rPr>
      </w:pPr>
      <w:r>
        <w:rPr>
          <w:rFonts w:hint="eastAsia" w:ascii="宋体" w:hAnsi="宋体" w:cs="宋体"/>
          <w:highlight w:val="none"/>
        </w:rPr>
        <w:t>13.3.3 投料试车</w:t>
      </w:r>
    </w:p>
    <w:p>
      <w:pPr>
        <w:spacing w:line="400" w:lineRule="exact"/>
        <w:ind w:firstLine="480" w:firstLineChars="200"/>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13.6 竣工退场</w:t>
      </w:r>
    </w:p>
    <w:p>
      <w:pPr>
        <w:spacing w:line="400" w:lineRule="exact"/>
        <w:ind w:firstLine="480" w:firstLineChars="200"/>
        <w:rPr>
          <w:rFonts w:ascii="宋体" w:hAnsi="宋体" w:cs="宋体"/>
          <w:highlight w:val="none"/>
        </w:rPr>
      </w:pPr>
      <w:r>
        <w:rPr>
          <w:rFonts w:hint="eastAsia" w:ascii="宋体" w:hAnsi="宋体" w:cs="宋体"/>
          <w:highlight w:val="none"/>
        </w:rPr>
        <w:t>13.6.1 竣工退场</w:t>
      </w:r>
    </w:p>
    <w:p>
      <w:pPr>
        <w:spacing w:line="400" w:lineRule="exact"/>
        <w:ind w:firstLine="480" w:firstLineChars="200"/>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13.6.2地表还原</w:t>
      </w:r>
    </w:p>
    <w:p>
      <w:pPr>
        <w:spacing w:line="400" w:lineRule="exact"/>
        <w:ind w:firstLine="480" w:firstLineChars="200"/>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400" w:lineRule="exact"/>
        <w:ind w:firstLine="480" w:firstLineChars="200"/>
        <w:rPr>
          <w:rFonts w:ascii="宋体" w:hAnsi="宋体" w:cs="宋体"/>
          <w:highlight w:val="none"/>
        </w:rPr>
      </w:pPr>
      <w:r>
        <w:rPr>
          <w:rFonts w:hint="eastAsia" w:ascii="宋体" w:hAnsi="宋体" w:cs="宋体"/>
          <w:highlight w:val="none"/>
        </w:rPr>
        <w:t>本工程场地恢复的要求：</w:t>
      </w:r>
    </w:p>
    <w:p>
      <w:pPr>
        <w:spacing w:line="400" w:lineRule="exact"/>
        <w:ind w:firstLine="480" w:firstLineChars="200"/>
        <w:rPr>
          <w:rFonts w:ascii="宋体" w:hAnsi="宋体" w:cs="宋体"/>
          <w:highlight w:val="none"/>
        </w:rPr>
      </w:pPr>
      <w:r>
        <w:rPr>
          <w:rFonts w:hint="eastAsia" w:ascii="宋体" w:hAnsi="宋体" w:cs="宋体"/>
          <w:highlight w:val="none"/>
        </w:rPr>
        <w:t>（1）清理完成施工现场垃圾，临建的拆除与场地复原；</w:t>
      </w:r>
    </w:p>
    <w:p>
      <w:pPr>
        <w:spacing w:line="400" w:lineRule="exact"/>
        <w:ind w:firstLine="480" w:firstLineChars="200"/>
        <w:rPr>
          <w:rFonts w:ascii="宋体" w:hAnsi="宋体" w:cs="宋体"/>
          <w:highlight w:val="none"/>
        </w:rPr>
      </w:pPr>
      <w:r>
        <w:rPr>
          <w:rFonts w:hint="eastAsia" w:ascii="宋体" w:hAnsi="宋体" w:cs="宋体"/>
          <w:highlight w:val="none"/>
        </w:rPr>
        <w:t>（2）施工后废弃材料、设备清理撤离；</w:t>
      </w:r>
    </w:p>
    <w:p>
      <w:pPr>
        <w:spacing w:line="400" w:lineRule="exact"/>
        <w:ind w:firstLine="480" w:firstLineChars="200"/>
        <w:rPr>
          <w:rFonts w:ascii="宋体" w:hAnsi="宋体" w:cs="宋体"/>
          <w:highlight w:val="none"/>
        </w:rPr>
      </w:pPr>
      <w:r>
        <w:rPr>
          <w:rFonts w:hint="eastAsia" w:ascii="宋体" w:hAnsi="宋体" w:cs="宋体"/>
          <w:highlight w:val="none"/>
        </w:rPr>
        <w:t>（3）承包人造成的施工现场周边施工堆积物及场地清理。</w:t>
      </w:r>
    </w:p>
    <w:p>
      <w:pPr>
        <w:spacing w:line="400" w:lineRule="exact"/>
        <w:ind w:firstLine="480" w:firstLineChars="200"/>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bookmarkStart w:id="627" w:name="_Toc351203646"/>
      <w:r>
        <w:rPr>
          <w:rFonts w:hint="eastAsia" w:ascii="宋体" w:hAnsi="宋体" w:cs="宋体"/>
          <w:highlight w:val="none"/>
        </w:rPr>
        <w:t>14. 竣工结算</w:t>
      </w:r>
      <w:bookmarkEnd w:id="627"/>
    </w:p>
    <w:p>
      <w:pPr>
        <w:spacing w:line="400" w:lineRule="exact"/>
        <w:ind w:firstLine="480" w:firstLineChars="200"/>
        <w:rPr>
          <w:rFonts w:ascii="宋体" w:hAnsi="宋体" w:cs="宋体"/>
          <w:highlight w:val="none"/>
        </w:rPr>
      </w:pPr>
      <w:r>
        <w:rPr>
          <w:rFonts w:hint="eastAsia" w:ascii="宋体" w:hAnsi="宋体" w:cs="宋体"/>
          <w:highlight w:val="none"/>
        </w:rPr>
        <w:t>14.1竣工付款申请</w:t>
      </w:r>
    </w:p>
    <w:p>
      <w:pPr>
        <w:spacing w:line="400" w:lineRule="exact"/>
        <w:ind w:firstLine="480" w:firstLineChars="200"/>
        <w:rPr>
          <w:rFonts w:ascii="宋体" w:hAnsi="宋体" w:cs="宋体"/>
          <w:highlight w:val="none"/>
        </w:rPr>
      </w:pPr>
      <w:r>
        <w:rPr>
          <w:rFonts w:hint="eastAsia" w:ascii="宋体" w:hAnsi="宋体" w:cs="宋体"/>
          <w:highlight w:val="none"/>
        </w:rPr>
        <w:t>1.承包人提交竣工结算申请的期限：</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pPr>
        <w:spacing w:line="400" w:lineRule="exact"/>
        <w:ind w:firstLine="480" w:firstLineChars="200"/>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400" w:lineRule="exact"/>
        <w:ind w:firstLine="480" w:firstLineChars="200"/>
        <w:rPr>
          <w:rFonts w:ascii="宋体" w:hAnsi="宋体" w:cs="宋体"/>
          <w:highlight w:val="none"/>
        </w:rPr>
      </w:pPr>
      <w:r>
        <w:rPr>
          <w:rFonts w:hint="eastAsia" w:ascii="宋体" w:hAnsi="宋体" w:cs="宋体"/>
          <w:highlight w:val="none"/>
        </w:rPr>
        <w:t>14.2 竣工结算审核</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（1）发包人结算审核时间：发包人收到承包人递交的竣工结算报告及结算资料后，在（  ）天内送第三方审计。待审计结束后，并签发竣工结算证书。</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pPr>
        <w:spacing w:line="400" w:lineRule="exact"/>
        <w:ind w:firstLine="480" w:firstLineChars="200"/>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 率支付违约金；逾期超过 56 天，按同期全国银行间同业拆借中心公布的贷款市场报价利率的 2 倍支付违约金。</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pPr>
        <w:spacing w:line="400" w:lineRule="exact"/>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pPr>
        <w:spacing w:line="400" w:lineRule="exact"/>
        <w:ind w:firstLine="480" w:firstLineChars="200"/>
        <w:rPr>
          <w:rFonts w:ascii="宋体" w:hAnsi="宋体" w:cs="宋体"/>
          <w:highlight w:val="none"/>
        </w:rPr>
      </w:pPr>
      <w:r>
        <w:rPr>
          <w:rFonts w:hint="eastAsia" w:ascii="宋体" w:hAnsi="宋体" w:cs="宋体"/>
          <w:highlight w:val="none"/>
        </w:rPr>
        <w:t>4.4 最终结清</w:t>
      </w:r>
    </w:p>
    <w:p>
      <w:pPr>
        <w:spacing w:line="400" w:lineRule="exact"/>
        <w:ind w:firstLine="480" w:firstLineChars="200"/>
        <w:rPr>
          <w:rFonts w:ascii="宋体" w:hAnsi="宋体" w:cs="宋体"/>
          <w:highlight w:val="none"/>
        </w:rPr>
      </w:pPr>
      <w:r>
        <w:rPr>
          <w:rFonts w:hint="eastAsia" w:ascii="宋体" w:hAnsi="宋体" w:cs="宋体"/>
          <w:highlight w:val="none"/>
        </w:rPr>
        <w:t>14.4.1 最终结清申请单</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pPr>
        <w:spacing w:line="400" w:lineRule="exact"/>
        <w:ind w:firstLine="480" w:firstLineChars="200"/>
        <w:rPr>
          <w:rFonts w:ascii="宋体" w:hAnsi="宋体" w:cs="宋体"/>
          <w:highlight w:val="none"/>
        </w:rPr>
      </w:pPr>
      <w:r>
        <w:rPr>
          <w:rFonts w:hint="eastAsia" w:ascii="宋体" w:hAnsi="宋体" w:cs="宋体"/>
          <w:highlight w:val="none"/>
        </w:rPr>
        <w:t>14.4.2 最终结清证书和支付</w:t>
      </w:r>
    </w:p>
    <w:p>
      <w:pPr>
        <w:spacing w:line="400" w:lineRule="exact"/>
        <w:ind w:firstLine="480" w:firstLineChars="200"/>
        <w:rPr>
          <w:rFonts w:ascii="宋体" w:hAnsi="宋体" w:cs="宋体"/>
          <w:highlight w:val="none"/>
          <w:u w:val="single"/>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pPr>
        <w:spacing w:line="400" w:lineRule="exact"/>
        <w:ind w:firstLine="480" w:firstLineChars="200"/>
        <w:rPr>
          <w:rFonts w:ascii="宋体" w:hAnsi="宋体" w:cs="宋体"/>
          <w:highlight w:val="none"/>
        </w:rPr>
      </w:pPr>
      <w:r>
        <w:rPr>
          <w:rFonts w:hint="eastAsia" w:ascii="宋体" w:hAnsi="宋体" w:cs="宋体"/>
          <w:highlight w:val="none"/>
        </w:rPr>
        <w:t>（2）发包人完成支付的期限：</w:t>
      </w:r>
      <w:r>
        <w:rPr>
          <w:rFonts w:hint="eastAsia" w:ascii="宋体" w:hAnsi="宋体" w:cs="宋体"/>
          <w:highlight w:val="none"/>
          <w:u w:val="single"/>
        </w:rPr>
        <w:t>按通用合同条款。</w:t>
      </w:r>
    </w:p>
    <w:bookmarkEnd w:id="598"/>
    <w:bookmarkEnd w:id="599"/>
    <w:bookmarkEnd w:id="600"/>
    <w:bookmarkEnd w:id="601"/>
    <w:bookmarkEnd w:id="602"/>
    <w:bookmarkEnd w:id="603"/>
    <w:bookmarkEnd w:id="604"/>
    <w:bookmarkEnd w:id="605"/>
    <w:p>
      <w:pPr>
        <w:pStyle w:val="6"/>
        <w:spacing w:before="0" w:after="0" w:line="400" w:lineRule="exact"/>
        <w:ind w:firstLine="482" w:firstLineChars="200"/>
        <w:rPr>
          <w:rFonts w:ascii="宋体" w:hAnsi="宋体" w:eastAsia="宋体" w:cs="宋体"/>
          <w:b w:val="0"/>
          <w:sz w:val="24"/>
          <w:szCs w:val="24"/>
          <w:highlight w:val="none"/>
        </w:rPr>
      </w:pPr>
      <w:bookmarkStart w:id="628" w:name="_Toc351203647"/>
      <w:bookmarkStart w:id="629" w:name="_Toc267251484"/>
      <w:bookmarkStart w:id="630" w:name="_Toc267251483"/>
      <w:bookmarkStart w:id="631" w:name="_Toc267251485"/>
      <w:bookmarkStart w:id="632" w:name="_Toc267251482"/>
      <w:bookmarkStart w:id="633" w:name="_Toc267251488"/>
      <w:bookmarkStart w:id="634" w:name="_Toc267251490"/>
      <w:bookmarkStart w:id="635" w:name="_Toc267251489"/>
      <w:bookmarkStart w:id="636" w:name="_Toc267251486"/>
      <w:bookmarkStart w:id="637" w:name="_Toc267251497"/>
      <w:bookmarkStart w:id="638" w:name="_Toc267251498"/>
      <w:bookmarkStart w:id="639" w:name="_Toc267251493"/>
      <w:bookmarkStart w:id="640" w:name="_Toc267251494"/>
      <w:bookmarkStart w:id="641" w:name="_Toc267251502"/>
      <w:bookmarkStart w:id="642" w:name="_Toc267251499"/>
      <w:bookmarkStart w:id="643" w:name="_Toc267251495"/>
      <w:bookmarkStart w:id="644" w:name="_Toc267251491"/>
      <w:bookmarkStart w:id="645" w:name="_Toc267251501"/>
      <w:bookmarkStart w:id="646" w:name="_Toc267251496"/>
      <w:bookmarkStart w:id="647" w:name="_Toc267251503"/>
      <w:bookmarkStart w:id="648" w:name="_Toc267251492"/>
      <w:bookmarkStart w:id="649" w:name="_Toc267251509"/>
      <w:bookmarkStart w:id="650" w:name="_Toc267251508"/>
      <w:bookmarkStart w:id="651" w:name="_Toc267251510"/>
      <w:bookmarkStart w:id="652" w:name="_Toc267251507"/>
      <w:bookmarkStart w:id="653" w:name="_Toc267251506"/>
      <w:bookmarkStart w:id="654" w:name="_Toc267251511"/>
      <w:bookmarkStart w:id="655" w:name="_Toc267251514"/>
      <w:bookmarkStart w:id="656" w:name="_Toc267251513"/>
      <w:bookmarkStart w:id="657" w:name="_Toc267251515"/>
      <w:bookmarkStart w:id="658" w:name="_Toc267251504"/>
      <w:r>
        <w:rPr>
          <w:rFonts w:hint="eastAsia" w:ascii="宋体" w:hAnsi="宋体" w:eastAsia="宋体" w:cs="宋体"/>
          <w:sz w:val="24"/>
          <w:szCs w:val="24"/>
          <w:highlight w:val="none"/>
        </w:rPr>
        <w:t>15. 缺陷责任期与保修</w:t>
      </w:r>
      <w:bookmarkEnd w:id="628"/>
    </w:p>
    <w:bookmarkEnd w:id="629"/>
    <w:bookmarkEnd w:id="630"/>
    <w:bookmarkEnd w:id="631"/>
    <w:bookmarkEnd w:id="632"/>
    <w:p>
      <w:pPr>
        <w:spacing w:line="400" w:lineRule="exact"/>
        <w:ind w:firstLine="480" w:firstLineChars="200"/>
        <w:rPr>
          <w:rFonts w:ascii="宋体" w:hAnsi="宋体" w:cs="宋体"/>
          <w:highlight w:val="none"/>
        </w:rPr>
      </w:pPr>
      <w:r>
        <w:rPr>
          <w:rFonts w:hint="eastAsia" w:ascii="宋体" w:hAnsi="宋体" w:cs="宋体"/>
          <w:highlight w:val="none"/>
        </w:rPr>
        <w:t>15.2缺陷责任期</w:t>
      </w:r>
    </w:p>
    <w:p>
      <w:pPr>
        <w:spacing w:line="400" w:lineRule="exact"/>
        <w:ind w:firstLine="480" w:firstLineChars="200"/>
        <w:rPr>
          <w:rFonts w:ascii="宋体" w:hAnsi="宋体" w:cs="宋体"/>
          <w:highlight w:val="none"/>
        </w:rPr>
      </w:pPr>
      <w:r>
        <w:rPr>
          <w:rFonts w:hint="eastAsia" w:ascii="宋体" w:hAnsi="宋体" w:cs="宋体"/>
          <w:highlight w:val="none"/>
        </w:rPr>
        <w:t>缺陷责任期的具体期限：</w:t>
      </w:r>
      <w:r>
        <w:rPr>
          <w:rFonts w:hint="eastAsia" w:ascii="宋体" w:hAnsi="宋体" w:cs="宋体"/>
          <w:highlight w:val="none"/>
          <w:u w:val="single"/>
        </w:rPr>
        <w:t xml:space="preserve"> 缺陷责任期24个月，其余按通用合同条款执行</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15.3 质量保证金</w:t>
      </w:r>
    </w:p>
    <w:p>
      <w:pPr>
        <w:spacing w:line="400" w:lineRule="exact"/>
        <w:ind w:firstLine="480" w:firstLineChars="200"/>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留置质量保证金</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15.3.1 承包人提供质量保证金的方式</w:t>
      </w:r>
    </w:p>
    <w:p>
      <w:pPr>
        <w:spacing w:line="400" w:lineRule="exact"/>
        <w:ind w:firstLine="480" w:firstLineChars="200"/>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（1）  </w:t>
      </w:r>
      <w:r>
        <w:rPr>
          <w:rFonts w:hint="eastAsia" w:ascii="宋体" w:hAnsi="宋体" w:cs="宋体"/>
          <w:highlight w:val="none"/>
        </w:rPr>
        <w:t>种方式：</w:t>
      </w:r>
    </w:p>
    <w:p>
      <w:pPr>
        <w:spacing w:line="400" w:lineRule="exact"/>
        <w:ind w:firstLine="480" w:firstLineChars="200"/>
        <w:rPr>
          <w:rFonts w:ascii="宋体" w:hAnsi="宋体" w:cs="宋体"/>
          <w:highlight w:val="none"/>
        </w:rPr>
      </w:pPr>
      <w:r>
        <w:rPr>
          <w:rFonts w:hint="eastAsia" w:ascii="宋体" w:hAnsi="宋体" w:cs="宋体"/>
          <w:highlight w:val="none"/>
        </w:rPr>
        <w:t xml:space="preserve">（1）质量保证金保函，保函形式为银行保函〔保险保函〕，金额为1.5 %的工程结算价款； </w:t>
      </w:r>
    </w:p>
    <w:p>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u w:val="single"/>
          <w:lang w:val="en-US" w:eastAsia="zh-CN"/>
        </w:rPr>
        <w:t>/</w:t>
      </w:r>
      <w:r>
        <w:rPr>
          <w:rFonts w:hint="eastAsia" w:ascii="宋体" w:hAnsi="宋体" w:cs="宋体"/>
          <w:highlight w:val="none"/>
        </w:rPr>
        <w:t>的工程结算价款；</w:t>
      </w:r>
    </w:p>
    <w:p>
      <w:pPr>
        <w:spacing w:line="400" w:lineRule="exact"/>
        <w:ind w:firstLine="480" w:firstLineChars="200"/>
        <w:rPr>
          <w:rFonts w:ascii="宋体" w:hAnsi="宋体" w:cs="宋体"/>
          <w:highlight w:val="none"/>
        </w:rPr>
      </w:pPr>
      <w:r>
        <w:rPr>
          <w:rFonts w:hint="eastAsia" w:ascii="宋体" w:hAnsi="宋体" w:cs="宋体"/>
          <w:highlight w:val="none"/>
        </w:rPr>
        <w:t>（3）其他方式:</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 xml:space="preserve">15.3.2 质量保证金的扣留 </w:t>
      </w:r>
    </w:p>
    <w:p>
      <w:pPr>
        <w:spacing w:line="400" w:lineRule="exact"/>
        <w:ind w:firstLine="480" w:firstLineChars="200"/>
        <w:rPr>
          <w:rFonts w:ascii="宋体" w:hAnsi="宋体" w:cs="宋体"/>
          <w:highlight w:val="none"/>
        </w:rPr>
      </w:pPr>
      <w:r>
        <w:rPr>
          <w:rFonts w:hint="eastAsia" w:ascii="宋体" w:hAnsi="宋体" w:cs="宋体"/>
          <w:highlight w:val="none"/>
        </w:rPr>
        <w:t>质量保证金的扣留采取以下第</w:t>
      </w:r>
      <w:r>
        <w:rPr>
          <w:rFonts w:hint="eastAsia" w:ascii="宋体" w:hAnsi="宋体" w:cs="宋体"/>
          <w:highlight w:val="none"/>
          <w:u w:val="single"/>
        </w:rPr>
        <w:t>（3）</w:t>
      </w:r>
      <w:r>
        <w:rPr>
          <w:rFonts w:hint="eastAsia" w:ascii="宋体" w:hAnsi="宋体" w:cs="宋体"/>
          <w:highlight w:val="none"/>
        </w:rPr>
        <w:t xml:space="preserve">种方式： </w:t>
      </w:r>
    </w:p>
    <w:p>
      <w:pPr>
        <w:spacing w:line="400" w:lineRule="exact"/>
        <w:ind w:firstLine="480" w:firstLineChars="200"/>
        <w:rPr>
          <w:rFonts w:ascii="宋体" w:hAnsi="宋体" w:cs="宋体"/>
          <w:highlight w:val="none"/>
        </w:rPr>
      </w:pPr>
      <w:r>
        <w:rPr>
          <w:rFonts w:hint="eastAsia" w:ascii="宋体" w:hAnsi="宋体" w:cs="宋体"/>
          <w:highlight w:val="none"/>
        </w:rPr>
        <w:t>（1）在支付工程进度款时逐次扣留，在此情形下，质量保证金的计算基数不包括预付款的支付、扣回以及价格调整的金额；</w:t>
      </w:r>
    </w:p>
    <w:p>
      <w:pPr>
        <w:spacing w:line="400" w:lineRule="exact"/>
        <w:ind w:firstLine="480" w:firstLineChars="200"/>
        <w:rPr>
          <w:rFonts w:ascii="宋体" w:hAnsi="宋体" w:cs="宋体"/>
          <w:highlight w:val="none"/>
        </w:rPr>
      </w:pPr>
      <w:r>
        <w:rPr>
          <w:rFonts w:hint="eastAsia" w:ascii="宋体" w:hAnsi="宋体" w:cs="宋体"/>
          <w:highlight w:val="none"/>
        </w:rPr>
        <w:t>（2）工程竣工结算时一次性扣留质量保证金；</w:t>
      </w:r>
    </w:p>
    <w:p>
      <w:pPr>
        <w:spacing w:line="400" w:lineRule="exact"/>
        <w:ind w:firstLine="480" w:firstLineChars="200"/>
        <w:rPr>
          <w:rFonts w:ascii="宋体" w:hAnsi="宋体" w:cs="宋体"/>
          <w:highlight w:val="none"/>
        </w:rPr>
      </w:pPr>
      <w:r>
        <w:rPr>
          <w:rFonts w:hint="eastAsia" w:ascii="宋体" w:hAnsi="宋体" w:cs="宋体"/>
          <w:highlight w:val="none"/>
        </w:rPr>
        <w:t>（3）其他扣留方式：</w:t>
      </w:r>
      <w:r>
        <w:rPr>
          <w:rFonts w:hint="eastAsia" w:ascii="宋体" w:hAnsi="宋体" w:cs="宋体"/>
          <w:highlight w:val="none"/>
          <w:u w:val="single"/>
        </w:rPr>
        <w:t xml:space="preserve"> 发包人支付完成最后工程结算付款前，承包人提供质量保证金保函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关于质量保证金的补充约定：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15.3.3 质量保证金的退还</w:t>
      </w:r>
    </w:p>
    <w:p>
      <w:pPr>
        <w:spacing w:line="400" w:lineRule="exact"/>
        <w:ind w:firstLine="480" w:firstLineChars="200"/>
        <w:rPr>
          <w:rFonts w:ascii="宋体" w:hAnsi="宋体" w:cs="宋体"/>
          <w:highlight w:val="none"/>
        </w:rPr>
      </w:pPr>
      <w:r>
        <w:rPr>
          <w:rFonts w:hint="eastAsia" w:ascii="宋体" w:hAnsi="宋体" w:cs="宋体"/>
          <w:highlight w:val="none"/>
        </w:rPr>
        <w:t>质量保证金按以下第</w:t>
      </w:r>
      <w:r>
        <w:rPr>
          <w:rFonts w:hint="eastAsia" w:ascii="宋体" w:hAnsi="宋体" w:cs="宋体"/>
          <w:b/>
          <w:i/>
          <w:highlight w:val="none"/>
          <w:u w:val="single"/>
        </w:rPr>
        <w:t xml:space="preserve"> </w:t>
      </w:r>
      <w:r>
        <w:rPr>
          <w:rFonts w:hint="eastAsia" w:ascii="宋体" w:hAnsi="宋体" w:cs="宋体"/>
          <w:b/>
          <w:highlight w:val="none"/>
          <w:u w:val="single"/>
        </w:rPr>
        <w:t xml:space="preserve">（4） </w:t>
      </w:r>
      <w:r>
        <w:rPr>
          <w:rFonts w:hint="eastAsia" w:ascii="宋体" w:hAnsi="宋体" w:cs="宋体"/>
          <w:highlight w:val="none"/>
        </w:rPr>
        <w:t>方式退回：</w:t>
      </w:r>
    </w:p>
    <w:p>
      <w:pPr>
        <w:spacing w:line="400" w:lineRule="exact"/>
        <w:ind w:firstLine="480" w:firstLineChars="200"/>
        <w:rPr>
          <w:rFonts w:ascii="宋体" w:hAnsi="宋体" w:cs="宋体"/>
          <w:highlight w:val="none"/>
        </w:rPr>
      </w:pPr>
      <w:r>
        <w:rPr>
          <w:rFonts w:hint="eastAsia" w:ascii="宋体" w:hAnsi="宋体" w:cs="宋体"/>
          <w:highlight w:val="none"/>
        </w:rPr>
        <w:t>（1）缺陷责任期终止后，发包人退还剩余的质量保证金（约定是否计息）。</w:t>
      </w:r>
    </w:p>
    <w:p>
      <w:pPr>
        <w:spacing w:line="400" w:lineRule="exact"/>
        <w:ind w:firstLine="480" w:firstLineChars="200"/>
        <w:rPr>
          <w:rFonts w:ascii="宋体" w:hAnsi="宋体" w:cs="宋体"/>
          <w:spacing w:val="-106"/>
          <w:highlight w:val="none"/>
          <w:u w:val="single"/>
        </w:rPr>
      </w:pPr>
      <w:r>
        <w:rPr>
          <w:rFonts w:hint="eastAsia" w:ascii="宋体" w:hAnsi="宋体" w:cs="宋体"/>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rPr>
        <w:t>不计息，保函形式提交的不予退还，到期</w:t>
      </w:r>
      <w:r>
        <w:rPr>
          <w:rFonts w:hint="eastAsia" w:ascii="宋体" w:hAnsi="宋体" w:cs="宋体"/>
          <w:highlight w:val="none"/>
          <w:u w:val="single"/>
        </w:rPr>
        <w:t>保函自动失效。）</w:t>
      </w:r>
    </w:p>
    <w:p>
      <w:pPr>
        <w:spacing w:line="400" w:lineRule="exact"/>
        <w:ind w:firstLine="480" w:firstLineChars="200"/>
        <w:rPr>
          <w:rFonts w:ascii="宋体" w:hAnsi="宋体" w:cs="宋体"/>
          <w:highlight w:val="none"/>
        </w:rPr>
      </w:pPr>
      <w:r>
        <w:rPr>
          <w:rFonts w:hint="eastAsia" w:ascii="宋体" w:hAnsi="宋体" w:cs="宋体"/>
          <w:highlight w:val="none"/>
        </w:rPr>
        <w:t>（3）市政工程：工程实际竣工验收合格后满二年可返还全部质量保证金。</w:t>
      </w:r>
    </w:p>
    <w:p>
      <w:pPr>
        <w:spacing w:line="400" w:lineRule="exact"/>
        <w:ind w:firstLine="480" w:firstLineChars="200"/>
        <w:rPr>
          <w:rFonts w:ascii="宋体" w:hAnsi="宋体" w:cs="宋体"/>
          <w:highlight w:val="none"/>
        </w:rPr>
      </w:pPr>
      <w:r>
        <w:rPr>
          <w:rFonts w:hint="eastAsia" w:ascii="宋体" w:hAnsi="宋体" w:cs="宋体"/>
          <w:highlight w:val="none"/>
        </w:rPr>
        <w:t>（4）其它：</w:t>
      </w:r>
      <w:r>
        <w:rPr>
          <w:rFonts w:hint="eastAsia" w:ascii="宋体" w:hAnsi="宋体" w:cs="宋体"/>
          <w:bCs/>
          <w:highlight w:val="none"/>
          <w:u w:val="single"/>
        </w:rPr>
        <w:t xml:space="preserve">  </w:t>
      </w:r>
      <w:r>
        <w:rPr>
          <w:rFonts w:hint="eastAsia" w:ascii="宋体" w:hAnsi="宋体" w:cs="宋体"/>
          <w:highlight w:val="none"/>
          <w:u w:val="single"/>
        </w:rPr>
        <w:t>缺陷责任期终止后，质量保证金保函自动失效。</w:t>
      </w:r>
    </w:p>
    <w:p>
      <w:pPr>
        <w:spacing w:line="400" w:lineRule="exact"/>
        <w:ind w:firstLine="480" w:firstLineChars="200"/>
        <w:rPr>
          <w:rFonts w:ascii="宋体" w:hAnsi="宋体" w:cs="宋体"/>
          <w:highlight w:val="none"/>
        </w:rPr>
      </w:pPr>
      <w:r>
        <w:rPr>
          <w:rFonts w:hint="eastAsia" w:ascii="宋体" w:hAnsi="宋体" w:cs="宋体"/>
          <w:highlight w:val="none"/>
        </w:rPr>
        <w:t>15.4保修</w:t>
      </w:r>
    </w:p>
    <w:p>
      <w:pPr>
        <w:spacing w:line="400" w:lineRule="exact"/>
        <w:ind w:firstLine="480" w:firstLineChars="200"/>
        <w:rPr>
          <w:rFonts w:ascii="宋体" w:hAnsi="宋体" w:cs="宋体"/>
          <w:highlight w:val="none"/>
        </w:rPr>
      </w:pPr>
      <w:r>
        <w:rPr>
          <w:rFonts w:hint="eastAsia" w:ascii="宋体" w:hAnsi="宋体" w:cs="宋体"/>
          <w:highlight w:val="none"/>
        </w:rPr>
        <w:t>15.4.1 保修责任</w:t>
      </w:r>
    </w:p>
    <w:p>
      <w:pPr>
        <w:spacing w:line="400" w:lineRule="exact"/>
        <w:ind w:firstLine="480" w:firstLineChars="200"/>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15.4.3 修复通知</w:t>
      </w:r>
    </w:p>
    <w:p>
      <w:pPr>
        <w:spacing w:line="400" w:lineRule="exact"/>
        <w:ind w:firstLine="480" w:firstLineChars="200"/>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633"/>
    <w:bookmarkEnd w:id="634"/>
    <w:bookmarkEnd w:id="635"/>
    <w:bookmarkEnd w:id="636"/>
    <w:p>
      <w:pPr>
        <w:pStyle w:val="6"/>
        <w:spacing w:before="0" w:after="0" w:line="400" w:lineRule="exact"/>
        <w:ind w:firstLine="482" w:firstLineChars="200"/>
        <w:rPr>
          <w:rFonts w:ascii="宋体" w:hAnsi="宋体" w:eastAsia="宋体" w:cs="宋体"/>
          <w:sz w:val="24"/>
          <w:szCs w:val="24"/>
          <w:highlight w:val="none"/>
        </w:rPr>
      </w:pPr>
      <w:bookmarkStart w:id="659" w:name="_Toc351203648"/>
      <w:bookmarkStart w:id="660" w:name="_Toc280868717"/>
      <w:bookmarkStart w:id="661" w:name="_Toc280868718"/>
      <w:r>
        <w:rPr>
          <w:rFonts w:hint="eastAsia" w:ascii="宋体" w:hAnsi="宋体" w:eastAsia="宋体" w:cs="宋体"/>
          <w:sz w:val="24"/>
          <w:szCs w:val="24"/>
          <w:highlight w:val="none"/>
        </w:rPr>
        <w:t>16. 违约</w:t>
      </w:r>
      <w:bookmarkEnd w:id="659"/>
    </w:p>
    <w:p>
      <w:pPr>
        <w:spacing w:line="400" w:lineRule="exact"/>
        <w:ind w:firstLine="480" w:firstLineChars="200"/>
        <w:rPr>
          <w:rFonts w:ascii="宋体" w:hAnsi="宋体" w:cs="宋体"/>
          <w:highlight w:val="none"/>
        </w:rPr>
      </w:pPr>
      <w:r>
        <w:rPr>
          <w:rFonts w:hint="eastAsia" w:ascii="宋体" w:hAnsi="宋体" w:cs="宋体"/>
          <w:highlight w:val="none"/>
        </w:rPr>
        <w:t>16.1 发包人违约</w:t>
      </w:r>
    </w:p>
    <w:p>
      <w:pPr>
        <w:spacing w:line="400" w:lineRule="exact"/>
        <w:ind w:firstLine="480" w:firstLineChars="200"/>
        <w:rPr>
          <w:rFonts w:ascii="宋体" w:hAnsi="宋体" w:cs="宋体"/>
          <w:highlight w:val="none"/>
        </w:rPr>
      </w:pPr>
      <w:r>
        <w:rPr>
          <w:rFonts w:hint="eastAsia" w:ascii="宋体" w:hAnsi="宋体" w:cs="宋体"/>
          <w:highlight w:val="none"/>
        </w:rPr>
        <w:t>16.1.1发包人违约的情形</w:t>
      </w:r>
    </w:p>
    <w:p>
      <w:pPr>
        <w:spacing w:line="400" w:lineRule="exact"/>
        <w:ind w:firstLine="480" w:firstLineChars="200"/>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16.1.2 发包人违约的责任</w:t>
      </w:r>
    </w:p>
    <w:p>
      <w:pPr>
        <w:spacing w:line="400" w:lineRule="exact"/>
        <w:ind w:firstLine="480" w:firstLineChars="200"/>
        <w:rPr>
          <w:rFonts w:ascii="宋体" w:hAnsi="宋体" w:cs="宋体"/>
          <w:highlight w:val="none"/>
        </w:rPr>
      </w:pPr>
      <w:r>
        <w:rPr>
          <w:rFonts w:hint="eastAsia" w:ascii="宋体" w:hAnsi="宋体" w:cs="宋体"/>
          <w:highlight w:val="none"/>
        </w:rPr>
        <w:t>发包人违约责任的承担方式和计算方法：</w:t>
      </w:r>
    </w:p>
    <w:p>
      <w:pPr>
        <w:spacing w:line="400" w:lineRule="exact"/>
        <w:ind w:firstLine="480" w:firstLineChars="200"/>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pPr>
        <w:spacing w:line="400" w:lineRule="exact"/>
        <w:ind w:firstLine="480" w:firstLineChars="200"/>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pPr>
        <w:spacing w:line="400" w:lineRule="exact"/>
        <w:ind w:firstLine="480" w:firstLineChars="200"/>
        <w:rPr>
          <w:rFonts w:ascii="宋体" w:hAnsi="宋体" w:cs="宋体"/>
          <w:highlight w:val="none"/>
        </w:rPr>
      </w:pPr>
      <w:r>
        <w:rPr>
          <w:rFonts w:hint="eastAsia" w:ascii="宋体" w:hAnsi="宋体" w:cs="宋体"/>
          <w:highlight w:val="none"/>
        </w:rPr>
        <w:t>（3）发包人违反第10.1款〔变更的范围〕第（2）项约定，自行实施被取消的工作或转由他人实施的违约责任：</w:t>
      </w:r>
      <w:r>
        <w:rPr>
          <w:rFonts w:hint="eastAsia" w:ascii="宋体" w:hAnsi="宋体" w:cs="宋体"/>
          <w:highlight w:val="none"/>
          <w:u w:val="single"/>
        </w:rPr>
        <w:t xml:space="preserve"> 支付承包人该项工作合理利润，按取消工作签约合同价（ ）%计算；</w:t>
      </w:r>
    </w:p>
    <w:p>
      <w:pPr>
        <w:spacing w:line="400" w:lineRule="exact"/>
        <w:ind w:firstLine="480" w:firstLineChars="200"/>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pPr>
        <w:spacing w:line="400" w:lineRule="exact"/>
        <w:ind w:firstLine="480" w:firstLineChars="200"/>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pPr>
        <w:spacing w:line="400" w:lineRule="exact"/>
        <w:ind w:firstLine="480" w:firstLineChars="200"/>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16.1.3 因发包人违约解除合同</w:t>
      </w:r>
    </w:p>
    <w:p>
      <w:pPr>
        <w:spacing w:line="400" w:lineRule="exact"/>
        <w:ind w:firstLine="480" w:firstLineChars="200"/>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pPr>
        <w:spacing w:line="400" w:lineRule="exact"/>
        <w:ind w:firstLine="480" w:firstLineChars="200"/>
        <w:rPr>
          <w:rFonts w:ascii="宋体" w:hAnsi="宋体" w:cs="宋体"/>
          <w:highlight w:val="none"/>
        </w:rPr>
      </w:pPr>
      <w:r>
        <w:rPr>
          <w:rFonts w:hint="eastAsia" w:ascii="宋体" w:hAnsi="宋体" w:cs="宋体"/>
          <w:highlight w:val="none"/>
        </w:rPr>
        <w:t>16.2 承包人违约</w:t>
      </w:r>
    </w:p>
    <w:p>
      <w:pPr>
        <w:spacing w:line="400" w:lineRule="exact"/>
        <w:ind w:firstLine="480" w:firstLineChars="200"/>
        <w:rPr>
          <w:rFonts w:ascii="宋体" w:hAnsi="宋体" w:cs="宋体"/>
          <w:highlight w:val="none"/>
        </w:rPr>
      </w:pPr>
      <w:r>
        <w:rPr>
          <w:rFonts w:hint="eastAsia" w:ascii="宋体" w:hAnsi="宋体" w:cs="宋体"/>
          <w:highlight w:val="none"/>
        </w:rPr>
        <w:t>16.2.1 承包人违约的情形</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承包人违约的其他情形：</w:t>
      </w:r>
    </w:p>
    <w:p>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pPr>
        <w:spacing w:line="400" w:lineRule="exact"/>
        <w:ind w:firstLine="482" w:firstLineChars="200"/>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pPr>
        <w:spacing w:line="400" w:lineRule="exact"/>
        <w:ind w:firstLine="480" w:firstLineChars="200"/>
        <w:rPr>
          <w:rFonts w:ascii="宋体" w:hAnsi="宋体" w:cs="宋体"/>
          <w:highlight w:val="none"/>
        </w:rPr>
      </w:pPr>
      <w:r>
        <w:rPr>
          <w:rFonts w:hint="eastAsia" w:ascii="宋体" w:hAnsi="宋体" w:cs="宋体"/>
          <w:highlight w:val="none"/>
        </w:rPr>
        <w:t>16.2.2承包人违约的责任</w:t>
      </w:r>
    </w:p>
    <w:p>
      <w:pPr>
        <w:spacing w:line="400" w:lineRule="exact"/>
        <w:ind w:firstLine="480" w:firstLineChars="200"/>
        <w:rPr>
          <w:rFonts w:ascii="宋体" w:hAnsi="宋体" w:cs="宋体"/>
          <w:highlight w:val="none"/>
        </w:rPr>
      </w:pPr>
      <w:r>
        <w:rPr>
          <w:rFonts w:hint="eastAsia" w:ascii="宋体" w:hAnsi="宋体" w:cs="宋体"/>
          <w:highlight w:val="none"/>
        </w:rPr>
        <w:t>承包人违约责任的承担方式和计算方法：</w:t>
      </w:r>
    </w:p>
    <w:p>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line="400" w:lineRule="exact"/>
        <w:ind w:firstLine="480" w:firstLineChars="200"/>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pPr>
        <w:spacing w:line="400" w:lineRule="exact"/>
        <w:ind w:firstLine="480" w:firstLineChars="200"/>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未达到投标所承诺的诚信与技术标准，按每一项扣减履约担保金的〔10〕%。</w:t>
      </w:r>
    </w:p>
    <w:p>
      <w:pPr>
        <w:spacing w:line="400" w:lineRule="exact"/>
        <w:ind w:firstLine="480" w:firstLineChars="200"/>
        <w:rPr>
          <w:rFonts w:ascii="宋体" w:hAnsi="宋体" w:cs="宋体"/>
          <w:highlight w:val="none"/>
          <w:u w:val="single"/>
        </w:rPr>
      </w:pPr>
      <w:r>
        <w:rPr>
          <w:rFonts w:hint="eastAsia" w:ascii="宋体" w:hAnsi="宋体" w:cs="宋体"/>
          <w:highlight w:val="none"/>
        </w:rPr>
        <w:t>（5）</w:t>
      </w:r>
      <w:r>
        <w:rPr>
          <w:rFonts w:hint="eastAsia" w:ascii="宋体" w:hAnsi="宋体" w:cs="宋体"/>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400" w:lineRule="exact"/>
        <w:ind w:firstLine="480" w:firstLineChars="200"/>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pPr>
        <w:spacing w:line="400" w:lineRule="exact"/>
        <w:ind w:firstLine="480" w:firstLineChars="200"/>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pPr>
        <w:spacing w:line="400" w:lineRule="exact"/>
        <w:ind w:firstLine="480" w:firstLineChars="200"/>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如符合16.2.1（4）条款，在发包人要求改正期限30天拒不改正，发包人有权解</w:t>
      </w:r>
      <w:r>
        <w:rPr>
          <w:rFonts w:hint="eastAsia" w:ascii="宋体" w:hAnsi="宋体" w:cs="宋体"/>
          <w:b/>
          <w:bCs/>
          <w:highlight w:val="none"/>
          <w:u w:val="single"/>
          <w:lang w:val="en-US" w:eastAsia="zh-CN"/>
        </w:rPr>
        <w:t>除</w:t>
      </w:r>
      <w:r>
        <w:rPr>
          <w:rFonts w:hint="eastAsia" w:ascii="宋体" w:hAnsi="宋体" w:cs="宋体"/>
          <w:b/>
          <w:bCs/>
          <w:highlight w:val="none"/>
          <w:u w:val="single"/>
        </w:rPr>
        <w:t>合同</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pPr>
        <w:pStyle w:val="6"/>
        <w:spacing w:before="0" w:after="0" w:line="400" w:lineRule="exact"/>
        <w:ind w:firstLine="482" w:firstLineChars="200"/>
        <w:rPr>
          <w:rFonts w:ascii="宋体" w:hAnsi="宋体" w:eastAsia="宋体" w:cs="宋体"/>
          <w:b w:val="0"/>
          <w:sz w:val="24"/>
          <w:szCs w:val="24"/>
          <w:highlight w:val="none"/>
        </w:rPr>
      </w:pPr>
      <w:bookmarkStart w:id="662" w:name="_Toc351203649"/>
      <w:r>
        <w:rPr>
          <w:rFonts w:hint="eastAsia" w:ascii="宋体" w:hAnsi="宋体" w:eastAsia="宋体" w:cs="宋体"/>
          <w:sz w:val="24"/>
          <w:szCs w:val="24"/>
          <w:highlight w:val="none"/>
        </w:rPr>
        <w:t>17. 不可抗力</w:t>
      </w:r>
      <w:bookmarkEnd w:id="662"/>
      <w:r>
        <w:rPr>
          <w:rFonts w:hint="eastAsia" w:ascii="宋体" w:hAnsi="宋体" w:eastAsia="宋体" w:cs="宋体"/>
          <w:b w:val="0"/>
          <w:sz w:val="24"/>
          <w:szCs w:val="24"/>
          <w:highlight w:val="none"/>
        </w:rPr>
        <w:t xml:space="preserve"> </w:t>
      </w:r>
      <w:bookmarkEnd w:id="660"/>
    </w:p>
    <w:p>
      <w:pPr>
        <w:spacing w:line="400" w:lineRule="exact"/>
        <w:ind w:firstLine="480" w:firstLineChars="200"/>
        <w:rPr>
          <w:rFonts w:ascii="宋体" w:hAnsi="宋体" w:cs="宋体"/>
          <w:highlight w:val="none"/>
        </w:rPr>
      </w:pPr>
      <w:r>
        <w:rPr>
          <w:rFonts w:hint="eastAsia" w:ascii="宋体" w:hAnsi="宋体" w:cs="宋体"/>
          <w:highlight w:val="none"/>
        </w:rPr>
        <w:t>17.1 不可抗力的确认</w:t>
      </w:r>
    </w:p>
    <w:p>
      <w:pPr>
        <w:spacing w:line="400" w:lineRule="exact"/>
        <w:ind w:firstLine="480" w:firstLineChars="200"/>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17.2 不可抗力的通知</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pStyle w:val="8"/>
        <w:spacing w:line="400" w:lineRule="exact"/>
        <w:rPr>
          <w:rFonts w:ascii="宋体" w:hAnsi="宋体" w:cs="宋体"/>
          <w:highlight w:val="none"/>
          <w:u w:val="single"/>
        </w:rPr>
      </w:pPr>
      <w:r>
        <w:rPr>
          <w:rFonts w:hint="eastAsia" w:ascii="宋体" w:hAnsi="宋体" w:cs="宋体"/>
          <w:highlight w:val="none"/>
        </w:rPr>
        <w:t xml:space="preserve">   17.3不可抗力后果的承担：</w:t>
      </w:r>
      <w:r>
        <w:rPr>
          <w:rFonts w:hint="eastAsia" w:ascii="宋体" w:hAnsi="宋体" w:cs="宋体"/>
          <w:highlight w:val="none"/>
          <w:u w:val="single"/>
        </w:rPr>
        <w:t>按通用条款。</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17.4 因不可抗力解除合同</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pPr>
        <w:pStyle w:val="6"/>
        <w:autoSpaceDE/>
        <w:autoSpaceDN/>
        <w:adjustRightInd/>
        <w:spacing w:before="0" w:after="0" w:line="400" w:lineRule="exact"/>
        <w:ind w:firstLine="482" w:firstLineChars="200"/>
        <w:rPr>
          <w:rFonts w:ascii="宋体" w:hAnsi="宋体" w:eastAsia="宋体" w:cs="宋体"/>
          <w:sz w:val="24"/>
          <w:szCs w:val="24"/>
          <w:highlight w:val="none"/>
        </w:rPr>
      </w:pPr>
      <w:bookmarkStart w:id="663" w:name="_Toc351203650"/>
      <w:r>
        <w:rPr>
          <w:rFonts w:hint="eastAsia" w:ascii="宋体" w:hAnsi="宋体" w:eastAsia="宋体" w:cs="宋体"/>
          <w:sz w:val="24"/>
          <w:szCs w:val="24"/>
          <w:highlight w:val="none"/>
        </w:rPr>
        <w:t>18. 保险</w:t>
      </w:r>
      <w:bookmarkEnd w:id="663"/>
    </w:p>
    <w:bookmarkEnd w:id="661"/>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18.1 工程保险</w:t>
      </w:r>
    </w:p>
    <w:p>
      <w:pPr>
        <w:widowControl/>
        <w:autoSpaceDE/>
        <w:autoSpaceDN/>
        <w:adjustRightInd/>
        <w:spacing w:line="400" w:lineRule="exact"/>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工程一切险、第三者责任险、安全生产责任险由发包人委托承包人投保，工程一切险、安全生产责任险、第三者责任险事故次数不限（不计免赔额）。承包人根据保险单及发票纳入工程结算。 </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18.3 其他保险</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pPr>
        <w:autoSpaceDE/>
        <w:autoSpaceDN/>
        <w:adjustRightInd/>
        <w:spacing w:line="400" w:lineRule="exact"/>
        <w:ind w:firstLine="480" w:firstLineChars="200"/>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18.7 通知义务</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637"/>
    <w:bookmarkEnd w:id="638"/>
    <w:bookmarkEnd w:id="639"/>
    <w:bookmarkEnd w:id="640"/>
    <w:bookmarkEnd w:id="641"/>
    <w:bookmarkEnd w:id="642"/>
    <w:bookmarkEnd w:id="643"/>
    <w:bookmarkEnd w:id="644"/>
    <w:bookmarkEnd w:id="645"/>
    <w:bookmarkEnd w:id="646"/>
    <w:bookmarkEnd w:id="647"/>
    <w:bookmarkEnd w:id="648"/>
    <w:p>
      <w:pPr>
        <w:pStyle w:val="6"/>
        <w:spacing w:before="0" w:after="0" w:line="400" w:lineRule="exact"/>
        <w:ind w:firstLine="482" w:firstLineChars="200"/>
        <w:rPr>
          <w:rFonts w:ascii="宋体" w:hAnsi="宋体" w:eastAsia="宋体" w:cs="宋体"/>
          <w:sz w:val="24"/>
          <w:szCs w:val="24"/>
          <w:highlight w:val="none"/>
        </w:rPr>
      </w:pPr>
      <w:bookmarkStart w:id="664" w:name="_Toc351203651"/>
      <w:r>
        <w:rPr>
          <w:rFonts w:hint="eastAsia" w:ascii="宋体" w:hAnsi="宋体" w:eastAsia="宋体" w:cs="宋体"/>
          <w:sz w:val="24"/>
          <w:szCs w:val="24"/>
          <w:highlight w:val="none"/>
        </w:rPr>
        <w:t>20. 争议解决</w:t>
      </w:r>
      <w:bookmarkEnd w:id="664"/>
    </w:p>
    <w:bookmarkEnd w:id="649"/>
    <w:bookmarkEnd w:id="650"/>
    <w:bookmarkEnd w:id="651"/>
    <w:bookmarkEnd w:id="652"/>
    <w:bookmarkEnd w:id="653"/>
    <w:bookmarkEnd w:id="654"/>
    <w:bookmarkEnd w:id="655"/>
    <w:bookmarkEnd w:id="656"/>
    <w:bookmarkEnd w:id="657"/>
    <w:bookmarkEnd w:id="658"/>
    <w:p>
      <w:pPr>
        <w:spacing w:line="400" w:lineRule="exact"/>
        <w:ind w:firstLine="480" w:firstLineChars="200"/>
        <w:rPr>
          <w:rFonts w:ascii="宋体" w:hAnsi="宋体" w:cs="宋体"/>
          <w:highlight w:val="none"/>
        </w:rPr>
      </w:pPr>
      <w:r>
        <w:rPr>
          <w:rFonts w:hint="eastAsia" w:ascii="宋体" w:hAnsi="宋体" w:cs="宋体"/>
          <w:highlight w:val="none"/>
        </w:rPr>
        <w:t>20.3 争议评审</w:t>
      </w:r>
    </w:p>
    <w:p>
      <w:pPr>
        <w:spacing w:line="400" w:lineRule="exact"/>
        <w:ind w:firstLine="480" w:firstLineChars="200"/>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20.3.1 争议评审小组的确定</w:t>
      </w:r>
    </w:p>
    <w:p>
      <w:pPr>
        <w:spacing w:line="400" w:lineRule="exact"/>
        <w:ind w:firstLine="480" w:firstLineChars="200"/>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20.3.2 争议评审小组的决定</w:t>
      </w:r>
    </w:p>
    <w:p>
      <w:pPr>
        <w:spacing w:line="400" w:lineRule="exact"/>
        <w:ind w:firstLine="480" w:firstLineChars="200"/>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pPr>
        <w:spacing w:line="400" w:lineRule="exact"/>
        <w:ind w:firstLine="480" w:firstLineChars="200"/>
        <w:rPr>
          <w:rFonts w:ascii="宋体" w:hAnsi="宋体" w:cs="宋体"/>
          <w:highlight w:val="none"/>
        </w:rPr>
      </w:pPr>
      <w:r>
        <w:rPr>
          <w:rFonts w:hint="eastAsia" w:ascii="宋体" w:hAnsi="宋体" w:cs="宋体"/>
          <w:highlight w:val="none"/>
        </w:rPr>
        <w:t>20.4仲裁或诉讼</w:t>
      </w:r>
    </w:p>
    <w:p>
      <w:pPr>
        <w:spacing w:line="400" w:lineRule="exact"/>
        <w:ind w:firstLine="480" w:firstLineChars="200"/>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pPr>
        <w:spacing w:line="400" w:lineRule="exact"/>
        <w:ind w:firstLine="480" w:firstLineChars="200"/>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pPr>
        <w:spacing w:line="400" w:lineRule="exact"/>
        <w:ind w:firstLine="480" w:firstLineChars="200"/>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pPr>
        <w:pStyle w:val="6"/>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21.补充条款</w:t>
      </w:r>
    </w:p>
    <w:p>
      <w:pPr>
        <w:spacing w:line="400" w:lineRule="exact"/>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pPr>
        <w:spacing w:line="400" w:lineRule="exact"/>
        <w:rPr>
          <w:rFonts w:hint="eastAsia" w:ascii="宋体" w:hAnsi="宋体" w:cs="宋体"/>
          <w:highlight w:val="none"/>
          <w:u w:val="singl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p>
    <w:p>
      <w:pPr>
        <w:spacing w:line="400" w:lineRule="exact"/>
        <w:rPr>
          <w:rFonts w:hint="eastAsia" w:ascii="宋体" w:hAnsi="宋体" w:cs="宋体"/>
          <w:highlight w:val="none"/>
          <w:u w:val="none"/>
        </w:rPr>
      </w:pPr>
      <w:r>
        <w:rPr>
          <w:rFonts w:hint="eastAsia" w:ascii="宋体" w:hAnsi="宋体" w:cs="宋体"/>
          <w:highlight w:val="none"/>
          <w:u w:val="none"/>
        </w:rPr>
        <w:t xml:space="preserve">   </w:t>
      </w: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pStyle w:val="21"/>
        <w:rPr>
          <w:rFonts w:hint="eastAsia"/>
          <w:highlight w:val="none"/>
        </w:rPr>
      </w:pPr>
    </w:p>
    <w:p>
      <w:pPr>
        <w:rPr>
          <w:rFonts w:hint="eastAsia"/>
          <w:highlight w:val="none"/>
        </w:rPr>
      </w:pPr>
    </w:p>
    <w:p>
      <w:pPr>
        <w:pStyle w:val="8"/>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spacing w:line="400" w:lineRule="exact"/>
        <w:rPr>
          <w:rFonts w:hint="eastAsia" w:ascii="宋体" w:hAnsi="宋体" w:cs="宋体"/>
          <w:highlight w:val="none"/>
          <w:u w:val="none"/>
        </w:rPr>
      </w:pPr>
    </w:p>
    <w:p>
      <w:pPr>
        <w:spacing w:line="400" w:lineRule="exact"/>
        <w:rPr>
          <w:rFonts w:hint="eastAsia" w:ascii="宋体" w:hAnsi="宋体" w:cs="宋体"/>
          <w:highlight w:val="none"/>
          <w:u w:val="none"/>
        </w:rPr>
      </w:pPr>
    </w:p>
    <w:p>
      <w:pPr>
        <w:spacing w:line="400" w:lineRule="exact"/>
        <w:rPr>
          <w:rFonts w:hint="eastAsia" w:ascii="宋体" w:hAnsi="宋体" w:eastAsia="宋体" w:cs="宋体"/>
          <w:highlight w:val="none"/>
          <w:u w:val="none"/>
          <w:lang w:eastAsia="zh-CN"/>
        </w:rPr>
      </w:pPr>
    </w:p>
    <w:p>
      <w:pPr>
        <w:pStyle w:val="8"/>
        <w:rPr>
          <w:rFonts w:hint="eastAsia" w:ascii="宋体" w:hAnsi="宋体" w:eastAsia="宋体" w:cs="宋体"/>
          <w:highlight w:val="none"/>
          <w:u w:val="none"/>
          <w:lang w:eastAsia="zh-CN"/>
        </w:rPr>
      </w:pPr>
    </w:p>
    <w:p>
      <w:pPr>
        <w:pStyle w:val="9"/>
        <w:rPr>
          <w:rFonts w:hint="eastAsia"/>
          <w:lang w:eastAsia="zh-CN"/>
        </w:rPr>
      </w:pPr>
    </w:p>
    <w:p>
      <w:pPr>
        <w:spacing w:line="400" w:lineRule="exact"/>
        <w:rPr>
          <w:rFonts w:ascii="宋体" w:hAnsi="宋体" w:cs="宋体"/>
          <w:highlight w:val="none"/>
          <w:u w:val="none"/>
        </w:rPr>
      </w:pPr>
      <w:r>
        <w:rPr>
          <w:rFonts w:hint="eastAsia" w:ascii="宋体" w:hAnsi="宋体" w:cs="宋体"/>
          <w:highlight w:val="none"/>
          <w:u w:val="none"/>
        </w:rPr>
        <w:t xml:space="preserve">  </w:t>
      </w:r>
      <w:bookmarkStart w:id="665" w:name="_Toc351203652"/>
    </w:p>
    <w:p>
      <w:pPr>
        <w:pStyle w:val="6"/>
        <w:spacing w:before="0" w:after="0" w:line="400" w:lineRule="exact"/>
        <w:ind w:firstLine="600" w:firstLineChars="249"/>
        <w:rPr>
          <w:rFonts w:hint="eastAsia" w:ascii="宋体" w:hAnsi="宋体" w:eastAsia="宋体" w:cs="宋体"/>
          <w:sz w:val="24"/>
          <w:szCs w:val="24"/>
          <w:highlight w:val="none"/>
        </w:rPr>
      </w:pPr>
    </w:p>
    <w:p>
      <w:pPr>
        <w:pStyle w:val="6"/>
        <w:spacing w:before="0" w:after="0" w:line="400" w:lineRule="exact"/>
        <w:ind w:firstLine="600" w:firstLineChars="249"/>
        <w:rPr>
          <w:rFonts w:ascii="宋体" w:hAnsi="宋体" w:eastAsia="宋体" w:cs="宋体"/>
          <w:b w:val="0"/>
          <w:sz w:val="24"/>
          <w:szCs w:val="24"/>
          <w:highlight w:val="none"/>
        </w:rPr>
      </w:pPr>
      <w:r>
        <w:rPr>
          <w:rFonts w:hint="eastAsia" w:ascii="宋体" w:hAnsi="宋体" w:eastAsia="宋体" w:cs="宋体"/>
          <w:sz w:val="24"/>
          <w:szCs w:val="24"/>
          <w:highlight w:val="none"/>
        </w:rPr>
        <w:t>附件</w:t>
      </w:r>
      <w:bookmarkEnd w:id="665"/>
    </w:p>
    <w:p>
      <w:pPr>
        <w:spacing w:line="400" w:lineRule="exact"/>
        <w:ind w:firstLine="480" w:firstLineChars="200"/>
        <w:rPr>
          <w:rFonts w:ascii="宋体" w:hAnsi="宋体" w:cs="宋体"/>
          <w:highlight w:val="none"/>
        </w:rPr>
      </w:pPr>
      <w:r>
        <w:rPr>
          <w:rFonts w:hint="eastAsia" w:ascii="宋体" w:hAnsi="宋体" w:cs="宋体"/>
          <w:highlight w:val="none"/>
        </w:rPr>
        <w:t>专用合同条款附件：</w:t>
      </w:r>
    </w:p>
    <w:p>
      <w:pPr>
        <w:spacing w:line="400" w:lineRule="exact"/>
        <w:ind w:firstLine="480" w:firstLineChars="200"/>
        <w:rPr>
          <w:rFonts w:ascii="宋体" w:hAnsi="宋体" w:cs="宋体"/>
          <w:highlight w:val="none"/>
        </w:rPr>
      </w:pPr>
      <w:r>
        <w:rPr>
          <w:rFonts w:hint="eastAsia" w:ascii="宋体" w:hAnsi="宋体" w:cs="宋体"/>
          <w:highlight w:val="none"/>
        </w:rPr>
        <w:t>附件3：工程质量保修书</w:t>
      </w:r>
    </w:p>
    <w:p>
      <w:pPr>
        <w:spacing w:line="400" w:lineRule="exact"/>
        <w:ind w:firstLine="480" w:firstLineChars="200"/>
        <w:rPr>
          <w:rFonts w:ascii="宋体" w:hAnsi="宋体" w:cs="宋体"/>
          <w:highlight w:val="none"/>
        </w:rPr>
        <w:sectPr>
          <w:footerReference r:id="rId6" w:type="default"/>
          <w:pgSz w:w="11906" w:h="16838"/>
          <w:pgMar w:top="1304" w:right="1361" w:bottom="1304" w:left="1304" w:header="851" w:footer="992" w:gutter="0"/>
          <w:cols w:space="0" w:num="1"/>
          <w:docGrid w:linePitch="312" w:charSpace="0"/>
        </w:sectPr>
      </w:pP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666" w:name="_Toc296346727"/>
      <w:bookmarkStart w:id="667" w:name="_Toc296891266"/>
      <w:bookmarkStart w:id="668" w:name="_Toc296891054"/>
      <w:bookmarkStart w:id="669" w:name="_Toc296347225"/>
      <w:bookmarkStart w:id="670" w:name="_Toc267261693"/>
      <w:bookmarkStart w:id="671" w:name="_Toc296503226"/>
      <w:bookmarkStart w:id="672" w:name="_Toc296944565"/>
      <w:r>
        <w:rPr>
          <w:rFonts w:hint="eastAsia" w:ascii="宋体" w:hAnsi="宋体" w:eastAsia="宋体" w:cs="宋体"/>
          <w:sz w:val="24"/>
          <w:szCs w:val="24"/>
          <w:highlight w:val="none"/>
        </w:rPr>
        <w:t>件3：</w:t>
      </w:r>
      <w:bookmarkEnd w:id="666"/>
      <w:bookmarkEnd w:id="667"/>
      <w:bookmarkEnd w:id="668"/>
      <w:bookmarkEnd w:id="669"/>
      <w:bookmarkEnd w:id="670"/>
      <w:bookmarkEnd w:id="671"/>
      <w:bookmarkEnd w:id="672"/>
      <w:r>
        <w:rPr>
          <w:rFonts w:hint="eastAsia" w:ascii="宋体" w:hAnsi="宋体" w:eastAsia="宋体" w:cs="宋体"/>
          <w:sz w:val="24"/>
          <w:szCs w:val="24"/>
          <w:highlight w:val="none"/>
        </w:rPr>
        <w:t xml:space="preserve">    </w:t>
      </w:r>
    </w:p>
    <w:p>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三门海润金鳞湖经济开发有限公司</w:t>
      </w:r>
      <w:r>
        <w:rPr>
          <w:rFonts w:hint="eastAsia" w:ascii="宋体" w:hAnsi="宋体" w:cs="宋体"/>
          <w:bCs/>
          <w:highlight w:val="none"/>
          <w:u w:val="single"/>
        </w:rPr>
        <w:t xml:space="preserve">     </w:t>
      </w:r>
      <w:r>
        <w:rPr>
          <w:rFonts w:hint="eastAsia" w:ascii="宋体" w:hAnsi="宋体" w:cs="宋体"/>
          <w:bCs/>
          <w:highlight w:val="none"/>
        </w:rPr>
        <w:t xml:space="preserve"> </w:t>
      </w:r>
    </w:p>
    <w:p>
      <w:pPr>
        <w:spacing w:line="400" w:lineRule="exact"/>
        <w:ind w:firstLine="48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pPr>
        <w:spacing w:line="400" w:lineRule="exact"/>
        <w:ind w:firstLine="480" w:firstLineChars="200"/>
        <w:rPr>
          <w:rFonts w:ascii="宋体" w:hAnsi="宋体" w:cs="宋体"/>
          <w:bCs/>
          <w:highlight w:val="none"/>
        </w:rPr>
      </w:pP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环大周塘区块配套基础设施提升工程一北岸大道至鲍家道路沿线改造提升工程</w:t>
      </w:r>
      <w:r>
        <w:rPr>
          <w:rFonts w:hint="eastAsia" w:ascii="宋体" w:hAnsi="宋体" w:cs="宋体"/>
          <w:bCs/>
          <w:highlight w:val="none"/>
        </w:rPr>
        <w:t>（工程全称）签订工程质量保修书。</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一、工程质量保修范围和内容</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招标人提供的竣工图纸范围内包含的全部内容。  </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二、质量保修期</w:t>
      </w:r>
    </w:p>
    <w:p>
      <w:pPr>
        <w:spacing w:line="400" w:lineRule="exact"/>
        <w:ind w:firstLine="48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pPr>
        <w:spacing w:line="400" w:lineRule="exact"/>
        <w:ind w:firstLine="480" w:firstLineChars="200"/>
        <w:rPr>
          <w:rFonts w:ascii="宋体" w:hAnsi="宋体" w:cs="宋体"/>
          <w:bCs/>
          <w:highlight w:val="none"/>
        </w:rPr>
      </w:pPr>
      <w:r>
        <w:rPr>
          <w:rFonts w:hint="eastAsia" w:ascii="宋体" w:hAnsi="宋体" w:cs="宋体"/>
          <w:bCs/>
          <w:highlight w:val="none"/>
        </w:rPr>
        <w:t>1．地基基础工程和主体结构工程为设计文件规定的工程合理使用年限；</w:t>
      </w:r>
    </w:p>
    <w:p>
      <w:pPr>
        <w:spacing w:line="400" w:lineRule="exact"/>
        <w:ind w:firstLine="480" w:firstLineChars="200"/>
        <w:rPr>
          <w:rFonts w:ascii="宋体" w:hAnsi="宋体" w:cs="宋体"/>
          <w:bCs/>
          <w:highlight w:val="none"/>
        </w:rPr>
      </w:pPr>
      <w:r>
        <w:rPr>
          <w:rFonts w:hint="eastAsia" w:ascii="宋体" w:hAnsi="宋体" w:cs="宋体"/>
          <w:bCs/>
          <w:highlight w:val="none"/>
        </w:rPr>
        <w:t>2．屋面防水工程、有防水要求的卫生间、房间和外墙面的防渗为</w:t>
      </w:r>
      <w:r>
        <w:rPr>
          <w:rFonts w:hint="eastAsia" w:ascii="宋体" w:hAnsi="宋体" w:cs="宋体"/>
          <w:bCs/>
          <w:highlight w:val="none"/>
          <w:u w:val="single"/>
        </w:rPr>
        <w:t xml:space="preserve">  5   </w:t>
      </w:r>
      <w:r>
        <w:rPr>
          <w:rFonts w:hint="eastAsia" w:ascii="宋体" w:hAnsi="宋体" w:cs="宋体"/>
          <w:bCs/>
          <w:highlight w:val="none"/>
        </w:rPr>
        <w:t>年；</w:t>
      </w:r>
    </w:p>
    <w:p>
      <w:pPr>
        <w:spacing w:line="400" w:lineRule="exact"/>
        <w:ind w:firstLine="480" w:firstLineChars="200"/>
        <w:rPr>
          <w:rFonts w:ascii="宋体" w:hAnsi="宋体" w:cs="宋体"/>
          <w:bCs/>
          <w:highlight w:val="none"/>
        </w:rPr>
      </w:pPr>
      <w:r>
        <w:rPr>
          <w:rFonts w:hint="eastAsia" w:ascii="宋体" w:hAnsi="宋体" w:cs="宋体"/>
          <w:bCs/>
          <w:highlight w:val="none"/>
        </w:rPr>
        <w:t>3．装修工程为</w:t>
      </w:r>
      <w:r>
        <w:rPr>
          <w:rFonts w:hint="eastAsia" w:ascii="宋体" w:hAnsi="宋体" w:cs="宋体"/>
          <w:bCs/>
          <w:highlight w:val="none"/>
          <w:u w:val="single"/>
        </w:rPr>
        <w:t xml:space="preserve">   2  </w:t>
      </w:r>
      <w:r>
        <w:rPr>
          <w:rFonts w:hint="eastAsia" w:ascii="宋体" w:hAnsi="宋体" w:cs="宋体"/>
          <w:bCs/>
          <w:highlight w:val="none"/>
        </w:rPr>
        <w:t>年；</w:t>
      </w:r>
    </w:p>
    <w:p>
      <w:pPr>
        <w:spacing w:line="400" w:lineRule="exact"/>
        <w:ind w:firstLine="480" w:firstLineChars="200"/>
        <w:rPr>
          <w:rFonts w:ascii="宋体" w:hAnsi="宋体" w:cs="宋体"/>
          <w:bCs/>
          <w:highlight w:val="none"/>
        </w:rPr>
      </w:pPr>
      <w:r>
        <w:rPr>
          <w:rFonts w:hint="eastAsia" w:ascii="宋体" w:hAnsi="宋体" w:cs="宋体"/>
          <w:bCs/>
          <w:highlight w:val="none"/>
        </w:rPr>
        <w:t>4．电气管线、给排水管道、设备安装工程为</w:t>
      </w:r>
      <w:r>
        <w:rPr>
          <w:rFonts w:hint="eastAsia" w:ascii="宋体" w:hAnsi="宋体" w:cs="宋体"/>
          <w:bCs/>
          <w:highlight w:val="none"/>
          <w:u w:val="single"/>
        </w:rPr>
        <w:t xml:space="preserve">   2  </w:t>
      </w:r>
      <w:r>
        <w:rPr>
          <w:rFonts w:hint="eastAsia" w:ascii="宋体" w:hAnsi="宋体" w:cs="宋体"/>
          <w:bCs/>
          <w:highlight w:val="none"/>
        </w:rPr>
        <w:t>年；</w:t>
      </w:r>
    </w:p>
    <w:p>
      <w:pPr>
        <w:spacing w:line="400" w:lineRule="exact"/>
        <w:ind w:firstLine="480" w:firstLineChars="200"/>
        <w:rPr>
          <w:rFonts w:ascii="宋体" w:hAnsi="宋体" w:cs="宋体"/>
          <w:bCs/>
          <w:highlight w:val="none"/>
        </w:rPr>
      </w:pPr>
      <w:r>
        <w:rPr>
          <w:rFonts w:hint="eastAsia" w:ascii="宋体" w:hAnsi="宋体" w:cs="宋体"/>
          <w:bCs/>
          <w:highlight w:val="none"/>
        </w:rPr>
        <w:t>5．供热与供冷系统为</w:t>
      </w:r>
      <w:r>
        <w:rPr>
          <w:rFonts w:hint="eastAsia" w:ascii="宋体" w:hAnsi="宋体" w:cs="宋体"/>
          <w:bCs/>
          <w:highlight w:val="none"/>
          <w:u w:val="single"/>
        </w:rPr>
        <w:t xml:space="preserve">  2    </w:t>
      </w:r>
      <w:r>
        <w:rPr>
          <w:rFonts w:hint="eastAsia" w:ascii="宋体" w:hAnsi="宋体" w:cs="宋体"/>
          <w:bCs/>
          <w:highlight w:val="none"/>
        </w:rPr>
        <w:t>个采暖期、供冷期；</w:t>
      </w:r>
    </w:p>
    <w:p>
      <w:pPr>
        <w:spacing w:line="400" w:lineRule="exact"/>
        <w:ind w:firstLine="480" w:firstLineChars="200"/>
        <w:rPr>
          <w:rFonts w:ascii="宋体" w:hAnsi="宋体" w:cs="宋体"/>
          <w:bCs/>
          <w:highlight w:val="none"/>
        </w:rPr>
      </w:pPr>
      <w:r>
        <w:rPr>
          <w:rFonts w:hint="eastAsia" w:ascii="宋体" w:hAnsi="宋体" w:cs="宋体"/>
          <w:bCs/>
          <w:highlight w:val="none"/>
        </w:rPr>
        <w:t>6．住宅小区内的给排水设施、道路等配套工程为</w:t>
      </w:r>
      <w:r>
        <w:rPr>
          <w:rFonts w:hint="eastAsia" w:ascii="宋体" w:hAnsi="宋体" w:cs="宋体"/>
          <w:bCs/>
          <w:highlight w:val="none"/>
          <w:u w:val="single"/>
        </w:rPr>
        <w:t xml:space="preserve">   2  </w:t>
      </w:r>
      <w:r>
        <w:rPr>
          <w:rFonts w:hint="eastAsia" w:ascii="宋体" w:hAnsi="宋体" w:cs="宋体"/>
          <w:bCs/>
          <w:highlight w:val="none"/>
        </w:rPr>
        <w:t>年；</w:t>
      </w:r>
    </w:p>
    <w:p>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none"/>
        </w:rPr>
        <w:t>7．其他项目保修期限约定如下：</w:t>
      </w:r>
      <w:r>
        <w:rPr>
          <w:rFonts w:hint="eastAsia" w:ascii="宋体" w:hAnsi="宋体" w:cs="宋体"/>
          <w:bCs/>
          <w:highlight w:val="none"/>
          <w:u w:val="single"/>
          <w:lang w:val="en-US" w:eastAsia="zh-CN"/>
        </w:rPr>
        <w:t>本项目质量保修期为2年</w:t>
      </w:r>
      <w:r>
        <w:rPr>
          <w:rFonts w:hint="eastAsia" w:ascii="宋体" w:hAnsi="宋体" w:cs="宋体"/>
          <w:bCs/>
          <w:highlight w:val="none"/>
          <w:u w:val="single"/>
        </w:rPr>
        <w:t xml:space="preserve">。 </w:t>
      </w:r>
    </w:p>
    <w:p>
      <w:pPr>
        <w:spacing w:line="400" w:lineRule="exact"/>
        <w:ind w:firstLine="480" w:firstLineChars="200"/>
        <w:rPr>
          <w:rFonts w:ascii="宋体" w:hAnsi="宋体" w:cs="宋体"/>
          <w:bCs/>
          <w:highlight w:val="none"/>
        </w:rPr>
      </w:pPr>
      <w:r>
        <w:rPr>
          <w:rFonts w:hint="eastAsia" w:ascii="宋体" w:hAnsi="宋体" w:cs="宋体"/>
          <w:bCs/>
          <w:highlight w:val="none"/>
        </w:rPr>
        <w:t>质量保修期自工程竣工验收合格之日起计算。</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三、缺陷责任期</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工程缺陷责任期为</w:t>
      </w:r>
      <w:r>
        <w:rPr>
          <w:rFonts w:hint="eastAsia" w:ascii="宋体" w:hAnsi="宋体" w:cs="宋体"/>
          <w:bCs/>
          <w:highlight w:val="none"/>
          <w:u w:val="single"/>
        </w:rPr>
        <w:t xml:space="preserve"> 24</w:t>
      </w:r>
      <w:r>
        <w:rPr>
          <w:rFonts w:hint="eastAsia" w:ascii="宋体" w:hAnsi="宋体" w:cs="宋体"/>
          <w:bCs/>
          <w:highlight w:val="none"/>
        </w:rPr>
        <w:t>个月，缺陷责任期自工程竣工验收合格之日起计算。单位工程先于全部工程进行验收，单位工程缺陷责任期自单位工程验收合格之日起算。</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四、质量保修责任</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1．属于保修范围、内容的项目，承包人应当在接到保修通知之日起7天内派人保修。承包人不在约定期限内派人保修的，发包人可以委托他人修理。</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2．发生紧急事故需抢修的，承包人在接到事故通知后，应当立即到达事故现场抢修。</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4．质量保修完成后，由发包人组织验收。</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五、保修费用</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保修费用由造成质量缺陷的责任方承担。</w:t>
      </w:r>
    </w:p>
    <w:p>
      <w:pPr>
        <w:widowControl/>
        <w:autoSpaceDE/>
        <w:autoSpaceDN/>
        <w:adjustRightInd/>
        <w:spacing w:line="400" w:lineRule="exact"/>
        <w:rPr>
          <w:rFonts w:ascii="宋体" w:hAnsi="宋体" w:cs="宋体"/>
          <w:highlight w:val="none"/>
          <w:u w:val="single"/>
        </w:rPr>
      </w:pPr>
      <w:r>
        <w:rPr>
          <w:rFonts w:hint="eastAsia" w:ascii="宋体" w:hAnsi="宋体" w:cs="宋体"/>
          <w:bCs/>
          <w:highlight w:val="none"/>
        </w:rPr>
        <w:t>六、双方约定的其他工程质量保修事项：</w:t>
      </w:r>
      <w:r>
        <w:rPr>
          <w:rFonts w:hint="eastAsia" w:ascii="宋体" w:hAnsi="宋体" w:cs="宋体"/>
          <w:bCs/>
          <w:highlight w:val="none"/>
          <w:u w:val="single"/>
        </w:rPr>
        <w:t xml:space="preserve">  </w:t>
      </w:r>
      <w:r>
        <w:rPr>
          <w:rFonts w:hint="eastAsia" w:ascii="宋体" w:hAnsi="宋体" w:cs="宋体"/>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pPr>
        <w:spacing w:line="400" w:lineRule="exact"/>
        <w:ind w:firstLine="48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pPr>
        <w:spacing w:line="400" w:lineRule="exact"/>
        <w:ind w:firstLine="48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pPr>
        <w:spacing w:line="400" w:lineRule="exact"/>
        <w:ind w:firstLine="48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pPr>
        <w:spacing w:line="400" w:lineRule="exact"/>
        <w:ind w:firstLine="48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pPr>
        <w:spacing w:line="400" w:lineRule="exact"/>
        <w:ind w:firstLine="48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pPr>
        <w:spacing w:line="400" w:lineRule="exact"/>
        <w:ind w:firstLine="48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pPr>
        <w:spacing w:line="400" w:lineRule="exact"/>
        <w:ind w:firstLine="48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pPr>
        <w:spacing w:line="400" w:lineRule="exact"/>
        <w:ind w:firstLine="48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pStyle w:val="8"/>
        <w:rPr>
          <w:rFonts w:ascii="宋体" w:hAnsi="宋体" w:cs="宋体"/>
          <w:highlight w:val="none"/>
          <w:u w:val="single"/>
        </w:rPr>
      </w:pPr>
    </w:p>
    <w:p>
      <w:pPr>
        <w:pStyle w:val="9"/>
        <w:rPr>
          <w:rFonts w:ascii="宋体" w:hAnsi="宋体" w:cs="宋体"/>
          <w:highlight w:val="none"/>
          <w:u w:val="single"/>
        </w:rPr>
      </w:pPr>
    </w:p>
    <w:p>
      <w:pPr>
        <w:pStyle w:val="9"/>
        <w:rPr>
          <w:rFonts w:ascii="宋体" w:hAnsi="宋体" w:cs="宋体"/>
          <w:highlight w:val="none"/>
          <w:u w:val="single"/>
        </w:rPr>
      </w:pPr>
    </w:p>
    <w:p>
      <w:pPr>
        <w:pStyle w:val="9"/>
        <w:rPr>
          <w:rFonts w:ascii="宋体" w:hAnsi="宋体" w:cs="宋体"/>
          <w:highlight w:val="none"/>
          <w:u w:val="single"/>
        </w:rPr>
      </w:pPr>
    </w:p>
    <w:p>
      <w:pPr>
        <w:pStyle w:val="9"/>
        <w:rPr>
          <w:rFonts w:ascii="宋体" w:hAnsi="宋体" w:cs="宋体"/>
          <w:highlight w:val="none"/>
          <w:u w:val="single"/>
        </w:rPr>
      </w:pPr>
    </w:p>
    <w:p>
      <w:pPr>
        <w:pStyle w:val="9"/>
        <w:rPr>
          <w:rFonts w:ascii="宋体" w:hAnsi="宋体" w:cs="宋体"/>
          <w:highlight w:val="none"/>
          <w:u w:val="single"/>
        </w:rPr>
      </w:pPr>
    </w:p>
    <w:p>
      <w:pPr>
        <w:pStyle w:val="9"/>
        <w:rPr>
          <w:rFonts w:ascii="宋体" w:hAnsi="宋体" w:cs="宋体"/>
          <w:highlight w:val="none"/>
          <w:u w:val="single"/>
        </w:rPr>
      </w:pPr>
    </w:p>
    <w:bookmarkEnd w:id="144"/>
    <w:p>
      <w:pPr>
        <w:pStyle w:val="34"/>
        <w:spacing w:before="0"/>
        <w:jc w:val="center"/>
        <w:rPr>
          <w:rFonts w:ascii="宋体" w:hAnsi="宋体" w:eastAsia="宋体" w:cs="宋体"/>
          <w:sz w:val="32"/>
          <w:szCs w:val="32"/>
          <w:highlight w:val="none"/>
        </w:rPr>
      </w:pPr>
      <w:bookmarkStart w:id="673" w:name="_Toc283976552"/>
      <w:bookmarkStart w:id="674" w:name="_Toc282596316"/>
      <w:bookmarkStart w:id="675" w:name="_Toc394573948"/>
      <w:bookmarkStart w:id="676" w:name="_Toc283886261"/>
      <w:bookmarkStart w:id="677" w:name="_Toc11888"/>
      <w:bookmarkStart w:id="678" w:name="_Toc3978"/>
      <w:r>
        <w:rPr>
          <w:rFonts w:hint="eastAsia" w:ascii="宋体" w:hAnsi="宋体" w:eastAsia="宋体" w:cs="宋体"/>
          <w:sz w:val="32"/>
          <w:szCs w:val="32"/>
          <w:highlight w:val="none"/>
        </w:rPr>
        <w:t>第四部分    工程建设项目廉政责任书</w:t>
      </w:r>
      <w:bookmarkEnd w:id="673"/>
      <w:bookmarkEnd w:id="674"/>
      <w:bookmarkEnd w:id="675"/>
      <w:bookmarkEnd w:id="676"/>
      <w:bookmarkEnd w:id="677"/>
      <w:bookmarkEnd w:id="678"/>
    </w:p>
    <w:p>
      <w:pPr>
        <w:spacing w:line="400" w:lineRule="exact"/>
        <w:ind w:firstLine="482"/>
        <w:rPr>
          <w:rFonts w:ascii="宋体" w:hAnsi="宋体" w:cs="宋体"/>
          <w:highlight w:val="none"/>
        </w:rPr>
      </w:pPr>
    </w:p>
    <w:p>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rPr>
        <w:t xml:space="preserve">   </w:t>
      </w:r>
      <w:r>
        <w:rPr>
          <w:rFonts w:hint="eastAsia" w:ascii="宋体" w:hAnsi="宋体" w:cs="宋体"/>
          <w:highlight w:val="none"/>
          <w:u w:val="single"/>
          <w:lang w:eastAsia="zh-CN"/>
        </w:rPr>
        <w:t>环大周塘区块配套基础设施提升工程一北岸大道至鲍家道路沿线改造提升工程</w:t>
      </w:r>
      <w:r>
        <w:rPr>
          <w:rFonts w:hint="eastAsia" w:ascii="宋体" w:hAnsi="宋体" w:cs="宋体"/>
          <w:highlight w:val="none"/>
          <w:u w:val="single"/>
        </w:rPr>
        <w:t xml:space="preserve">   </w:t>
      </w:r>
    </w:p>
    <w:p>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w:t>
      </w:r>
      <w:r>
        <w:rPr>
          <w:rFonts w:hint="eastAsia" w:ascii="宋体" w:hAnsi="宋体" w:cs="宋体"/>
          <w:highlight w:val="none"/>
          <w:u w:val="single"/>
          <w:lang w:eastAsia="zh-CN"/>
        </w:rPr>
        <w:t>三门</w:t>
      </w:r>
      <w:r>
        <w:rPr>
          <w:rFonts w:hint="eastAsia" w:ascii="宋体" w:hAnsi="宋体" w:cs="宋体"/>
          <w:highlight w:val="none"/>
          <w:u w:val="single"/>
          <w:lang w:val="en-US" w:eastAsia="zh-CN"/>
        </w:rPr>
        <w:t>县</w:t>
      </w:r>
      <w:r>
        <w:rPr>
          <w:rFonts w:hint="eastAsia" w:ascii="宋体" w:hAnsi="宋体" w:cs="宋体"/>
          <w:highlight w:val="none"/>
          <w:u w:val="single"/>
        </w:rPr>
        <w:t xml:space="preserve">         </w:t>
      </w:r>
    </w:p>
    <w:p>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三门海润金鳞湖经济开发有限公司</w:t>
      </w:r>
      <w:r>
        <w:rPr>
          <w:rFonts w:hint="eastAsia" w:ascii="宋体" w:hAnsi="宋体" w:cs="宋体"/>
          <w:highlight w:val="none"/>
          <w:u w:val="single"/>
        </w:rPr>
        <w:t xml:space="preserve">      </w:t>
      </w:r>
    </w:p>
    <w:p>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pPr>
        <w:spacing w:line="400" w:lineRule="exact"/>
        <w:ind w:firstLine="482"/>
        <w:rPr>
          <w:rFonts w:ascii="宋体" w:hAnsi="宋体" w:cs="宋体"/>
          <w:highlight w:val="none"/>
        </w:rPr>
      </w:pPr>
    </w:p>
    <w:p>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400" w:lineRule="exact"/>
        <w:rPr>
          <w:rFonts w:ascii="宋体" w:hAnsi="宋体" w:cs="宋体"/>
          <w:highlight w:val="none"/>
        </w:rPr>
      </w:pPr>
      <w:r>
        <w:rPr>
          <w:rFonts w:hint="eastAsia" w:ascii="宋体" w:hAnsi="宋体" w:cs="宋体"/>
          <w:highlight w:val="none"/>
        </w:rPr>
        <w:t>　　第一条 甲乙双方的责任</w:t>
      </w:r>
    </w:p>
    <w:p>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pPr>
        <w:spacing w:line="400" w:lineRule="exact"/>
        <w:rPr>
          <w:rFonts w:ascii="宋体" w:hAnsi="宋体" w:cs="宋体"/>
          <w:highlight w:val="none"/>
        </w:rPr>
      </w:pPr>
      <w:r>
        <w:rPr>
          <w:rFonts w:hint="eastAsia" w:ascii="宋体" w:hAnsi="宋体" w:cs="宋体"/>
          <w:highlight w:val="none"/>
        </w:rPr>
        <w:t>　　第二条 甲方的责任</w:t>
      </w:r>
    </w:p>
    <w:p>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400" w:lineRule="exact"/>
        <w:rPr>
          <w:rFonts w:ascii="宋体" w:hAnsi="宋体" w:cs="宋体"/>
          <w:highlight w:val="none"/>
        </w:rPr>
      </w:pPr>
      <w:r>
        <w:rPr>
          <w:rFonts w:hint="eastAsia" w:ascii="宋体" w:hAnsi="宋体" w:cs="宋体"/>
          <w:highlight w:val="none"/>
        </w:rPr>
        <w:t>　　第三条 乙方的责任</w:t>
      </w:r>
    </w:p>
    <w:p>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pPr>
        <w:spacing w:line="400" w:lineRule="exact"/>
        <w:rPr>
          <w:rFonts w:ascii="宋体" w:hAnsi="宋体" w:cs="宋体"/>
          <w:highlight w:val="none"/>
        </w:rPr>
      </w:pPr>
      <w:r>
        <w:rPr>
          <w:rFonts w:hint="eastAsia" w:ascii="宋体" w:hAnsi="宋体" w:cs="宋体"/>
          <w:highlight w:val="none"/>
        </w:rPr>
        <w:t>　　第四条 违约责任</w:t>
      </w:r>
    </w:p>
    <w:p>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pPr>
        <w:spacing w:line="400" w:lineRule="exact"/>
        <w:ind w:firstLine="482"/>
        <w:rPr>
          <w:rFonts w:ascii="宋体" w:hAnsi="宋体" w:cs="宋体"/>
          <w:highlight w:val="none"/>
        </w:rPr>
      </w:pPr>
    </w:p>
    <w:p>
      <w:pPr>
        <w:spacing w:line="400" w:lineRule="exact"/>
        <w:ind w:firstLine="482"/>
        <w:rPr>
          <w:rFonts w:ascii="宋体" w:hAnsi="宋体" w:cs="宋体"/>
          <w:highlight w:val="none"/>
        </w:rPr>
      </w:pPr>
    </w:p>
    <w:p>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pPr>
        <w:spacing w:line="400" w:lineRule="exact"/>
        <w:ind w:firstLine="482"/>
        <w:rPr>
          <w:rFonts w:ascii="宋体" w:hAnsi="宋体" w:cs="宋体"/>
          <w:highlight w:val="none"/>
        </w:rPr>
      </w:pPr>
      <w:r>
        <w:rPr>
          <w:rFonts w:hint="eastAsia" w:ascii="宋体" w:hAnsi="宋体" w:cs="宋体"/>
          <w:highlight w:val="none"/>
        </w:rPr>
        <w:t>法定代表人：　　　　　　　　　              法定代表人：</w:t>
      </w:r>
    </w:p>
    <w:p>
      <w:pPr>
        <w:spacing w:line="400" w:lineRule="exact"/>
        <w:ind w:firstLine="482"/>
        <w:rPr>
          <w:rFonts w:ascii="宋体" w:hAnsi="宋体" w:cs="宋体"/>
          <w:highlight w:val="none"/>
        </w:rPr>
      </w:pPr>
      <w:r>
        <w:rPr>
          <w:rFonts w:hint="eastAsia" w:ascii="宋体" w:hAnsi="宋体" w:cs="宋体"/>
          <w:highlight w:val="none"/>
        </w:rPr>
        <w:t>地址：　　　　　　　　　　　　　            地址：</w:t>
      </w:r>
    </w:p>
    <w:p>
      <w:pPr>
        <w:spacing w:line="400" w:lineRule="exact"/>
        <w:ind w:firstLine="482"/>
        <w:rPr>
          <w:rFonts w:ascii="宋体" w:hAnsi="宋体" w:cs="宋体"/>
          <w:highlight w:val="none"/>
        </w:rPr>
      </w:pPr>
      <w:r>
        <w:rPr>
          <w:rFonts w:hint="eastAsia" w:ascii="宋体" w:hAnsi="宋体" w:cs="宋体"/>
          <w:highlight w:val="none"/>
        </w:rPr>
        <w:t>电话：　　　　　　　　　　　　　　　        电话：</w:t>
      </w:r>
    </w:p>
    <w:p>
      <w:pPr>
        <w:spacing w:line="400" w:lineRule="exact"/>
        <w:ind w:firstLine="482"/>
        <w:rPr>
          <w:rFonts w:ascii="宋体" w:hAnsi="宋体" w:cs="宋体"/>
          <w:highlight w:val="none"/>
        </w:rPr>
      </w:pPr>
      <w:r>
        <w:rPr>
          <w:rFonts w:hint="eastAsia" w:ascii="宋体" w:hAnsi="宋体" w:cs="宋体"/>
          <w:highlight w:val="none"/>
        </w:rPr>
        <w:t>年　月　日　　　　　　　　　　　　　        年　月　日</w:t>
      </w:r>
    </w:p>
    <w:p>
      <w:pPr>
        <w:spacing w:line="400" w:lineRule="exact"/>
        <w:ind w:firstLine="482"/>
        <w:jc w:val="right"/>
        <w:rPr>
          <w:rFonts w:ascii="宋体" w:hAnsi="宋体" w:cs="宋体"/>
          <w:highlight w:val="none"/>
        </w:rPr>
      </w:pPr>
    </w:p>
    <w:p>
      <w:pPr>
        <w:pStyle w:val="34"/>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679" w:name="_Toc54333551"/>
      <w:bookmarkStart w:id="680" w:name="_Toc2068"/>
      <w:bookmarkStart w:id="681" w:name="_Toc531360472"/>
      <w:r>
        <w:rPr>
          <w:rFonts w:hint="eastAsia" w:ascii="宋体" w:hAnsi="宋体" w:eastAsia="宋体" w:cs="宋体"/>
          <w:sz w:val="32"/>
          <w:szCs w:val="32"/>
          <w:highlight w:val="none"/>
        </w:rPr>
        <w:t>第五部分    安全生产协议书</w:t>
      </w:r>
      <w:bookmarkEnd w:id="679"/>
      <w:bookmarkEnd w:id="680"/>
      <w:bookmarkEnd w:id="681"/>
    </w:p>
    <w:p>
      <w:pPr>
        <w:pStyle w:val="38"/>
        <w:spacing w:line="400" w:lineRule="exact"/>
        <w:jc w:val="center"/>
        <w:rPr>
          <w:rFonts w:ascii="宋体" w:hAnsi="宋体" w:cs="宋体"/>
          <w:b/>
          <w:sz w:val="24"/>
          <w:szCs w:val="24"/>
          <w:highlight w:val="none"/>
        </w:rPr>
      </w:pPr>
    </w:p>
    <w:p>
      <w:pPr>
        <w:pStyle w:val="38"/>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三门海润金鳞湖经济开发有限公司</w:t>
      </w:r>
      <w:r>
        <w:rPr>
          <w:rFonts w:hint="eastAsia" w:ascii="宋体" w:hAnsi="宋体" w:cs="宋体"/>
          <w:sz w:val="24"/>
          <w:szCs w:val="24"/>
          <w:highlight w:val="none"/>
          <w:u w:val="single"/>
        </w:rPr>
        <w:t xml:space="preserve">      </w:t>
      </w:r>
    </w:p>
    <w:p>
      <w:pPr>
        <w:pStyle w:val="38"/>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一、管理目标：</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1. 杜绝重大安全事故，工亡事故为零；</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2. 重伤频率控制在万分之三以下，负伤频率控制在千分之四以下；</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3. 现场内的安全隐患整改率必须保证在时限内达到100%，杜绝现场重大隐患的出现；</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4. 现场内不发生火灾事故，火险隐患整改率必须保证在时限内达到100%；</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5. 不发生重大中毒事故以及群发性传染病；</w:t>
      </w: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    6. 必须保证施工现场创建文明安全施工工地。</w:t>
      </w: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二、安全生产要求</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 乙方应按有关规定，采取严格的安全防护措施，否则由于自身安全措施不力而造成事故的责任和因此而发生的费用由乙方承担。非乙方责任的伤亡事故，由责任方承担责任和有关费用；</w:t>
      </w: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    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3. 乙方必须尊重并且服从甲方现行的有关安全生产各项规章制度和管理方式，并按经济合同有关条款加强自身管理，履行乙方责任。</w:t>
      </w: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6、乙方必须执行安全工作奖罚制度：乙方要教育和约束自己的职工严格遵守施工现场安全管理规定，对遵章守纪者给予表扬和奖励，对违章作业、违章指挥、违反劳动纪律和规章制度者给予处罚。</w:t>
      </w: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    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三、甲、乙双方的责任</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1、甲方对施工现场的安全生产全面负责。</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2、甲方有权对乙方进入现场所带机械设备、电气设备的安全防护设施及用品进行监督检查，对不符合安全规定的设施、用品有权禁止使用。</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3、甲方有权对乙方在施工中出现的不安全隐患签发隐患通知书，并限期整改，对情节严重又不按期整改的，甲方有权停止乙方的作业，由此产生的后果由乙方承担一切责任。</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4、由甲方提供给乙方使用的施工用电、甲供材料、设备等必须经双方验收合格，签字移交后方可使用，但在使用过程乙方不得随意拆改、更换，否则，产生的一切后果由乙方承担（包括经济赔偿在内）一切责任。</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5、乙方在施工现场内施工，必须服从甲方及监理单位、安全监督单位的安全生产管理，乙方不服从管理导致生产安全事故的，由乙方承担全部责任。</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6、施工人员进场前，必须先将现场负责人，施工人员（包括管理人员、施工人员、特殊作业人员）花名册，企业资质证书和委托书等原件或复印件送甲方备案。</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7、进入施工现场必须按要求正确佩戴合格的劳动防护用品。现场严禁垂直交叉作业；高处作业禁止将工具、配件及物件上下抛掷；危险性较大的作业项目，乙方必须设专人监护。</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8、施工用电不得乱拉乱接，需要用电时，必须由专职电工操作；需要甲方配合的或提供帮助的必须在甲方电工的统一安排下进行。各类特殊作业人员必须持有效证件上岗。</w:t>
      </w: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9、乙方应教育本单位作业人员做到文明施工、安全生产，在平时的工作中做到活完场清，工完场冷，材料码放有序，保持施工现场的宏观整洁，防止造成环境污染。</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四、事故责任与处理</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1、由于乙方管理或乙方作业人员自身责任造成的伤、残、亡事故，要立即向甲方报告，同时由乙方参照国家现行规定负责处理，并负责事故人员及家属的全部经济补偿。</w:t>
      </w:r>
    </w:p>
    <w:p>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2、由于乙方以外的责任造成乙方作业人员伤、残、亡事故的，在执行事故处理时，参照国家现行政策，由责任方一次性给予乙方经济补偿，其善后事宜由乙方处理。</w:t>
      </w: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3、由于乙方或乙方作业人员违章指挥，违章作业或设备设施不完善造成甲方或第三者人员的伤亡事故，由乙方参照国家现行规定负责处理，并负责伤、残、亡个人及家属的全部经济补偿和善后处理。</w:t>
      </w: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4、乙方在施工过程中，应不妨碍甲方既有污水处理设施的正常运行，由于乙方原因造成甲方生产损失的，由乙方承担全部经济损失。</w:t>
      </w: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五、本协议一式四份，甲方、乙方各执一份，上报各自主管部门一份。</w:t>
      </w: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六、本协议有效期为：从签订之日起至乙方的工程项目竣工（完工）及所有人员全部撤出现场为止。</w:t>
      </w:r>
    </w:p>
    <w:p>
      <w:pPr>
        <w:pStyle w:val="38"/>
        <w:spacing w:line="400" w:lineRule="exact"/>
        <w:ind w:left="-480" w:leftChars="-200" w:right="-578" w:rightChars="-241" w:firstLine="480" w:firstLineChars="200"/>
        <w:rPr>
          <w:rFonts w:ascii="宋体" w:hAnsi="宋体" w:cs="宋体"/>
          <w:sz w:val="24"/>
          <w:szCs w:val="24"/>
          <w:highlight w:val="none"/>
        </w:rPr>
      </w:pP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pPr>
        <w:pStyle w:val="38"/>
        <w:spacing w:line="400" w:lineRule="exact"/>
        <w:ind w:left="-480" w:leftChars="-200" w:right="-578" w:rightChars="-241" w:firstLine="480" w:firstLineChars="200"/>
        <w:rPr>
          <w:rFonts w:ascii="宋体" w:hAnsi="宋体" w:cs="宋体"/>
          <w:sz w:val="24"/>
          <w:szCs w:val="24"/>
          <w:highlight w:val="none"/>
        </w:rPr>
      </w:pPr>
    </w:p>
    <w:p>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pPr>
        <w:pStyle w:val="38"/>
        <w:spacing w:line="400" w:lineRule="exact"/>
        <w:ind w:left="-480" w:leftChars="-200" w:right="-578" w:rightChars="-241" w:firstLine="480" w:firstLineChars="200"/>
        <w:rPr>
          <w:rFonts w:ascii="宋体" w:hAnsi="宋体" w:cs="宋体"/>
          <w:sz w:val="24"/>
          <w:szCs w:val="24"/>
          <w:highlight w:val="none"/>
        </w:rPr>
      </w:pPr>
    </w:p>
    <w:p>
      <w:pPr>
        <w:rPr>
          <w:highlight w:val="none"/>
        </w:rPr>
      </w:pPr>
      <w:bookmarkStart w:id="682" w:name="_Toc151471696"/>
      <w:bookmarkStart w:id="683" w:name="_Toc149922247"/>
      <w:r>
        <w:rPr>
          <w:rFonts w:hint="eastAsia"/>
          <w:highlight w:val="none"/>
        </w:rPr>
        <w:t>签订时间：    年   月    日                 签订时间：    年   月    日</w:t>
      </w:r>
      <w:bookmarkEnd w:id="682"/>
      <w:bookmarkEnd w:id="683"/>
      <w:r>
        <w:rPr>
          <w:highlight w:val="none"/>
        </w:rPr>
        <w:br w:type="page"/>
      </w:r>
    </w:p>
    <w:p>
      <w:pPr>
        <w:pStyle w:val="2"/>
        <w:rPr>
          <w:highlight w:val="none"/>
        </w:rPr>
      </w:pPr>
      <w:bookmarkStart w:id="684" w:name="_Toc14241"/>
      <w:r>
        <w:rPr>
          <w:rFonts w:hint="eastAsia"/>
          <w:highlight w:val="none"/>
        </w:rPr>
        <w:t>第五章  工程量清单编制</w:t>
      </w:r>
      <w:bookmarkEnd w:id="117"/>
      <w:bookmarkEnd w:id="684"/>
    </w:p>
    <w:p>
      <w:pPr>
        <w:jc w:val="both"/>
        <w:rPr>
          <w:highlight w:val="none"/>
        </w:rPr>
      </w:pPr>
    </w:p>
    <w:p>
      <w:pPr>
        <w:pStyle w:val="34"/>
        <w:spacing w:before="0" w:line="440" w:lineRule="exact"/>
        <w:jc w:val="center"/>
        <w:rPr>
          <w:highlight w:val="none"/>
        </w:rPr>
      </w:pPr>
      <w:bookmarkStart w:id="685" w:name="_Toc372899880"/>
      <w:bookmarkStart w:id="686" w:name="_Toc288556305"/>
      <w:bookmarkStart w:id="687" w:name="_Toc24267"/>
      <w:bookmarkStart w:id="688" w:name="_Toc12733"/>
      <w:bookmarkStart w:id="689" w:name="_Toc394573950"/>
      <w:bookmarkStart w:id="690" w:name="_Toc152042557"/>
      <w:bookmarkStart w:id="691" w:name="_Toc152045775"/>
      <w:bookmarkStart w:id="692" w:name="_Toc144974837"/>
      <w:bookmarkStart w:id="693" w:name="_Toc45697246"/>
      <w:r>
        <w:rPr>
          <w:highlight w:val="none"/>
        </w:rPr>
        <w:t>1. 投标报价组成</w:t>
      </w:r>
      <w:bookmarkEnd w:id="685"/>
      <w:bookmarkEnd w:id="686"/>
      <w:bookmarkEnd w:id="687"/>
      <w:bookmarkEnd w:id="688"/>
      <w:bookmarkEnd w:id="689"/>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1.1报价方式：本工程项目报价方式为工程量清单报价法。</w:t>
      </w:r>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highlight w:val="none"/>
          <w:u w:val="single"/>
        </w:rPr>
        <w:t>危险作业意外伤害保险费</w:t>
      </w:r>
      <w:r>
        <w:rPr>
          <w:rFonts w:hint="eastAsia" w:ascii="宋体" w:hAnsi="宋体" w:cs="宋体"/>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highlight w:val="none"/>
          <w:u w:val="single"/>
        </w:rPr>
        <w:t>及补充定额</w:t>
      </w:r>
      <w:r>
        <w:rPr>
          <w:rFonts w:hint="eastAsia" w:ascii="宋体" w:hAnsi="宋体" w:cs="宋体"/>
          <w:highlight w:val="none"/>
        </w:rPr>
        <w:t>确定。</w:t>
      </w:r>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highlight w:val="none"/>
          <w:u w:val="single"/>
        </w:rPr>
        <w:t>危险作业意外伤害保险费</w:t>
      </w:r>
      <w:r>
        <w:rPr>
          <w:rFonts w:hint="eastAsia" w:ascii="宋体" w:hAnsi="宋体" w:cs="宋体"/>
          <w:highlight w:val="none"/>
        </w:rPr>
        <w:t>和税金。各投标人应根据招标人提供的全套施工图纸、技术资料、工程量清单，以及本工程实际情况和自身的综合实力，竞报投标报价。</w:t>
      </w:r>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1.4本招标文件中提供的工程量是根据完整的施工图纸及有关资料，按</w:t>
      </w:r>
      <w:r>
        <w:rPr>
          <w:rFonts w:hint="eastAsia" w:ascii="宋体" w:hAnsi="宋体" w:eastAsia="宋体" w:cs="宋体"/>
          <w:color w:val="auto"/>
          <w:sz w:val="21"/>
          <w:szCs w:val="21"/>
          <w:highlight w:val="none"/>
          <w:u w:val="single"/>
        </w:rPr>
        <w:t>《</w:t>
      </w:r>
      <w:r>
        <w:rPr>
          <w:rFonts w:hint="eastAsia" w:ascii="宋体" w:hAnsi="宋体" w:eastAsia="宋体" w:cs="宋体"/>
          <w:highlight w:val="none"/>
        </w:rPr>
        <w:t>建设工程工程量清单计价规范》（GB50500-2013）、《浙江省建设工程工程量清单计价指引》（2013版）、《建设工程工程量计算规范（2013）浙江省补充规定》（浙建站计﹝2013﹞63号、浙建站计[2014]31号）。《浙江省建设工程计价规则》（2018版）、《浙江省建设工程施工机械台班费用定额》（2018版）、《浙江省建筑安装材料基期价格》（2018版）、《浙江省房屋建筑与装饰工程预算定额》（2018版）、《浙江省通用安装工程预算定额》（2018版）、《浙江省市政工程预算定额》（2018版）、《浙江省园林绿化及仿古建筑工程预算定额（2018版）》浙江省补充条款及补充内容的规定计算得</w:t>
      </w:r>
      <w:r>
        <w:rPr>
          <w:rFonts w:hint="eastAsia" w:ascii="宋体" w:hAnsi="宋体" w:cs="宋体"/>
          <w:highlight w:val="none"/>
        </w:rPr>
        <w:t>出的，是统一投标报价口径的主要依据。</w:t>
      </w:r>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1.5分部分项工程费是指完成在工程量清单列出的各分部分项清单工程量实体所需的费用，包括人工费、材料费、机械使用费、管理费、利润以及风险费用（各费用项目均不包含增值税进项税额）。</w:t>
      </w:r>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1.6措施费是指为完成工程项目施工，发生于该工程施工前和施工过程中非工程实体项目的费用，由施工技术措施费和施工组织措施费组成。</w:t>
      </w:r>
    </w:p>
    <w:p>
      <w:pPr>
        <w:pStyle w:val="8"/>
        <w:tabs>
          <w:tab w:val="left" w:pos="574"/>
        </w:tabs>
        <w:autoSpaceDE/>
        <w:autoSpaceDN/>
        <w:spacing w:line="440" w:lineRule="exact"/>
        <w:rPr>
          <w:rFonts w:ascii="宋体" w:hAnsi="宋体" w:cs="宋体"/>
          <w:highlight w:val="none"/>
        </w:rPr>
      </w:pPr>
      <w:r>
        <w:rPr>
          <w:rFonts w:hint="eastAsia" w:ascii="宋体" w:hAnsi="宋体" w:cs="宋体"/>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8"/>
        <w:tabs>
          <w:tab w:val="left" w:pos="574"/>
        </w:tabs>
        <w:autoSpaceDE/>
        <w:autoSpaceDN/>
        <w:spacing w:line="440" w:lineRule="exact"/>
        <w:rPr>
          <w:rFonts w:ascii="宋体" w:hAnsi="宋体" w:cs="宋体"/>
          <w:highlight w:val="none"/>
        </w:rPr>
      </w:pPr>
      <w:r>
        <w:rPr>
          <w:rFonts w:hint="eastAsia" w:ascii="宋体" w:hAnsi="宋体" w:cs="宋体"/>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cs="宋体"/>
          <w:highlight w:val="none"/>
          <w:u w:val="single"/>
        </w:rPr>
        <w:t>工程定位复测费</w:t>
      </w:r>
      <w:r>
        <w:rPr>
          <w:rFonts w:hint="eastAsia" w:ascii="宋体" w:hAnsi="宋体" w:cs="宋体"/>
          <w:highlight w:val="none"/>
        </w:rPr>
        <w:t>，行车、行人干扰增加费（限市政）等费用。施工组织措施费取费基数中的人工费和机械单价按投标人自报的人工和机械台班单价计取。</w:t>
      </w:r>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1.7规费项目具体内容如下：</w:t>
      </w:r>
    </w:p>
    <w:p>
      <w:pPr>
        <w:pStyle w:val="8"/>
        <w:tabs>
          <w:tab w:val="left" w:pos="574"/>
        </w:tabs>
        <w:autoSpaceDE/>
        <w:autoSpaceDN/>
        <w:spacing w:line="440" w:lineRule="exact"/>
        <w:rPr>
          <w:rFonts w:ascii="宋体" w:hAnsi="宋体" w:cs="宋体"/>
          <w:highlight w:val="none"/>
        </w:rPr>
      </w:pPr>
      <w:r>
        <w:rPr>
          <w:rFonts w:hint="eastAsia" w:ascii="宋体" w:hAnsi="宋体" w:cs="宋体"/>
          <w:highlight w:val="none"/>
        </w:rPr>
        <w:t>（1）排污费、社保费、公积金；</w:t>
      </w:r>
    </w:p>
    <w:p>
      <w:pPr>
        <w:pStyle w:val="8"/>
        <w:tabs>
          <w:tab w:val="left" w:pos="574"/>
        </w:tabs>
        <w:autoSpaceDE/>
        <w:autoSpaceDN/>
        <w:spacing w:line="440" w:lineRule="exact"/>
        <w:rPr>
          <w:rFonts w:ascii="宋体" w:hAnsi="宋体" w:cs="宋体"/>
          <w:highlight w:val="none"/>
        </w:rPr>
      </w:pPr>
      <w:r>
        <w:rPr>
          <w:rFonts w:hint="eastAsia" w:ascii="宋体" w:hAnsi="宋体" w:cs="宋体"/>
          <w:highlight w:val="none"/>
        </w:rPr>
        <w:t>（2）民工工伤保险费。</w:t>
      </w:r>
    </w:p>
    <w:p>
      <w:pPr>
        <w:pStyle w:val="8"/>
        <w:tabs>
          <w:tab w:val="left" w:pos="574"/>
        </w:tabs>
        <w:autoSpaceDE/>
        <w:autoSpaceDN/>
        <w:spacing w:line="440" w:lineRule="exact"/>
        <w:rPr>
          <w:rFonts w:ascii="宋体" w:hAnsi="宋体" w:cs="宋体"/>
          <w:highlight w:val="none"/>
        </w:rPr>
      </w:pPr>
      <w:r>
        <w:rPr>
          <w:rFonts w:hint="eastAsia" w:ascii="宋体" w:hAnsi="宋体" w:cs="宋体"/>
          <w:highlight w:val="none"/>
        </w:rPr>
        <w:t>规费的计算基数中所涉及的人工费和机械单价按投标人自报的人工和机械台班单价计取。</w:t>
      </w:r>
    </w:p>
    <w:p>
      <w:pPr>
        <w:pStyle w:val="8"/>
        <w:tabs>
          <w:tab w:val="left" w:pos="574"/>
        </w:tabs>
        <w:autoSpaceDE/>
        <w:autoSpaceDN/>
        <w:spacing w:line="440" w:lineRule="exact"/>
        <w:ind w:left="0" w:firstLine="480" w:firstLineChars="200"/>
        <w:rPr>
          <w:rFonts w:ascii="宋体" w:hAnsi="宋体" w:cs="宋体"/>
          <w:highlight w:val="none"/>
          <w:u w:val="single"/>
        </w:rPr>
      </w:pPr>
      <w:r>
        <w:rPr>
          <w:rFonts w:hint="eastAsia" w:ascii="宋体" w:hAnsi="宋体" w:cs="宋体"/>
          <w:highlight w:val="none"/>
          <w:u w:val="single"/>
        </w:rPr>
        <w:t>1.8危险作业意外伤害保险费，本项目不计取。</w:t>
      </w:r>
    </w:p>
    <w:p>
      <w:pPr>
        <w:pStyle w:val="8"/>
        <w:tabs>
          <w:tab w:val="left" w:pos="574"/>
        </w:tabs>
        <w:autoSpaceDE/>
        <w:autoSpaceDN/>
        <w:spacing w:line="440" w:lineRule="exact"/>
        <w:ind w:left="0" w:firstLine="480" w:firstLineChars="200"/>
        <w:rPr>
          <w:highlight w:val="none"/>
        </w:rPr>
      </w:pPr>
      <w:r>
        <w:rPr>
          <w:rFonts w:hint="eastAsia" w:ascii="宋体" w:hAnsi="宋体" w:cs="宋体"/>
          <w:highlight w:val="none"/>
        </w:rPr>
        <w:t>1.9税金是指按</w:t>
      </w:r>
      <w:r>
        <w:rPr>
          <w:rFonts w:hint="eastAsia" w:ascii="宋体" w:hAnsi="宋体" w:cs="宋体"/>
          <w:highlight w:val="none"/>
          <w:u w:val="single"/>
        </w:rPr>
        <w:t>《关于增值税调整后我省建设工程计价依据增值税税率及有关计价调整的通知》（浙建建发〔2019〕92号）文及最新规定应计入建筑安装工程造价内的税额。</w:t>
      </w:r>
    </w:p>
    <w:p>
      <w:pPr>
        <w:pStyle w:val="34"/>
        <w:spacing w:before="0" w:line="440" w:lineRule="exact"/>
        <w:jc w:val="center"/>
        <w:rPr>
          <w:highlight w:val="none"/>
        </w:rPr>
      </w:pPr>
      <w:bookmarkStart w:id="694" w:name="_Toc152045774"/>
      <w:bookmarkStart w:id="695" w:name="_Toc152042556"/>
      <w:bookmarkStart w:id="696" w:name="_Toc144974836"/>
      <w:bookmarkStart w:id="697" w:name="_Toc11920"/>
      <w:bookmarkStart w:id="698" w:name="_Toc394573951"/>
      <w:bookmarkStart w:id="699" w:name="_Toc288556306"/>
      <w:bookmarkStart w:id="700" w:name="_Toc6621"/>
      <w:bookmarkStart w:id="701" w:name="_Toc372899881"/>
      <w:r>
        <w:rPr>
          <w:highlight w:val="none"/>
        </w:rPr>
        <w:t>2. 投标报价</w:t>
      </w:r>
      <w:bookmarkEnd w:id="694"/>
      <w:bookmarkEnd w:id="695"/>
      <w:bookmarkEnd w:id="696"/>
      <w:r>
        <w:rPr>
          <w:highlight w:val="none"/>
        </w:rPr>
        <w:t>要求</w:t>
      </w:r>
      <w:bookmarkEnd w:id="697"/>
      <w:bookmarkEnd w:id="698"/>
      <w:bookmarkEnd w:id="699"/>
      <w:bookmarkEnd w:id="700"/>
      <w:bookmarkEnd w:id="701"/>
    </w:p>
    <w:p>
      <w:pPr>
        <w:pStyle w:val="8"/>
        <w:tabs>
          <w:tab w:val="left" w:pos="574"/>
        </w:tabs>
        <w:autoSpaceDE/>
        <w:autoSpaceDN/>
        <w:spacing w:line="440" w:lineRule="exact"/>
        <w:ind w:left="0" w:firstLine="480" w:firstLineChars="200"/>
        <w:rPr>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pPr>
        <w:pStyle w:val="8"/>
        <w:tabs>
          <w:tab w:val="left" w:pos="574"/>
        </w:tabs>
        <w:autoSpaceDE/>
        <w:autoSpaceDN/>
        <w:spacing w:line="440" w:lineRule="exact"/>
        <w:ind w:left="0" w:firstLine="480" w:firstLineChars="200"/>
        <w:rPr>
          <w:highlight w:val="none"/>
        </w:rPr>
      </w:pPr>
      <w:r>
        <w:rPr>
          <w:rFonts w:hint="eastAsia"/>
          <w:highlight w:val="none"/>
        </w:rPr>
        <w:t>2.2施工技术措施项目可根据施工组织设计增加项目。</w:t>
      </w:r>
    </w:p>
    <w:p>
      <w:pPr>
        <w:pStyle w:val="8"/>
        <w:tabs>
          <w:tab w:val="left" w:pos="574"/>
        </w:tabs>
        <w:autoSpaceDE/>
        <w:autoSpaceDN/>
        <w:spacing w:line="440" w:lineRule="exact"/>
        <w:ind w:left="0" w:firstLine="480" w:firstLineChars="200"/>
        <w:rPr>
          <w:highlight w:val="none"/>
        </w:rPr>
      </w:pPr>
      <w:r>
        <w:rPr>
          <w:rFonts w:hint="eastAsia"/>
          <w:highlight w:val="none"/>
        </w:rPr>
        <w:t>2.3投标人在投标报价中每单项单价和合价均需填写，对没有填写单价和合价的项目，其费用视为已包含或分配到其他项目的单价或合价中。</w:t>
      </w:r>
    </w:p>
    <w:p>
      <w:pPr>
        <w:pStyle w:val="8"/>
        <w:tabs>
          <w:tab w:val="left" w:pos="574"/>
        </w:tabs>
        <w:autoSpaceDE/>
        <w:autoSpaceDN/>
        <w:spacing w:line="440" w:lineRule="exact"/>
        <w:ind w:left="0" w:firstLine="480" w:firstLineChars="200"/>
        <w:rPr>
          <w:highlight w:val="none"/>
        </w:rPr>
      </w:pPr>
      <w:r>
        <w:rPr>
          <w:rFonts w:hint="eastAsia"/>
          <w:highlight w:val="none"/>
        </w:rPr>
        <w:t>2.4</w:t>
      </w:r>
      <w:r>
        <w:rPr>
          <w:rFonts w:hint="eastAsia"/>
          <w:b/>
          <w:highlight w:val="none"/>
        </w:rPr>
        <w:t>投标人的报价要求详见“投标工具-招标概况-投标报价要求”，未按要求报价的，作无效标处理。</w:t>
      </w:r>
    </w:p>
    <w:p>
      <w:pPr>
        <w:pStyle w:val="8"/>
        <w:tabs>
          <w:tab w:val="left" w:pos="574"/>
        </w:tabs>
        <w:autoSpaceDE/>
        <w:autoSpaceDN/>
        <w:spacing w:line="440" w:lineRule="exact"/>
        <w:ind w:left="0" w:firstLine="480" w:firstLineChars="200"/>
        <w:rPr>
          <w:highlight w:val="none"/>
        </w:rPr>
      </w:pPr>
      <w:r>
        <w:rPr>
          <w:rFonts w:hint="eastAsia"/>
          <w:highlight w:val="none"/>
        </w:rPr>
        <w:t>2.5投标单位报价时应根据本项目施工图纸、项目清单描述，结合清单计价规范相关内容，综合考虑后自主报价，结算时由于清单描述不完整原因的单价不作调整。</w:t>
      </w:r>
    </w:p>
    <w:p>
      <w:pPr>
        <w:pStyle w:val="8"/>
        <w:tabs>
          <w:tab w:val="left" w:pos="574"/>
        </w:tabs>
        <w:autoSpaceDE/>
        <w:autoSpaceDN/>
        <w:spacing w:line="440" w:lineRule="exact"/>
        <w:ind w:left="0" w:firstLine="480" w:firstLineChars="200"/>
        <w:rPr>
          <w:highlight w:val="none"/>
        </w:rPr>
      </w:pPr>
      <w:r>
        <w:rPr>
          <w:rFonts w:hint="eastAsia"/>
          <w:highlight w:val="none"/>
        </w:rPr>
        <w:t>2.6投标人的报价其它要求详见“3.工程量清单与计价表，”未按要求报价的，作无效标处理。</w:t>
      </w:r>
    </w:p>
    <w:p>
      <w:pPr>
        <w:pStyle w:val="8"/>
        <w:tabs>
          <w:tab w:val="left" w:pos="574"/>
        </w:tabs>
        <w:autoSpaceDE/>
        <w:autoSpaceDN/>
        <w:spacing w:line="440" w:lineRule="exact"/>
        <w:rPr>
          <w:rFonts w:hint="eastAsia" w:eastAsia="宋体"/>
          <w:highlight w:val="none"/>
        </w:rPr>
      </w:pPr>
      <w:r>
        <w:rPr>
          <w:rFonts w:hint="eastAsia"/>
          <w:b/>
          <w:bCs/>
          <w:highlight w:val="none"/>
        </w:rPr>
        <w:t>2.7</w:t>
      </w:r>
      <w:r>
        <w:rPr>
          <w:rFonts w:hint="eastAsia" w:eastAsia="宋体"/>
          <w:highlight w:val="none"/>
        </w:rPr>
        <w:t>本项目涉及拆除及改造产生的建筑垃圾外运</w:t>
      </w:r>
      <w:r>
        <w:rPr>
          <w:rFonts w:hint="eastAsia" w:eastAsia="宋体"/>
          <w:highlight w:val="none"/>
          <w:lang w:val="en-US" w:eastAsia="zh-CN"/>
        </w:rPr>
        <w:t>暂</w:t>
      </w:r>
      <w:r>
        <w:rPr>
          <w:rFonts w:hint="eastAsia" w:eastAsia="宋体"/>
          <w:highlight w:val="none"/>
        </w:rPr>
        <w:t>按</w:t>
      </w:r>
      <w:r>
        <w:rPr>
          <w:rFonts w:hint="eastAsia" w:eastAsia="宋体"/>
          <w:highlight w:val="none"/>
          <w:lang w:val="en-US" w:eastAsia="zh-CN"/>
        </w:rPr>
        <w:t>3</w:t>
      </w:r>
      <w:r>
        <w:rPr>
          <w:rFonts w:hint="eastAsia" w:eastAsia="宋体"/>
          <w:highlight w:val="none"/>
        </w:rPr>
        <w:t>km计</w:t>
      </w:r>
      <w:r>
        <w:rPr>
          <w:rFonts w:hint="eastAsia" w:eastAsia="宋体"/>
          <w:highlight w:val="none"/>
          <w:lang w:val="en-US" w:eastAsia="zh-CN"/>
        </w:rPr>
        <w:t>算、余土外运暂按1km计算，投标人结合实际情况自行报价，实际运距不管多少，结算时综合单价不作调整。</w:t>
      </w:r>
    </w:p>
    <w:p>
      <w:pPr>
        <w:pStyle w:val="8"/>
        <w:tabs>
          <w:tab w:val="left" w:pos="574"/>
        </w:tabs>
        <w:autoSpaceDE/>
        <w:autoSpaceDN/>
        <w:spacing w:line="440" w:lineRule="exact"/>
        <w:rPr>
          <w:highlight w:val="none"/>
        </w:rPr>
      </w:pPr>
      <w:r>
        <w:rPr>
          <w:rFonts w:hint="eastAsia"/>
          <w:highlight w:val="none"/>
        </w:rPr>
        <w:t xml:space="preserve"> </w:t>
      </w:r>
    </w:p>
    <w:p>
      <w:pPr>
        <w:pStyle w:val="34"/>
        <w:spacing w:line="440" w:lineRule="exact"/>
        <w:jc w:val="center"/>
        <w:rPr>
          <w:highlight w:val="none"/>
        </w:rPr>
      </w:pPr>
      <w:bookmarkStart w:id="702" w:name="_Toc372899882"/>
      <w:bookmarkStart w:id="703" w:name="_Toc394573952"/>
      <w:bookmarkStart w:id="704" w:name="_Toc9807"/>
      <w:bookmarkStart w:id="705" w:name="_Toc288556307"/>
      <w:bookmarkStart w:id="706" w:name="_Toc27218"/>
      <w:r>
        <w:rPr>
          <w:highlight w:val="none"/>
        </w:rPr>
        <w:t>3. 工程量清单与计价表</w:t>
      </w:r>
      <w:bookmarkEnd w:id="702"/>
      <w:bookmarkEnd w:id="703"/>
      <w:bookmarkEnd w:id="704"/>
      <w:bookmarkEnd w:id="705"/>
      <w:bookmarkEnd w:id="706"/>
    </w:p>
    <w:p>
      <w:pPr>
        <w:spacing w:line="440" w:lineRule="exact"/>
        <w:rPr>
          <w:highlight w:val="none"/>
        </w:rPr>
      </w:pPr>
    </w:p>
    <w:p>
      <w:pPr>
        <w:spacing w:line="440" w:lineRule="exact"/>
        <w:rPr>
          <w:highlight w:val="none"/>
        </w:rPr>
      </w:pPr>
      <w:r>
        <w:rPr>
          <w:rFonts w:hint="eastAsia"/>
          <w:highlight w:val="none"/>
        </w:rPr>
        <w:t>3.1</w:t>
      </w:r>
      <w:r>
        <w:rPr>
          <w:highlight w:val="none"/>
        </w:rPr>
        <w:t>、</w:t>
      </w:r>
      <w:r>
        <w:rPr>
          <w:rFonts w:hint="eastAsia"/>
          <w:highlight w:val="none"/>
        </w:rPr>
        <w:t>工程量清单：详见后缀名为“.招标文件”的电子招标文件。</w:t>
      </w:r>
    </w:p>
    <w:p>
      <w:pPr>
        <w:pStyle w:val="8"/>
        <w:ind w:left="0"/>
        <w:rPr>
          <w:highlight w:val="none"/>
        </w:rPr>
      </w:pPr>
      <w:r>
        <w:rPr>
          <w:rFonts w:hint="eastAsia"/>
          <w:highlight w:val="none"/>
        </w:rPr>
        <w:t>3.2、工程量清单编制说明</w:t>
      </w: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p>
      <w:pPr>
        <w:topLinePunct/>
        <w:spacing w:line="440" w:lineRule="exact"/>
        <w:jc w:val="center"/>
        <w:rPr>
          <w:rFonts w:ascii="Times New Roman" w:hAnsi="Times New Roman" w:eastAsia="黑体"/>
          <w:kern w:val="2"/>
          <w:sz w:val="28"/>
          <w:szCs w:val="20"/>
          <w:highlight w:val="none"/>
        </w:rPr>
      </w:pPr>
    </w:p>
    <w:bookmarkEnd w:id="690"/>
    <w:bookmarkEnd w:id="691"/>
    <w:bookmarkEnd w:id="692"/>
    <w:p>
      <w:pPr>
        <w:bidi w:val="0"/>
        <w:jc w:val="center"/>
        <w:rPr>
          <w:b/>
          <w:bCs/>
          <w:sz w:val="36"/>
          <w:szCs w:val="36"/>
          <w:lang w:eastAsia="zh-CN"/>
        </w:rPr>
      </w:pPr>
      <w:r>
        <w:rPr>
          <w:rFonts w:hint="eastAsia"/>
          <w:b/>
          <w:bCs/>
          <w:sz w:val="36"/>
          <w:szCs w:val="36"/>
          <w:lang w:eastAsia="zh-CN"/>
        </w:rPr>
        <w:t>环大周塘区块配套基础设施提升工程一北岸大道至鲍家道路沿线改造提升工程</w:t>
      </w:r>
    </w:p>
    <w:p>
      <w:pPr>
        <w:bidi w:val="0"/>
        <w:jc w:val="center"/>
        <w:rPr>
          <w:rFonts w:hint="eastAsia"/>
          <w:b/>
          <w:bCs/>
          <w:sz w:val="36"/>
          <w:szCs w:val="36"/>
          <w:lang w:eastAsia="zh-CN"/>
        </w:rPr>
      </w:pPr>
      <w:r>
        <w:rPr>
          <w:rFonts w:hint="eastAsia"/>
          <w:b/>
          <w:bCs/>
          <w:sz w:val="36"/>
          <w:szCs w:val="36"/>
          <w:lang w:eastAsia="zh-CN"/>
        </w:rPr>
        <w:t>工程量清单编制说明</w:t>
      </w:r>
    </w:p>
    <w:p>
      <w:pPr>
        <w:widowControl w:val="0"/>
        <w:spacing w:after="0" w:line="360" w:lineRule="auto"/>
        <w:jc w:val="both"/>
        <w:rPr>
          <w:rFonts w:hint="eastAsia" w:ascii="宋体" w:hAnsi="宋体"/>
          <w:b/>
          <w:spacing w:val="20"/>
          <w:sz w:val="24"/>
          <w:szCs w:val="24"/>
          <w:lang w:eastAsia="zh-CN"/>
        </w:rPr>
      </w:pPr>
      <w:r>
        <w:rPr>
          <w:rFonts w:hint="eastAsia" w:ascii="宋体" w:hAnsi="宋体"/>
          <w:b/>
          <w:spacing w:val="20"/>
          <w:sz w:val="24"/>
          <w:szCs w:val="24"/>
          <w:lang w:eastAsia="zh-CN"/>
        </w:rPr>
        <w:t>一、工程概况</w:t>
      </w:r>
    </w:p>
    <w:p>
      <w:pPr>
        <w:keepNext w:val="0"/>
        <w:keepLines w:val="0"/>
        <w:pageBreakBefore w:val="0"/>
        <w:kinsoku/>
        <w:wordWrap/>
        <w:overflowPunct/>
        <w:topLinePunct w:val="0"/>
        <w:autoSpaceDE w:val="0"/>
        <w:autoSpaceDN w:val="0"/>
        <w:bidi w:val="0"/>
        <w:adjustRightInd w:val="0"/>
        <w:spacing w:line="400" w:lineRule="exact"/>
        <w:ind w:firstLine="840" w:firstLineChars="300"/>
        <w:textAlignment w:val="auto"/>
        <w:rPr>
          <w:rFonts w:hint="eastAsia" w:ascii="宋体" w:hAnsi="宋体" w:eastAsia="宋体" w:cs="宋体"/>
          <w:sz w:val="24"/>
          <w:lang w:eastAsia="zh-CN"/>
        </w:rPr>
      </w:pPr>
      <w:r>
        <w:rPr>
          <w:rFonts w:hint="eastAsia" w:ascii="宋体" w:hAnsi="宋体"/>
          <w:spacing w:val="20"/>
          <w:sz w:val="24"/>
          <w:szCs w:val="24"/>
          <w:lang w:eastAsia="zh-CN"/>
        </w:rPr>
        <w:t>本工程项目由</w:t>
      </w:r>
      <w:r>
        <w:rPr>
          <w:rFonts w:hint="eastAsia" w:hAnsi="宋体"/>
          <w:sz w:val="24"/>
          <w:lang w:eastAsia="zh-CN"/>
        </w:rPr>
        <w:t>三门海润金鳞湖经济开发有限公司</w:t>
      </w:r>
      <w:r>
        <w:rPr>
          <w:rFonts w:hint="eastAsia" w:ascii="宋体" w:hAnsi="宋体"/>
          <w:spacing w:val="20"/>
          <w:sz w:val="24"/>
          <w:szCs w:val="24"/>
          <w:lang w:eastAsia="zh-CN"/>
        </w:rPr>
        <w:t>负责建设，由</w:t>
      </w:r>
      <w:r>
        <w:rPr>
          <w:rFonts w:hint="eastAsia" w:ascii="宋体" w:hAnsi="宋体"/>
          <w:sz w:val="24"/>
          <w:lang w:val="en-US" w:eastAsia="zh-CN"/>
        </w:rPr>
        <w:t>宁波市天一建筑设计有限公司</w:t>
      </w:r>
      <w:r>
        <w:rPr>
          <w:rFonts w:hint="eastAsia" w:ascii="宋体" w:hAnsi="宋体"/>
          <w:spacing w:val="20"/>
          <w:sz w:val="24"/>
          <w:szCs w:val="24"/>
          <w:lang w:eastAsia="zh-CN"/>
        </w:rPr>
        <w:t>负责施工图设计。建设工程位于</w:t>
      </w:r>
      <w:r>
        <w:rPr>
          <w:rFonts w:hint="eastAsia" w:ascii="宋体" w:hAnsi="宋体" w:cs="宋体"/>
          <w:sz w:val="24"/>
        </w:rPr>
        <w:t>三门县</w:t>
      </w:r>
      <w:r>
        <w:rPr>
          <w:rFonts w:hint="eastAsia" w:ascii="宋体" w:hAnsi="宋体"/>
          <w:spacing w:val="20"/>
          <w:sz w:val="24"/>
          <w:szCs w:val="24"/>
          <w:lang w:eastAsia="zh-CN"/>
        </w:rPr>
        <w:t>，主要建设内容为</w:t>
      </w:r>
      <w:r>
        <w:rPr>
          <w:rFonts w:hint="eastAsia" w:ascii="宋体" w:hAnsi="宋体" w:cs="宋体"/>
          <w:sz w:val="24"/>
        </w:rPr>
        <w:t>设计图</w:t>
      </w:r>
      <w:r>
        <w:rPr>
          <w:rFonts w:ascii="宋体" w:hAnsi="宋体" w:cs="宋体"/>
          <w:sz w:val="24"/>
        </w:rPr>
        <w:t>范围内</w:t>
      </w:r>
      <w:r>
        <w:rPr>
          <w:rFonts w:hint="eastAsia" w:ascii="宋体" w:hAnsi="宋体" w:eastAsia="宋体" w:cs="宋体"/>
          <w:sz w:val="24"/>
        </w:rPr>
        <w:t>的许青线沿线绿化种植、园路铺装、广场、雕塑、景墙及各主要景观节点建设</w:t>
      </w:r>
      <w:r>
        <w:rPr>
          <w:rFonts w:hint="eastAsia" w:ascii="宋体" w:hAnsi="宋体" w:eastAsia="宋体" w:cs="宋体"/>
          <w:sz w:val="24"/>
          <w:lang w:eastAsia="zh-CN"/>
        </w:rPr>
        <w:t>，</w:t>
      </w:r>
      <w:r>
        <w:rPr>
          <w:rFonts w:hint="eastAsia" w:ascii="宋体" w:hAnsi="宋体" w:eastAsia="宋体" w:cs="宋体"/>
          <w:sz w:val="24"/>
          <w:lang w:val="en-US" w:eastAsia="zh-CN"/>
        </w:rPr>
        <w:t>照明</w:t>
      </w:r>
      <w:r>
        <w:rPr>
          <w:rFonts w:hint="eastAsia" w:ascii="宋体" w:hAnsi="宋体" w:eastAsia="宋体" w:cs="宋体"/>
          <w:sz w:val="24"/>
        </w:rPr>
        <w:t>及</w:t>
      </w:r>
      <w:r>
        <w:rPr>
          <w:rFonts w:hint="eastAsia" w:ascii="宋体" w:hAnsi="宋体" w:eastAsia="宋体" w:cs="宋体"/>
          <w:sz w:val="24"/>
          <w:lang w:val="en-US" w:eastAsia="zh-CN"/>
        </w:rPr>
        <w:t>雾森系统安装工程。</w:t>
      </w:r>
    </w:p>
    <w:p>
      <w:pPr>
        <w:keepNext w:val="0"/>
        <w:keepLines w:val="0"/>
        <w:pageBreakBefore w:val="0"/>
        <w:widowControl w:val="0"/>
        <w:kinsoku/>
        <w:wordWrap/>
        <w:overflowPunct/>
        <w:topLinePunct w:val="0"/>
        <w:autoSpaceDE w:val="0"/>
        <w:autoSpaceDN w:val="0"/>
        <w:bidi w:val="0"/>
        <w:adjustRightInd w:val="0"/>
        <w:spacing w:after="0" w:line="400" w:lineRule="exact"/>
        <w:ind w:firstLine="551" w:firstLineChars="196"/>
        <w:jc w:val="both"/>
        <w:textAlignment w:val="auto"/>
        <w:rPr>
          <w:rFonts w:hint="eastAsia" w:ascii="宋体" w:hAnsi="宋体"/>
          <w:b/>
          <w:spacing w:val="20"/>
          <w:sz w:val="24"/>
          <w:szCs w:val="24"/>
          <w:lang w:eastAsia="zh-CN"/>
        </w:rPr>
      </w:pPr>
      <w:r>
        <w:rPr>
          <w:rFonts w:hint="eastAsia" w:ascii="宋体" w:hAnsi="宋体"/>
          <w:b/>
          <w:spacing w:val="20"/>
          <w:sz w:val="24"/>
          <w:szCs w:val="24"/>
          <w:lang w:eastAsia="zh-CN"/>
        </w:rPr>
        <w:t>二、综合说明</w:t>
      </w:r>
    </w:p>
    <w:p>
      <w:pPr>
        <w:keepNext w:val="0"/>
        <w:keepLines w:val="0"/>
        <w:pageBreakBefore w:val="0"/>
        <w:widowControl w:val="0"/>
        <w:kinsoku/>
        <w:wordWrap/>
        <w:overflowPunct/>
        <w:topLinePunct w:val="0"/>
        <w:autoSpaceDE w:val="0"/>
        <w:autoSpaceDN w:val="0"/>
        <w:bidi w:val="0"/>
        <w:adjustRightInd w:val="0"/>
        <w:spacing w:after="0" w:line="400" w:lineRule="exact"/>
        <w:ind w:firstLine="548" w:firstLineChars="196"/>
        <w:jc w:val="both"/>
        <w:textAlignment w:val="auto"/>
        <w:rPr>
          <w:rFonts w:hint="eastAsia" w:ascii="宋体" w:hAnsi="宋体"/>
          <w:spacing w:val="20"/>
          <w:sz w:val="24"/>
          <w:szCs w:val="24"/>
          <w:lang w:eastAsia="zh-CN"/>
        </w:rPr>
      </w:pPr>
      <w:r>
        <w:rPr>
          <w:rFonts w:hint="eastAsia" w:ascii="宋体" w:hAnsi="宋体"/>
          <w:spacing w:val="20"/>
          <w:sz w:val="24"/>
          <w:szCs w:val="24"/>
          <w:lang w:eastAsia="zh-CN"/>
        </w:rPr>
        <w:t>1．编制依据</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auto"/>
        <w:rPr>
          <w:rFonts w:hint="eastAsia" w:ascii="宋体" w:hAnsi="宋体"/>
          <w:spacing w:val="20"/>
          <w:sz w:val="24"/>
          <w:szCs w:val="24"/>
          <w:lang w:eastAsia="zh-CN"/>
        </w:rPr>
      </w:pP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建设单位提供</w:t>
      </w:r>
      <w:r>
        <w:rPr>
          <w:rFonts w:hint="eastAsia" w:ascii="宋体" w:hAnsi="宋体" w:eastAsia="宋体" w:cs="Times New Roman"/>
          <w:color w:val="auto"/>
          <w:kern w:val="0"/>
          <w:szCs w:val="21"/>
          <w:highlight w:val="none"/>
          <w:lang w:val="zh-CN"/>
        </w:rPr>
        <w:t>的施工图纸；</w:t>
      </w:r>
    </w:p>
    <w:p>
      <w:pPr>
        <w:keepNext w:val="0"/>
        <w:keepLines w:val="0"/>
        <w:pageBreakBefore w:val="0"/>
        <w:widowControl w:val="0"/>
        <w:kinsoku/>
        <w:wordWrap/>
        <w:overflowPunct/>
        <w:topLinePunct w:val="0"/>
        <w:autoSpaceDE w:val="0"/>
        <w:autoSpaceDN w:val="0"/>
        <w:bidi w:val="0"/>
        <w:adjustRightInd w:val="0"/>
        <w:spacing w:after="0" w:line="400" w:lineRule="exact"/>
        <w:ind w:firstLine="470" w:firstLineChars="196"/>
        <w:jc w:val="both"/>
        <w:textAlignment w:val="auto"/>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《建设工程工程量清单计价规范》（GB50500-2013）、《浙江省建设工程工程量清单计价指引》（2013版）、《建设工程工程量计算规范（2013）浙江省补充规定》（浙建站计﹝2013﹞63号、浙建站计[2014]31号）。</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auto"/>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浙江省建设工程计价规则》（2018版）、《浙江省建设工程施工机械台班费用定额》（2018版）、《浙江省建筑安装材料基期价格》（2018版）、《浙江省房屋建筑与装饰工程预算定额》（2018版）、《浙江省通用安装工程预算定额》（2018版）、《浙江省市政工程预算定额》（2018版）、《浙江省园林绿化及仿古建筑工程预算定额（2018版）》</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与建设项目相关标准、图集、规范、技术资料、文件、综合解释等。</w:t>
      </w:r>
    </w:p>
    <w:p>
      <w:pPr>
        <w:keepNext w:val="0"/>
        <w:keepLines w:val="0"/>
        <w:pageBreakBefore w:val="0"/>
        <w:widowControl/>
        <w:kinsoku/>
        <w:wordWrap/>
        <w:overflowPunct/>
        <w:topLinePunct w:val="0"/>
        <w:autoSpaceDE w:val="0"/>
        <w:autoSpaceDN w:val="0"/>
        <w:bidi w:val="0"/>
        <w:adjustRightInd w:val="0"/>
        <w:snapToGrid w:val="0"/>
        <w:spacing w:line="400" w:lineRule="exact"/>
        <w:ind w:firstLine="240" w:firstLineChars="100"/>
        <w:textAlignment w:val="auto"/>
        <w:rPr>
          <w:rFonts w:hint="eastAsia" w:ascii="宋体" w:hAnsi="宋体" w:eastAsia="宋体" w:cs="Times New Roman"/>
          <w:color w:val="auto"/>
          <w:kern w:val="0"/>
          <w:szCs w:val="21"/>
          <w:highlight w:val="none"/>
        </w:rPr>
      </w:pPr>
      <w:bookmarkStart w:id="707" w:name="_Hlk55393686"/>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关于营改增后浙江省建设工程材料价格信息发布工作调整的通知》（浙建站信[2016]25号）、《关于颁发浙江省建设工程计价依据（2018版）的通知》（浙建建发[2018]61号）、《关于增值税调整后我省建设工程计价依据增值税税率及有关计价调整的通知》（浙建建发[2019]92号）、《浙江省建设厅关于调整建筑工程安全文明施工费的通知》(浙建建发(2022] 37 号)等政策文件。</w:t>
      </w:r>
    </w:p>
    <w:bookmarkEnd w:id="707"/>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auto"/>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《台州造价信息》2024年</w:t>
      </w:r>
      <w:r>
        <w:rPr>
          <w:rFonts w:hint="eastAsia" w:ascii="宋体" w:hAnsi="宋体" w:eastAsia="宋体" w:cs="Times New Roman"/>
          <w:color w:val="auto"/>
          <w:kern w:val="0"/>
          <w:szCs w:val="21"/>
          <w:highlight w:val="none"/>
          <w:lang w:val="en-US" w:eastAsia="zh-CN"/>
        </w:rPr>
        <w:t>7</w:t>
      </w:r>
      <w:r>
        <w:rPr>
          <w:rFonts w:hint="eastAsia" w:ascii="宋体" w:hAnsi="宋体" w:eastAsia="宋体" w:cs="Times New Roman"/>
          <w:color w:val="auto"/>
          <w:kern w:val="0"/>
          <w:szCs w:val="21"/>
          <w:highlight w:val="none"/>
        </w:rPr>
        <w:t>月、《浙江造价信息》2024年</w:t>
      </w:r>
      <w:r>
        <w:rPr>
          <w:rFonts w:hint="eastAsia" w:ascii="宋体" w:hAnsi="宋体" w:eastAsia="宋体" w:cs="Times New Roman"/>
          <w:color w:val="auto"/>
          <w:kern w:val="0"/>
          <w:szCs w:val="21"/>
          <w:highlight w:val="none"/>
          <w:lang w:val="en-US" w:eastAsia="zh-CN"/>
        </w:rPr>
        <w:t>7</w:t>
      </w:r>
      <w:r>
        <w:rPr>
          <w:rFonts w:hint="eastAsia" w:ascii="宋体" w:hAnsi="宋体" w:eastAsia="宋体" w:cs="Times New Roman"/>
          <w:color w:val="auto"/>
          <w:kern w:val="0"/>
          <w:szCs w:val="21"/>
          <w:highlight w:val="none"/>
        </w:rPr>
        <w:t>月等相关定额解释及计价文件。</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auto"/>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rPr>
        <w:t>本工程采用国标工程量清单计价、一般计税法计价。</w:t>
      </w:r>
    </w:p>
    <w:p>
      <w:pPr>
        <w:keepNext w:val="0"/>
        <w:keepLines w:val="0"/>
        <w:pageBreakBefore w:val="0"/>
        <w:widowControl w:val="0"/>
        <w:kinsoku/>
        <w:wordWrap/>
        <w:overflowPunct/>
        <w:topLinePunct w:val="0"/>
        <w:autoSpaceDE w:val="0"/>
        <w:autoSpaceDN w:val="0"/>
        <w:bidi w:val="0"/>
        <w:adjustRightInd w:val="0"/>
        <w:spacing w:after="0" w:line="400" w:lineRule="exact"/>
        <w:ind w:firstLine="548" w:firstLineChars="196"/>
        <w:jc w:val="both"/>
        <w:textAlignment w:val="auto"/>
        <w:rPr>
          <w:rFonts w:hint="eastAsia" w:ascii="宋体" w:hAnsi="宋体"/>
          <w:spacing w:val="20"/>
          <w:sz w:val="24"/>
          <w:szCs w:val="24"/>
          <w:lang w:eastAsia="zh-CN"/>
        </w:rPr>
      </w:pPr>
      <w:r>
        <w:rPr>
          <w:rFonts w:hint="eastAsia" w:ascii="宋体" w:hAnsi="宋体"/>
          <w:spacing w:val="20"/>
          <w:sz w:val="24"/>
          <w:szCs w:val="24"/>
          <w:lang w:eastAsia="zh-CN"/>
        </w:rPr>
        <w:t>2．本次工程量清单编制范围包括</w:t>
      </w:r>
      <w:r>
        <w:rPr>
          <w:rFonts w:hint="eastAsia" w:ascii="宋体" w:hAnsi="宋体" w:cs="宋体"/>
          <w:sz w:val="24"/>
          <w:lang w:val="en-US" w:eastAsia="zh-CN"/>
        </w:rPr>
        <w:t>景观、绿化、景观照明工程、雾森系统等</w:t>
      </w:r>
      <w:r>
        <w:rPr>
          <w:rFonts w:hint="eastAsia" w:ascii="宋体" w:hAnsi="宋体" w:cs="宋体"/>
          <w:sz w:val="24"/>
        </w:rPr>
        <w:t>工程</w:t>
      </w:r>
      <w:r>
        <w:rPr>
          <w:rFonts w:hint="eastAsia" w:ascii="宋体" w:hAnsi="宋体"/>
          <w:spacing w:val="20"/>
          <w:sz w:val="24"/>
          <w:szCs w:val="24"/>
          <w:lang w:eastAsia="zh-CN"/>
        </w:rPr>
        <w:t>。</w:t>
      </w:r>
    </w:p>
    <w:p>
      <w:pPr>
        <w:widowControl w:val="0"/>
        <w:spacing w:after="0" w:line="360" w:lineRule="auto"/>
        <w:jc w:val="both"/>
        <w:rPr>
          <w:rFonts w:hint="eastAsia" w:ascii="宋体" w:hAnsi="宋体"/>
          <w:b/>
          <w:spacing w:val="20"/>
          <w:sz w:val="24"/>
          <w:szCs w:val="24"/>
          <w:lang w:eastAsia="zh-CN"/>
        </w:rPr>
      </w:pPr>
      <w:r>
        <w:rPr>
          <w:rFonts w:hint="eastAsia" w:ascii="宋体" w:hAnsi="宋体"/>
          <w:b/>
          <w:spacing w:val="20"/>
          <w:sz w:val="24"/>
          <w:szCs w:val="24"/>
          <w:lang w:eastAsia="zh-CN"/>
        </w:rPr>
        <w:t>三、工程说明</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eastAsia" w:ascii="宋体" w:hAnsi="宋体" w:eastAsia="宋体"/>
          <w:spacing w:val="20"/>
          <w:sz w:val="24"/>
          <w:szCs w:val="24"/>
          <w:lang w:val="zh-CN" w:eastAsia="zh-CN"/>
        </w:rPr>
      </w:pPr>
      <w:bookmarkStart w:id="708" w:name="_Hlk67002757"/>
      <w:r>
        <w:rPr>
          <w:rFonts w:hint="eastAsia" w:ascii="宋体" w:hAnsi="宋体" w:eastAsia="宋体"/>
          <w:spacing w:val="20"/>
          <w:sz w:val="24"/>
          <w:szCs w:val="24"/>
          <w:lang w:val="en-US" w:eastAsia="zh-CN"/>
        </w:rPr>
        <w:t>1.</w:t>
      </w:r>
      <w:r>
        <w:rPr>
          <w:rFonts w:hint="eastAsia" w:ascii="宋体" w:hAnsi="宋体" w:eastAsia="宋体"/>
          <w:spacing w:val="20"/>
          <w:sz w:val="24"/>
          <w:szCs w:val="24"/>
          <w:lang w:val="zh-CN" w:eastAsia="zh-CN"/>
        </w:rPr>
        <w:t>水泥</w:t>
      </w:r>
      <w:r>
        <w:rPr>
          <w:rFonts w:hint="eastAsia" w:ascii="宋体" w:hAnsi="宋体" w:eastAsia="宋体"/>
          <w:spacing w:val="20"/>
          <w:sz w:val="24"/>
          <w:szCs w:val="24"/>
          <w:lang w:val="en-US" w:eastAsia="zh-CN"/>
        </w:rPr>
        <w:t>按</w:t>
      </w:r>
      <w:r>
        <w:rPr>
          <w:rFonts w:hint="eastAsia" w:ascii="宋体" w:hAnsi="宋体" w:eastAsia="宋体"/>
          <w:spacing w:val="20"/>
          <w:sz w:val="24"/>
          <w:szCs w:val="24"/>
          <w:lang w:val="zh-CN" w:eastAsia="zh-CN"/>
        </w:rPr>
        <w:t>袋装</w:t>
      </w:r>
      <w:r>
        <w:rPr>
          <w:rFonts w:hint="eastAsia" w:ascii="宋体" w:hAnsi="宋体" w:eastAsia="宋体"/>
          <w:spacing w:val="20"/>
          <w:sz w:val="24"/>
          <w:szCs w:val="24"/>
          <w:lang w:val="en-US" w:eastAsia="zh-CN"/>
        </w:rPr>
        <w:t>编制</w:t>
      </w:r>
      <w:r>
        <w:rPr>
          <w:rFonts w:hint="eastAsia" w:ascii="宋体" w:hAnsi="宋体" w:eastAsia="宋体"/>
          <w:spacing w:val="20"/>
          <w:sz w:val="24"/>
          <w:szCs w:val="24"/>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eastAsia" w:ascii="宋体" w:hAnsi="宋体" w:eastAsia="宋体"/>
          <w:spacing w:val="20"/>
          <w:sz w:val="24"/>
          <w:szCs w:val="24"/>
          <w:lang w:val="en-US" w:eastAsia="zh-CN"/>
        </w:rPr>
      </w:pPr>
      <w:r>
        <w:rPr>
          <w:rFonts w:hint="eastAsia" w:ascii="宋体" w:hAnsi="宋体" w:eastAsia="宋体"/>
          <w:spacing w:val="20"/>
          <w:sz w:val="24"/>
          <w:szCs w:val="24"/>
          <w:lang w:val="en-US" w:eastAsia="zh-CN"/>
        </w:rPr>
        <w:t>2.</w:t>
      </w:r>
      <w:r>
        <w:rPr>
          <w:rFonts w:hint="eastAsia" w:ascii="宋体" w:hAnsi="宋体" w:eastAsia="宋体"/>
          <w:spacing w:val="20"/>
          <w:sz w:val="24"/>
          <w:szCs w:val="24"/>
          <w:lang w:val="zh-CN" w:eastAsia="zh-CN"/>
        </w:rPr>
        <w:t>混凝土</w:t>
      </w:r>
      <w:r>
        <w:rPr>
          <w:rFonts w:hint="eastAsia" w:ascii="宋体" w:hAnsi="宋体" w:eastAsia="宋体"/>
          <w:spacing w:val="20"/>
          <w:sz w:val="24"/>
          <w:szCs w:val="24"/>
          <w:lang w:val="en-US" w:eastAsia="zh-CN"/>
        </w:rPr>
        <w:t>按商品砼考虑；</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eastAsia" w:ascii="宋体" w:hAnsi="宋体" w:eastAsia="宋体"/>
          <w:spacing w:val="20"/>
          <w:sz w:val="24"/>
          <w:szCs w:val="24"/>
          <w:lang w:val="en-US" w:eastAsia="zh-CN"/>
        </w:rPr>
      </w:pPr>
      <w:r>
        <w:rPr>
          <w:rFonts w:hint="eastAsia" w:ascii="宋体" w:hAnsi="宋体" w:eastAsia="宋体"/>
          <w:spacing w:val="20"/>
          <w:sz w:val="24"/>
          <w:szCs w:val="24"/>
          <w:lang w:val="en-US" w:eastAsia="zh-CN"/>
        </w:rPr>
        <w:t>3.土方类别按三类土计算，余土外运暂按1km计算，建筑垃圾外运暂按3km计算；</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4.</w:t>
      </w:r>
      <w:r>
        <w:rPr>
          <w:rFonts w:hint="eastAsia" w:ascii="宋体" w:hAnsi="宋体" w:eastAsia="宋体"/>
          <w:spacing w:val="20"/>
          <w:sz w:val="24"/>
          <w:szCs w:val="24"/>
          <w:lang w:val="zh-CN" w:eastAsia="zh-CN"/>
        </w:rPr>
        <w:t>模板工程量按混凝土与模板的实际接触面积计算；</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5.绿化中杂草清理工程量暂按500㎡计入，结算时按实结算；</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6.</w:t>
      </w:r>
      <w:r>
        <w:rPr>
          <w:rFonts w:hint="default" w:ascii="宋体" w:hAnsi="宋体" w:eastAsia="宋体"/>
          <w:spacing w:val="20"/>
          <w:sz w:val="24"/>
          <w:szCs w:val="24"/>
          <w:lang w:val="en-US" w:eastAsia="zh-CN"/>
        </w:rPr>
        <w:t>Ф12-15黑/白色砾石散铺以</w:t>
      </w:r>
      <w:r>
        <w:rPr>
          <w:rFonts w:hint="eastAsia" w:ascii="宋体" w:hAnsi="宋体" w:eastAsia="宋体"/>
          <w:spacing w:val="20"/>
          <w:sz w:val="24"/>
          <w:szCs w:val="24"/>
          <w:lang w:val="en-US" w:eastAsia="zh-CN"/>
        </w:rPr>
        <w:t>市场价（除税）</w:t>
      </w:r>
      <w:r>
        <w:rPr>
          <w:rFonts w:hint="default" w:ascii="宋体" w:hAnsi="宋体" w:eastAsia="宋体"/>
          <w:spacing w:val="20"/>
          <w:sz w:val="24"/>
          <w:szCs w:val="24"/>
          <w:lang w:val="en-US" w:eastAsia="zh-CN"/>
        </w:rPr>
        <w:t>350元/</w:t>
      </w:r>
      <w:r>
        <w:rPr>
          <w:rFonts w:hint="eastAsia" w:ascii="宋体" w:hAnsi="宋体" w:eastAsia="宋体"/>
          <w:spacing w:val="20"/>
          <w:sz w:val="24"/>
          <w:szCs w:val="24"/>
          <w:lang w:val="en-US" w:eastAsia="zh-CN"/>
        </w:rPr>
        <w:t>T</w:t>
      </w:r>
      <w:r>
        <w:rPr>
          <w:rFonts w:hint="default" w:ascii="宋体" w:hAnsi="宋体" w:eastAsia="宋体"/>
          <w:spacing w:val="20"/>
          <w:sz w:val="24"/>
          <w:szCs w:val="24"/>
          <w:lang w:val="en-US" w:eastAsia="zh-CN"/>
        </w:rPr>
        <w:t>计入</w:t>
      </w:r>
      <w:r>
        <w:rPr>
          <w:rFonts w:hint="eastAsia" w:ascii="宋体" w:hAnsi="宋体" w:eastAsia="宋体"/>
          <w:spacing w:val="20"/>
          <w:sz w:val="24"/>
          <w:szCs w:val="24"/>
          <w:lang w:val="en-US" w:eastAsia="zh-CN"/>
        </w:rPr>
        <w:t>，结算时以业主签证为准；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7.</w:t>
      </w:r>
      <w:r>
        <w:rPr>
          <w:rFonts w:hint="default" w:ascii="宋体" w:hAnsi="宋体" w:eastAsia="宋体"/>
          <w:spacing w:val="20"/>
          <w:sz w:val="24"/>
          <w:szCs w:val="24"/>
          <w:lang w:val="en-US" w:eastAsia="zh-CN"/>
        </w:rPr>
        <w:t>MU20青砖以</w:t>
      </w:r>
      <w:r>
        <w:rPr>
          <w:rFonts w:hint="eastAsia" w:ascii="宋体" w:hAnsi="宋体" w:eastAsia="宋体"/>
          <w:spacing w:val="20"/>
          <w:sz w:val="24"/>
          <w:szCs w:val="24"/>
          <w:lang w:val="en-US" w:eastAsia="zh-CN"/>
        </w:rPr>
        <w:t>市场价（除税）3000</w:t>
      </w:r>
      <w:r>
        <w:rPr>
          <w:rFonts w:hint="default" w:ascii="宋体" w:hAnsi="宋体" w:eastAsia="宋体"/>
          <w:spacing w:val="20"/>
          <w:sz w:val="24"/>
          <w:szCs w:val="24"/>
          <w:lang w:val="en-US" w:eastAsia="zh-CN"/>
        </w:rPr>
        <w:t>元/千块计入</w:t>
      </w:r>
      <w:r>
        <w:rPr>
          <w:rFonts w:hint="eastAsia" w:ascii="宋体" w:hAnsi="宋体" w:eastAsia="宋体"/>
          <w:spacing w:val="20"/>
          <w:sz w:val="24"/>
          <w:szCs w:val="24"/>
          <w:lang w:val="en-US" w:eastAsia="zh-CN"/>
        </w:rPr>
        <w:t>，结算时以业主签证为准；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8.</w:t>
      </w:r>
      <w:r>
        <w:rPr>
          <w:rFonts w:hint="default" w:ascii="宋体" w:hAnsi="宋体" w:eastAsia="宋体"/>
          <w:spacing w:val="20"/>
          <w:sz w:val="24"/>
          <w:szCs w:val="24"/>
          <w:lang w:val="en-US" w:eastAsia="zh-CN"/>
        </w:rPr>
        <w:t>柳桉木以市场价</w:t>
      </w:r>
      <w:r>
        <w:rPr>
          <w:rFonts w:hint="eastAsia" w:ascii="宋体" w:hAnsi="宋体" w:eastAsia="宋体"/>
          <w:spacing w:val="20"/>
          <w:sz w:val="24"/>
          <w:szCs w:val="24"/>
          <w:lang w:val="en-US" w:eastAsia="zh-CN"/>
        </w:rPr>
        <w:t>（除税）</w:t>
      </w:r>
      <w:r>
        <w:rPr>
          <w:rFonts w:hint="default" w:ascii="宋体" w:hAnsi="宋体" w:eastAsia="宋体"/>
          <w:spacing w:val="20"/>
          <w:sz w:val="24"/>
          <w:szCs w:val="24"/>
          <w:lang w:val="en-US" w:eastAsia="zh-CN"/>
        </w:rPr>
        <w:t>4690元/</w:t>
      </w:r>
      <w:r>
        <w:rPr>
          <w:rFonts w:hint="eastAsia" w:ascii="宋体" w:hAnsi="宋体" w:eastAsia="宋体"/>
          <w:spacing w:val="20"/>
          <w:sz w:val="24"/>
          <w:szCs w:val="24"/>
          <w:lang w:val="en-US" w:eastAsia="zh-CN"/>
        </w:rPr>
        <w:t>m³</w:t>
      </w:r>
      <w:r>
        <w:rPr>
          <w:rFonts w:hint="default" w:ascii="宋体" w:hAnsi="宋体" w:eastAsia="宋体"/>
          <w:spacing w:val="20"/>
          <w:sz w:val="24"/>
          <w:szCs w:val="24"/>
          <w:lang w:val="en-US" w:eastAsia="zh-CN"/>
        </w:rPr>
        <w:t>计入，结算时以业主签证为准；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9.</w:t>
      </w:r>
      <w:r>
        <w:rPr>
          <w:rFonts w:hint="default" w:ascii="宋体" w:hAnsi="宋体" w:eastAsia="宋体"/>
          <w:spacing w:val="20"/>
          <w:sz w:val="24"/>
          <w:szCs w:val="24"/>
          <w:lang w:val="en-US" w:eastAsia="zh-CN"/>
        </w:rPr>
        <w:t>30厚花岗岩以市场价</w:t>
      </w:r>
      <w:r>
        <w:rPr>
          <w:rFonts w:hint="eastAsia" w:ascii="宋体" w:hAnsi="宋体" w:eastAsia="宋体"/>
          <w:spacing w:val="20"/>
          <w:sz w:val="24"/>
          <w:szCs w:val="24"/>
          <w:lang w:val="en-US" w:eastAsia="zh-CN"/>
        </w:rPr>
        <w:t>（除税）125</w:t>
      </w:r>
      <w:r>
        <w:rPr>
          <w:rFonts w:hint="default" w:ascii="宋体" w:hAnsi="宋体" w:eastAsia="宋体"/>
          <w:spacing w:val="20"/>
          <w:sz w:val="24"/>
          <w:szCs w:val="24"/>
          <w:lang w:val="en-US" w:eastAsia="zh-CN"/>
        </w:rPr>
        <w:t>元/</w:t>
      </w:r>
      <w:r>
        <w:rPr>
          <w:rFonts w:hint="eastAsia" w:ascii="宋体" w:hAnsi="宋体" w:eastAsia="宋体"/>
          <w:spacing w:val="20"/>
          <w:sz w:val="24"/>
          <w:szCs w:val="24"/>
          <w:lang w:val="en-US" w:eastAsia="zh-CN"/>
        </w:rPr>
        <w:t>㎡</w:t>
      </w:r>
      <w:r>
        <w:rPr>
          <w:rFonts w:hint="default" w:ascii="宋体" w:hAnsi="宋体" w:eastAsia="宋体"/>
          <w:spacing w:val="20"/>
          <w:sz w:val="24"/>
          <w:szCs w:val="24"/>
          <w:lang w:val="en-US" w:eastAsia="zh-CN"/>
        </w:rPr>
        <w:t>计入，结算时以业主签证为准；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10.</w:t>
      </w:r>
      <w:r>
        <w:rPr>
          <w:rFonts w:hint="default" w:ascii="宋体" w:hAnsi="宋体" w:eastAsia="宋体"/>
          <w:spacing w:val="20"/>
          <w:sz w:val="24"/>
          <w:szCs w:val="24"/>
          <w:lang w:val="en-US" w:eastAsia="zh-CN"/>
        </w:rPr>
        <w:t>50厚花岗岩以市场价</w:t>
      </w:r>
      <w:r>
        <w:rPr>
          <w:rFonts w:hint="eastAsia" w:ascii="宋体" w:hAnsi="宋体" w:eastAsia="宋体"/>
          <w:spacing w:val="20"/>
          <w:sz w:val="24"/>
          <w:szCs w:val="24"/>
          <w:lang w:val="en-US" w:eastAsia="zh-CN"/>
        </w:rPr>
        <w:t>（除税）</w:t>
      </w:r>
      <w:r>
        <w:rPr>
          <w:rFonts w:hint="default" w:ascii="宋体" w:hAnsi="宋体" w:eastAsia="宋体"/>
          <w:spacing w:val="20"/>
          <w:sz w:val="24"/>
          <w:szCs w:val="24"/>
          <w:lang w:val="en-US" w:eastAsia="zh-CN"/>
        </w:rPr>
        <w:t>162元/</w:t>
      </w:r>
      <w:r>
        <w:rPr>
          <w:rFonts w:hint="eastAsia" w:ascii="宋体" w:hAnsi="宋体" w:eastAsia="宋体"/>
          <w:spacing w:val="20"/>
          <w:sz w:val="24"/>
          <w:szCs w:val="24"/>
          <w:lang w:val="en-US" w:eastAsia="zh-CN"/>
        </w:rPr>
        <w:t>㎡</w:t>
      </w:r>
      <w:r>
        <w:rPr>
          <w:rFonts w:hint="default" w:ascii="宋体" w:hAnsi="宋体" w:eastAsia="宋体"/>
          <w:spacing w:val="20"/>
          <w:sz w:val="24"/>
          <w:szCs w:val="24"/>
          <w:lang w:val="en-US" w:eastAsia="zh-CN"/>
        </w:rPr>
        <w:t>计入，结算时以业主签证为准；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11.</w:t>
      </w:r>
      <w:r>
        <w:rPr>
          <w:rFonts w:hint="default" w:ascii="宋体" w:hAnsi="宋体" w:eastAsia="宋体"/>
          <w:spacing w:val="20"/>
          <w:sz w:val="24"/>
          <w:szCs w:val="24"/>
          <w:lang w:val="en-US" w:eastAsia="zh-CN"/>
        </w:rPr>
        <w:t>60厚花岗岩以市场价</w:t>
      </w:r>
      <w:r>
        <w:rPr>
          <w:rFonts w:hint="eastAsia" w:ascii="宋体" w:hAnsi="宋体" w:eastAsia="宋体"/>
          <w:spacing w:val="20"/>
          <w:sz w:val="24"/>
          <w:szCs w:val="24"/>
          <w:lang w:val="en-US" w:eastAsia="zh-CN"/>
        </w:rPr>
        <w:t>（除税）195</w:t>
      </w:r>
      <w:r>
        <w:rPr>
          <w:rFonts w:hint="default" w:ascii="宋体" w:hAnsi="宋体" w:eastAsia="宋体"/>
          <w:spacing w:val="20"/>
          <w:sz w:val="24"/>
          <w:szCs w:val="24"/>
          <w:lang w:val="en-US" w:eastAsia="zh-CN"/>
        </w:rPr>
        <w:t>元/㎡计入，结算时以业主签证为准；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12.80</w:t>
      </w:r>
      <w:r>
        <w:rPr>
          <w:rFonts w:hint="default" w:ascii="宋体" w:hAnsi="宋体" w:eastAsia="宋体"/>
          <w:spacing w:val="20"/>
          <w:sz w:val="24"/>
          <w:szCs w:val="24"/>
          <w:lang w:val="en-US" w:eastAsia="zh-CN"/>
        </w:rPr>
        <w:t>厚花岗岩以市场价</w:t>
      </w:r>
      <w:r>
        <w:rPr>
          <w:rFonts w:hint="eastAsia" w:ascii="宋体" w:hAnsi="宋体" w:eastAsia="宋体"/>
          <w:spacing w:val="20"/>
          <w:sz w:val="24"/>
          <w:szCs w:val="24"/>
          <w:lang w:val="en-US" w:eastAsia="zh-CN"/>
        </w:rPr>
        <w:t>（除税）</w:t>
      </w:r>
      <w:r>
        <w:rPr>
          <w:rFonts w:hint="default" w:ascii="宋体" w:hAnsi="宋体" w:eastAsia="宋体"/>
          <w:spacing w:val="20"/>
          <w:sz w:val="24"/>
          <w:szCs w:val="24"/>
          <w:lang w:val="en-US" w:eastAsia="zh-CN"/>
        </w:rPr>
        <w:t>260元/㎡计入，结算时以业主签证为准；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13.</w:t>
      </w:r>
      <w:r>
        <w:rPr>
          <w:rFonts w:hint="default" w:ascii="宋体" w:hAnsi="宋体" w:eastAsia="宋体"/>
          <w:spacing w:val="20"/>
          <w:sz w:val="24"/>
          <w:szCs w:val="24"/>
          <w:lang w:val="en-US" w:eastAsia="zh-CN"/>
        </w:rPr>
        <w:t>20厚文化石片以市场价</w:t>
      </w:r>
      <w:r>
        <w:rPr>
          <w:rFonts w:hint="eastAsia" w:ascii="宋体" w:hAnsi="宋体" w:eastAsia="宋体"/>
          <w:spacing w:val="20"/>
          <w:sz w:val="24"/>
          <w:szCs w:val="24"/>
          <w:lang w:val="en-US" w:eastAsia="zh-CN"/>
        </w:rPr>
        <w:t>（除税）</w:t>
      </w:r>
      <w:r>
        <w:rPr>
          <w:rFonts w:hint="default" w:ascii="宋体" w:hAnsi="宋体" w:eastAsia="宋体"/>
          <w:spacing w:val="20"/>
          <w:sz w:val="24"/>
          <w:szCs w:val="24"/>
          <w:lang w:val="en-US" w:eastAsia="zh-CN"/>
        </w:rPr>
        <w:t>82.3元/㎡计入，结算时以业主签证为准；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14.</w:t>
      </w:r>
      <w:r>
        <w:rPr>
          <w:rFonts w:hint="default" w:ascii="宋体" w:hAnsi="宋体" w:eastAsia="宋体"/>
          <w:spacing w:val="20"/>
          <w:sz w:val="24"/>
          <w:szCs w:val="24"/>
          <w:lang w:val="en-US" w:eastAsia="zh-CN"/>
        </w:rPr>
        <w:t>铝合金格栅门以市场价</w:t>
      </w:r>
      <w:r>
        <w:rPr>
          <w:rFonts w:hint="eastAsia" w:ascii="宋体" w:hAnsi="宋体" w:eastAsia="宋体"/>
          <w:spacing w:val="20"/>
          <w:sz w:val="24"/>
          <w:szCs w:val="24"/>
          <w:lang w:val="en-US" w:eastAsia="zh-CN"/>
        </w:rPr>
        <w:t>（除税）</w:t>
      </w:r>
      <w:r>
        <w:rPr>
          <w:rFonts w:hint="default" w:ascii="宋体" w:hAnsi="宋体" w:eastAsia="宋体"/>
          <w:spacing w:val="20"/>
          <w:sz w:val="24"/>
          <w:szCs w:val="24"/>
          <w:lang w:val="en-US" w:eastAsia="zh-CN"/>
        </w:rPr>
        <w:t>800元/㎡计入，结算时以业主签证为准；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15.根据设计意见AP1和AP2配电柜进线电源暂按50m计入，图纸中“就近接业主指定电源”处的电源均暂按30m/处计入，结算时按实调整；</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eastAsia" w:ascii="宋体" w:hAnsi="宋体" w:eastAsia="宋体"/>
          <w:spacing w:val="20"/>
          <w:sz w:val="24"/>
          <w:szCs w:val="24"/>
          <w:lang w:val="en-US" w:eastAsia="zh-CN"/>
        </w:rPr>
      </w:pPr>
      <w:r>
        <w:rPr>
          <w:rFonts w:hint="eastAsia" w:ascii="宋体" w:hAnsi="宋体" w:eastAsia="宋体"/>
          <w:spacing w:val="20"/>
          <w:sz w:val="24"/>
          <w:szCs w:val="24"/>
          <w:lang w:val="en-US" w:eastAsia="zh-CN"/>
        </w:rPr>
        <w:t>16.根据设计意见，雾森接入电源按YJV5*6-FC-PC32计入，结算时按实调整；</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17.根据设计意见，廊亭吸顶灯利用原有电源，不考虑另接电源；</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eastAsia" w:ascii="宋体" w:hAnsi="宋体" w:eastAsia="宋体"/>
          <w:spacing w:val="20"/>
          <w:sz w:val="24"/>
          <w:szCs w:val="24"/>
          <w:lang w:val="en-US" w:eastAsia="zh-CN"/>
        </w:rPr>
      </w:pPr>
      <w:r>
        <w:rPr>
          <w:rFonts w:hint="eastAsia" w:ascii="宋体" w:hAnsi="宋体" w:eastAsia="宋体"/>
          <w:spacing w:val="20"/>
          <w:sz w:val="24"/>
          <w:szCs w:val="24"/>
          <w:lang w:val="en-US" w:eastAsia="zh-CN"/>
        </w:rPr>
        <w:t>18.成套配电箱AP1以暂估价（除税）3050元/台计入，成套配电箱AP2以暂估价（除税）4160元/台计入，结算时以业主签证为准；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19.灯具以市场价（除税）计入，结算时以业主签证为准；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20.</w:t>
      </w:r>
      <w:r>
        <w:rPr>
          <w:rFonts w:hint="default" w:ascii="宋体" w:hAnsi="宋体" w:eastAsia="宋体"/>
          <w:spacing w:val="20"/>
          <w:sz w:val="24"/>
          <w:szCs w:val="24"/>
          <w:lang w:val="en-US" w:eastAsia="zh-CN"/>
        </w:rPr>
        <w:t>高压雾森系统主机</w:t>
      </w:r>
      <w:r>
        <w:rPr>
          <w:rFonts w:hint="eastAsia" w:ascii="宋体" w:hAnsi="宋体" w:eastAsia="宋体"/>
          <w:spacing w:val="20"/>
          <w:sz w:val="24"/>
          <w:szCs w:val="24"/>
          <w:lang w:val="en-US" w:eastAsia="zh-CN"/>
        </w:rPr>
        <w:t>以4500元/台计入，结算时以业主签证为准；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default" w:ascii="宋体" w:hAnsi="宋体" w:eastAsia="宋体"/>
          <w:spacing w:val="20"/>
          <w:sz w:val="24"/>
          <w:szCs w:val="24"/>
          <w:lang w:val="en-US" w:eastAsia="zh-CN"/>
        </w:rPr>
      </w:pPr>
      <w:r>
        <w:rPr>
          <w:rFonts w:hint="eastAsia" w:ascii="宋体" w:hAnsi="宋体" w:eastAsia="宋体"/>
          <w:spacing w:val="20"/>
          <w:sz w:val="24"/>
          <w:szCs w:val="24"/>
          <w:lang w:val="en-US" w:eastAsia="zh-CN"/>
        </w:rPr>
        <w:t>21.部分绿化单价为市场价（除税），结算时以业主签证为准；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48" w:firstLineChars="196"/>
        <w:jc w:val="both"/>
        <w:textAlignment w:val="auto"/>
        <w:rPr>
          <w:rFonts w:hint="eastAsia" w:ascii="宋体" w:hAnsi="宋体" w:eastAsia="宋体"/>
          <w:spacing w:val="20"/>
          <w:sz w:val="24"/>
          <w:szCs w:val="24"/>
          <w:lang w:eastAsia="zh-CN"/>
        </w:rPr>
      </w:pPr>
      <w:r>
        <w:rPr>
          <w:rFonts w:hint="eastAsia" w:ascii="宋体" w:hAnsi="宋体" w:eastAsia="宋体"/>
          <w:spacing w:val="20"/>
          <w:sz w:val="24"/>
          <w:szCs w:val="24"/>
          <w:lang w:val="en-US" w:eastAsia="zh-CN"/>
        </w:rPr>
        <w:t>22.景观小品以暂估价（除税）计入</w:t>
      </w:r>
      <w:r>
        <w:rPr>
          <w:rFonts w:hint="default" w:ascii="宋体" w:hAnsi="宋体" w:eastAsia="宋体"/>
          <w:spacing w:val="20"/>
          <w:sz w:val="24"/>
          <w:szCs w:val="24"/>
          <w:lang w:val="en-US" w:eastAsia="zh-CN"/>
        </w:rPr>
        <w:t>，结算时以业主签证为准。</w:t>
      </w:r>
    </w:p>
    <w:bookmarkEnd w:id="708"/>
    <w:p>
      <w:pPr>
        <w:widowControl w:val="0"/>
        <w:spacing w:after="0" w:line="360" w:lineRule="auto"/>
        <w:jc w:val="both"/>
        <w:rPr>
          <w:rFonts w:hint="eastAsia" w:ascii="宋体" w:hAnsi="宋体"/>
          <w:b/>
          <w:spacing w:val="20"/>
          <w:sz w:val="24"/>
          <w:szCs w:val="24"/>
          <w:lang w:eastAsia="zh-CN"/>
        </w:rPr>
      </w:pPr>
      <w:r>
        <w:rPr>
          <w:rFonts w:hint="eastAsia" w:ascii="宋体" w:hAnsi="宋体"/>
          <w:b/>
          <w:spacing w:val="20"/>
          <w:sz w:val="24"/>
          <w:szCs w:val="24"/>
          <w:lang w:eastAsia="zh-CN"/>
        </w:rPr>
        <w:t>四、其他有关事项说明</w:t>
      </w:r>
    </w:p>
    <w:p>
      <w:pPr>
        <w:widowControl w:val="0"/>
        <w:spacing w:after="0" w:line="360" w:lineRule="auto"/>
        <w:ind w:firstLine="560" w:firstLineChars="200"/>
        <w:jc w:val="both"/>
        <w:rPr>
          <w:rFonts w:hint="eastAsia" w:ascii="宋体" w:hAnsi="宋体"/>
          <w:spacing w:val="20"/>
          <w:sz w:val="24"/>
          <w:szCs w:val="24"/>
          <w:lang w:eastAsia="zh-CN"/>
        </w:rPr>
      </w:pPr>
      <w:r>
        <w:rPr>
          <w:rFonts w:hint="eastAsia" w:ascii="宋体" w:hAnsi="宋体"/>
          <w:spacing w:val="20"/>
          <w:sz w:val="24"/>
          <w:szCs w:val="24"/>
          <w:lang w:eastAsia="zh-CN"/>
        </w:rPr>
        <w:t>1.工程量清单中的任何内容不得随意更改及删除，不得擅自对招标人提供的工程量清单内容（计量单位、工程数量等）进行变动。工程量清单中所列工程量的变动，丝毫不会降低或影响合同条件的效力，也不免除投标人按规定的标准进行施工和修复缺陷的责任。</w:t>
      </w:r>
    </w:p>
    <w:p>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2.投标人报价表中对招标人提供的清单项目未填报价，其费用应视为已分摊在本合同工程其他细目的综合单价之中。</w:t>
      </w:r>
    </w:p>
    <w:p>
      <w:pPr>
        <w:widowControl w:val="0"/>
        <w:spacing w:after="0" w:line="360" w:lineRule="auto"/>
        <w:ind w:firstLine="560" w:firstLineChars="200"/>
        <w:jc w:val="both"/>
        <w:rPr>
          <w:rFonts w:hint="eastAsia" w:ascii="宋体" w:hAnsi="宋体"/>
          <w:spacing w:val="20"/>
          <w:sz w:val="24"/>
          <w:szCs w:val="24"/>
          <w:lang w:eastAsia="zh-CN"/>
        </w:rPr>
      </w:pPr>
      <w:r>
        <w:rPr>
          <w:rFonts w:hint="eastAsia" w:ascii="宋体" w:hAnsi="宋体"/>
          <w:spacing w:val="20"/>
          <w:sz w:val="24"/>
          <w:szCs w:val="24"/>
          <w:lang w:eastAsia="zh-CN"/>
        </w:rPr>
        <w:t>3.</w:t>
      </w:r>
      <w:r>
        <w:rPr>
          <w:rFonts w:ascii="宋体" w:hAnsi="宋体"/>
          <w:spacing w:val="20"/>
          <w:sz w:val="24"/>
          <w:szCs w:val="24"/>
          <w:lang w:eastAsia="zh-CN"/>
        </w:rPr>
        <w:t>投标应充分考虑与其他施工单位交叉作业所带来的工效降低，其费用应在</w:t>
      </w:r>
      <w:r>
        <w:rPr>
          <w:rFonts w:hint="eastAsia" w:ascii="宋体" w:hAnsi="宋体"/>
          <w:spacing w:val="20"/>
          <w:sz w:val="24"/>
          <w:szCs w:val="24"/>
          <w:lang w:eastAsia="zh-CN"/>
        </w:rPr>
        <w:t>投标总</w:t>
      </w:r>
      <w:r>
        <w:rPr>
          <w:rFonts w:ascii="宋体" w:hAnsi="宋体"/>
          <w:spacing w:val="20"/>
          <w:sz w:val="24"/>
          <w:szCs w:val="24"/>
          <w:lang w:eastAsia="zh-CN"/>
        </w:rPr>
        <w:t>价中充分考虑</w:t>
      </w:r>
      <w:r>
        <w:rPr>
          <w:rFonts w:hint="eastAsia" w:ascii="宋体" w:hAnsi="宋体"/>
          <w:spacing w:val="20"/>
          <w:sz w:val="24"/>
          <w:szCs w:val="24"/>
          <w:lang w:eastAsia="zh-CN"/>
        </w:rPr>
        <w:t>。</w:t>
      </w:r>
    </w:p>
    <w:p>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4.</w:t>
      </w:r>
      <w:r>
        <w:rPr>
          <w:rFonts w:ascii="宋体" w:hAnsi="宋体"/>
          <w:spacing w:val="20"/>
          <w:sz w:val="24"/>
          <w:szCs w:val="24"/>
          <w:lang w:eastAsia="zh-CN"/>
        </w:rPr>
        <w:t>根据现有施工场地等实际情况，投标人应充分考虑必须发生和可能发生的费用，如材料、设备的存储堆放（含甲供材料）、二次搬运、保管、水平运输、垂直运输、临时安全消防、临时设施租用、垃圾清运、夜间施工、赶工措施、工程变更造成的窝工、结构偏差等产生的费用，其费用应在</w:t>
      </w:r>
      <w:r>
        <w:rPr>
          <w:rFonts w:hint="eastAsia" w:ascii="宋体" w:hAnsi="宋体"/>
          <w:spacing w:val="20"/>
          <w:sz w:val="24"/>
          <w:szCs w:val="24"/>
          <w:lang w:eastAsia="zh-CN"/>
        </w:rPr>
        <w:t>投标总</w:t>
      </w:r>
      <w:r>
        <w:rPr>
          <w:rFonts w:ascii="宋体" w:hAnsi="宋体"/>
          <w:spacing w:val="20"/>
          <w:sz w:val="24"/>
          <w:szCs w:val="24"/>
          <w:lang w:eastAsia="zh-CN"/>
        </w:rPr>
        <w:t>价中充分考虑</w:t>
      </w:r>
      <w:r>
        <w:rPr>
          <w:rFonts w:hint="eastAsia" w:ascii="宋体" w:hAnsi="宋体"/>
          <w:spacing w:val="20"/>
          <w:sz w:val="24"/>
          <w:szCs w:val="24"/>
          <w:lang w:eastAsia="zh-CN"/>
        </w:rPr>
        <w:t>。</w:t>
      </w:r>
    </w:p>
    <w:p>
      <w:pPr>
        <w:widowControl w:val="0"/>
        <w:spacing w:after="0" w:line="360" w:lineRule="auto"/>
        <w:ind w:firstLine="560" w:firstLineChars="200"/>
        <w:jc w:val="both"/>
        <w:rPr>
          <w:rFonts w:hint="eastAsia" w:ascii="宋体" w:hAnsi="宋体"/>
          <w:spacing w:val="20"/>
          <w:sz w:val="24"/>
          <w:szCs w:val="24"/>
          <w:lang w:eastAsia="zh-CN"/>
        </w:rPr>
      </w:pPr>
      <w:r>
        <w:rPr>
          <w:rFonts w:hint="eastAsia" w:ascii="宋体" w:hAnsi="宋体"/>
          <w:spacing w:val="20"/>
          <w:sz w:val="24"/>
          <w:szCs w:val="24"/>
          <w:lang w:eastAsia="zh-CN"/>
        </w:rPr>
        <w:t>5.工程量清单应与投标须知、合同条件、合同协议条款、技术规范、清单说明及其组成文件等资料结合起来理解或解释。</w:t>
      </w:r>
    </w:p>
    <w:p>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6.清单中如出现项目特征未描述详尽的, 投标人报价应根据招标人提供的项目编码所针对的工作内容并结合施工图纸、设计回复的图纸答疑完整报价，</w:t>
      </w:r>
      <w:r>
        <w:rPr>
          <w:rFonts w:ascii="宋体" w:hAnsi="宋体"/>
          <w:spacing w:val="20"/>
          <w:sz w:val="24"/>
          <w:szCs w:val="24"/>
          <w:lang w:eastAsia="zh-CN"/>
        </w:rPr>
        <w:t>否则视为已计入相应项目综合单价中，中标后将不调整综合单价</w:t>
      </w:r>
      <w:r>
        <w:rPr>
          <w:rFonts w:hint="eastAsia" w:ascii="宋体" w:hAnsi="宋体"/>
          <w:spacing w:val="20"/>
          <w:sz w:val="24"/>
          <w:szCs w:val="24"/>
          <w:lang w:eastAsia="zh-CN"/>
        </w:rPr>
        <w:t>。</w:t>
      </w:r>
    </w:p>
    <w:p>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7.</w:t>
      </w:r>
      <w:r>
        <w:rPr>
          <w:rFonts w:ascii="宋体" w:hAnsi="宋体"/>
          <w:spacing w:val="20"/>
          <w:sz w:val="24"/>
          <w:szCs w:val="24"/>
          <w:lang w:eastAsia="zh-CN"/>
        </w:rPr>
        <w:t xml:space="preserve"> 因重大活动或其他特殊情况，政府部门以任何形式发布相关停工通知的，中标人必须无条件服从要求进行停工，由此产生的组织、技术措施增加费，人员、机械窝工费及由此产生的相关全部费用（除政策文件规定调整外）综合考虑计入报价，中标后费用不予调整，停工工期给予顺延</w:t>
      </w:r>
      <w:r>
        <w:rPr>
          <w:rFonts w:hint="eastAsia" w:ascii="宋体" w:hAnsi="宋体"/>
          <w:spacing w:val="20"/>
          <w:sz w:val="24"/>
          <w:szCs w:val="24"/>
          <w:lang w:eastAsia="zh-CN"/>
        </w:rPr>
        <w:t>。</w:t>
      </w:r>
    </w:p>
    <w:p>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8.</w:t>
      </w:r>
      <w:r>
        <w:rPr>
          <w:rFonts w:ascii="宋体" w:hAnsi="宋体"/>
          <w:spacing w:val="20"/>
          <w:sz w:val="24"/>
          <w:szCs w:val="24"/>
          <w:lang w:eastAsia="zh-CN"/>
        </w:rPr>
        <w:t>在施工过程中，如遇停水停电或用水用电高峰期，</w:t>
      </w:r>
      <w:r>
        <w:rPr>
          <w:rFonts w:hint="eastAsia" w:ascii="宋体" w:hAnsi="宋体"/>
          <w:spacing w:val="20"/>
          <w:sz w:val="24"/>
          <w:szCs w:val="24"/>
          <w:lang w:eastAsia="zh-CN"/>
        </w:rPr>
        <w:t>投标人</w:t>
      </w:r>
      <w:r>
        <w:rPr>
          <w:rFonts w:ascii="宋体" w:hAnsi="宋体"/>
          <w:spacing w:val="20"/>
          <w:sz w:val="24"/>
          <w:szCs w:val="24"/>
          <w:lang w:eastAsia="zh-CN"/>
        </w:rPr>
        <w:t>准备相应的措施（如修蓄水池、加压泵、发电机等），费用自行考虑在</w:t>
      </w:r>
      <w:r>
        <w:rPr>
          <w:rFonts w:hint="eastAsia" w:ascii="宋体" w:hAnsi="宋体"/>
          <w:spacing w:val="20"/>
          <w:sz w:val="24"/>
          <w:szCs w:val="24"/>
          <w:lang w:eastAsia="zh-CN"/>
        </w:rPr>
        <w:t>投标总价</w:t>
      </w:r>
      <w:r>
        <w:rPr>
          <w:rFonts w:ascii="宋体" w:hAnsi="宋体"/>
          <w:spacing w:val="20"/>
          <w:sz w:val="24"/>
          <w:szCs w:val="24"/>
          <w:lang w:eastAsia="zh-CN"/>
        </w:rPr>
        <w:t>中</w:t>
      </w:r>
      <w:r>
        <w:rPr>
          <w:rFonts w:hint="eastAsia" w:ascii="宋体" w:hAnsi="宋体"/>
          <w:spacing w:val="20"/>
          <w:sz w:val="24"/>
          <w:szCs w:val="24"/>
          <w:lang w:eastAsia="zh-CN"/>
        </w:rPr>
        <w:t>。</w:t>
      </w:r>
    </w:p>
    <w:p>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9.</w:t>
      </w:r>
      <w:r>
        <w:rPr>
          <w:rFonts w:ascii="宋体" w:hAnsi="宋体"/>
          <w:spacing w:val="20"/>
          <w:sz w:val="24"/>
          <w:szCs w:val="24"/>
          <w:lang w:eastAsia="zh-CN"/>
        </w:rPr>
        <w:t>投标人应结合当地气候条件和现场情况，将防台、防汛、排洪等考虑在</w:t>
      </w:r>
      <w:r>
        <w:rPr>
          <w:rFonts w:hint="eastAsia" w:ascii="宋体" w:hAnsi="宋体"/>
          <w:spacing w:val="20"/>
          <w:sz w:val="24"/>
          <w:szCs w:val="24"/>
          <w:lang w:eastAsia="zh-CN"/>
        </w:rPr>
        <w:t>投标总价</w:t>
      </w:r>
      <w:r>
        <w:rPr>
          <w:rFonts w:ascii="宋体" w:hAnsi="宋体"/>
          <w:spacing w:val="20"/>
          <w:sz w:val="24"/>
          <w:szCs w:val="24"/>
          <w:lang w:eastAsia="zh-CN"/>
        </w:rPr>
        <w:t>中。</w:t>
      </w:r>
    </w:p>
    <w:p>
      <w:pPr>
        <w:widowControl/>
        <w:autoSpaceDE/>
        <w:autoSpaceDN/>
        <w:adjustRightInd/>
        <w:rPr>
          <w:rFonts w:ascii="Times New Roman" w:hAnsi="Times New Roman" w:eastAsia="黑体"/>
          <w:bCs/>
          <w:kern w:val="44"/>
          <w:sz w:val="44"/>
          <w:szCs w:val="44"/>
          <w:highlight w:val="none"/>
        </w:rPr>
      </w:pPr>
    </w:p>
    <w:p>
      <w:pPr>
        <w:pStyle w:val="15"/>
      </w:pPr>
    </w:p>
    <w:p>
      <w:pPr>
        <w:widowControl/>
        <w:autoSpaceDE/>
        <w:autoSpaceDN/>
        <w:adjustRightInd/>
        <w:rPr>
          <w:rFonts w:ascii="Times New Roman" w:hAnsi="Times New Roman" w:eastAsia="黑体"/>
          <w:bCs/>
          <w:kern w:val="44"/>
          <w:sz w:val="44"/>
          <w:szCs w:val="44"/>
          <w:highlight w:val="none"/>
        </w:rPr>
      </w:pPr>
    </w:p>
    <w:p>
      <w:pPr>
        <w:widowControl/>
        <w:autoSpaceDE/>
        <w:autoSpaceDN/>
        <w:adjustRightInd/>
        <w:rPr>
          <w:rFonts w:ascii="Times New Roman" w:hAnsi="Times New Roman" w:eastAsia="黑体"/>
          <w:bCs/>
          <w:kern w:val="44"/>
          <w:sz w:val="44"/>
          <w:szCs w:val="44"/>
          <w:highlight w:val="none"/>
        </w:rPr>
      </w:pPr>
    </w:p>
    <w:p>
      <w:pPr>
        <w:widowControl/>
        <w:autoSpaceDE/>
        <w:autoSpaceDN/>
        <w:adjustRightInd/>
        <w:rPr>
          <w:rFonts w:ascii="Times New Roman" w:hAnsi="Times New Roman" w:eastAsia="黑体"/>
          <w:bCs/>
          <w:kern w:val="44"/>
          <w:sz w:val="44"/>
          <w:szCs w:val="44"/>
          <w:highlight w:val="none"/>
        </w:rPr>
      </w:pPr>
    </w:p>
    <w:p>
      <w:pPr>
        <w:widowControl/>
        <w:autoSpaceDE/>
        <w:autoSpaceDN/>
        <w:adjustRightInd/>
        <w:rPr>
          <w:rFonts w:ascii="Times New Roman" w:hAnsi="Times New Roman" w:eastAsia="黑体"/>
          <w:bCs/>
          <w:kern w:val="44"/>
          <w:sz w:val="44"/>
          <w:szCs w:val="44"/>
          <w:highlight w:val="none"/>
        </w:rPr>
      </w:pPr>
    </w:p>
    <w:p>
      <w:pPr>
        <w:pStyle w:val="2"/>
        <w:ind w:left="0"/>
        <w:rPr>
          <w:highlight w:val="none"/>
        </w:rPr>
      </w:pPr>
      <w:bookmarkStart w:id="709" w:name="_Toc9564"/>
      <w:r>
        <w:rPr>
          <w:rFonts w:hint="eastAsia"/>
          <w:highlight w:val="none"/>
        </w:rPr>
        <w:t>第六章</w:t>
      </w:r>
      <w:r>
        <w:rPr>
          <w:highlight w:val="none"/>
        </w:rPr>
        <w:t xml:space="preserve">  </w:t>
      </w:r>
      <w:r>
        <w:rPr>
          <w:rFonts w:hint="eastAsia"/>
          <w:highlight w:val="none"/>
        </w:rPr>
        <w:t>图纸</w:t>
      </w:r>
      <w:bookmarkEnd w:id="709"/>
    </w:p>
    <w:bookmarkEnd w:id="693"/>
    <w:p>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pPr>
        <w:pStyle w:val="12"/>
        <w:spacing w:line="440" w:lineRule="exact"/>
        <w:jc w:val="center"/>
        <w:rPr>
          <w:rFonts w:hAnsi="宋体"/>
          <w:sz w:val="24"/>
          <w:szCs w:val="24"/>
          <w:highlight w:val="none"/>
        </w:rPr>
      </w:pPr>
      <w:r>
        <w:rPr>
          <w:sz w:val="28"/>
          <w:szCs w:val="28"/>
          <w:highlight w:val="none"/>
        </w:rPr>
        <w:t>（</w:t>
      </w:r>
      <w:r>
        <w:rPr>
          <w:highlight w:val="none"/>
        </w:rPr>
        <w:t>http://www.sanmen.gov.cn/col/col1229610743/index.html</w:t>
      </w:r>
      <w:r>
        <w:rPr>
          <w:sz w:val="28"/>
          <w:szCs w:val="28"/>
          <w:highlight w:val="none"/>
        </w:rPr>
        <w:t>）</w:t>
      </w:r>
    </w:p>
    <w:p>
      <w:pPr>
        <w:pStyle w:val="12"/>
        <w:spacing w:line="440" w:lineRule="exact"/>
        <w:jc w:val="center"/>
        <w:rPr>
          <w:rFonts w:hAnsi="宋体"/>
          <w:sz w:val="24"/>
          <w:szCs w:val="24"/>
          <w:highlight w:val="none"/>
        </w:rPr>
      </w:pPr>
    </w:p>
    <w:p>
      <w:pPr>
        <w:pStyle w:val="12"/>
        <w:spacing w:line="440" w:lineRule="exact"/>
        <w:jc w:val="center"/>
        <w:rPr>
          <w:rFonts w:hAnsi="宋体"/>
          <w:sz w:val="24"/>
          <w:szCs w:val="24"/>
          <w:highlight w:val="none"/>
        </w:rPr>
      </w:pPr>
    </w:p>
    <w:p>
      <w:pPr>
        <w:pStyle w:val="12"/>
        <w:spacing w:line="440" w:lineRule="exact"/>
        <w:rPr>
          <w:rFonts w:hAnsi="宋体"/>
          <w:sz w:val="24"/>
          <w:szCs w:val="24"/>
          <w:highlight w:val="none"/>
        </w:rPr>
      </w:pPr>
    </w:p>
    <w:p>
      <w:pPr>
        <w:pStyle w:val="12"/>
        <w:spacing w:line="440" w:lineRule="exact"/>
        <w:jc w:val="center"/>
        <w:rPr>
          <w:rFonts w:hAnsi="宋体"/>
          <w:sz w:val="24"/>
          <w:szCs w:val="24"/>
          <w:highlight w:val="none"/>
        </w:rPr>
      </w:pPr>
    </w:p>
    <w:p>
      <w:pPr>
        <w:pStyle w:val="12"/>
        <w:spacing w:line="440" w:lineRule="exact"/>
        <w:rPr>
          <w:rFonts w:hAnsi="宋体"/>
          <w:sz w:val="24"/>
          <w:szCs w:val="24"/>
          <w:highlight w:val="none"/>
        </w:rPr>
      </w:pPr>
      <w:r>
        <w:rPr>
          <w:rFonts w:hAnsi="宋体"/>
          <w:sz w:val="24"/>
          <w:szCs w:val="24"/>
          <w:highlight w:val="none"/>
        </w:rPr>
        <w:br w:type="page"/>
      </w:r>
    </w:p>
    <w:p>
      <w:pPr>
        <w:pStyle w:val="12"/>
        <w:numPr>
          <w:ilvl w:val="0"/>
          <w:numId w:val="20"/>
        </w:numPr>
        <w:spacing w:line="440" w:lineRule="exact"/>
        <w:jc w:val="center"/>
        <w:rPr>
          <w:rFonts w:ascii="Times New Roman" w:hAnsi="Times New Roman" w:eastAsia="黑体"/>
          <w:bCs/>
          <w:kern w:val="44"/>
          <w:sz w:val="44"/>
          <w:szCs w:val="44"/>
          <w:highlight w:val="none"/>
        </w:rPr>
      </w:pPr>
      <w:bookmarkStart w:id="710" w:name="_Toc494360706"/>
      <w:bookmarkStart w:id="711" w:name="_Toc494121492"/>
      <w:r>
        <w:rPr>
          <w:rFonts w:hint="eastAsia" w:ascii="Times New Roman" w:hAnsi="Times New Roman" w:eastAsia="黑体"/>
          <w:bCs/>
          <w:kern w:val="44"/>
          <w:sz w:val="44"/>
          <w:szCs w:val="44"/>
          <w:highlight w:val="none"/>
        </w:rPr>
        <w:t>技术标准和要求</w:t>
      </w:r>
      <w:bookmarkEnd w:id="710"/>
      <w:bookmarkEnd w:id="711"/>
    </w:p>
    <w:p>
      <w:pPr>
        <w:spacing w:line="360" w:lineRule="auto"/>
        <w:rPr>
          <w:rFonts w:ascii="宋体" w:hAnsi="宋体"/>
          <w:i/>
          <w:sz w:val="28"/>
          <w:szCs w:val="28"/>
          <w:highlight w:val="none"/>
        </w:rPr>
      </w:pPr>
    </w:p>
    <w:p>
      <w:pPr>
        <w:pStyle w:val="34"/>
        <w:spacing w:before="0" w:line="480" w:lineRule="exact"/>
        <w:ind w:firstLine="562" w:firstLineChars="200"/>
        <w:jc w:val="center"/>
        <w:rPr>
          <w:highlight w:val="none"/>
        </w:rPr>
      </w:pPr>
      <w:bookmarkStart w:id="712" w:name="_Toc8842"/>
      <w:bookmarkStart w:id="713" w:name="_Toc12041"/>
      <w:bookmarkStart w:id="714" w:name="_Toc16521982"/>
      <w:bookmarkStart w:id="715" w:name="_Toc8305386"/>
      <w:bookmarkStart w:id="716" w:name="_Toc372899887"/>
      <w:bookmarkStart w:id="717" w:name="_Toc394573957"/>
      <w:bookmarkStart w:id="718" w:name="_Toc282596326"/>
      <w:bookmarkStart w:id="719" w:name="_Toc283886271"/>
      <w:bookmarkStart w:id="720" w:name="_Toc288556313"/>
      <w:bookmarkStart w:id="721" w:name="_Toc283976561"/>
      <w:r>
        <w:rPr>
          <w:rFonts w:hint="eastAsia"/>
          <w:highlight w:val="none"/>
        </w:rPr>
        <w:t>1. 工程概况</w:t>
      </w:r>
      <w:bookmarkEnd w:id="712"/>
      <w:bookmarkEnd w:id="713"/>
      <w:bookmarkEnd w:id="714"/>
      <w:bookmarkEnd w:id="715"/>
    </w:p>
    <w:p>
      <w:pPr>
        <w:pStyle w:val="36"/>
        <w:spacing w:line="480" w:lineRule="exact"/>
        <w:ind w:firstLine="480"/>
        <w:rPr>
          <w:rFonts w:ascii="Times New Roman" w:hAnsi="Times New Roman"/>
          <w:highlight w:val="none"/>
        </w:rPr>
      </w:pPr>
      <w:r>
        <w:rPr>
          <w:rFonts w:hint="eastAsia" w:ascii="Times New Roman" w:hAnsi="Times New Roman"/>
          <w:highlight w:val="none"/>
        </w:rPr>
        <w:t>1.1招标工程：</w:t>
      </w:r>
      <w:r>
        <w:rPr>
          <w:rFonts w:hint="eastAsia" w:ascii="Times New Roman" w:hAnsi="Times New Roman"/>
          <w:highlight w:val="none"/>
          <w:lang w:eastAsia="zh-CN"/>
        </w:rPr>
        <w:t>环大周塘区块配套基础设施提升工程一北岸大道至鲍家道路沿线改造提升工程</w:t>
      </w:r>
      <w:r>
        <w:rPr>
          <w:rFonts w:hint="eastAsia" w:ascii="Times New Roman" w:hAnsi="Times New Roman"/>
          <w:highlight w:val="none"/>
        </w:rPr>
        <w:t xml:space="preserve"> </w:t>
      </w:r>
    </w:p>
    <w:p>
      <w:pPr>
        <w:pStyle w:val="36"/>
        <w:spacing w:line="480" w:lineRule="exact"/>
        <w:ind w:firstLine="480"/>
        <w:rPr>
          <w:rFonts w:ascii="Times New Roman" w:hAnsi="Times New Roman"/>
          <w:color w:val="auto"/>
          <w:highlight w:val="none"/>
        </w:rPr>
      </w:pPr>
      <w:r>
        <w:rPr>
          <w:rFonts w:hint="eastAsia" w:ascii="Times New Roman" w:hAnsi="Times New Roman"/>
          <w:color w:val="auto"/>
          <w:highlight w:val="none"/>
        </w:rPr>
        <w:t xml:space="preserve">1.2建设规模：详见施工图。                   </w:t>
      </w:r>
    </w:p>
    <w:p>
      <w:pPr>
        <w:pStyle w:val="36"/>
        <w:spacing w:line="480" w:lineRule="exact"/>
        <w:ind w:firstLine="480"/>
        <w:rPr>
          <w:rFonts w:ascii="Times New Roman" w:hAnsi="Times New Roman"/>
          <w:color w:val="auto"/>
          <w:highlight w:val="none"/>
        </w:rPr>
      </w:pPr>
      <w:r>
        <w:rPr>
          <w:rFonts w:hint="eastAsia" w:ascii="Times New Roman" w:hAnsi="Times New Roman"/>
          <w:color w:val="auto"/>
          <w:highlight w:val="none"/>
        </w:rPr>
        <w:t>1.3招标控制价:</w:t>
      </w:r>
      <w:r>
        <w:rPr>
          <w:rFonts w:hint="eastAsia" w:ascii="Times New Roman" w:hAnsi="Times New Roman"/>
          <w:color w:val="auto"/>
          <w:highlight w:val="none"/>
          <w:lang w:val="en-US" w:eastAsia="zh-CN"/>
        </w:rPr>
        <w:t xml:space="preserve"> 8220953</w:t>
      </w:r>
      <w:r>
        <w:rPr>
          <w:rFonts w:hint="eastAsia" w:ascii="Times New Roman" w:hAnsi="Times New Roman"/>
          <w:color w:val="auto"/>
          <w:highlight w:val="none"/>
        </w:rPr>
        <w:t xml:space="preserve">元 </w:t>
      </w:r>
    </w:p>
    <w:p>
      <w:pPr>
        <w:pStyle w:val="36"/>
        <w:spacing w:line="480" w:lineRule="exact"/>
        <w:ind w:firstLine="480"/>
        <w:rPr>
          <w:rFonts w:ascii="Times New Roman" w:hAnsi="Times New Roman"/>
          <w:highlight w:val="none"/>
        </w:rPr>
      </w:pPr>
      <w:r>
        <w:rPr>
          <w:rFonts w:hint="eastAsia" w:ascii="Times New Roman" w:hAnsi="Times New Roman"/>
          <w:highlight w:val="none"/>
        </w:rPr>
        <w:t>1.4建设地点：</w:t>
      </w:r>
      <w:r>
        <w:rPr>
          <w:rFonts w:hint="eastAsia" w:ascii="宋体" w:hAnsi="宋体"/>
          <w:szCs w:val="21"/>
          <w:highlight w:val="none"/>
          <w:lang w:eastAsia="zh-CN"/>
        </w:rPr>
        <w:t>三门县</w:t>
      </w:r>
      <w:r>
        <w:rPr>
          <w:rFonts w:hint="eastAsia" w:ascii="Times New Roman" w:hAnsi="Times New Roman"/>
          <w:highlight w:val="none"/>
        </w:rPr>
        <w:t xml:space="preserve">                  </w:t>
      </w:r>
    </w:p>
    <w:p>
      <w:pPr>
        <w:pStyle w:val="34"/>
        <w:spacing w:before="0" w:line="480" w:lineRule="exact"/>
        <w:ind w:firstLine="562" w:firstLineChars="200"/>
        <w:jc w:val="center"/>
        <w:rPr>
          <w:highlight w:val="none"/>
        </w:rPr>
      </w:pPr>
      <w:bookmarkStart w:id="722" w:name="_Toc8305387"/>
      <w:bookmarkStart w:id="723" w:name="_Toc29813"/>
      <w:bookmarkStart w:id="724" w:name="_Toc16521983"/>
      <w:bookmarkStart w:id="725" w:name="_Toc9504"/>
      <w:r>
        <w:rPr>
          <w:rFonts w:hint="eastAsia"/>
          <w:highlight w:val="none"/>
        </w:rPr>
        <w:t>2. 技术规范及标准</w:t>
      </w:r>
      <w:bookmarkEnd w:id="722"/>
      <w:bookmarkEnd w:id="723"/>
      <w:bookmarkEnd w:id="724"/>
      <w:bookmarkEnd w:id="725"/>
    </w:p>
    <w:p>
      <w:pPr>
        <w:spacing w:line="480" w:lineRule="exact"/>
        <w:ind w:firstLine="480" w:firstLineChars="200"/>
        <w:rPr>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pPr>
        <w:pStyle w:val="36"/>
        <w:spacing w:line="480" w:lineRule="exact"/>
        <w:ind w:firstLine="480"/>
        <w:jc w:val="both"/>
        <w:rPr>
          <w:rFonts w:hint="eastAsia" w:cs="宋体"/>
          <w:szCs w:val="20"/>
          <w:highlight w:val="none"/>
        </w:rPr>
      </w:pPr>
      <w:r>
        <w:rPr>
          <w:rFonts w:hint="eastAsia" w:cs="宋体"/>
          <w:szCs w:val="20"/>
          <w:highlight w:val="none"/>
        </w:rPr>
        <w:t>《工程测量标准》GB50026-2020</w:t>
      </w:r>
    </w:p>
    <w:p>
      <w:pPr>
        <w:pStyle w:val="36"/>
        <w:spacing w:line="480" w:lineRule="exact"/>
        <w:ind w:firstLine="480"/>
        <w:jc w:val="both"/>
        <w:rPr>
          <w:rFonts w:hint="eastAsia" w:cs="宋体"/>
          <w:szCs w:val="20"/>
          <w:highlight w:val="none"/>
        </w:rPr>
      </w:pPr>
      <w:r>
        <w:rPr>
          <w:rFonts w:hint="eastAsia" w:cs="宋体"/>
          <w:szCs w:val="20"/>
          <w:highlight w:val="none"/>
        </w:rPr>
        <w:t xml:space="preserve"> 《城镇道路工程施工与质量验收规范》CJJ1-2008</w:t>
      </w:r>
    </w:p>
    <w:p>
      <w:pPr>
        <w:pStyle w:val="36"/>
        <w:spacing w:line="480" w:lineRule="exact"/>
        <w:ind w:firstLine="480"/>
        <w:jc w:val="both"/>
        <w:rPr>
          <w:rFonts w:hint="eastAsia" w:cs="宋体"/>
          <w:szCs w:val="20"/>
          <w:highlight w:val="none"/>
        </w:rPr>
      </w:pPr>
      <w:r>
        <w:rPr>
          <w:rFonts w:hint="eastAsia" w:cs="宋体"/>
          <w:szCs w:val="20"/>
          <w:highlight w:val="none"/>
        </w:rPr>
        <w:t xml:space="preserve"> 《给水排水管道工程施工及验收规范》GB50268-2008</w:t>
      </w:r>
    </w:p>
    <w:p>
      <w:pPr>
        <w:pStyle w:val="36"/>
        <w:spacing w:line="480" w:lineRule="exact"/>
        <w:ind w:firstLine="480"/>
        <w:jc w:val="both"/>
        <w:rPr>
          <w:rFonts w:hint="eastAsia" w:cs="宋体"/>
          <w:szCs w:val="20"/>
          <w:highlight w:val="none"/>
        </w:rPr>
      </w:pPr>
      <w:r>
        <w:rPr>
          <w:rFonts w:hint="eastAsia" w:cs="宋体"/>
          <w:szCs w:val="20"/>
          <w:highlight w:val="none"/>
        </w:rPr>
        <w:t xml:space="preserve"> 《建筑地面工程施工质量验收规范》GB50209-2002</w:t>
      </w:r>
    </w:p>
    <w:p>
      <w:pPr>
        <w:pStyle w:val="36"/>
        <w:spacing w:line="480" w:lineRule="exact"/>
        <w:ind w:firstLine="480"/>
        <w:jc w:val="both"/>
        <w:rPr>
          <w:rFonts w:hint="eastAsia" w:cs="宋体"/>
          <w:szCs w:val="20"/>
          <w:highlight w:val="none"/>
        </w:rPr>
      </w:pPr>
      <w:r>
        <w:rPr>
          <w:rFonts w:hint="eastAsia" w:cs="宋体"/>
          <w:szCs w:val="20"/>
          <w:highlight w:val="none"/>
        </w:rPr>
        <w:t xml:space="preserve"> 《建筑基坑支护技术规程》JGJ120-2012</w:t>
      </w:r>
    </w:p>
    <w:p>
      <w:pPr>
        <w:pStyle w:val="36"/>
        <w:spacing w:line="480" w:lineRule="exact"/>
        <w:ind w:firstLine="480"/>
        <w:jc w:val="both"/>
        <w:rPr>
          <w:rFonts w:hint="eastAsia" w:cs="宋体"/>
          <w:szCs w:val="20"/>
          <w:highlight w:val="none"/>
        </w:rPr>
      </w:pPr>
      <w:r>
        <w:rPr>
          <w:rFonts w:hint="eastAsia" w:cs="宋体"/>
          <w:szCs w:val="20"/>
          <w:highlight w:val="none"/>
        </w:rPr>
        <w:t xml:space="preserve"> 《建筑地基处理技术规范》JGJ79-2012</w:t>
      </w:r>
    </w:p>
    <w:p>
      <w:pPr>
        <w:pStyle w:val="36"/>
        <w:spacing w:line="480" w:lineRule="exact"/>
        <w:ind w:firstLine="480"/>
        <w:jc w:val="both"/>
        <w:rPr>
          <w:rFonts w:hint="eastAsia" w:cs="宋体"/>
          <w:szCs w:val="20"/>
          <w:highlight w:val="none"/>
        </w:rPr>
      </w:pPr>
      <w:r>
        <w:rPr>
          <w:rFonts w:hint="eastAsia" w:cs="宋体"/>
          <w:szCs w:val="20"/>
          <w:highlight w:val="none"/>
        </w:rPr>
        <w:t xml:space="preserve"> 《混凝土结构工程施工质量验收规范》GB50204-2015</w:t>
      </w:r>
    </w:p>
    <w:p>
      <w:pPr>
        <w:pStyle w:val="36"/>
        <w:spacing w:line="480" w:lineRule="exact"/>
        <w:ind w:firstLine="480"/>
        <w:jc w:val="both"/>
        <w:rPr>
          <w:rFonts w:hint="eastAsia" w:cs="宋体"/>
          <w:szCs w:val="20"/>
          <w:highlight w:val="none"/>
        </w:rPr>
      </w:pPr>
      <w:r>
        <w:rPr>
          <w:rFonts w:hint="eastAsia" w:cs="宋体"/>
          <w:szCs w:val="20"/>
          <w:highlight w:val="none"/>
        </w:rPr>
        <w:t xml:space="preserve"> 《混凝土质量控制标准》GB50164-2011</w:t>
      </w:r>
    </w:p>
    <w:p>
      <w:pPr>
        <w:pStyle w:val="36"/>
        <w:spacing w:line="480" w:lineRule="exact"/>
        <w:ind w:firstLine="480"/>
        <w:jc w:val="both"/>
        <w:rPr>
          <w:rFonts w:hint="eastAsia" w:cs="宋体"/>
          <w:szCs w:val="20"/>
          <w:highlight w:val="none"/>
        </w:rPr>
      </w:pPr>
      <w:r>
        <w:rPr>
          <w:rFonts w:hint="eastAsia" w:cs="宋体"/>
          <w:szCs w:val="20"/>
          <w:highlight w:val="none"/>
        </w:rPr>
        <w:t xml:space="preserve"> 《普通混凝土用砂、石质量及检验方法标准》JGJ52-2006</w:t>
      </w:r>
    </w:p>
    <w:p>
      <w:pPr>
        <w:pStyle w:val="36"/>
        <w:spacing w:line="480" w:lineRule="exact"/>
        <w:ind w:firstLine="480"/>
        <w:jc w:val="both"/>
        <w:rPr>
          <w:rFonts w:hint="eastAsia" w:cs="宋体"/>
          <w:szCs w:val="20"/>
          <w:highlight w:val="none"/>
        </w:rPr>
      </w:pPr>
      <w:r>
        <w:rPr>
          <w:rFonts w:hint="eastAsia" w:cs="宋体"/>
          <w:szCs w:val="20"/>
          <w:highlight w:val="none"/>
        </w:rPr>
        <w:t xml:space="preserve"> 《混凝土外加剂应用技术规范》GB50119-2013</w:t>
      </w:r>
    </w:p>
    <w:p>
      <w:pPr>
        <w:pStyle w:val="36"/>
        <w:spacing w:line="480" w:lineRule="exact"/>
        <w:ind w:firstLine="480"/>
        <w:jc w:val="both"/>
        <w:rPr>
          <w:rFonts w:hint="eastAsia" w:cs="宋体"/>
          <w:szCs w:val="20"/>
          <w:highlight w:val="none"/>
        </w:rPr>
      </w:pPr>
      <w:r>
        <w:rPr>
          <w:rFonts w:hint="eastAsia" w:cs="宋体"/>
          <w:szCs w:val="20"/>
          <w:highlight w:val="none"/>
        </w:rPr>
        <w:t xml:space="preserve"> 《钢筋机械连接技术规程》JGJ107-2016</w:t>
      </w:r>
    </w:p>
    <w:p>
      <w:pPr>
        <w:pStyle w:val="36"/>
        <w:spacing w:line="480" w:lineRule="exact"/>
        <w:ind w:firstLine="480"/>
        <w:jc w:val="both"/>
        <w:rPr>
          <w:rFonts w:hint="eastAsia" w:cs="宋体"/>
          <w:szCs w:val="20"/>
          <w:highlight w:val="none"/>
        </w:rPr>
      </w:pPr>
      <w:r>
        <w:rPr>
          <w:rFonts w:hint="eastAsia" w:cs="宋体"/>
          <w:szCs w:val="20"/>
          <w:highlight w:val="none"/>
        </w:rPr>
        <w:t xml:space="preserve"> 《砌体结构工程施工质量验收规范》GB50203-2011</w:t>
      </w:r>
    </w:p>
    <w:p>
      <w:pPr>
        <w:pStyle w:val="36"/>
        <w:spacing w:line="480" w:lineRule="exact"/>
        <w:ind w:firstLine="480"/>
        <w:jc w:val="both"/>
        <w:rPr>
          <w:rFonts w:hint="eastAsia" w:cs="宋体"/>
          <w:szCs w:val="20"/>
          <w:highlight w:val="none"/>
        </w:rPr>
      </w:pPr>
      <w:r>
        <w:rPr>
          <w:rFonts w:hint="eastAsia" w:cs="宋体"/>
          <w:szCs w:val="20"/>
          <w:highlight w:val="none"/>
        </w:rPr>
        <w:t xml:space="preserve"> 《屋面工程技术规范》GB50345-2012</w:t>
      </w:r>
    </w:p>
    <w:p>
      <w:pPr>
        <w:pStyle w:val="36"/>
        <w:spacing w:line="480" w:lineRule="exact"/>
        <w:ind w:firstLine="480"/>
        <w:jc w:val="both"/>
        <w:rPr>
          <w:rFonts w:hint="eastAsia" w:cs="宋体"/>
          <w:szCs w:val="20"/>
          <w:highlight w:val="none"/>
        </w:rPr>
      </w:pPr>
      <w:r>
        <w:rPr>
          <w:rFonts w:hint="eastAsia" w:cs="宋体"/>
          <w:szCs w:val="20"/>
          <w:highlight w:val="none"/>
        </w:rPr>
        <w:t xml:space="preserve"> 《建筑钢结构焊接技术规程》JGJ81-2002</w:t>
      </w:r>
    </w:p>
    <w:p>
      <w:pPr>
        <w:pStyle w:val="36"/>
        <w:spacing w:line="480" w:lineRule="exact"/>
        <w:ind w:firstLine="480"/>
        <w:jc w:val="both"/>
        <w:rPr>
          <w:rFonts w:hint="eastAsia" w:cs="宋体"/>
          <w:szCs w:val="20"/>
          <w:highlight w:val="none"/>
        </w:rPr>
      </w:pPr>
      <w:r>
        <w:rPr>
          <w:rFonts w:hint="eastAsia" w:cs="宋体"/>
          <w:szCs w:val="20"/>
          <w:highlight w:val="none"/>
        </w:rPr>
        <w:t xml:space="preserve"> 《冷弯薄壁型钢结构技术规范》GB50018-2002</w:t>
      </w:r>
    </w:p>
    <w:p>
      <w:pPr>
        <w:pStyle w:val="36"/>
        <w:spacing w:line="480" w:lineRule="exact"/>
        <w:ind w:firstLine="480"/>
        <w:jc w:val="both"/>
        <w:rPr>
          <w:rFonts w:hint="eastAsia" w:cs="宋体"/>
          <w:szCs w:val="20"/>
          <w:highlight w:val="none"/>
        </w:rPr>
      </w:pPr>
      <w:r>
        <w:rPr>
          <w:rFonts w:hint="eastAsia" w:cs="宋体"/>
          <w:szCs w:val="20"/>
          <w:highlight w:val="none"/>
        </w:rPr>
        <w:t xml:space="preserve"> 《混凝土结构设计规范》GB50010-2010</w:t>
      </w:r>
    </w:p>
    <w:p>
      <w:pPr>
        <w:pStyle w:val="36"/>
        <w:spacing w:line="480" w:lineRule="exact"/>
        <w:ind w:firstLine="480"/>
        <w:jc w:val="both"/>
        <w:rPr>
          <w:rFonts w:hint="eastAsia" w:cs="宋体"/>
          <w:szCs w:val="20"/>
          <w:highlight w:val="none"/>
        </w:rPr>
      </w:pPr>
      <w:r>
        <w:rPr>
          <w:rFonts w:hint="eastAsia" w:cs="宋体"/>
          <w:szCs w:val="20"/>
          <w:highlight w:val="none"/>
        </w:rPr>
        <w:t xml:space="preserve"> 《钢结构工程施工质量验收标准》GB50205-2020</w:t>
      </w:r>
    </w:p>
    <w:p>
      <w:pPr>
        <w:pStyle w:val="36"/>
        <w:spacing w:line="480" w:lineRule="exact"/>
        <w:ind w:firstLine="480"/>
        <w:jc w:val="both"/>
        <w:rPr>
          <w:rFonts w:hint="eastAsia" w:cs="宋体"/>
          <w:szCs w:val="20"/>
          <w:highlight w:val="none"/>
        </w:rPr>
      </w:pPr>
      <w:r>
        <w:rPr>
          <w:rFonts w:hint="eastAsia" w:cs="宋体"/>
          <w:szCs w:val="20"/>
          <w:highlight w:val="none"/>
        </w:rPr>
        <w:t xml:space="preserve"> 《钢结构防火涂料应用技术规程》CECS24-2020</w:t>
      </w:r>
    </w:p>
    <w:p>
      <w:pPr>
        <w:pStyle w:val="36"/>
        <w:spacing w:line="480" w:lineRule="exact"/>
        <w:ind w:firstLine="480"/>
        <w:jc w:val="both"/>
        <w:rPr>
          <w:rFonts w:hint="eastAsia" w:cs="宋体"/>
          <w:szCs w:val="20"/>
          <w:highlight w:val="none"/>
        </w:rPr>
      </w:pPr>
      <w:r>
        <w:rPr>
          <w:rFonts w:hint="eastAsia" w:cs="宋体"/>
          <w:szCs w:val="20"/>
          <w:highlight w:val="none"/>
        </w:rPr>
        <w:t xml:space="preserve"> 《门式刚架轻型房屋钢结构技术规范》GB51022-2015</w:t>
      </w:r>
    </w:p>
    <w:p>
      <w:pPr>
        <w:pStyle w:val="36"/>
        <w:spacing w:line="480" w:lineRule="exact"/>
        <w:ind w:firstLine="480"/>
        <w:jc w:val="both"/>
        <w:rPr>
          <w:rFonts w:hint="eastAsia" w:cs="宋体"/>
          <w:szCs w:val="20"/>
          <w:highlight w:val="none"/>
        </w:rPr>
      </w:pPr>
      <w:r>
        <w:rPr>
          <w:rFonts w:hint="eastAsia" w:cs="宋体"/>
          <w:szCs w:val="20"/>
          <w:highlight w:val="none"/>
        </w:rPr>
        <w:t xml:space="preserve"> 《钢结构高强度螺栓连接技术规程》JGJ82-2011</w:t>
      </w:r>
    </w:p>
    <w:p>
      <w:pPr>
        <w:pStyle w:val="36"/>
        <w:spacing w:line="480" w:lineRule="exact"/>
        <w:ind w:firstLine="480"/>
        <w:jc w:val="both"/>
        <w:rPr>
          <w:rFonts w:hint="eastAsia" w:cs="宋体"/>
          <w:szCs w:val="20"/>
          <w:highlight w:val="none"/>
        </w:rPr>
      </w:pPr>
      <w:r>
        <w:rPr>
          <w:rFonts w:hint="eastAsia" w:cs="宋体"/>
          <w:szCs w:val="20"/>
          <w:highlight w:val="none"/>
        </w:rPr>
        <w:t xml:space="preserve"> 《涂装前钢材表面锈蚀等级和除锈等级》GB8923.1-2011</w:t>
      </w:r>
    </w:p>
    <w:p>
      <w:pPr>
        <w:pStyle w:val="36"/>
        <w:spacing w:line="480" w:lineRule="exact"/>
        <w:ind w:firstLine="480"/>
        <w:jc w:val="both"/>
        <w:rPr>
          <w:rFonts w:hint="eastAsia" w:cs="宋体"/>
          <w:szCs w:val="20"/>
          <w:highlight w:val="none"/>
        </w:rPr>
      </w:pPr>
      <w:r>
        <w:rPr>
          <w:rFonts w:hint="eastAsia" w:cs="宋体"/>
          <w:szCs w:val="20"/>
          <w:highlight w:val="none"/>
        </w:rPr>
        <w:t xml:space="preserve"> 《施工现场临时用电安全技术规范》JGJ46-2005</w:t>
      </w:r>
    </w:p>
    <w:p>
      <w:pPr>
        <w:pStyle w:val="36"/>
        <w:spacing w:line="480" w:lineRule="exact"/>
        <w:ind w:firstLine="480"/>
        <w:jc w:val="both"/>
        <w:rPr>
          <w:rFonts w:hint="eastAsia" w:cs="宋体"/>
          <w:szCs w:val="20"/>
          <w:highlight w:val="none"/>
        </w:rPr>
      </w:pPr>
      <w:r>
        <w:rPr>
          <w:rFonts w:hint="eastAsia" w:cs="宋体"/>
          <w:szCs w:val="20"/>
          <w:highlight w:val="none"/>
        </w:rPr>
        <w:t xml:space="preserve"> 《建筑施工高处作业安全技术规范》JGJ80-2016</w:t>
      </w:r>
    </w:p>
    <w:p>
      <w:pPr>
        <w:pStyle w:val="36"/>
        <w:spacing w:line="480" w:lineRule="exact"/>
        <w:ind w:firstLine="480"/>
        <w:jc w:val="both"/>
        <w:rPr>
          <w:rFonts w:hint="eastAsia" w:cs="宋体"/>
          <w:szCs w:val="20"/>
          <w:highlight w:val="none"/>
        </w:rPr>
      </w:pPr>
      <w:r>
        <w:rPr>
          <w:rFonts w:hint="eastAsia" w:cs="宋体"/>
          <w:szCs w:val="20"/>
          <w:highlight w:val="none"/>
        </w:rPr>
        <w:t xml:space="preserve"> 《建筑机械使用安全技术规程》JGJ33-2012</w:t>
      </w:r>
    </w:p>
    <w:p>
      <w:pPr>
        <w:pStyle w:val="36"/>
        <w:spacing w:line="480" w:lineRule="exact"/>
        <w:ind w:firstLine="480"/>
        <w:jc w:val="both"/>
        <w:rPr>
          <w:rFonts w:hint="eastAsia" w:cs="宋体"/>
          <w:szCs w:val="20"/>
          <w:highlight w:val="none"/>
        </w:rPr>
      </w:pPr>
      <w:r>
        <w:rPr>
          <w:rFonts w:hint="eastAsia" w:cs="宋体"/>
          <w:szCs w:val="20"/>
          <w:highlight w:val="none"/>
        </w:rPr>
        <w:t xml:space="preserve"> 《建筑内部装修设计防火规范》GB50222-2017</w:t>
      </w:r>
    </w:p>
    <w:p>
      <w:pPr>
        <w:pStyle w:val="36"/>
        <w:spacing w:line="480" w:lineRule="exact"/>
        <w:ind w:firstLine="480"/>
        <w:jc w:val="both"/>
        <w:rPr>
          <w:rFonts w:hint="eastAsia" w:cs="宋体"/>
          <w:szCs w:val="20"/>
          <w:highlight w:val="none"/>
        </w:rPr>
      </w:pPr>
      <w:r>
        <w:rPr>
          <w:rFonts w:hint="eastAsia" w:cs="宋体"/>
          <w:szCs w:val="20"/>
          <w:highlight w:val="none"/>
        </w:rPr>
        <w:t xml:space="preserve"> 《建筑装饰装修工程质量验收标准》GB50210-2018</w:t>
      </w:r>
    </w:p>
    <w:p>
      <w:pPr>
        <w:pStyle w:val="36"/>
        <w:spacing w:line="480" w:lineRule="exact"/>
        <w:ind w:firstLine="480"/>
        <w:jc w:val="both"/>
        <w:rPr>
          <w:rFonts w:hint="eastAsia" w:cs="宋体"/>
          <w:szCs w:val="20"/>
          <w:highlight w:val="none"/>
        </w:rPr>
      </w:pPr>
      <w:r>
        <w:rPr>
          <w:rFonts w:hint="eastAsia" w:cs="宋体"/>
          <w:szCs w:val="20"/>
          <w:highlight w:val="none"/>
        </w:rPr>
        <w:t xml:space="preserve">《民用建筑工程室内环境污染控制标准》GB50325-2020 </w:t>
      </w:r>
    </w:p>
    <w:p>
      <w:pPr>
        <w:pStyle w:val="36"/>
        <w:spacing w:line="480" w:lineRule="exact"/>
        <w:ind w:firstLine="480"/>
        <w:jc w:val="both"/>
        <w:rPr>
          <w:rFonts w:hint="eastAsia" w:cs="宋体"/>
          <w:szCs w:val="20"/>
          <w:highlight w:val="none"/>
        </w:rPr>
      </w:pPr>
      <w:r>
        <w:rPr>
          <w:rFonts w:hint="eastAsia" w:cs="宋体"/>
          <w:szCs w:val="20"/>
          <w:highlight w:val="none"/>
        </w:rPr>
        <w:t xml:space="preserve">《采暖通风与空气调节设计规范》GBJ19-2003 </w:t>
      </w:r>
    </w:p>
    <w:p>
      <w:pPr>
        <w:pStyle w:val="36"/>
        <w:spacing w:line="480" w:lineRule="exact"/>
        <w:ind w:firstLine="480"/>
        <w:jc w:val="both"/>
        <w:rPr>
          <w:rFonts w:hint="eastAsia" w:cs="宋体"/>
          <w:szCs w:val="20"/>
          <w:highlight w:val="none"/>
        </w:rPr>
      </w:pPr>
      <w:r>
        <w:rPr>
          <w:rFonts w:hint="eastAsia" w:cs="宋体"/>
          <w:szCs w:val="20"/>
          <w:highlight w:val="none"/>
        </w:rPr>
        <w:t xml:space="preserve">《建筑电气工程施工质量验收规范》GB50303-2015 </w:t>
      </w:r>
    </w:p>
    <w:p>
      <w:pPr>
        <w:pStyle w:val="36"/>
        <w:spacing w:line="480" w:lineRule="exact"/>
        <w:ind w:firstLine="480"/>
        <w:jc w:val="both"/>
        <w:rPr>
          <w:rFonts w:hint="eastAsia" w:cs="宋体"/>
          <w:szCs w:val="20"/>
          <w:highlight w:val="none"/>
        </w:rPr>
      </w:pPr>
      <w:r>
        <w:rPr>
          <w:rFonts w:hint="eastAsia" w:cs="宋体"/>
          <w:szCs w:val="20"/>
          <w:highlight w:val="none"/>
        </w:rPr>
        <w:t xml:space="preserve">《建筑给水排水及采暖施工质量验收规程》GB50242-2002 </w:t>
      </w:r>
    </w:p>
    <w:p>
      <w:pPr>
        <w:pStyle w:val="36"/>
        <w:spacing w:line="480" w:lineRule="exact"/>
        <w:ind w:firstLine="480"/>
        <w:jc w:val="both"/>
        <w:rPr>
          <w:rFonts w:hint="eastAsia" w:cs="宋体"/>
          <w:szCs w:val="20"/>
          <w:highlight w:val="none"/>
        </w:rPr>
      </w:pPr>
      <w:r>
        <w:rPr>
          <w:rFonts w:hint="eastAsia" w:cs="宋体"/>
          <w:szCs w:val="20"/>
          <w:highlight w:val="none"/>
        </w:rPr>
        <w:t xml:space="preserve">《通风与空调工程施工质量验收规范》GB50243-2016 </w:t>
      </w:r>
    </w:p>
    <w:p>
      <w:pPr>
        <w:pStyle w:val="36"/>
        <w:spacing w:line="480" w:lineRule="exact"/>
        <w:ind w:firstLine="480"/>
        <w:jc w:val="both"/>
        <w:rPr>
          <w:rFonts w:hint="eastAsia" w:cs="宋体"/>
          <w:szCs w:val="20"/>
          <w:highlight w:val="none"/>
        </w:rPr>
      </w:pPr>
      <w:r>
        <w:rPr>
          <w:rFonts w:hint="eastAsia" w:cs="宋体"/>
          <w:szCs w:val="20"/>
          <w:highlight w:val="none"/>
        </w:rPr>
        <w:t xml:space="preserve">《火灾自动报警系统设计规范》GB50116-2013 </w:t>
      </w:r>
    </w:p>
    <w:p>
      <w:pPr>
        <w:pStyle w:val="36"/>
        <w:spacing w:line="480" w:lineRule="exact"/>
        <w:ind w:firstLine="480"/>
        <w:jc w:val="both"/>
        <w:rPr>
          <w:rFonts w:hint="eastAsia" w:cs="宋体"/>
          <w:szCs w:val="20"/>
          <w:highlight w:val="none"/>
        </w:rPr>
      </w:pPr>
      <w:r>
        <w:rPr>
          <w:rFonts w:hint="eastAsia" w:cs="宋体"/>
          <w:szCs w:val="20"/>
          <w:highlight w:val="none"/>
        </w:rPr>
        <w:t xml:space="preserve">《火灾自动报警系统施工及验收标准》GB 50166-2019 </w:t>
      </w:r>
    </w:p>
    <w:p>
      <w:pPr>
        <w:pStyle w:val="36"/>
        <w:spacing w:line="480" w:lineRule="exact"/>
        <w:ind w:firstLine="480"/>
        <w:jc w:val="both"/>
        <w:rPr>
          <w:rFonts w:hint="eastAsia" w:cs="宋体"/>
          <w:szCs w:val="20"/>
          <w:highlight w:val="none"/>
        </w:rPr>
      </w:pPr>
      <w:r>
        <w:rPr>
          <w:rFonts w:hint="eastAsia" w:cs="宋体"/>
          <w:szCs w:val="20"/>
          <w:highlight w:val="none"/>
        </w:rPr>
        <w:t xml:space="preserve">《自动喷水灭火系统施工及验收规范》GB 50261-2017 </w:t>
      </w:r>
    </w:p>
    <w:p>
      <w:pPr>
        <w:pStyle w:val="36"/>
        <w:spacing w:line="480" w:lineRule="exact"/>
        <w:ind w:firstLine="480"/>
        <w:jc w:val="both"/>
        <w:rPr>
          <w:rFonts w:hint="eastAsia" w:cs="宋体"/>
          <w:szCs w:val="20"/>
          <w:highlight w:val="none"/>
        </w:rPr>
      </w:pPr>
      <w:r>
        <w:rPr>
          <w:rFonts w:hint="eastAsia" w:cs="宋体"/>
          <w:szCs w:val="20"/>
          <w:highlight w:val="none"/>
        </w:rPr>
        <w:t xml:space="preserve">《浙江省园林绿化工程施工质量验收规范》 </w:t>
      </w:r>
    </w:p>
    <w:p>
      <w:pPr>
        <w:pStyle w:val="36"/>
        <w:spacing w:line="480" w:lineRule="exact"/>
        <w:ind w:firstLine="480"/>
        <w:jc w:val="both"/>
        <w:rPr>
          <w:rFonts w:hint="eastAsia" w:cs="宋体"/>
          <w:szCs w:val="20"/>
          <w:highlight w:val="none"/>
        </w:rPr>
      </w:pPr>
      <w:r>
        <w:rPr>
          <w:rFonts w:hint="eastAsia" w:cs="宋体"/>
          <w:szCs w:val="20"/>
          <w:highlight w:val="none"/>
        </w:rPr>
        <w:t>《浙江省园林绿化技术规程(试行)》DB33/T1009-2001、DB33/T1009.1-2001</w:t>
      </w:r>
    </w:p>
    <w:p>
      <w:pPr>
        <w:pStyle w:val="36"/>
        <w:spacing w:line="480" w:lineRule="exact"/>
        <w:ind w:firstLine="480"/>
        <w:jc w:val="both"/>
        <w:rPr>
          <w:rFonts w:hint="eastAsia" w:cs="宋体"/>
          <w:szCs w:val="20"/>
          <w:highlight w:val="none"/>
        </w:rPr>
      </w:pPr>
      <w:r>
        <w:rPr>
          <w:rFonts w:hint="eastAsia" w:cs="宋体"/>
          <w:szCs w:val="20"/>
          <w:highlight w:val="none"/>
        </w:rPr>
        <w:t>……</w:t>
      </w:r>
    </w:p>
    <w:p>
      <w:pPr>
        <w:pStyle w:val="36"/>
        <w:spacing w:line="480" w:lineRule="exact"/>
        <w:ind w:firstLine="480"/>
        <w:jc w:val="both"/>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pPr>
        <w:pStyle w:val="34"/>
        <w:spacing w:before="0" w:line="480" w:lineRule="exact"/>
        <w:ind w:firstLine="562" w:firstLineChars="200"/>
        <w:jc w:val="center"/>
        <w:rPr>
          <w:highlight w:val="none"/>
        </w:rPr>
      </w:pPr>
      <w:bookmarkStart w:id="726" w:name="_Toc20876"/>
      <w:bookmarkStart w:id="727" w:name="_Toc8305388"/>
      <w:bookmarkStart w:id="728" w:name="_Toc16521984"/>
      <w:bookmarkStart w:id="729" w:name="_Toc14593"/>
      <w:r>
        <w:rPr>
          <w:rFonts w:hint="eastAsia"/>
          <w:highlight w:val="none"/>
        </w:rPr>
        <w:t>3</w:t>
      </w:r>
      <w:r>
        <w:rPr>
          <w:highlight w:val="none"/>
        </w:rPr>
        <w:t>．材料质量要求</w:t>
      </w:r>
      <w:bookmarkEnd w:id="726"/>
      <w:bookmarkEnd w:id="727"/>
      <w:bookmarkEnd w:id="728"/>
      <w:bookmarkEnd w:id="729"/>
    </w:p>
    <w:p>
      <w:pPr>
        <w:pStyle w:val="36"/>
        <w:spacing w:line="480" w:lineRule="exact"/>
        <w:ind w:firstLine="480"/>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pPr>
        <w:pStyle w:val="36"/>
        <w:spacing w:line="480" w:lineRule="exact"/>
        <w:ind w:firstLine="480"/>
        <w:jc w:val="both"/>
        <w:rPr>
          <w:rFonts w:ascii="Times New Roman" w:hAnsi="Times New Roman" w:cs="Arial"/>
          <w:highlight w:val="none"/>
        </w:rPr>
      </w:pPr>
      <w:r>
        <w:rPr>
          <w:rFonts w:hint="eastAsia" w:ascii="Times New Roman" w:hAnsi="Times New Roman"/>
          <w:highlight w:val="none"/>
        </w:rPr>
        <w:t>（1）</w:t>
      </w:r>
      <w:r>
        <w:rPr>
          <w:rFonts w:ascii="Times New Roman" w:hAnsi="Times New Roman" w:cs="Arial"/>
          <w:highlight w:val="none"/>
        </w:rPr>
        <w:t>本章节附件为</w:t>
      </w:r>
      <w:r>
        <w:rPr>
          <w:rFonts w:hint="eastAsia" w:ascii="宋体" w:hAnsi="宋体" w:cs="Arial"/>
          <w:highlight w:val="none"/>
        </w:rPr>
        <w:t>“</w:t>
      </w:r>
      <w:r>
        <w:rPr>
          <w:rFonts w:ascii="宋体" w:hAnsi="宋体" w:cs="Arial"/>
          <w:highlight w:val="none"/>
        </w:rPr>
        <w:t>主要设备材料备选品牌一览表”</w:t>
      </w:r>
      <w:r>
        <w:rPr>
          <w:rFonts w:ascii="Times New Roman" w:hAnsi="Times New Roman" w:cs="Arial"/>
          <w:highlight w:val="none"/>
        </w:rPr>
        <w:t>，投标人在投标时必须按表中所列的备选品牌之一进行报价。</w:t>
      </w:r>
    </w:p>
    <w:p>
      <w:pPr>
        <w:pStyle w:val="36"/>
        <w:spacing w:line="480" w:lineRule="exact"/>
        <w:ind w:firstLine="480"/>
        <w:jc w:val="both"/>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6"/>
        <w:spacing w:line="480" w:lineRule="exact"/>
        <w:ind w:firstLine="480"/>
        <w:jc w:val="both"/>
        <w:rPr>
          <w:rFonts w:ascii="Times New Roman" w:hAnsi="Times New Roman"/>
          <w:highlight w:val="none"/>
        </w:rPr>
      </w:pPr>
      <w:r>
        <w:rPr>
          <w:rFonts w:hint="eastAsia" w:ascii="Times New Roman" w:hAnsi="Times New Roman"/>
          <w:highlight w:val="none"/>
        </w:rPr>
        <w:t xml:space="preserve">3.2 </w:t>
      </w:r>
      <w:r>
        <w:rPr>
          <w:rFonts w:ascii="Times New Roman" w:hAnsi="Times New Roman"/>
          <w:highlight w:val="none"/>
        </w:rPr>
        <w:t>材料的质量保证</w:t>
      </w:r>
    </w:p>
    <w:p>
      <w:pPr>
        <w:pStyle w:val="36"/>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pPr>
        <w:pStyle w:val="36"/>
        <w:spacing w:line="480" w:lineRule="exact"/>
        <w:ind w:firstLine="480"/>
        <w:jc w:val="both"/>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pPr>
        <w:pStyle w:val="36"/>
        <w:spacing w:line="480" w:lineRule="exact"/>
        <w:ind w:firstLine="480"/>
        <w:jc w:val="both"/>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pPr>
        <w:pStyle w:val="36"/>
        <w:spacing w:line="480" w:lineRule="exact"/>
        <w:ind w:firstLine="480"/>
        <w:jc w:val="both"/>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pPr>
        <w:pStyle w:val="36"/>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pPr>
        <w:pStyle w:val="36"/>
        <w:spacing w:line="480" w:lineRule="exact"/>
        <w:ind w:firstLine="480"/>
        <w:jc w:val="both"/>
        <w:rPr>
          <w:rFonts w:ascii="Times New Roman" w:hAnsi="Times New Roman"/>
          <w:szCs w:val="28"/>
          <w:highlight w:val="none"/>
        </w:rPr>
      </w:pPr>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p>
    <w:p>
      <w:pPr>
        <w:pStyle w:val="34"/>
        <w:spacing w:before="0" w:line="480" w:lineRule="exact"/>
        <w:ind w:firstLine="562" w:firstLineChars="200"/>
        <w:jc w:val="center"/>
        <w:rPr>
          <w:highlight w:val="none"/>
        </w:rPr>
      </w:pPr>
      <w:bookmarkStart w:id="730" w:name="_Toc26660"/>
      <w:bookmarkStart w:id="731" w:name="_Toc14434"/>
      <w:bookmarkStart w:id="732" w:name="_Toc8305389"/>
      <w:bookmarkStart w:id="733" w:name="_Toc16521985"/>
      <w:r>
        <w:rPr>
          <w:rFonts w:hint="eastAsia"/>
          <w:highlight w:val="none"/>
        </w:rPr>
        <w:t>4</w:t>
      </w:r>
      <w:r>
        <w:rPr>
          <w:highlight w:val="none"/>
        </w:rPr>
        <w:t>．工程管理的要求</w:t>
      </w:r>
      <w:bookmarkEnd w:id="730"/>
      <w:bookmarkEnd w:id="731"/>
      <w:bookmarkEnd w:id="732"/>
      <w:bookmarkEnd w:id="733"/>
    </w:p>
    <w:p>
      <w:pPr>
        <w:pStyle w:val="36"/>
        <w:spacing w:line="480" w:lineRule="exact"/>
        <w:ind w:firstLine="480"/>
        <w:jc w:val="both"/>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pPr>
        <w:pStyle w:val="36"/>
        <w:spacing w:line="480" w:lineRule="exact"/>
        <w:ind w:firstLine="480"/>
        <w:jc w:val="both"/>
        <w:rPr>
          <w:rFonts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bookmarkEnd w:id="716"/>
    <w:bookmarkEnd w:id="717"/>
    <w:bookmarkEnd w:id="718"/>
    <w:bookmarkEnd w:id="719"/>
    <w:bookmarkEnd w:id="720"/>
    <w:bookmarkEnd w:id="721"/>
    <w:p>
      <w:pPr>
        <w:pStyle w:val="34"/>
        <w:spacing w:before="0" w:line="480" w:lineRule="exact"/>
        <w:ind w:firstLine="562" w:firstLineChars="200"/>
        <w:jc w:val="center"/>
        <w:rPr>
          <w:highlight w:val="none"/>
        </w:rPr>
        <w:sectPr>
          <w:footerReference r:id="rId7" w:type="default"/>
          <w:pgSz w:w="11906" w:h="16838"/>
          <w:pgMar w:top="1440" w:right="1400" w:bottom="1440" w:left="1400" w:header="851" w:footer="992" w:gutter="0"/>
          <w:cols w:space="0" w:num="1"/>
          <w:docGrid w:linePitch="312" w:charSpace="0"/>
        </w:sectPr>
      </w:pPr>
      <w:bookmarkStart w:id="734" w:name="_Toc14581"/>
      <w:bookmarkStart w:id="735" w:name="_Toc394573961"/>
      <w:bookmarkStart w:id="736" w:name="_Toc372899891"/>
      <w:bookmarkStart w:id="737" w:name="_Toc288556317"/>
      <w:bookmarkStart w:id="738" w:name="_Toc8305390"/>
      <w:bookmarkStart w:id="739" w:name="_Toc283976564"/>
      <w:bookmarkStart w:id="740" w:name="_Toc282596329"/>
      <w:bookmarkStart w:id="741" w:name="_Toc283886274"/>
      <w:bookmarkStart w:id="742" w:name="_Toc16521986"/>
      <w:bookmarkStart w:id="743" w:name="_Toc229990374"/>
      <w:bookmarkStart w:id="744" w:name="_Toc8031"/>
      <w:r>
        <w:rPr>
          <w:highlight w:val="none"/>
        </w:rPr>
        <w:t>5．其他</w:t>
      </w:r>
      <w:bookmarkEnd w:id="734"/>
      <w:bookmarkEnd w:id="735"/>
      <w:bookmarkEnd w:id="736"/>
      <w:bookmarkEnd w:id="737"/>
      <w:bookmarkEnd w:id="738"/>
      <w:bookmarkEnd w:id="739"/>
      <w:bookmarkEnd w:id="740"/>
      <w:bookmarkEnd w:id="741"/>
      <w:bookmarkEnd w:id="742"/>
      <w:bookmarkEnd w:id="743"/>
      <w:bookmarkEnd w:id="744"/>
    </w:p>
    <w:p>
      <w:pPr>
        <w:rPr>
          <w:b/>
          <w:highlight w:val="none"/>
        </w:rPr>
      </w:pPr>
      <w:bookmarkStart w:id="745" w:name="_Toc149922258"/>
      <w:bookmarkStart w:id="746" w:name="_Toc151471707"/>
      <w:bookmarkStart w:id="747" w:name="_Toc4130"/>
      <w:bookmarkStart w:id="748" w:name="_Toc372899892"/>
      <w:bookmarkStart w:id="749" w:name="_Toc283976565"/>
      <w:bookmarkStart w:id="750" w:name="_Toc16521987"/>
      <w:bookmarkStart w:id="751" w:name="_Toc282596330"/>
      <w:bookmarkStart w:id="752" w:name="_Toc283886275"/>
      <w:bookmarkStart w:id="753" w:name="_Toc288556318"/>
      <w:bookmarkStart w:id="754" w:name="_Toc394573962"/>
      <w:bookmarkStart w:id="755" w:name="_Toc8305391"/>
      <w:bookmarkStart w:id="756" w:name="_Toc229990375"/>
      <w:r>
        <w:rPr>
          <w:b/>
          <w:highlight w:val="none"/>
        </w:rPr>
        <w:t>附件：主要设备材料备选品牌一览表</w:t>
      </w:r>
      <w:bookmarkEnd w:id="745"/>
      <w:bookmarkEnd w:id="746"/>
    </w:p>
    <w:bookmarkEnd w:id="747"/>
    <w:bookmarkEnd w:id="748"/>
    <w:bookmarkEnd w:id="749"/>
    <w:bookmarkEnd w:id="750"/>
    <w:bookmarkEnd w:id="751"/>
    <w:bookmarkEnd w:id="752"/>
    <w:bookmarkEnd w:id="753"/>
    <w:bookmarkEnd w:id="754"/>
    <w:bookmarkEnd w:id="755"/>
    <w:bookmarkEnd w:id="756"/>
    <w:tbl>
      <w:tblPr>
        <w:tblStyle w:val="22"/>
        <w:tblW w:w="8960" w:type="dxa"/>
        <w:tblInd w:w="93" w:type="dxa"/>
        <w:tblLayout w:type="autofit"/>
        <w:tblCellMar>
          <w:top w:w="0" w:type="dxa"/>
          <w:left w:w="108" w:type="dxa"/>
          <w:bottom w:w="0" w:type="dxa"/>
          <w:right w:w="108" w:type="dxa"/>
        </w:tblCellMar>
      </w:tblPr>
      <w:tblGrid>
        <w:gridCol w:w="580"/>
        <w:gridCol w:w="2960"/>
        <w:gridCol w:w="4240"/>
        <w:gridCol w:w="1180"/>
      </w:tblGrid>
      <w:tr>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pPr>
              <w:widowControl/>
              <w:autoSpaceDE/>
              <w:autoSpaceDN/>
              <w:adjustRightInd/>
              <w:jc w:val="center"/>
              <w:rPr>
                <w:rFonts w:cs="宋体" w:asciiTheme="minorEastAsia" w:hAnsiTheme="minorEastAsia" w:eastAsiaTheme="minorEastAsia"/>
                <w:b/>
                <w:bCs/>
                <w:sz w:val="36"/>
                <w:szCs w:val="36"/>
                <w:highlight w:val="none"/>
              </w:rPr>
            </w:pPr>
            <w:bookmarkStart w:id="757" w:name="_Toc45697247"/>
            <w:r>
              <w:rPr>
                <w:rFonts w:hint="eastAsia" w:cs="宋体" w:asciiTheme="minorEastAsia" w:hAnsiTheme="minorEastAsia" w:eastAsiaTheme="minorEastAsia"/>
                <w:b/>
                <w:bCs/>
                <w:sz w:val="36"/>
                <w:szCs w:val="36"/>
                <w:highlight w:val="none"/>
              </w:rPr>
              <w:t>主材设备材料备选品牌一览表</w:t>
            </w: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highlight w:val="none"/>
              </w:rPr>
            </w:pPr>
            <w:r>
              <w:rPr>
                <w:rFonts w:hint="eastAsia" w:ascii="宋体" w:hAnsi="宋体" w:cs="宋体"/>
                <w:b/>
                <w:bCs/>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highlight w:val="none"/>
              </w:rPr>
            </w:pPr>
            <w:r>
              <w:rPr>
                <w:rFonts w:hint="eastAsia" w:ascii="宋体" w:hAnsi="宋体" w:eastAsia="宋体" w:cs="宋体"/>
                <w:color w:val="auto"/>
                <w:sz w:val="21"/>
                <w:szCs w:val="21"/>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highlight w:val="none"/>
              </w:rPr>
            </w:pPr>
            <w:r>
              <w:rPr>
                <w:rFonts w:hint="eastAsia" w:ascii="宋体" w:hAnsi="宋体" w:eastAsia="宋体" w:cs="宋体"/>
                <w:color w:val="auto"/>
                <w:sz w:val="21"/>
                <w:szCs w:val="21"/>
                <w:highlight w:val="none"/>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highlight w:val="none"/>
              </w:rPr>
            </w:pPr>
            <w:r>
              <w:rPr>
                <w:rFonts w:hint="eastAsia" w:ascii="宋体" w:hAnsi="宋体" w:eastAsia="宋体" w:cs="宋体"/>
                <w:color w:val="auto"/>
                <w:sz w:val="21"/>
                <w:szCs w:val="21"/>
                <w:highlight w:val="none"/>
              </w:rPr>
              <w:t>备用品牌</w:t>
            </w: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bl>
    <w:p>
      <w:pPr>
        <w:spacing w:line="400" w:lineRule="exact"/>
        <w:rPr>
          <w:rFonts w:ascii="Times New Roman" w:hAnsi="Times New Roman"/>
          <w:highlight w:val="none"/>
        </w:rPr>
      </w:pPr>
      <w:r>
        <w:rPr>
          <w:rFonts w:ascii="Times New Roman" w:hAnsi="Times New Roman"/>
          <w:highlight w:val="none"/>
        </w:rPr>
        <w:t>注：1.若某设备材料的品牌与厂家存在同名时，以品牌为先。</w:t>
      </w:r>
    </w:p>
    <w:p>
      <w:pPr>
        <w:spacing w:line="400" w:lineRule="exact"/>
        <w:ind w:firstLine="480" w:firstLineChars="200"/>
        <w:rPr>
          <w:rFonts w:ascii="Times New Roman" w:hAnsi="Times New Roman"/>
          <w:highlight w:val="none"/>
        </w:rPr>
      </w:pPr>
      <w:r>
        <w:rPr>
          <w:rFonts w:ascii="Times New Roman" w:hAnsi="Times New Roman"/>
          <w:highlight w:val="none"/>
        </w:rPr>
        <w:t>2.为了保证主要设备材料“或相当于”具有操作性，主要设备材料备在招标人纪检监察部门的监督下，选品牌按以下方法产生：</w:t>
      </w:r>
    </w:p>
    <w:p>
      <w:pPr>
        <w:spacing w:line="400" w:lineRule="exact"/>
        <w:ind w:left="480" w:leftChars="200"/>
        <w:rPr>
          <w:rFonts w:ascii="Times New Roman" w:hAnsi="Times New Roman"/>
          <w:highlight w:val="none"/>
        </w:rPr>
      </w:pPr>
      <w:r>
        <w:rPr>
          <w:rFonts w:hint="eastAsia" w:ascii="宋体" w:hAnsi="宋体" w:cs="宋体"/>
          <w:highlight w:val="none"/>
        </w:rPr>
        <w:t>①</w:t>
      </w:r>
      <w:r>
        <w:rPr>
          <w:rFonts w:ascii="Times New Roman" w:hAnsi="Times New Roman"/>
          <w:highlight w:val="none"/>
        </w:rPr>
        <w:t>由招标人提供某种设备材料7种及以上推荐品牌；</w:t>
      </w:r>
    </w:p>
    <w:p>
      <w:pPr>
        <w:spacing w:line="400" w:lineRule="exact"/>
        <w:ind w:firstLine="480" w:firstLineChars="200"/>
        <w:rPr>
          <w:rFonts w:ascii="Times New Roman" w:hAnsi="Times New Roman"/>
          <w:highlight w:val="none"/>
        </w:rPr>
      </w:pPr>
      <w:r>
        <w:rPr>
          <w:rFonts w:hint="eastAsia" w:ascii="宋体" w:hAnsi="宋体" w:cs="宋体"/>
          <w:highlight w:val="none"/>
        </w:rPr>
        <w:t>②</w:t>
      </w:r>
      <w:r>
        <w:rPr>
          <w:rFonts w:ascii="Times New Roman" w:hAnsi="Times New Roman"/>
          <w:highlight w:val="none"/>
        </w:rPr>
        <w:t>由招标人选取其中3种直接作为备选品牌，在剩余的推荐品牌中随机抽取2种进入备选品牌，其余作为备用品牌；</w:t>
      </w:r>
    </w:p>
    <w:p>
      <w:pPr>
        <w:spacing w:line="400" w:lineRule="exact"/>
        <w:ind w:firstLine="480" w:firstLineChars="200"/>
        <w:rPr>
          <w:rFonts w:ascii="Times New Roman" w:hAnsi="Times New Roman"/>
          <w:highlight w:val="none"/>
        </w:rPr>
      </w:pPr>
      <w:r>
        <w:rPr>
          <w:rFonts w:hint="eastAsia" w:ascii="宋体" w:hAnsi="宋体" w:cs="宋体"/>
          <w:highlight w:val="none"/>
        </w:rPr>
        <w:t>③</w:t>
      </w:r>
      <w:r>
        <w:rPr>
          <w:rFonts w:ascii="Times New Roman" w:hAnsi="Times New Roman"/>
          <w:highlight w:val="none"/>
        </w:rPr>
        <w:t>当以上备选品牌的实际购买价明显高于市场价时，中标人可向招标人提出申请采用备用品牌，情况属实的，招标人应同意将备用品牌增补为备选品牌。</w:t>
      </w:r>
    </w:p>
    <w:p>
      <w:pPr>
        <w:pStyle w:val="2"/>
        <w:rPr>
          <w:bCs w:val="0"/>
          <w:highlight w:val="none"/>
        </w:rPr>
      </w:pPr>
    </w:p>
    <w:p>
      <w:pPr>
        <w:pStyle w:val="9"/>
        <w:ind w:left="0" w:leftChars="0" w:firstLine="0" w:firstLineChars="0"/>
        <w:rPr>
          <w:rFonts w:ascii="Times New Roman" w:hAnsi="Times New Roman" w:eastAsia="黑体"/>
          <w:kern w:val="44"/>
          <w:sz w:val="44"/>
          <w:szCs w:val="44"/>
          <w:highlight w:val="none"/>
        </w:rPr>
      </w:pPr>
    </w:p>
    <w:p>
      <w:pPr>
        <w:pStyle w:val="8"/>
        <w:ind w:left="0" w:leftChars="0" w:firstLine="0" w:firstLineChars="0"/>
        <w:rPr>
          <w:rFonts w:ascii="Times New Roman" w:hAnsi="Times New Roman" w:eastAsia="黑体"/>
          <w:kern w:val="44"/>
          <w:sz w:val="44"/>
          <w:szCs w:val="44"/>
          <w:highlight w:val="none"/>
        </w:rPr>
      </w:pPr>
    </w:p>
    <w:p>
      <w:pPr>
        <w:pStyle w:val="9"/>
        <w:rPr>
          <w:highlight w:val="none"/>
        </w:rPr>
      </w:pPr>
    </w:p>
    <w:p>
      <w:pPr>
        <w:pStyle w:val="2"/>
        <w:rPr>
          <w:highlight w:val="none"/>
        </w:rPr>
      </w:pPr>
      <w:bookmarkStart w:id="758" w:name="_Toc5753"/>
      <w:r>
        <w:rPr>
          <w:rFonts w:hint="eastAsia"/>
          <w:bCs w:val="0"/>
          <w:highlight w:val="none"/>
        </w:rPr>
        <w:t>第八章</w:t>
      </w:r>
      <w:r>
        <w:rPr>
          <w:bCs w:val="0"/>
          <w:highlight w:val="none"/>
        </w:rPr>
        <w:t xml:space="preserve">  </w:t>
      </w:r>
      <w:r>
        <w:rPr>
          <w:rFonts w:hint="eastAsia"/>
          <w:bCs w:val="0"/>
          <w:highlight w:val="none"/>
        </w:rPr>
        <w:t>投标文件格式</w:t>
      </w:r>
      <w:bookmarkEnd w:id="757"/>
      <w:bookmarkEnd w:id="758"/>
    </w:p>
    <w:p>
      <w:pPr>
        <w:pStyle w:val="12"/>
        <w:spacing w:line="360" w:lineRule="auto"/>
        <w:ind w:firstLine="602"/>
        <w:jc w:val="center"/>
        <w:rPr>
          <w:b/>
          <w:bCs/>
          <w:sz w:val="30"/>
          <w:highlight w:val="none"/>
        </w:rPr>
      </w:pPr>
    </w:p>
    <w:p>
      <w:pPr>
        <w:pStyle w:val="12"/>
        <w:spacing w:line="360" w:lineRule="auto"/>
        <w:jc w:val="center"/>
        <w:rPr>
          <w:b/>
          <w:bCs/>
          <w:sz w:val="36"/>
          <w:szCs w:val="36"/>
          <w:highlight w:val="none"/>
        </w:rPr>
      </w:pPr>
      <w:r>
        <w:rPr>
          <w:rFonts w:hint="eastAsia"/>
          <w:b/>
          <w:bCs/>
          <w:sz w:val="36"/>
          <w:szCs w:val="36"/>
          <w:highlight w:val="none"/>
        </w:rPr>
        <w:t>目</w:t>
      </w:r>
      <w:r>
        <w:rPr>
          <w:b/>
          <w:bCs/>
          <w:sz w:val="36"/>
          <w:szCs w:val="36"/>
          <w:highlight w:val="none"/>
        </w:rPr>
        <w:t xml:space="preserve">    </w:t>
      </w:r>
      <w:r>
        <w:rPr>
          <w:rFonts w:hint="eastAsia"/>
          <w:b/>
          <w:bCs/>
          <w:sz w:val="36"/>
          <w:szCs w:val="36"/>
          <w:highlight w:val="none"/>
        </w:rPr>
        <w:t>录</w:t>
      </w:r>
    </w:p>
    <w:p>
      <w:pPr>
        <w:spacing w:line="540" w:lineRule="exact"/>
        <w:ind w:firstLine="480" w:firstLineChars="200"/>
        <w:rPr>
          <w:highlight w:val="none"/>
        </w:rPr>
      </w:pPr>
      <w:r>
        <w:rPr>
          <w:rFonts w:hint="eastAsia"/>
          <w:highlight w:val="none"/>
        </w:rPr>
        <w:t>一、项目负责人简历表</w:t>
      </w:r>
    </w:p>
    <w:p>
      <w:pPr>
        <w:spacing w:line="540" w:lineRule="exact"/>
        <w:ind w:firstLine="480" w:firstLineChars="200"/>
        <w:rPr>
          <w:highlight w:val="none"/>
        </w:rPr>
      </w:pPr>
      <w:r>
        <w:rPr>
          <w:rFonts w:hint="eastAsia"/>
          <w:highlight w:val="none"/>
        </w:rPr>
        <w:t>二、技术负责人简历表</w:t>
      </w:r>
    </w:p>
    <w:p>
      <w:pPr>
        <w:spacing w:line="540" w:lineRule="exact"/>
        <w:ind w:firstLine="480" w:firstLineChars="200"/>
        <w:rPr>
          <w:highlight w:val="none"/>
        </w:rPr>
      </w:pPr>
      <w:r>
        <w:rPr>
          <w:rFonts w:hint="eastAsia"/>
          <w:highlight w:val="none"/>
        </w:rPr>
        <w:t>三、主要施工机械设备表</w:t>
      </w:r>
    </w:p>
    <w:p>
      <w:pPr>
        <w:spacing w:line="540" w:lineRule="exact"/>
        <w:ind w:firstLine="480" w:firstLineChars="200"/>
        <w:rPr>
          <w:highlight w:val="none"/>
        </w:rPr>
      </w:pPr>
      <w:r>
        <w:rPr>
          <w:rFonts w:hint="eastAsia"/>
          <w:highlight w:val="none"/>
        </w:rPr>
        <w:t>四、台州市建设工程投标人资格自查表</w:t>
      </w:r>
    </w:p>
    <w:p>
      <w:pPr>
        <w:spacing w:line="540" w:lineRule="exact"/>
        <w:ind w:firstLine="480" w:firstLineChars="200"/>
        <w:rPr>
          <w:highlight w:val="none"/>
        </w:rPr>
      </w:pPr>
      <w:r>
        <w:rPr>
          <w:rFonts w:hint="eastAsia"/>
          <w:highlight w:val="none"/>
        </w:rPr>
        <w:t>五、台州市建设工程投标项目负责人资格自查表</w:t>
      </w:r>
    </w:p>
    <w:p>
      <w:pPr>
        <w:spacing w:line="540" w:lineRule="exact"/>
        <w:ind w:firstLine="480" w:firstLineChars="200"/>
        <w:rPr>
          <w:highlight w:val="none"/>
        </w:rPr>
      </w:pPr>
      <w:r>
        <w:rPr>
          <w:rFonts w:hint="eastAsia"/>
          <w:highlight w:val="none"/>
        </w:rPr>
        <w:t>六、台州市建设工程投标人及项目负责人资信分自查表</w:t>
      </w:r>
    </w:p>
    <w:p>
      <w:pPr>
        <w:spacing w:line="540" w:lineRule="exact"/>
        <w:ind w:firstLine="480" w:firstLineChars="200"/>
        <w:rPr>
          <w:highlight w:val="none"/>
        </w:rPr>
      </w:pPr>
      <w:r>
        <w:rPr>
          <w:rFonts w:hint="eastAsia"/>
          <w:highlight w:val="none"/>
        </w:rPr>
        <w:t>七、台州市建设工程诚信投标承诺书</w:t>
      </w:r>
    </w:p>
    <w:p>
      <w:pPr>
        <w:spacing w:line="540" w:lineRule="exact"/>
        <w:ind w:firstLine="480" w:firstLineChars="200"/>
        <w:rPr>
          <w:highlight w:val="none"/>
        </w:rPr>
      </w:pPr>
      <w:r>
        <w:rPr>
          <w:rFonts w:hint="eastAsia"/>
          <w:highlight w:val="none"/>
        </w:rPr>
        <w:t>八、法定代表人授权委托书</w:t>
      </w:r>
    </w:p>
    <w:p>
      <w:pPr>
        <w:spacing w:line="540" w:lineRule="exact"/>
        <w:ind w:firstLine="480" w:firstLineChars="200"/>
        <w:rPr>
          <w:highlight w:val="none"/>
        </w:rPr>
      </w:pPr>
      <w:r>
        <w:rPr>
          <w:rFonts w:hint="eastAsia"/>
          <w:highlight w:val="none"/>
        </w:rPr>
        <w:t>九、台州市建设工程安全生产任职资格承诺书</w:t>
      </w:r>
    </w:p>
    <w:p>
      <w:pPr>
        <w:spacing w:line="540" w:lineRule="exact"/>
        <w:ind w:firstLine="480" w:firstLineChars="200"/>
        <w:rPr>
          <w:highlight w:val="none"/>
        </w:rPr>
      </w:pPr>
      <w:r>
        <w:rPr>
          <w:rFonts w:hint="eastAsia"/>
          <w:highlight w:val="none"/>
        </w:rPr>
        <w:t>十、停工证明（若有）</w:t>
      </w:r>
    </w:p>
    <w:p>
      <w:pPr>
        <w:spacing w:line="540" w:lineRule="exact"/>
        <w:ind w:firstLine="480" w:firstLineChars="200"/>
        <w:rPr>
          <w:highlight w:val="none"/>
        </w:rPr>
      </w:pPr>
      <w:r>
        <w:rPr>
          <w:rFonts w:hint="eastAsia"/>
          <w:highlight w:val="none"/>
        </w:rPr>
        <w:t>十</w:t>
      </w:r>
      <w:r>
        <w:rPr>
          <w:rFonts w:hint="eastAsia"/>
          <w:highlight w:val="none"/>
          <w:lang w:val="en-US" w:eastAsia="zh-CN"/>
        </w:rPr>
        <w:t>一</w:t>
      </w:r>
      <w:r>
        <w:rPr>
          <w:rFonts w:hint="eastAsia"/>
          <w:highlight w:val="none"/>
        </w:rPr>
        <w:t>、未验收证明（若有）</w:t>
      </w:r>
    </w:p>
    <w:p>
      <w:pPr>
        <w:spacing w:line="540" w:lineRule="exact"/>
        <w:ind w:firstLine="480" w:firstLineChars="200"/>
        <w:rPr>
          <w:highlight w:val="none"/>
        </w:rPr>
      </w:pPr>
      <w:r>
        <w:rPr>
          <w:rFonts w:hint="eastAsia"/>
          <w:highlight w:val="none"/>
        </w:rPr>
        <w:t>十</w:t>
      </w:r>
      <w:r>
        <w:rPr>
          <w:rFonts w:hint="eastAsia"/>
          <w:highlight w:val="none"/>
          <w:lang w:val="en-US" w:eastAsia="zh-CN"/>
        </w:rPr>
        <w:t>二</w:t>
      </w:r>
      <w:r>
        <w:rPr>
          <w:rFonts w:hint="eastAsia"/>
          <w:highlight w:val="none"/>
        </w:rPr>
        <w:t>、法定代表人身份证明</w:t>
      </w:r>
    </w:p>
    <w:p>
      <w:pPr>
        <w:spacing w:line="540" w:lineRule="exact"/>
        <w:rPr>
          <w:highlight w:val="none"/>
        </w:rPr>
      </w:pPr>
    </w:p>
    <w:p>
      <w:pPr>
        <w:pStyle w:val="12"/>
        <w:spacing w:after="156" w:afterLines="50" w:line="480" w:lineRule="auto"/>
        <w:ind w:firstLine="640"/>
        <w:jc w:val="center"/>
        <w:rPr>
          <w:sz w:val="32"/>
          <w:highlight w:val="none"/>
        </w:rPr>
      </w:pPr>
    </w:p>
    <w:p>
      <w:pPr>
        <w:pStyle w:val="12"/>
        <w:spacing w:line="440" w:lineRule="exact"/>
        <w:jc w:val="center"/>
        <w:rPr>
          <w:sz w:val="24"/>
          <w:highlight w:val="none"/>
        </w:rPr>
      </w:pPr>
    </w:p>
    <w:p>
      <w:pPr>
        <w:pStyle w:val="12"/>
        <w:spacing w:line="440" w:lineRule="exact"/>
        <w:jc w:val="center"/>
        <w:rPr>
          <w:sz w:val="24"/>
          <w:highlight w:val="none"/>
        </w:rPr>
      </w:pPr>
    </w:p>
    <w:p>
      <w:pPr>
        <w:pStyle w:val="34"/>
        <w:rPr>
          <w:rFonts w:ascii="宋体" w:hAnsi="宋体"/>
          <w:sz w:val="32"/>
          <w:szCs w:val="21"/>
          <w:highlight w:val="none"/>
        </w:rPr>
      </w:pPr>
      <w:r>
        <w:rPr>
          <w:sz w:val="24"/>
          <w:highlight w:val="none"/>
        </w:rPr>
        <w:br w:type="page"/>
      </w:r>
      <w:bookmarkStart w:id="759" w:name="_Toc23212"/>
      <w:bookmarkStart w:id="760" w:name="_Toc16521988"/>
      <w:bookmarkStart w:id="761" w:name="_Toc24059"/>
      <w:r>
        <w:rPr>
          <w:rFonts w:hint="eastAsia"/>
          <w:szCs w:val="28"/>
          <w:highlight w:val="none"/>
        </w:rPr>
        <w:t>一、项目负责人简历表</w:t>
      </w:r>
      <w:bookmarkEnd w:id="759"/>
      <w:bookmarkEnd w:id="760"/>
      <w:bookmarkEnd w:id="761"/>
    </w:p>
    <w:p>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pPr>
        <w:spacing w:line="360" w:lineRule="auto"/>
        <w:jc w:val="center"/>
        <w:rPr>
          <w:rFonts w:eastAsia="黑体"/>
          <w:sz w:val="44"/>
          <w:highlight w:val="none"/>
        </w:rPr>
      </w:pPr>
      <w:r>
        <w:rPr>
          <w:rFonts w:hint="eastAsia" w:eastAsia="黑体"/>
          <w:sz w:val="44"/>
          <w:highlight w:val="none"/>
        </w:rPr>
        <w:t>项目负责人简历表</w:t>
      </w:r>
    </w:p>
    <w:tbl>
      <w:tblPr>
        <w:tblStyle w:val="22"/>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41" w:leftChars="-137" w:hanging="288"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pPr>
              <w:widowControl/>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简</w:t>
            </w: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rPr>
                <w:rFonts w:cs="宋体"/>
                <w:highlight w:val="none"/>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sz w:val="22"/>
                <w:szCs w:val="22"/>
                <w:highlight w:val="none"/>
              </w:rPr>
            </w:pPr>
          </w:p>
        </w:tc>
      </w:tr>
    </w:tbl>
    <w:p>
      <w:pPr>
        <w:spacing w:line="440" w:lineRule="exact"/>
        <w:ind w:right="480"/>
        <w:rPr>
          <w:highlight w:val="none"/>
        </w:rPr>
      </w:pPr>
    </w:p>
    <w:p>
      <w:pPr>
        <w:spacing w:line="440" w:lineRule="exact"/>
        <w:ind w:right="480"/>
        <w:rPr>
          <w:highlight w:val="none"/>
        </w:rPr>
      </w:pPr>
      <w:r>
        <w:rPr>
          <w:rFonts w:hint="eastAsia"/>
          <w:highlight w:val="none"/>
        </w:rPr>
        <w:t xml:space="preserve">法定代表人（签字或盖章）        </w:t>
      </w:r>
    </w:p>
    <w:p>
      <w:pPr>
        <w:spacing w:line="440" w:lineRule="exact"/>
        <w:ind w:right="480"/>
        <w:rPr>
          <w:highlight w:val="none"/>
        </w:rPr>
      </w:pPr>
      <w:r>
        <w:rPr>
          <w:rFonts w:hint="eastAsia"/>
          <w:highlight w:val="none"/>
        </w:rPr>
        <w:t xml:space="preserve">投 标 人（盖章）：  </w:t>
      </w:r>
    </w:p>
    <w:p>
      <w:pPr>
        <w:spacing w:line="440" w:lineRule="exact"/>
        <w:ind w:right="480"/>
        <w:rPr>
          <w:highlight w:val="none"/>
        </w:rPr>
      </w:pPr>
      <w:r>
        <w:rPr>
          <w:rFonts w:hint="eastAsia"/>
          <w:highlight w:val="none"/>
        </w:rPr>
        <w:t>日期：    年   月   日</w:t>
      </w:r>
    </w:p>
    <w:p>
      <w:pPr>
        <w:spacing w:line="440" w:lineRule="exact"/>
        <w:ind w:right="480"/>
        <w:jc w:val="right"/>
        <w:rPr>
          <w:highlight w:val="none"/>
        </w:rPr>
      </w:pPr>
    </w:p>
    <w:p>
      <w:pPr>
        <w:pStyle w:val="34"/>
        <w:rPr>
          <w:szCs w:val="28"/>
          <w:highlight w:val="none"/>
        </w:rPr>
      </w:pPr>
      <w:bookmarkStart w:id="762" w:name="_Toc18561"/>
      <w:bookmarkStart w:id="763" w:name="_Toc16521989"/>
      <w:bookmarkStart w:id="764" w:name="_Toc11309"/>
      <w:r>
        <w:rPr>
          <w:rFonts w:hint="eastAsia"/>
          <w:szCs w:val="28"/>
          <w:highlight w:val="none"/>
        </w:rPr>
        <w:t>二、技术负责人简历表</w:t>
      </w:r>
      <w:bookmarkEnd w:id="762"/>
      <w:bookmarkEnd w:id="763"/>
      <w:bookmarkEnd w:id="764"/>
    </w:p>
    <w:p>
      <w:pPr>
        <w:spacing w:line="440" w:lineRule="exact"/>
        <w:jc w:val="center"/>
        <w:rPr>
          <w:rFonts w:eastAsia="黑体"/>
          <w:sz w:val="20"/>
          <w:szCs w:val="20"/>
          <w:highlight w:val="none"/>
        </w:rPr>
      </w:pPr>
    </w:p>
    <w:p>
      <w:pPr>
        <w:spacing w:line="360" w:lineRule="auto"/>
        <w:jc w:val="center"/>
        <w:rPr>
          <w:highlight w:val="none"/>
        </w:rPr>
      </w:pPr>
      <w:r>
        <w:rPr>
          <w:rFonts w:hint="eastAsia"/>
          <w:highlight w:val="none"/>
          <w:u w:val="single"/>
        </w:rPr>
        <w:t xml:space="preserve">                              </w:t>
      </w:r>
      <w:r>
        <w:rPr>
          <w:rFonts w:hint="eastAsia"/>
          <w:highlight w:val="none"/>
        </w:rPr>
        <w:t>工程</w:t>
      </w:r>
    </w:p>
    <w:p>
      <w:pPr>
        <w:spacing w:line="360" w:lineRule="auto"/>
        <w:jc w:val="center"/>
        <w:rPr>
          <w:rFonts w:eastAsia="黑体"/>
          <w:sz w:val="44"/>
          <w:highlight w:val="none"/>
        </w:rPr>
      </w:pPr>
      <w:r>
        <w:rPr>
          <w:rFonts w:hint="eastAsia" w:eastAsia="黑体"/>
          <w:sz w:val="44"/>
          <w:highlight w:val="none"/>
        </w:rPr>
        <w:t>技术负责人简历表</w:t>
      </w:r>
    </w:p>
    <w:tbl>
      <w:tblPr>
        <w:tblStyle w:val="22"/>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简</w:t>
            </w: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pPr>
              <w:widowControl/>
              <w:rPr>
                <w:rFonts w:cs="宋体"/>
                <w:highlight w:val="none"/>
              </w:rPr>
            </w:pPr>
            <w:r>
              <w:rPr>
                <w:rFonts w:hint="eastAsia" w:cs="宋体"/>
                <w:highlight w:val="none"/>
              </w:rPr>
              <w:t>　</w:t>
            </w:r>
          </w:p>
        </w:tc>
      </w:tr>
    </w:tbl>
    <w:p>
      <w:pPr>
        <w:spacing w:line="440" w:lineRule="exact"/>
        <w:ind w:right="480"/>
        <w:rPr>
          <w:highlight w:val="none"/>
        </w:rPr>
      </w:pPr>
    </w:p>
    <w:p>
      <w:pPr>
        <w:spacing w:line="440" w:lineRule="exact"/>
        <w:ind w:right="480"/>
        <w:rPr>
          <w:highlight w:val="none"/>
        </w:rPr>
      </w:pPr>
      <w:r>
        <w:rPr>
          <w:rFonts w:hint="eastAsia"/>
          <w:highlight w:val="none"/>
        </w:rPr>
        <w:t xml:space="preserve">法定代表人（签字或盖章）：  </w:t>
      </w:r>
    </w:p>
    <w:p>
      <w:pPr>
        <w:spacing w:line="440" w:lineRule="exact"/>
        <w:ind w:right="480"/>
        <w:jc w:val="both"/>
        <w:rPr>
          <w:highlight w:val="none"/>
        </w:rPr>
      </w:pPr>
      <w:r>
        <w:rPr>
          <w:rFonts w:hint="eastAsia"/>
          <w:highlight w:val="none"/>
        </w:rPr>
        <w:t xml:space="preserve">投 标 人（盖章）：  </w:t>
      </w:r>
    </w:p>
    <w:p>
      <w:pPr>
        <w:spacing w:line="440" w:lineRule="exact"/>
        <w:jc w:val="both"/>
        <w:rPr>
          <w:highlight w:val="none"/>
        </w:rPr>
      </w:pPr>
      <w:r>
        <w:rPr>
          <w:rFonts w:hint="eastAsia"/>
          <w:highlight w:val="none"/>
        </w:rPr>
        <w:t>日期：    年   月   日</w:t>
      </w:r>
    </w:p>
    <w:p>
      <w:pPr>
        <w:pStyle w:val="15"/>
        <w:ind w:firstLine="217"/>
        <w:rPr>
          <w:highlight w:val="none"/>
        </w:rPr>
      </w:pPr>
    </w:p>
    <w:p>
      <w:pPr>
        <w:rPr>
          <w:highlight w:val="none"/>
        </w:rPr>
      </w:pPr>
    </w:p>
    <w:p>
      <w:pPr>
        <w:pStyle w:val="15"/>
        <w:rPr>
          <w:highlight w:val="none"/>
        </w:rPr>
      </w:pPr>
    </w:p>
    <w:p>
      <w:pPr>
        <w:rPr>
          <w:highlight w:val="none"/>
        </w:rPr>
      </w:pPr>
    </w:p>
    <w:p>
      <w:pPr>
        <w:rPr>
          <w:highlight w:val="none"/>
        </w:rPr>
      </w:pPr>
    </w:p>
    <w:p>
      <w:pPr>
        <w:pStyle w:val="15"/>
        <w:adjustRightInd w:val="0"/>
        <w:snapToGrid w:val="0"/>
        <w:spacing w:after="0" w:line="360" w:lineRule="auto"/>
        <w:ind w:firstLine="480" w:firstLineChars="200"/>
        <w:rPr>
          <w:rFonts w:ascii="宋体" w:hAnsi="宋体" w:eastAsia="宋体"/>
          <w:sz w:val="24"/>
          <w:szCs w:val="24"/>
          <w:highlight w:val="none"/>
        </w:rPr>
      </w:pPr>
    </w:p>
    <w:p>
      <w:pPr>
        <w:pStyle w:val="34"/>
        <w:rPr>
          <w:szCs w:val="28"/>
          <w:highlight w:val="none"/>
        </w:rPr>
      </w:pPr>
      <w:bookmarkStart w:id="765" w:name="_Toc30347"/>
      <w:bookmarkStart w:id="766" w:name="_Toc16521990"/>
      <w:bookmarkStart w:id="767" w:name="_Toc27371"/>
      <w:r>
        <w:rPr>
          <w:rFonts w:hint="eastAsia"/>
          <w:szCs w:val="28"/>
          <w:highlight w:val="none"/>
        </w:rPr>
        <w:t>三、主要施工机械设备表</w:t>
      </w:r>
      <w:bookmarkEnd w:id="765"/>
      <w:bookmarkEnd w:id="766"/>
      <w:bookmarkEnd w:id="767"/>
    </w:p>
    <w:p>
      <w:pPr>
        <w:spacing w:line="440" w:lineRule="exact"/>
        <w:jc w:val="center"/>
        <w:rPr>
          <w:rFonts w:eastAsia="黑体"/>
          <w:sz w:val="20"/>
          <w:szCs w:val="20"/>
          <w:highlight w:val="none"/>
        </w:rPr>
      </w:pPr>
    </w:p>
    <w:p>
      <w:pPr>
        <w:spacing w:line="360" w:lineRule="auto"/>
        <w:jc w:val="center"/>
        <w:rPr>
          <w:highlight w:val="none"/>
        </w:rPr>
      </w:pPr>
      <w:r>
        <w:rPr>
          <w:rFonts w:hint="eastAsia"/>
          <w:highlight w:val="none"/>
          <w:u w:val="single"/>
        </w:rPr>
        <w:t xml:space="preserve">                              </w:t>
      </w:r>
      <w:r>
        <w:rPr>
          <w:rFonts w:hint="eastAsia"/>
          <w:highlight w:val="none"/>
        </w:rPr>
        <w:t>工程</w:t>
      </w:r>
    </w:p>
    <w:p>
      <w:pPr>
        <w:spacing w:line="360" w:lineRule="auto"/>
        <w:jc w:val="center"/>
        <w:rPr>
          <w:rFonts w:eastAsia="黑体"/>
          <w:sz w:val="44"/>
          <w:highlight w:val="none"/>
        </w:rPr>
      </w:pPr>
      <w:r>
        <w:rPr>
          <w:rFonts w:hint="eastAsia" w:eastAsia="黑体"/>
          <w:sz w:val="44"/>
          <w:highlight w:val="none"/>
        </w:rPr>
        <w:t>主要施工机械设备表</w:t>
      </w:r>
    </w:p>
    <w:tbl>
      <w:tblPr>
        <w:tblStyle w:val="22"/>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bl>
    <w:p>
      <w:pPr>
        <w:spacing w:line="440" w:lineRule="exact"/>
        <w:ind w:right="480"/>
        <w:rPr>
          <w:highlight w:val="none"/>
        </w:rPr>
      </w:pPr>
    </w:p>
    <w:p>
      <w:pPr>
        <w:spacing w:line="440" w:lineRule="exact"/>
        <w:ind w:right="480"/>
        <w:rPr>
          <w:highlight w:val="none"/>
        </w:rPr>
      </w:pPr>
      <w:r>
        <w:rPr>
          <w:rFonts w:hint="eastAsia"/>
          <w:highlight w:val="none"/>
        </w:rPr>
        <w:t xml:space="preserve">法定代表人（签字或盖章）：  </w:t>
      </w:r>
    </w:p>
    <w:p>
      <w:pPr>
        <w:spacing w:line="440" w:lineRule="exact"/>
        <w:ind w:right="480"/>
        <w:jc w:val="both"/>
        <w:rPr>
          <w:highlight w:val="none"/>
        </w:rPr>
      </w:pPr>
      <w:r>
        <w:rPr>
          <w:rFonts w:hint="eastAsia"/>
          <w:highlight w:val="none"/>
        </w:rPr>
        <w:t xml:space="preserve">投 标 人（盖章）：   </w:t>
      </w:r>
    </w:p>
    <w:p>
      <w:pPr>
        <w:spacing w:line="440" w:lineRule="exact"/>
        <w:jc w:val="both"/>
        <w:rPr>
          <w:highlight w:val="none"/>
        </w:rPr>
      </w:pPr>
      <w:r>
        <w:rPr>
          <w:rFonts w:hint="eastAsia"/>
          <w:highlight w:val="none"/>
        </w:rPr>
        <w:t>日期：    年   月   日</w:t>
      </w:r>
      <w:bookmarkStart w:id="768" w:name="_Toc288556325"/>
      <w:bookmarkStart w:id="769" w:name="_Toc12085"/>
      <w:bookmarkStart w:id="770" w:name="_Toc10562"/>
      <w:bookmarkStart w:id="771" w:name="_Toc16521991"/>
      <w:bookmarkStart w:id="772" w:name="_Toc370743415"/>
      <w:bookmarkStart w:id="773" w:name="_Toc365645478"/>
    </w:p>
    <w:p>
      <w:pPr>
        <w:spacing w:line="440" w:lineRule="exact"/>
        <w:rPr>
          <w:szCs w:val="28"/>
          <w:highlight w:val="none"/>
        </w:rPr>
      </w:pPr>
    </w:p>
    <w:p>
      <w:pPr>
        <w:pStyle w:val="34"/>
        <w:rPr>
          <w:szCs w:val="28"/>
          <w:highlight w:val="none"/>
        </w:rPr>
        <w:sectPr>
          <w:pgSz w:w="11906" w:h="16838"/>
          <w:pgMar w:top="1418" w:right="1588" w:bottom="1418" w:left="1588" w:header="851" w:footer="992" w:gutter="0"/>
          <w:cols w:space="720" w:num="1"/>
          <w:docGrid w:type="lines" w:linePitch="312" w:charSpace="0"/>
        </w:sectPr>
      </w:pPr>
    </w:p>
    <w:p>
      <w:pPr>
        <w:pStyle w:val="34"/>
        <w:rPr>
          <w:szCs w:val="28"/>
          <w:highlight w:val="none"/>
        </w:rPr>
      </w:pPr>
      <w:bookmarkStart w:id="774" w:name="_Toc11873"/>
      <w:r>
        <w:rPr>
          <w:rFonts w:hint="eastAsia"/>
          <w:szCs w:val="28"/>
          <w:highlight w:val="none"/>
        </w:rPr>
        <w:t>四、</w:t>
      </w:r>
      <w:bookmarkEnd w:id="768"/>
      <w:r>
        <w:rPr>
          <w:rFonts w:hint="eastAsia"/>
          <w:szCs w:val="28"/>
          <w:highlight w:val="none"/>
        </w:rPr>
        <w:t>台州市建设工程投标人资格自查表</w:t>
      </w:r>
      <w:bookmarkEnd w:id="769"/>
      <w:bookmarkEnd w:id="770"/>
      <w:bookmarkEnd w:id="771"/>
      <w:bookmarkEnd w:id="772"/>
      <w:bookmarkEnd w:id="773"/>
      <w:bookmarkEnd w:id="774"/>
    </w:p>
    <w:p>
      <w:pPr>
        <w:spacing w:line="360" w:lineRule="auto"/>
        <w:jc w:val="center"/>
        <w:rPr>
          <w:highlight w:val="none"/>
        </w:rPr>
      </w:pPr>
      <w:r>
        <w:rPr>
          <w:rFonts w:hint="eastAsia"/>
          <w:highlight w:val="none"/>
          <w:u w:val="single"/>
        </w:rPr>
        <w:t xml:space="preserve">                              </w:t>
      </w:r>
      <w:r>
        <w:rPr>
          <w:rFonts w:hint="eastAsia"/>
          <w:highlight w:val="none"/>
        </w:rPr>
        <w:t>工程</w:t>
      </w:r>
    </w:p>
    <w:p>
      <w:pPr>
        <w:ind w:left="-30" w:leftChars="-95" w:hanging="198" w:hangingChars="66"/>
        <w:jc w:val="center"/>
        <w:rPr>
          <w:rFonts w:eastAsia="黑体"/>
          <w:b/>
          <w:sz w:val="30"/>
          <w:szCs w:val="30"/>
          <w:highlight w:val="none"/>
        </w:rPr>
      </w:pPr>
      <w:r>
        <w:rPr>
          <w:rFonts w:hint="eastAsia" w:eastAsia="黑体"/>
          <w:b/>
          <w:sz w:val="30"/>
          <w:szCs w:val="30"/>
          <w:highlight w:val="none"/>
        </w:rPr>
        <w:t>台州市建设工程投标人资格自查表</w:t>
      </w:r>
    </w:p>
    <w:tbl>
      <w:tblPr>
        <w:tblStyle w:val="22"/>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pPr>
              <w:spacing w:line="360" w:lineRule="auto"/>
              <w:jc w:val="center"/>
              <w:rPr>
                <w:rFonts w:eastAsia="黑体"/>
                <w:b/>
                <w:sz w:val="21"/>
                <w:szCs w:val="21"/>
                <w:highlight w:val="none"/>
              </w:rPr>
            </w:pPr>
            <w:r>
              <w:rPr>
                <w:rFonts w:eastAsia="黑体"/>
                <w:b/>
                <w:sz w:val="21"/>
                <w:szCs w:val="21"/>
                <w:highlight w:val="none"/>
              </w:rPr>
              <w:t>序号</w:t>
            </w:r>
          </w:p>
        </w:tc>
        <w:tc>
          <w:tcPr>
            <w:tcW w:w="4712" w:type="dxa"/>
            <w:vAlign w:val="center"/>
          </w:tcPr>
          <w:p>
            <w:pPr>
              <w:spacing w:line="360" w:lineRule="auto"/>
              <w:jc w:val="center"/>
              <w:rPr>
                <w:rFonts w:eastAsia="黑体"/>
                <w:b/>
                <w:sz w:val="21"/>
                <w:szCs w:val="21"/>
                <w:highlight w:val="none"/>
              </w:rPr>
            </w:pPr>
            <w:r>
              <w:rPr>
                <w:rFonts w:eastAsia="黑体"/>
                <w:b/>
                <w:sz w:val="21"/>
                <w:szCs w:val="21"/>
                <w:highlight w:val="none"/>
              </w:rPr>
              <w:t>自查内容</w:t>
            </w:r>
          </w:p>
        </w:tc>
        <w:tc>
          <w:tcPr>
            <w:tcW w:w="1401" w:type="dxa"/>
            <w:vAlign w:val="center"/>
          </w:tcPr>
          <w:p>
            <w:pPr>
              <w:snapToGrid w:val="0"/>
              <w:jc w:val="center"/>
              <w:rPr>
                <w:rFonts w:eastAsia="黑体"/>
                <w:b/>
                <w:sz w:val="21"/>
                <w:szCs w:val="21"/>
                <w:highlight w:val="none"/>
              </w:rPr>
            </w:pPr>
            <w:r>
              <w:rPr>
                <w:rFonts w:eastAsia="黑体"/>
                <w:b/>
                <w:sz w:val="21"/>
                <w:szCs w:val="21"/>
                <w:highlight w:val="none"/>
              </w:rPr>
              <w:t>招标文件</w:t>
            </w:r>
          </w:p>
          <w:p>
            <w:pPr>
              <w:snapToGrid w:val="0"/>
              <w:jc w:val="center"/>
              <w:rPr>
                <w:rFonts w:eastAsia="黑体"/>
                <w:b/>
                <w:sz w:val="21"/>
                <w:szCs w:val="21"/>
                <w:highlight w:val="none"/>
              </w:rPr>
            </w:pPr>
            <w:r>
              <w:rPr>
                <w:rFonts w:eastAsia="黑体"/>
                <w:b/>
                <w:sz w:val="21"/>
                <w:szCs w:val="21"/>
                <w:highlight w:val="none"/>
              </w:rPr>
              <w:t>条款号</w:t>
            </w:r>
          </w:p>
        </w:tc>
        <w:tc>
          <w:tcPr>
            <w:tcW w:w="1258" w:type="dxa"/>
            <w:vAlign w:val="center"/>
          </w:tcPr>
          <w:p>
            <w:pPr>
              <w:spacing w:line="360" w:lineRule="auto"/>
              <w:jc w:val="center"/>
              <w:rPr>
                <w:rFonts w:eastAsia="黑体"/>
                <w:b/>
                <w:sz w:val="21"/>
                <w:szCs w:val="21"/>
                <w:highlight w:val="none"/>
              </w:rPr>
            </w:pPr>
            <w:r>
              <w:rPr>
                <w:rFonts w:eastAsia="黑体"/>
                <w:b/>
                <w:sz w:val="21"/>
                <w:szCs w:val="21"/>
                <w:highlight w:val="none"/>
              </w:rPr>
              <w:t>投标要求</w:t>
            </w:r>
          </w:p>
        </w:tc>
        <w:tc>
          <w:tcPr>
            <w:tcW w:w="1276" w:type="dxa"/>
            <w:vAlign w:val="center"/>
          </w:tcPr>
          <w:p>
            <w:pPr>
              <w:spacing w:line="360" w:lineRule="auto"/>
              <w:jc w:val="center"/>
              <w:rPr>
                <w:rFonts w:eastAsia="黑体"/>
                <w:b/>
                <w:sz w:val="21"/>
                <w:szCs w:val="21"/>
                <w:highlight w:val="none"/>
              </w:rPr>
            </w:pPr>
            <w:r>
              <w:rPr>
                <w:rFonts w:eastAsia="黑体"/>
                <w:b/>
                <w:sz w:val="21"/>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1</w:t>
            </w:r>
          </w:p>
        </w:tc>
        <w:tc>
          <w:tcPr>
            <w:tcW w:w="4712" w:type="dxa"/>
            <w:vAlign w:val="center"/>
          </w:tcPr>
          <w:p>
            <w:pPr>
              <w:rPr>
                <w:sz w:val="21"/>
                <w:szCs w:val="21"/>
                <w:highlight w:val="none"/>
              </w:rPr>
            </w:pPr>
            <w:r>
              <w:rPr>
                <w:sz w:val="21"/>
                <w:szCs w:val="21"/>
                <w:highlight w:val="none"/>
              </w:rPr>
              <w:t>投标人资质条件是否符合</w:t>
            </w:r>
          </w:p>
        </w:tc>
        <w:tc>
          <w:tcPr>
            <w:tcW w:w="1401" w:type="dxa"/>
            <w:vAlign w:val="center"/>
          </w:tcPr>
          <w:p>
            <w:pPr>
              <w:spacing w:line="360" w:lineRule="auto"/>
              <w:jc w:val="center"/>
              <w:rPr>
                <w:sz w:val="21"/>
                <w:szCs w:val="21"/>
                <w:highlight w:val="none"/>
              </w:rPr>
            </w:pPr>
            <w:r>
              <w:rPr>
                <w:sz w:val="21"/>
                <w:szCs w:val="21"/>
                <w:highlight w:val="none"/>
              </w:rPr>
              <w:t>1.4.1（1）</w:t>
            </w:r>
          </w:p>
        </w:tc>
        <w:tc>
          <w:tcPr>
            <w:tcW w:w="1258" w:type="dxa"/>
            <w:vAlign w:val="center"/>
          </w:tcPr>
          <w:p>
            <w:pPr>
              <w:spacing w:line="360" w:lineRule="auto"/>
              <w:jc w:val="center"/>
              <w:rPr>
                <w:sz w:val="21"/>
                <w:szCs w:val="21"/>
                <w:highlight w:val="none"/>
              </w:rPr>
            </w:pPr>
            <w:r>
              <w:rPr>
                <w:sz w:val="21"/>
                <w:szCs w:val="21"/>
                <w:highlight w:val="none"/>
              </w:rPr>
              <w:t>是</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2</w:t>
            </w:r>
          </w:p>
        </w:tc>
        <w:tc>
          <w:tcPr>
            <w:tcW w:w="4712" w:type="dxa"/>
            <w:vAlign w:val="center"/>
          </w:tcPr>
          <w:p>
            <w:pPr>
              <w:spacing w:line="260" w:lineRule="exact"/>
              <w:rPr>
                <w:sz w:val="21"/>
                <w:szCs w:val="21"/>
                <w:highlight w:val="none"/>
              </w:rPr>
            </w:pPr>
            <w:r>
              <w:rPr>
                <w:sz w:val="21"/>
                <w:szCs w:val="21"/>
                <w:highlight w:val="none"/>
              </w:rPr>
              <w:t>是否为招标人不具有独立法人资格的附属机构（单位）</w:t>
            </w:r>
          </w:p>
        </w:tc>
        <w:tc>
          <w:tcPr>
            <w:tcW w:w="1401" w:type="dxa"/>
            <w:vAlign w:val="center"/>
          </w:tcPr>
          <w:p>
            <w:pPr>
              <w:spacing w:line="360" w:lineRule="auto"/>
              <w:jc w:val="center"/>
              <w:rPr>
                <w:sz w:val="21"/>
                <w:szCs w:val="21"/>
                <w:highlight w:val="none"/>
              </w:rPr>
            </w:pPr>
            <w:r>
              <w:rPr>
                <w:sz w:val="21"/>
                <w:szCs w:val="21"/>
                <w:highlight w:val="none"/>
              </w:rPr>
              <w:t>1.4.4（1）</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3</w:t>
            </w:r>
          </w:p>
        </w:tc>
        <w:tc>
          <w:tcPr>
            <w:tcW w:w="4712" w:type="dxa"/>
            <w:vAlign w:val="center"/>
          </w:tcPr>
          <w:p>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01" w:type="dxa"/>
            <w:vAlign w:val="center"/>
          </w:tcPr>
          <w:p>
            <w:pPr>
              <w:spacing w:line="360" w:lineRule="auto"/>
              <w:jc w:val="center"/>
              <w:rPr>
                <w:sz w:val="21"/>
                <w:szCs w:val="21"/>
                <w:highlight w:val="none"/>
              </w:rPr>
            </w:pPr>
            <w:r>
              <w:rPr>
                <w:rFonts w:hint="eastAsia"/>
                <w:sz w:val="21"/>
                <w:szCs w:val="21"/>
                <w:highlight w:val="none"/>
              </w:rPr>
              <w:t>1.4.4（2）</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4</w:t>
            </w:r>
          </w:p>
        </w:tc>
        <w:tc>
          <w:tcPr>
            <w:tcW w:w="4712" w:type="dxa"/>
            <w:vAlign w:val="center"/>
          </w:tcPr>
          <w:p>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01" w:type="dxa"/>
            <w:vAlign w:val="center"/>
          </w:tcPr>
          <w:p>
            <w:pPr>
              <w:spacing w:line="360" w:lineRule="auto"/>
              <w:jc w:val="center"/>
              <w:rPr>
                <w:sz w:val="21"/>
                <w:szCs w:val="21"/>
                <w:highlight w:val="none"/>
              </w:rPr>
            </w:pPr>
            <w:r>
              <w:rPr>
                <w:rFonts w:hint="eastAsia"/>
                <w:sz w:val="21"/>
                <w:szCs w:val="21"/>
                <w:highlight w:val="none"/>
              </w:rPr>
              <w:t>1.4.4（3）</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pPr>
              <w:spacing w:line="360" w:lineRule="auto"/>
              <w:jc w:val="center"/>
              <w:rPr>
                <w:sz w:val="21"/>
                <w:szCs w:val="21"/>
                <w:highlight w:val="none"/>
              </w:rPr>
            </w:pPr>
            <w:r>
              <w:rPr>
                <w:sz w:val="21"/>
                <w:szCs w:val="21"/>
                <w:highlight w:val="none"/>
              </w:rPr>
              <w:t>5</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01" w:type="dxa"/>
            <w:vAlign w:val="center"/>
          </w:tcPr>
          <w:p>
            <w:pPr>
              <w:spacing w:line="360" w:lineRule="auto"/>
              <w:jc w:val="center"/>
              <w:rPr>
                <w:sz w:val="21"/>
                <w:szCs w:val="21"/>
                <w:highlight w:val="none"/>
              </w:rPr>
            </w:pPr>
            <w:r>
              <w:rPr>
                <w:sz w:val="21"/>
                <w:szCs w:val="21"/>
                <w:highlight w:val="none"/>
              </w:rPr>
              <w:t>1.4.4（4）</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pPr>
              <w:spacing w:line="360" w:lineRule="auto"/>
              <w:jc w:val="center"/>
              <w:rPr>
                <w:sz w:val="21"/>
                <w:szCs w:val="21"/>
                <w:highlight w:val="none"/>
              </w:rPr>
            </w:pPr>
            <w:r>
              <w:rPr>
                <w:sz w:val="21"/>
                <w:szCs w:val="21"/>
                <w:highlight w:val="none"/>
              </w:rPr>
              <w:t>6</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01" w:type="dxa"/>
            <w:vAlign w:val="center"/>
          </w:tcPr>
          <w:p>
            <w:pPr>
              <w:spacing w:line="360" w:lineRule="auto"/>
              <w:jc w:val="center"/>
              <w:rPr>
                <w:sz w:val="21"/>
                <w:szCs w:val="21"/>
                <w:highlight w:val="none"/>
              </w:rPr>
            </w:pPr>
            <w:r>
              <w:rPr>
                <w:sz w:val="21"/>
                <w:szCs w:val="21"/>
                <w:highlight w:val="none"/>
              </w:rPr>
              <w:t>1.4.4（5）</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pPr>
              <w:spacing w:line="360" w:lineRule="auto"/>
              <w:jc w:val="center"/>
              <w:rPr>
                <w:sz w:val="21"/>
                <w:szCs w:val="21"/>
                <w:highlight w:val="none"/>
              </w:rPr>
            </w:pPr>
            <w:r>
              <w:rPr>
                <w:sz w:val="21"/>
                <w:szCs w:val="21"/>
                <w:highlight w:val="none"/>
              </w:rPr>
              <w:t>7</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01" w:type="dxa"/>
            <w:vAlign w:val="center"/>
          </w:tcPr>
          <w:p>
            <w:pPr>
              <w:spacing w:line="360" w:lineRule="auto"/>
              <w:jc w:val="center"/>
              <w:rPr>
                <w:sz w:val="21"/>
                <w:szCs w:val="21"/>
                <w:highlight w:val="none"/>
              </w:rPr>
            </w:pPr>
            <w:r>
              <w:rPr>
                <w:sz w:val="21"/>
                <w:szCs w:val="21"/>
                <w:highlight w:val="none"/>
              </w:rPr>
              <w:t>1.4.4（6）</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8</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01" w:type="dxa"/>
            <w:vAlign w:val="center"/>
          </w:tcPr>
          <w:p>
            <w:pPr>
              <w:spacing w:line="360" w:lineRule="auto"/>
              <w:jc w:val="center"/>
              <w:rPr>
                <w:sz w:val="21"/>
                <w:szCs w:val="21"/>
                <w:highlight w:val="none"/>
              </w:rPr>
            </w:pPr>
            <w:r>
              <w:rPr>
                <w:sz w:val="21"/>
                <w:szCs w:val="21"/>
                <w:highlight w:val="none"/>
              </w:rPr>
              <w:t>1.4.4（7）</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pPr>
              <w:spacing w:line="360" w:lineRule="auto"/>
              <w:jc w:val="center"/>
              <w:rPr>
                <w:sz w:val="21"/>
                <w:szCs w:val="21"/>
                <w:highlight w:val="none"/>
              </w:rPr>
            </w:pPr>
            <w:r>
              <w:rPr>
                <w:sz w:val="21"/>
                <w:szCs w:val="21"/>
                <w:highlight w:val="none"/>
              </w:rPr>
              <w:t>9</w:t>
            </w:r>
          </w:p>
        </w:tc>
        <w:tc>
          <w:tcPr>
            <w:tcW w:w="4712" w:type="dxa"/>
            <w:vAlign w:val="center"/>
          </w:tcPr>
          <w:p>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01" w:type="dxa"/>
            <w:vAlign w:val="center"/>
          </w:tcPr>
          <w:p>
            <w:pPr>
              <w:spacing w:line="360" w:lineRule="auto"/>
              <w:jc w:val="center"/>
              <w:rPr>
                <w:sz w:val="21"/>
                <w:szCs w:val="21"/>
                <w:highlight w:val="none"/>
              </w:rPr>
            </w:pPr>
            <w:r>
              <w:rPr>
                <w:sz w:val="21"/>
                <w:szCs w:val="21"/>
                <w:highlight w:val="none"/>
              </w:rPr>
              <w:t>1.4.4（8）</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pPr>
              <w:spacing w:line="360" w:lineRule="auto"/>
              <w:jc w:val="center"/>
              <w:rPr>
                <w:sz w:val="21"/>
                <w:szCs w:val="21"/>
                <w:highlight w:val="none"/>
              </w:rPr>
            </w:pPr>
            <w:r>
              <w:rPr>
                <w:sz w:val="21"/>
                <w:szCs w:val="21"/>
                <w:highlight w:val="none"/>
              </w:rPr>
              <w:t>10</w:t>
            </w:r>
          </w:p>
        </w:tc>
        <w:tc>
          <w:tcPr>
            <w:tcW w:w="4712" w:type="dxa"/>
            <w:vAlign w:val="center"/>
          </w:tcPr>
          <w:p>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01" w:type="dxa"/>
            <w:vAlign w:val="center"/>
          </w:tcPr>
          <w:p>
            <w:pPr>
              <w:spacing w:line="360" w:lineRule="auto"/>
              <w:jc w:val="center"/>
              <w:rPr>
                <w:sz w:val="21"/>
                <w:szCs w:val="21"/>
                <w:highlight w:val="none"/>
              </w:rPr>
            </w:pPr>
            <w:r>
              <w:rPr>
                <w:sz w:val="21"/>
                <w:szCs w:val="21"/>
                <w:highlight w:val="none"/>
              </w:rPr>
              <w:t>1.4.4（9）</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pPr>
              <w:spacing w:line="360" w:lineRule="auto"/>
              <w:jc w:val="center"/>
              <w:rPr>
                <w:sz w:val="21"/>
                <w:szCs w:val="21"/>
                <w:highlight w:val="none"/>
              </w:rPr>
            </w:pPr>
            <w:r>
              <w:rPr>
                <w:sz w:val="21"/>
                <w:szCs w:val="21"/>
                <w:highlight w:val="none"/>
              </w:rPr>
              <w:t>11</w:t>
            </w:r>
          </w:p>
        </w:tc>
        <w:tc>
          <w:tcPr>
            <w:tcW w:w="4712" w:type="dxa"/>
            <w:vAlign w:val="center"/>
          </w:tcPr>
          <w:p>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01" w:type="dxa"/>
            <w:vAlign w:val="center"/>
          </w:tcPr>
          <w:p>
            <w:pPr>
              <w:spacing w:line="360" w:lineRule="auto"/>
              <w:jc w:val="center"/>
              <w:rPr>
                <w:sz w:val="21"/>
                <w:szCs w:val="21"/>
                <w:highlight w:val="none"/>
              </w:rPr>
            </w:pPr>
            <w:r>
              <w:rPr>
                <w:sz w:val="21"/>
                <w:szCs w:val="21"/>
                <w:highlight w:val="none"/>
              </w:rPr>
              <w:t>1.4.4（10）</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12</w:t>
            </w:r>
          </w:p>
        </w:tc>
        <w:tc>
          <w:tcPr>
            <w:tcW w:w="4712" w:type="dxa"/>
            <w:vAlign w:val="center"/>
          </w:tcPr>
          <w:p>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01" w:type="dxa"/>
            <w:vAlign w:val="center"/>
          </w:tcPr>
          <w:p>
            <w:pPr>
              <w:spacing w:line="360" w:lineRule="auto"/>
              <w:jc w:val="center"/>
              <w:rPr>
                <w:sz w:val="21"/>
                <w:szCs w:val="21"/>
                <w:highlight w:val="none"/>
              </w:rPr>
            </w:pPr>
            <w:r>
              <w:rPr>
                <w:sz w:val="21"/>
                <w:szCs w:val="21"/>
                <w:highlight w:val="none"/>
              </w:rPr>
              <w:t>1.4.4（11）</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13</w:t>
            </w:r>
          </w:p>
        </w:tc>
        <w:tc>
          <w:tcPr>
            <w:tcW w:w="4712" w:type="dxa"/>
            <w:vAlign w:val="center"/>
          </w:tcPr>
          <w:p>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01" w:type="dxa"/>
            <w:vAlign w:val="center"/>
          </w:tcPr>
          <w:p>
            <w:pPr>
              <w:spacing w:line="360" w:lineRule="auto"/>
              <w:jc w:val="center"/>
              <w:rPr>
                <w:sz w:val="21"/>
                <w:szCs w:val="21"/>
                <w:highlight w:val="none"/>
              </w:rPr>
            </w:pPr>
            <w:r>
              <w:rPr>
                <w:sz w:val="21"/>
                <w:szCs w:val="21"/>
                <w:highlight w:val="none"/>
              </w:rPr>
              <w:t>1.4.4（12）</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712" w:type="dxa"/>
            <w:vAlign w:val="center"/>
          </w:tcPr>
          <w:p>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01" w:type="dxa"/>
            <w:vAlign w:val="center"/>
          </w:tcPr>
          <w:p>
            <w:pPr>
              <w:spacing w:line="360" w:lineRule="auto"/>
              <w:jc w:val="center"/>
              <w:rPr>
                <w:sz w:val="21"/>
                <w:szCs w:val="21"/>
                <w:highlight w:val="none"/>
              </w:rPr>
            </w:pPr>
            <w:r>
              <w:rPr>
                <w:rFonts w:hint="eastAsia"/>
                <w:sz w:val="21"/>
                <w:szCs w:val="21"/>
                <w:highlight w:val="none"/>
              </w:rPr>
              <w:t>1.4.4（13）</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15</w:t>
            </w:r>
          </w:p>
        </w:tc>
        <w:tc>
          <w:tcPr>
            <w:tcW w:w="4712" w:type="dxa"/>
            <w:vAlign w:val="center"/>
          </w:tcPr>
          <w:p>
            <w:pPr>
              <w:spacing w:line="260" w:lineRule="exact"/>
              <w:rPr>
                <w:sz w:val="21"/>
                <w:szCs w:val="21"/>
                <w:highlight w:val="none"/>
              </w:rPr>
            </w:pPr>
            <w:r>
              <w:rPr>
                <w:rFonts w:hint="eastAsia"/>
                <w:sz w:val="21"/>
                <w:szCs w:val="21"/>
                <w:highlight w:val="none"/>
              </w:rPr>
              <w:t>是否存在法律法规或投标人须知前附表规定的其他情形</w:t>
            </w:r>
          </w:p>
        </w:tc>
        <w:tc>
          <w:tcPr>
            <w:tcW w:w="1401" w:type="dxa"/>
            <w:vAlign w:val="center"/>
          </w:tcPr>
          <w:p>
            <w:pPr>
              <w:spacing w:line="360" w:lineRule="auto"/>
              <w:jc w:val="center"/>
              <w:rPr>
                <w:sz w:val="21"/>
                <w:szCs w:val="21"/>
                <w:highlight w:val="none"/>
              </w:rPr>
            </w:pPr>
            <w:r>
              <w:rPr>
                <w:rFonts w:hint="eastAsia"/>
                <w:sz w:val="21"/>
                <w:szCs w:val="21"/>
                <w:highlight w:val="none"/>
              </w:rPr>
              <w:t>1.4.4（14）</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pPr>
              <w:spacing w:line="360" w:lineRule="auto"/>
              <w:jc w:val="center"/>
              <w:rPr>
                <w:sz w:val="21"/>
                <w:szCs w:val="21"/>
                <w:highlight w:val="none"/>
              </w:rPr>
            </w:pPr>
            <w:r>
              <w:rPr>
                <w:sz w:val="21"/>
                <w:szCs w:val="21"/>
                <w:highlight w:val="none"/>
              </w:rPr>
              <w:t>16</w:t>
            </w:r>
          </w:p>
        </w:tc>
        <w:tc>
          <w:tcPr>
            <w:tcW w:w="4712" w:type="dxa"/>
            <w:vAlign w:val="center"/>
          </w:tcPr>
          <w:p>
            <w:pPr>
              <w:spacing w:line="260" w:lineRule="exact"/>
              <w:rPr>
                <w:sz w:val="21"/>
                <w:szCs w:val="21"/>
                <w:highlight w:val="none"/>
              </w:rPr>
            </w:pPr>
            <w:r>
              <w:rPr>
                <w:sz w:val="21"/>
                <w:szCs w:val="21"/>
                <w:highlight w:val="none"/>
              </w:rPr>
              <w:t>是否存在安全生产许可证超出有效期或处于暂扣时限内</w:t>
            </w:r>
          </w:p>
        </w:tc>
        <w:tc>
          <w:tcPr>
            <w:tcW w:w="1401" w:type="dxa"/>
            <w:vAlign w:val="center"/>
          </w:tcPr>
          <w:p>
            <w:pPr>
              <w:spacing w:line="360" w:lineRule="auto"/>
              <w:jc w:val="center"/>
              <w:rPr>
                <w:sz w:val="21"/>
                <w:szCs w:val="21"/>
                <w:highlight w:val="none"/>
              </w:rPr>
            </w:pPr>
            <w:r>
              <w:rPr>
                <w:sz w:val="21"/>
                <w:szCs w:val="21"/>
                <w:highlight w:val="none"/>
              </w:rPr>
              <w:t>1.4.4（15）</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17</w:t>
            </w:r>
          </w:p>
        </w:tc>
        <w:tc>
          <w:tcPr>
            <w:tcW w:w="4712" w:type="dxa"/>
            <w:vAlign w:val="center"/>
          </w:tcPr>
          <w:p>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01" w:type="dxa"/>
            <w:vAlign w:val="center"/>
          </w:tcPr>
          <w:p>
            <w:pPr>
              <w:spacing w:line="360" w:lineRule="auto"/>
              <w:jc w:val="center"/>
              <w:rPr>
                <w:sz w:val="21"/>
                <w:szCs w:val="21"/>
                <w:highlight w:val="none"/>
              </w:rPr>
            </w:pPr>
            <w:r>
              <w:rPr>
                <w:rFonts w:hint="eastAsia"/>
                <w:sz w:val="21"/>
                <w:szCs w:val="21"/>
                <w:highlight w:val="none"/>
              </w:rPr>
              <w:t>1.4.4（16）</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pPr>
              <w:spacing w:line="360" w:lineRule="auto"/>
              <w:jc w:val="center"/>
              <w:rPr>
                <w:sz w:val="21"/>
                <w:szCs w:val="21"/>
                <w:highlight w:val="none"/>
              </w:rPr>
            </w:pPr>
            <w:r>
              <w:rPr>
                <w:sz w:val="21"/>
                <w:szCs w:val="21"/>
                <w:highlight w:val="none"/>
              </w:rPr>
              <w:t>18</w:t>
            </w:r>
          </w:p>
        </w:tc>
        <w:tc>
          <w:tcPr>
            <w:tcW w:w="4712" w:type="dxa"/>
            <w:vAlign w:val="center"/>
          </w:tcPr>
          <w:p>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01" w:type="dxa"/>
            <w:vAlign w:val="center"/>
          </w:tcPr>
          <w:p>
            <w:pPr>
              <w:spacing w:line="360" w:lineRule="auto"/>
              <w:jc w:val="center"/>
              <w:rPr>
                <w:sz w:val="21"/>
                <w:szCs w:val="21"/>
                <w:highlight w:val="none"/>
              </w:rPr>
            </w:pPr>
            <w:r>
              <w:rPr>
                <w:sz w:val="21"/>
                <w:szCs w:val="21"/>
                <w:highlight w:val="none"/>
              </w:rPr>
              <w:t>1.4.4（17）</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pPr>
              <w:spacing w:line="360" w:lineRule="auto"/>
              <w:jc w:val="center"/>
              <w:rPr>
                <w:sz w:val="21"/>
                <w:szCs w:val="21"/>
                <w:highlight w:val="none"/>
              </w:rPr>
            </w:pPr>
            <w:r>
              <w:rPr>
                <w:sz w:val="21"/>
                <w:szCs w:val="21"/>
                <w:highlight w:val="none"/>
              </w:rPr>
              <w:t>19</w:t>
            </w:r>
          </w:p>
        </w:tc>
        <w:tc>
          <w:tcPr>
            <w:tcW w:w="4712" w:type="dxa"/>
            <w:vAlign w:val="center"/>
          </w:tcPr>
          <w:p>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pPr>
              <w:spacing w:line="360" w:lineRule="auto"/>
              <w:jc w:val="center"/>
              <w:rPr>
                <w:sz w:val="21"/>
                <w:szCs w:val="21"/>
                <w:highlight w:val="none"/>
              </w:rPr>
            </w:pPr>
            <w:r>
              <w:rPr>
                <w:sz w:val="21"/>
                <w:szCs w:val="21"/>
                <w:highlight w:val="none"/>
              </w:rPr>
              <w:t>1.4.4（18）</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bl>
    <w:p>
      <w:pPr>
        <w:spacing w:line="360" w:lineRule="exact"/>
        <w:jc w:val="both"/>
        <w:rPr>
          <w:szCs w:val="21"/>
          <w:highlight w:val="none"/>
        </w:rPr>
      </w:pPr>
      <w:r>
        <w:rPr>
          <w:rFonts w:hint="eastAsia"/>
          <w:szCs w:val="21"/>
          <w:highlight w:val="none"/>
        </w:rPr>
        <w:t xml:space="preserve">法定代表人（签字或盖章）：           </w:t>
      </w:r>
    </w:p>
    <w:p>
      <w:pPr>
        <w:spacing w:line="360" w:lineRule="exact"/>
        <w:jc w:val="both"/>
        <w:rPr>
          <w:szCs w:val="21"/>
          <w:highlight w:val="none"/>
        </w:rPr>
      </w:pPr>
      <w:r>
        <w:rPr>
          <w:rFonts w:hint="eastAsia"/>
          <w:szCs w:val="21"/>
          <w:highlight w:val="none"/>
        </w:rPr>
        <w:t xml:space="preserve">投  标  人（盖章）：           </w:t>
      </w:r>
    </w:p>
    <w:p>
      <w:pPr>
        <w:spacing w:line="360" w:lineRule="exact"/>
        <w:ind w:right="560"/>
        <w:jc w:val="both"/>
        <w:rPr>
          <w:szCs w:val="21"/>
          <w:highlight w:val="none"/>
        </w:rPr>
      </w:pPr>
      <w:r>
        <w:rPr>
          <w:rFonts w:hint="eastAsia"/>
          <w:highlight w:val="none"/>
        </w:rPr>
        <w:t xml:space="preserve">日期：   </w:t>
      </w:r>
      <w:r>
        <w:rPr>
          <w:rFonts w:hint="eastAsia"/>
          <w:szCs w:val="21"/>
          <w:highlight w:val="none"/>
        </w:rPr>
        <w:t>年    月    日</w:t>
      </w:r>
    </w:p>
    <w:p>
      <w:pPr>
        <w:spacing w:line="360" w:lineRule="exact"/>
        <w:jc w:val="both"/>
        <w:rPr>
          <w:szCs w:val="21"/>
          <w:highlight w:val="none"/>
        </w:rPr>
        <w:sectPr>
          <w:pgSz w:w="11906" w:h="16838"/>
          <w:pgMar w:top="851" w:right="1361" w:bottom="964" w:left="1191" w:header="851" w:footer="992" w:gutter="0"/>
          <w:cols w:space="720" w:num="1"/>
          <w:docGrid w:type="linesAndChars" w:linePitch="312" w:charSpace="0"/>
        </w:sectPr>
      </w:pPr>
    </w:p>
    <w:p>
      <w:pPr>
        <w:pStyle w:val="34"/>
        <w:rPr>
          <w:szCs w:val="28"/>
          <w:highlight w:val="none"/>
        </w:rPr>
      </w:pPr>
      <w:bookmarkStart w:id="775" w:name="_Toc365645479"/>
      <w:bookmarkStart w:id="776" w:name="_Toc2452"/>
      <w:bookmarkStart w:id="777" w:name="_Toc16521992"/>
      <w:bookmarkStart w:id="778" w:name="_Toc22671"/>
      <w:bookmarkStart w:id="779" w:name="_Toc370743416"/>
      <w:r>
        <w:rPr>
          <w:rFonts w:hint="eastAsia"/>
          <w:szCs w:val="28"/>
          <w:highlight w:val="none"/>
        </w:rPr>
        <w:t>五、台州市建设工程投标项目负责人资格自查表</w:t>
      </w:r>
      <w:bookmarkEnd w:id="775"/>
      <w:bookmarkEnd w:id="776"/>
      <w:bookmarkEnd w:id="777"/>
      <w:bookmarkEnd w:id="778"/>
      <w:bookmarkEnd w:id="779"/>
    </w:p>
    <w:p>
      <w:pPr>
        <w:spacing w:line="360" w:lineRule="auto"/>
        <w:jc w:val="center"/>
        <w:rPr>
          <w:highlight w:val="none"/>
        </w:rPr>
      </w:pPr>
      <w:r>
        <w:rPr>
          <w:rFonts w:hint="eastAsia"/>
          <w:highlight w:val="none"/>
          <w:u w:val="single"/>
        </w:rPr>
        <w:t xml:space="preserve">                              </w:t>
      </w:r>
      <w:r>
        <w:rPr>
          <w:rFonts w:hint="eastAsia"/>
          <w:highlight w:val="none"/>
        </w:rPr>
        <w:t>工程</w:t>
      </w:r>
    </w:p>
    <w:p>
      <w:pPr>
        <w:spacing w:line="440" w:lineRule="exact"/>
        <w:jc w:val="center"/>
        <w:rPr>
          <w:rFonts w:eastAsia="黑体"/>
          <w:b/>
          <w:sz w:val="30"/>
          <w:szCs w:val="30"/>
          <w:highlight w:val="none"/>
        </w:rPr>
      </w:pPr>
      <w:r>
        <w:rPr>
          <w:rFonts w:hint="eastAsia" w:eastAsia="黑体"/>
          <w:b/>
          <w:sz w:val="30"/>
          <w:szCs w:val="30"/>
          <w:highlight w:val="none"/>
        </w:rPr>
        <w:t>台州市建设工程投标项目负责人资格自查表</w:t>
      </w:r>
    </w:p>
    <w:tbl>
      <w:tblPr>
        <w:tblStyle w:val="22"/>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pPr>
              <w:snapToGrid w:val="0"/>
              <w:jc w:val="center"/>
              <w:rPr>
                <w:rFonts w:eastAsia="黑体"/>
                <w:b/>
                <w:szCs w:val="21"/>
                <w:highlight w:val="none"/>
              </w:rPr>
            </w:pPr>
            <w:r>
              <w:rPr>
                <w:rFonts w:eastAsia="黑体"/>
                <w:b/>
                <w:szCs w:val="21"/>
                <w:highlight w:val="none"/>
              </w:rPr>
              <w:t>序号</w:t>
            </w:r>
          </w:p>
        </w:tc>
        <w:tc>
          <w:tcPr>
            <w:tcW w:w="4680" w:type="dxa"/>
            <w:vAlign w:val="center"/>
          </w:tcPr>
          <w:p>
            <w:pPr>
              <w:snapToGrid w:val="0"/>
              <w:jc w:val="center"/>
              <w:rPr>
                <w:rFonts w:eastAsia="黑体"/>
                <w:b/>
                <w:szCs w:val="21"/>
                <w:highlight w:val="none"/>
              </w:rPr>
            </w:pPr>
            <w:r>
              <w:rPr>
                <w:rFonts w:eastAsia="黑体"/>
                <w:b/>
                <w:szCs w:val="21"/>
                <w:highlight w:val="none"/>
              </w:rPr>
              <w:t>自查内容</w:t>
            </w:r>
          </w:p>
        </w:tc>
        <w:tc>
          <w:tcPr>
            <w:tcW w:w="1301" w:type="dxa"/>
            <w:vAlign w:val="center"/>
          </w:tcPr>
          <w:p>
            <w:pPr>
              <w:snapToGrid w:val="0"/>
              <w:jc w:val="center"/>
              <w:rPr>
                <w:rFonts w:eastAsia="黑体"/>
                <w:b/>
                <w:szCs w:val="21"/>
                <w:highlight w:val="none"/>
              </w:rPr>
            </w:pPr>
            <w:r>
              <w:rPr>
                <w:rFonts w:eastAsia="黑体"/>
                <w:b/>
                <w:szCs w:val="21"/>
                <w:highlight w:val="none"/>
              </w:rPr>
              <w:t>招标文件条款号</w:t>
            </w:r>
          </w:p>
        </w:tc>
        <w:tc>
          <w:tcPr>
            <w:tcW w:w="1440" w:type="dxa"/>
            <w:vAlign w:val="center"/>
          </w:tcPr>
          <w:p>
            <w:pPr>
              <w:snapToGrid w:val="0"/>
              <w:jc w:val="center"/>
              <w:rPr>
                <w:rFonts w:eastAsia="黑体"/>
                <w:b/>
                <w:szCs w:val="21"/>
                <w:highlight w:val="none"/>
              </w:rPr>
            </w:pPr>
            <w:r>
              <w:rPr>
                <w:rFonts w:eastAsia="黑体"/>
                <w:b/>
                <w:szCs w:val="21"/>
                <w:highlight w:val="none"/>
              </w:rPr>
              <w:t>投标要求</w:t>
            </w:r>
          </w:p>
        </w:tc>
        <w:tc>
          <w:tcPr>
            <w:tcW w:w="907" w:type="dxa"/>
            <w:vAlign w:val="center"/>
          </w:tcPr>
          <w:p>
            <w:pPr>
              <w:snapToGrid w:val="0"/>
              <w:jc w:val="center"/>
              <w:rPr>
                <w:rFonts w:eastAsia="黑体"/>
                <w:b/>
                <w:szCs w:val="21"/>
                <w:highlight w:val="none"/>
              </w:rPr>
            </w:pPr>
            <w:r>
              <w:rPr>
                <w:rFonts w:eastAsia="黑体"/>
                <w:b/>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pPr>
              <w:spacing w:line="360" w:lineRule="auto"/>
              <w:jc w:val="center"/>
              <w:rPr>
                <w:szCs w:val="21"/>
                <w:highlight w:val="none"/>
              </w:rPr>
            </w:pPr>
            <w:r>
              <w:rPr>
                <w:szCs w:val="21"/>
                <w:highlight w:val="none"/>
              </w:rPr>
              <w:t>1</w:t>
            </w:r>
          </w:p>
        </w:tc>
        <w:tc>
          <w:tcPr>
            <w:tcW w:w="4680" w:type="dxa"/>
            <w:vAlign w:val="center"/>
          </w:tcPr>
          <w:p>
            <w:pPr>
              <w:rPr>
                <w:b/>
                <w:szCs w:val="21"/>
                <w:highlight w:val="none"/>
              </w:rPr>
            </w:pPr>
            <w:r>
              <w:rPr>
                <w:szCs w:val="21"/>
                <w:highlight w:val="none"/>
              </w:rPr>
              <w:t>投标项目负责人建造师专业和等级是否符合</w:t>
            </w:r>
          </w:p>
        </w:tc>
        <w:tc>
          <w:tcPr>
            <w:tcW w:w="1301" w:type="dxa"/>
            <w:vAlign w:val="center"/>
          </w:tcPr>
          <w:p>
            <w:pPr>
              <w:spacing w:line="360" w:lineRule="auto"/>
              <w:jc w:val="center"/>
              <w:rPr>
                <w:szCs w:val="21"/>
                <w:highlight w:val="none"/>
              </w:rPr>
            </w:pPr>
            <w:r>
              <w:rPr>
                <w:szCs w:val="21"/>
                <w:highlight w:val="none"/>
              </w:rPr>
              <w:t>1.4.1（3）</w:t>
            </w:r>
          </w:p>
        </w:tc>
        <w:tc>
          <w:tcPr>
            <w:tcW w:w="1440" w:type="dxa"/>
            <w:vAlign w:val="center"/>
          </w:tcPr>
          <w:p>
            <w:pPr>
              <w:spacing w:line="360" w:lineRule="auto"/>
              <w:jc w:val="center"/>
              <w:rPr>
                <w:rFonts w:eastAsia="黑体"/>
                <w:szCs w:val="21"/>
                <w:highlight w:val="none"/>
              </w:rPr>
            </w:pPr>
            <w:r>
              <w:rPr>
                <w:rFonts w:eastAsia="黑体"/>
                <w:szCs w:val="21"/>
                <w:highlight w:val="none"/>
              </w:rPr>
              <w:t>是</w:t>
            </w:r>
          </w:p>
        </w:tc>
        <w:tc>
          <w:tcPr>
            <w:tcW w:w="907" w:type="dxa"/>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pPr>
              <w:spacing w:line="360" w:lineRule="auto"/>
              <w:jc w:val="center"/>
              <w:rPr>
                <w:b/>
                <w:szCs w:val="21"/>
                <w:highlight w:val="none"/>
              </w:rPr>
            </w:pPr>
            <w:r>
              <w:rPr>
                <w:b/>
                <w:szCs w:val="21"/>
                <w:highlight w:val="none"/>
              </w:rPr>
              <w:t>2</w:t>
            </w:r>
          </w:p>
        </w:tc>
        <w:tc>
          <w:tcPr>
            <w:tcW w:w="4680" w:type="dxa"/>
            <w:vAlign w:val="center"/>
          </w:tcPr>
          <w:p>
            <w:pPr>
              <w:snapToGrid w:val="0"/>
              <w:rPr>
                <w:rFonts w:ascii="宋体" w:hAnsi="宋体"/>
                <w:b/>
                <w:highlight w:val="none"/>
              </w:rPr>
            </w:pPr>
            <w:r>
              <w:rPr>
                <w:rFonts w:hint="eastAsia" w:ascii="宋体" w:hAnsi="宋体"/>
                <w:b/>
                <w:highlight w:val="none"/>
              </w:rPr>
              <w:t>投标项目负责人在建状态存在下列四种之一情形的：</w:t>
            </w:r>
          </w:p>
          <w:p>
            <w:pPr>
              <w:snapToGrid w:val="0"/>
              <w:ind w:firstLine="472" w:firstLineChars="196"/>
              <w:rPr>
                <w:rFonts w:ascii="宋体" w:hAnsi="宋体"/>
                <w:b/>
                <w:highlight w:val="none"/>
              </w:rPr>
            </w:pPr>
            <w:r>
              <w:rPr>
                <w:rFonts w:hint="eastAsia" w:ascii="宋体" w:hAnsi="宋体"/>
                <w:b/>
                <w:highlight w:val="none"/>
              </w:rPr>
              <w:t>（1）无在建；</w:t>
            </w:r>
          </w:p>
          <w:p>
            <w:pPr>
              <w:snapToGrid w:val="0"/>
              <w:ind w:firstLine="472" w:firstLineChars="196"/>
              <w:rPr>
                <w:rFonts w:ascii="宋体" w:hAnsi="宋体"/>
                <w:b/>
                <w:highlight w:val="none"/>
              </w:rPr>
            </w:pPr>
            <w:r>
              <w:rPr>
                <w:rFonts w:hint="eastAsia" w:ascii="宋体" w:hAnsi="宋体"/>
                <w:b/>
                <w:highlight w:val="none"/>
              </w:rPr>
              <w:t>（2）原承接的项目与本工程属于同一工程相邻分段发包或分期施工的；（证明格式自拟）</w:t>
            </w:r>
          </w:p>
          <w:p>
            <w:pPr>
              <w:snapToGrid w:val="0"/>
              <w:ind w:firstLine="472" w:firstLineChars="196"/>
              <w:rPr>
                <w:rFonts w:ascii="宋体" w:hAnsi="宋体"/>
                <w:b/>
                <w:highlight w:val="none"/>
              </w:rPr>
            </w:pPr>
            <w:r>
              <w:rPr>
                <w:rFonts w:hint="eastAsia" w:ascii="宋体" w:hAnsi="宋体"/>
                <w:b/>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highlight w:val="none"/>
              </w:rPr>
              <w:t>（</w:t>
            </w:r>
            <w:r>
              <w:rPr>
                <w:rFonts w:hint="eastAsia" w:ascii="宋体" w:hAnsi="宋体"/>
                <w:bCs/>
                <w:szCs w:val="21"/>
                <w:highlight w:val="none"/>
              </w:rPr>
              <w:t>详见投标文件格式十一</w:t>
            </w:r>
            <w:r>
              <w:rPr>
                <w:rFonts w:hint="eastAsia" w:ascii="宋体" w:hAnsi="宋体"/>
                <w:bCs/>
                <w:highlight w:val="none"/>
              </w:rPr>
              <w:t>））</w:t>
            </w:r>
            <w:r>
              <w:rPr>
                <w:rFonts w:hint="eastAsia" w:ascii="宋体" w:hAnsi="宋体"/>
                <w:b/>
                <w:highlight w:val="none"/>
              </w:rPr>
              <w:t>；</w:t>
            </w:r>
          </w:p>
          <w:p>
            <w:pPr>
              <w:snapToGrid w:val="0"/>
              <w:ind w:firstLine="472" w:firstLineChars="196"/>
              <w:rPr>
                <w:rFonts w:ascii="宋体" w:hAnsi="宋体"/>
                <w:b/>
                <w:szCs w:val="21"/>
                <w:highlight w:val="none"/>
              </w:rPr>
            </w:pPr>
            <w:r>
              <w:rPr>
                <w:rFonts w:hint="eastAsia" w:ascii="宋体" w:hAnsi="宋体"/>
                <w:b/>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highlight w:val="none"/>
              </w:rPr>
              <w:t>（</w:t>
            </w:r>
            <w:r>
              <w:rPr>
                <w:rFonts w:hint="eastAsia" w:ascii="宋体" w:hAnsi="宋体"/>
                <w:bCs/>
                <w:szCs w:val="21"/>
                <w:highlight w:val="none"/>
              </w:rPr>
              <w:t>详见投标文件格式十二</w:t>
            </w:r>
            <w:r>
              <w:rPr>
                <w:rFonts w:hint="eastAsia" w:ascii="宋体" w:hAnsi="宋体"/>
                <w:bCs/>
                <w:highlight w:val="none"/>
              </w:rPr>
              <w:t>））</w:t>
            </w:r>
            <w:r>
              <w:rPr>
                <w:rFonts w:hint="eastAsia" w:ascii="宋体" w:hAnsi="宋体"/>
                <w:b/>
                <w:szCs w:val="21"/>
                <w:highlight w:val="none"/>
              </w:rPr>
              <w:t>。</w:t>
            </w:r>
          </w:p>
          <w:p>
            <w:pPr>
              <w:snapToGrid w:val="0"/>
              <w:rPr>
                <w:b/>
                <w:highlight w:val="none"/>
              </w:rPr>
            </w:pPr>
            <w:r>
              <w:rPr>
                <w:rFonts w:hint="eastAsia" w:ascii="宋体" w:hAnsi="宋体"/>
                <w:b/>
                <w:szCs w:val="21"/>
                <w:highlight w:val="none"/>
              </w:rPr>
              <w:t>属上述（2）、（3）、（4）情形的，投标人应在投标文件中提交有关书面证明材料（以电子文档形式随资</w:t>
            </w:r>
            <w:r>
              <w:rPr>
                <w:rFonts w:hint="eastAsia" w:ascii="宋体" w:hAnsi="宋体"/>
                <w:b/>
                <w:szCs w:val="21"/>
                <w:highlight w:val="none"/>
                <w:lang w:val="en-US" w:eastAsia="zh-CN"/>
              </w:rPr>
              <w:t>格</w:t>
            </w:r>
            <w:r>
              <w:rPr>
                <w:rFonts w:hint="eastAsia" w:ascii="宋体" w:hAnsi="宋体"/>
                <w:b/>
                <w:szCs w:val="21"/>
                <w:highlight w:val="none"/>
              </w:rPr>
              <w:t>标上传）。</w:t>
            </w:r>
          </w:p>
        </w:tc>
        <w:tc>
          <w:tcPr>
            <w:tcW w:w="1301" w:type="dxa"/>
            <w:vAlign w:val="center"/>
          </w:tcPr>
          <w:p>
            <w:pPr>
              <w:spacing w:line="360" w:lineRule="auto"/>
              <w:jc w:val="center"/>
              <w:rPr>
                <w:szCs w:val="21"/>
                <w:highlight w:val="none"/>
              </w:rPr>
            </w:pPr>
            <w:r>
              <w:rPr>
                <w:szCs w:val="21"/>
                <w:highlight w:val="none"/>
              </w:rPr>
              <w:t>10.3</w:t>
            </w:r>
          </w:p>
        </w:tc>
        <w:tc>
          <w:tcPr>
            <w:tcW w:w="1440" w:type="dxa"/>
            <w:vAlign w:val="center"/>
          </w:tcPr>
          <w:p>
            <w:pPr>
              <w:spacing w:line="360" w:lineRule="auto"/>
              <w:rPr>
                <w:szCs w:val="21"/>
                <w:highlight w:val="none"/>
              </w:rPr>
            </w:pPr>
            <w:r>
              <w:rPr>
                <w:b/>
                <w:szCs w:val="21"/>
                <w:highlight w:val="none"/>
              </w:rPr>
              <w:t>应是（1）、（2）、（3）、（4）之一情形。自查应填写属何种情形</w:t>
            </w:r>
          </w:p>
        </w:tc>
        <w:tc>
          <w:tcPr>
            <w:tcW w:w="907" w:type="dxa"/>
            <w:vAlign w:val="center"/>
          </w:tcPr>
          <w:p>
            <w:pPr>
              <w:spacing w:line="360" w:lineRule="auto"/>
              <w:rPr>
                <w:rFonts w:eastAsia="黑体"/>
                <w:b/>
                <w:szCs w:val="21"/>
                <w:highlight w:val="none"/>
              </w:rPr>
            </w:pPr>
            <w:r>
              <w:rPr>
                <w:szCs w:val="21"/>
                <w:highlight w:val="none"/>
              </w:rPr>
              <w:t>属</w:t>
            </w:r>
            <w:r>
              <w:rPr>
                <w:szCs w:val="21"/>
                <w:highlight w:val="none"/>
                <w:u w:val="single"/>
              </w:rPr>
              <w:t xml:space="preserve">   </w:t>
            </w:r>
            <w:r>
              <w:rPr>
                <w:szCs w:val="21"/>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pPr>
              <w:spacing w:line="360" w:lineRule="auto"/>
              <w:jc w:val="center"/>
              <w:rPr>
                <w:b/>
                <w:szCs w:val="21"/>
                <w:highlight w:val="none"/>
              </w:rPr>
            </w:pPr>
            <w:r>
              <w:rPr>
                <w:b/>
                <w:szCs w:val="21"/>
                <w:highlight w:val="none"/>
              </w:rPr>
              <w:t>3</w:t>
            </w:r>
          </w:p>
        </w:tc>
        <w:tc>
          <w:tcPr>
            <w:tcW w:w="4680" w:type="dxa"/>
            <w:vAlign w:val="center"/>
          </w:tcPr>
          <w:p>
            <w:pPr>
              <w:snapToGrid w:val="0"/>
              <w:rPr>
                <w:b/>
                <w:szCs w:val="21"/>
                <w:highlight w:val="none"/>
              </w:rPr>
            </w:pPr>
            <w:r>
              <w:rPr>
                <w:b/>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pPr>
              <w:spacing w:line="360" w:lineRule="auto"/>
              <w:jc w:val="center"/>
              <w:rPr>
                <w:szCs w:val="21"/>
                <w:highlight w:val="none"/>
              </w:rPr>
            </w:pPr>
            <w:r>
              <w:rPr>
                <w:szCs w:val="21"/>
                <w:highlight w:val="none"/>
              </w:rPr>
              <w:t>1.4.1</w:t>
            </w:r>
            <w:r>
              <w:rPr>
                <w:rFonts w:hint="eastAsia"/>
                <w:szCs w:val="21"/>
                <w:highlight w:val="none"/>
              </w:rPr>
              <w:t>（4）</w:t>
            </w:r>
          </w:p>
        </w:tc>
        <w:tc>
          <w:tcPr>
            <w:tcW w:w="1440" w:type="dxa"/>
            <w:vAlign w:val="center"/>
          </w:tcPr>
          <w:p>
            <w:pPr>
              <w:spacing w:line="360" w:lineRule="auto"/>
              <w:jc w:val="center"/>
              <w:rPr>
                <w:szCs w:val="21"/>
                <w:highlight w:val="none"/>
              </w:rPr>
            </w:pPr>
            <w:r>
              <w:rPr>
                <w:szCs w:val="21"/>
                <w:highlight w:val="none"/>
              </w:rPr>
              <w:t>否</w:t>
            </w:r>
          </w:p>
        </w:tc>
        <w:tc>
          <w:tcPr>
            <w:tcW w:w="907" w:type="dxa"/>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szCs w:val="21"/>
                <w:highlight w:val="none"/>
              </w:rPr>
            </w:pPr>
            <w:r>
              <w:rPr>
                <w:szCs w:val="21"/>
                <w:highlight w:val="none"/>
              </w:rPr>
              <w:t>4</w:t>
            </w:r>
          </w:p>
        </w:tc>
        <w:tc>
          <w:tcPr>
            <w:tcW w:w="4680" w:type="dxa"/>
            <w:vAlign w:val="center"/>
          </w:tcPr>
          <w:p>
            <w:pPr>
              <w:rPr>
                <w:szCs w:val="21"/>
                <w:highlight w:val="none"/>
              </w:rPr>
            </w:pPr>
            <w:r>
              <w:rPr>
                <w:szCs w:val="21"/>
                <w:highlight w:val="none"/>
              </w:rPr>
              <w:t>投标项目负责人</w:t>
            </w:r>
            <w:r>
              <w:rPr>
                <w:highlight w:val="none"/>
              </w:rPr>
              <w:t>是否</w:t>
            </w:r>
            <w:r>
              <w:rPr>
                <w:rFonts w:hint="eastAsia" w:hAnsi="宋体"/>
                <w:highlight w:val="none"/>
              </w:rPr>
              <w:t>被依法</w:t>
            </w:r>
            <w:r>
              <w:rPr>
                <w:szCs w:val="21"/>
                <w:highlight w:val="none"/>
              </w:rPr>
              <w:t>暂停或取消投标资格</w:t>
            </w:r>
          </w:p>
        </w:tc>
        <w:tc>
          <w:tcPr>
            <w:tcW w:w="1301" w:type="dxa"/>
            <w:vAlign w:val="center"/>
          </w:tcPr>
          <w:p>
            <w:pPr>
              <w:spacing w:line="360" w:lineRule="auto"/>
              <w:jc w:val="center"/>
              <w:rPr>
                <w:szCs w:val="21"/>
                <w:highlight w:val="none"/>
              </w:rPr>
            </w:pPr>
            <w:r>
              <w:rPr>
                <w:szCs w:val="21"/>
                <w:highlight w:val="none"/>
              </w:rPr>
              <w:t>1.4.3（13）</w:t>
            </w:r>
          </w:p>
        </w:tc>
        <w:tc>
          <w:tcPr>
            <w:tcW w:w="1440" w:type="dxa"/>
            <w:vAlign w:val="center"/>
          </w:tcPr>
          <w:p>
            <w:pPr>
              <w:spacing w:line="360" w:lineRule="auto"/>
              <w:jc w:val="center"/>
              <w:rPr>
                <w:szCs w:val="21"/>
                <w:highlight w:val="none"/>
              </w:rPr>
            </w:pPr>
            <w:r>
              <w:rPr>
                <w:szCs w:val="21"/>
                <w:highlight w:val="none"/>
              </w:rPr>
              <w:t>否</w:t>
            </w:r>
          </w:p>
        </w:tc>
        <w:tc>
          <w:tcPr>
            <w:tcW w:w="907" w:type="dxa"/>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szCs w:val="21"/>
                <w:highlight w:val="none"/>
              </w:rPr>
            </w:pPr>
            <w:r>
              <w:rPr>
                <w:rFonts w:hint="eastAsia"/>
                <w:szCs w:val="21"/>
                <w:highlight w:val="none"/>
              </w:rPr>
              <w:t>5</w:t>
            </w:r>
          </w:p>
        </w:tc>
        <w:tc>
          <w:tcPr>
            <w:tcW w:w="4680" w:type="dxa"/>
            <w:vAlign w:val="center"/>
          </w:tcPr>
          <w:p>
            <w:pPr>
              <w:snapToGrid w:val="0"/>
              <w:rPr>
                <w:szCs w:val="21"/>
                <w:highlight w:val="none"/>
              </w:rPr>
            </w:pPr>
            <w:r>
              <w:rPr>
                <w:szCs w:val="21"/>
                <w:highlight w:val="none"/>
              </w:rPr>
              <w:t>投标项目负责人安全生产任职资格是否符合相关规定</w:t>
            </w:r>
          </w:p>
        </w:tc>
        <w:tc>
          <w:tcPr>
            <w:tcW w:w="1301" w:type="dxa"/>
            <w:vAlign w:val="center"/>
          </w:tcPr>
          <w:p>
            <w:pPr>
              <w:spacing w:line="360" w:lineRule="auto"/>
              <w:jc w:val="center"/>
              <w:rPr>
                <w:szCs w:val="21"/>
                <w:highlight w:val="none"/>
              </w:rPr>
            </w:pPr>
            <w:r>
              <w:rPr>
                <w:szCs w:val="21"/>
                <w:highlight w:val="none"/>
              </w:rPr>
              <w:t>1.4.3（16）</w:t>
            </w:r>
          </w:p>
        </w:tc>
        <w:tc>
          <w:tcPr>
            <w:tcW w:w="1440" w:type="dxa"/>
            <w:vAlign w:val="center"/>
          </w:tcPr>
          <w:p>
            <w:pPr>
              <w:spacing w:line="360" w:lineRule="auto"/>
              <w:jc w:val="center"/>
              <w:rPr>
                <w:szCs w:val="21"/>
                <w:highlight w:val="none"/>
              </w:rPr>
            </w:pPr>
            <w:r>
              <w:rPr>
                <w:szCs w:val="21"/>
                <w:highlight w:val="none"/>
              </w:rPr>
              <w:t>是</w:t>
            </w:r>
          </w:p>
        </w:tc>
        <w:tc>
          <w:tcPr>
            <w:tcW w:w="907" w:type="dxa"/>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pPr>
              <w:spacing w:line="360" w:lineRule="auto"/>
              <w:jc w:val="center"/>
              <w:rPr>
                <w:szCs w:val="21"/>
                <w:highlight w:val="none"/>
              </w:rPr>
            </w:pPr>
            <w:r>
              <w:rPr>
                <w:szCs w:val="21"/>
                <w:highlight w:val="none"/>
              </w:rPr>
              <w:t>6</w:t>
            </w:r>
          </w:p>
        </w:tc>
        <w:tc>
          <w:tcPr>
            <w:tcW w:w="4680" w:type="dxa"/>
            <w:vAlign w:val="center"/>
          </w:tcPr>
          <w:p>
            <w:pPr>
              <w:snapToGrid w:val="0"/>
              <w:rPr>
                <w:szCs w:val="21"/>
                <w:highlight w:val="none"/>
              </w:rPr>
            </w:pPr>
            <w:r>
              <w:rPr>
                <w:szCs w:val="21"/>
                <w:highlight w:val="none"/>
              </w:rPr>
              <w:t>投标项目负责人</w:t>
            </w:r>
            <w:r>
              <w:rPr>
                <w:highlight w:val="none"/>
              </w:rPr>
              <w:t>是否</w:t>
            </w:r>
            <w:r>
              <w:rPr>
                <w:szCs w:val="21"/>
                <w:highlight w:val="none"/>
              </w:rPr>
              <w:t>有行贿犯罪记录的（由投标文件提交截止之日上溯3年，行贿犯罪记录日期以法院判决生效日期为准）</w:t>
            </w:r>
          </w:p>
        </w:tc>
        <w:tc>
          <w:tcPr>
            <w:tcW w:w="1301" w:type="dxa"/>
            <w:vAlign w:val="center"/>
          </w:tcPr>
          <w:p>
            <w:pPr>
              <w:spacing w:line="360" w:lineRule="auto"/>
              <w:ind w:left="509" w:hanging="508" w:hangingChars="212"/>
              <w:jc w:val="center"/>
              <w:rPr>
                <w:szCs w:val="21"/>
                <w:highlight w:val="none"/>
              </w:rPr>
            </w:pPr>
            <w:r>
              <w:rPr>
                <w:szCs w:val="21"/>
                <w:highlight w:val="none"/>
              </w:rPr>
              <w:t>1.4.3（17）</w:t>
            </w:r>
          </w:p>
        </w:tc>
        <w:tc>
          <w:tcPr>
            <w:tcW w:w="1440" w:type="dxa"/>
            <w:vAlign w:val="center"/>
          </w:tcPr>
          <w:p>
            <w:pPr>
              <w:spacing w:line="360" w:lineRule="auto"/>
              <w:jc w:val="center"/>
              <w:rPr>
                <w:szCs w:val="21"/>
                <w:highlight w:val="none"/>
              </w:rPr>
            </w:pPr>
            <w:r>
              <w:rPr>
                <w:szCs w:val="21"/>
                <w:highlight w:val="none"/>
              </w:rPr>
              <w:t>否</w:t>
            </w:r>
          </w:p>
        </w:tc>
        <w:tc>
          <w:tcPr>
            <w:tcW w:w="907" w:type="dxa"/>
          </w:tcPr>
          <w:p>
            <w:pPr>
              <w:spacing w:line="360" w:lineRule="auto"/>
              <w:rPr>
                <w:rFonts w:eastAsia="黑体"/>
                <w:b/>
                <w:szCs w:val="21"/>
                <w:highlight w:val="none"/>
              </w:rPr>
            </w:pPr>
          </w:p>
        </w:tc>
      </w:tr>
    </w:tbl>
    <w:p>
      <w:pPr>
        <w:autoSpaceDE/>
        <w:autoSpaceDN/>
        <w:snapToGrid w:val="0"/>
        <w:spacing w:line="340" w:lineRule="exact"/>
        <w:rPr>
          <w:szCs w:val="21"/>
          <w:highlight w:val="none"/>
        </w:rPr>
      </w:pPr>
    </w:p>
    <w:p>
      <w:pPr>
        <w:autoSpaceDE/>
        <w:autoSpaceDN/>
        <w:snapToGrid w:val="0"/>
        <w:spacing w:line="340" w:lineRule="exact"/>
        <w:rPr>
          <w:szCs w:val="21"/>
          <w:highlight w:val="none"/>
        </w:rPr>
      </w:pPr>
      <w:r>
        <w:rPr>
          <w:rFonts w:hint="eastAsia"/>
          <w:szCs w:val="21"/>
          <w:highlight w:val="none"/>
        </w:rPr>
        <w:t xml:space="preserve">法定代表人（签字或盖章）：               </w:t>
      </w:r>
    </w:p>
    <w:p>
      <w:pPr>
        <w:autoSpaceDE/>
        <w:autoSpaceDN/>
        <w:snapToGrid w:val="0"/>
        <w:spacing w:line="340" w:lineRule="exact"/>
        <w:ind w:right="640"/>
        <w:jc w:val="both"/>
        <w:rPr>
          <w:highlight w:val="none"/>
        </w:rPr>
      </w:pPr>
      <w:r>
        <w:rPr>
          <w:rFonts w:hint="eastAsia"/>
          <w:highlight w:val="none"/>
        </w:rPr>
        <w:t xml:space="preserve">投  标  人（盖章）：              </w:t>
      </w:r>
    </w:p>
    <w:p>
      <w:pPr>
        <w:autoSpaceDE/>
        <w:autoSpaceDN/>
        <w:snapToGrid w:val="0"/>
        <w:spacing w:line="340" w:lineRule="exact"/>
        <w:ind w:right="640"/>
        <w:jc w:val="both"/>
        <w:rPr>
          <w:rFonts w:ascii="黑体" w:hAnsi="黑体" w:eastAsia="黑体" w:cs="黑体"/>
          <w:b/>
          <w:bCs/>
          <w:sz w:val="28"/>
          <w:szCs w:val="28"/>
          <w:highlight w:val="none"/>
        </w:rPr>
      </w:pPr>
      <w:r>
        <w:rPr>
          <w:rFonts w:hint="eastAsia"/>
          <w:highlight w:val="none"/>
        </w:rPr>
        <w:t>日期：     年    月    日</w:t>
      </w:r>
      <w:bookmarkStart w:id="780" w:name="_Toc13671"/>
      <w:bookmarkStart w:id="781" w:name="_Toc16521993"/>
      <w:bookmarkStart w:id="782" w:name="_Toc402426895"/>
      <w:r>
        <w:rPr>
          <w:rFonts w:ascii="黑体" w:hAnsi="黑体" w:eastAsia="黑体" w:cs="黑体"/>
          <w:sz w:val="28"/>
          <w:szCs w:val="28"/>
          <w:highlight w:val="none"/>
        </w:rPr>
        <w:br w:type="page"/>
      </w:r>
    </w:p>
    <w:p>
      <w:pPr>
        <w:spacing w:before="91" w:line="222" w:lineRule="auto"/>
        <w:ind w:left="133"/>
        <w:outlineLvl w:val="1"/>
        <w:rPr>
          <w:rFonts w:ascii="黑体" w:hAnsi="黑体" w:eastAsia="黑体" w:cs="黑体"/>
          <w:sz w:val="28"/>
          <w:szCs w:val="28"/>
        </w:rPr>
      </w:pPr>
      <w:bookmarkStart w:id="783" w:name="_Toc24135"/>
      <w:r>
        <w:rPr>
          <w:rFonts w:hint="eastAsia" w:ascii="黑体" w:hAnsi="黑体" w:eastAsia="黑体" w:cs="黑体"/>
          <w:sz w:val="28"/>
          <w:szCs w:val="28"/>
          <w:highlight w:val="none"/>
        </w:rPr>
        <w:t>六、</w:t>
      </w:r>
      <w:bookmarkEnd w:id="780"/>
      <w:bookmarkEnd w:id="781"/>
      <w:bookmarkEnd w:id="782"/>
      <w:bookmarkEnd w:id="783"/>
      <w:r>
        <w:rPr>
          <w:rFonts w:ascii="黑体" w:hAnsi="黑体" w:eastAsia="黑体" w:cs="黑体"/>
          <w:b/>
          <w:bCs/>
          <w:spacing w:val="-3"/>
          <w:sz w:val="28"/>
          <w:szCs w:val="28"/>
        </w:rPr>
        <w:t>建设工程投标人及项目负责人资信自查表</w:t>
      </w:r>
    </w:p>
    <w:p>
      <w:pPr>
        <w:pStyle w:val="8"/>
        <w:spacing w:line="272" w:lineRule="auto"/>
      </w:pPr>
    </w:p>
    <w:p>
      <w:pPr>
        <w:pStyle w:val="8"/>
        <w:spacing w:line="272" w:lineRule="auto"/>
      </w:pPr>
    </w:p>
    <w:p>
      <w:pPr>
        <w:pStyle w:val="8"/>
        <w:spacing w:line="273" w:lineRule="auto"/>
      </w:pPr>
    </w:p>
    <w:p>
      <w:pPr>
        <w:tabs>
          <w:tab w:val="left" w:pos="7920"/>
        </w:tabs>
        <w:spacing w:before="91" w:line="390" w:lineRule="auto"/>
        <w:ind w:left="1629" w:right="558" w:hanging="1159"/>
        <w:rPr>
          <w:rFonts w:ascii="宋体" w:hAnsi="宋体" w:eastAsia="宋体" w:cs="宋体"/>
          <w:sz w:val="30"/>
          <w:szCs w:val="30"/>
        </w:rPr>
      </w:pPr>
      <w:r>
        <w:rPr>
          <w:rFonts w:ascii="宋体" w:hAnsi="宋体" w:eastAsia="宋体" w:cs="宋体"/>
          <w:sz w:val="28"/>
          <w:szCs w:val="28"/>
          <w:u w:val="single" w:color="auto"/>
        </w:rPr>
        <w:tab/>
      </w:r>
      <w:r>
        <w:rPr>
          <w:rFonts w:ascii="宋体" w:hAnsi="宋体" w:eastAsia="宋体" w:cs="宋体"/>
          <w:sz w:val="28"/>
          <w:szCs w:val="28"/>
          <w:u w:val="single" w:color="auto"/>
        </w:rPr>
        <w:tab/>
      </w:r>
      <w:r>
        <w:rPr>
          <w:rFonts w:ascii="宋体" w:hAnsi="宋体" w:eastAsia="宋体" w:cs="宋体"/>
          <w:spacing w:val="-125"/>
          <w:sz w:val="28"/>
          <w:szCs w:val="28"/>
        </w:rPr>
        <w:t xml:space="preserve"> </w:t>
      </w:r>
      <w:r>
        <w:rPr>
          <w:rFonts w:ascii="宋体" w:hAnsi="宋体" w:eastAsia="宋体" w:cs="宋体"/>
          <w:b/>
          <w:bCs/>
          <w:spacing w:val="-10"/>
          <w:sz w:val="28"/>
          <w:szCs w:val="28"/>
        </w:rPr>
        <w:t>工程</w:t>
      </w:r>
      <w:r>
        <w:rPr>
          <w:rFonts w:ascii="宋体" w:hAnsi="宋体" w:eastAsia="宋体" w:cs="宋体"/>
          <w:sz w:val="28"/>
          <w:szCs w:val="28"/>
        </w:rPr>
        <w:t xml:space="preserve"> </w:t>
      </w:r>
      <w:r>
        <w:rPr>
          <w:rFonts w:ascii="宋体" w:hAnsi="宋体" w:eastAsia="宋体" w:cs="宋体"/>
          <w:b/>
          <w:bCs/>
          <w:spacing w:val="-3"/>
          <w:sz w:val="30"/>
          <w:szCs w:val="30"/>
        </w:rPr>
        <w:t>建设工程投标人及项目负责人资信分自查表</w:t>
      </w:r>
    </w:p>
    <w:p>
      <w:pPr>
        <w:spacing w:before="33" w:line="373" w:lineRule="auto"/>
        <w:ind w:left="143" w:right="229" w:firstLine="470"/>
        <w:rPr>
          <w:rFonts w:ascii="宋体" w:hAnsi="宋体" w:eastAsia="宋体" w:cs="宋体"/>
          <w:sz w:val="24"/>
          <w:szCs w:val="24"/>
        </w:rPr>
      </w:pPr>
      <w:r>
        <w:rPr>
          <w:rFonts w:ascii="宋体" w:hAnsi="宋体" w:eastAsia="宋体" w:cs="宋体"/>
          <w:spacing w:val="-1"/>
          <w:sz w:val="28"/>
          <w:szCs w:val="28"/>
        </w:rPr>
        <w:t>根据本工程投标截止日前两个月，经台州市建筑业信息管理网网站</w:t>
      </w:r>
      <w:r>
        <w:rPr>
          <w:rFonts w:ascii="宋体" w:hAnsi="宋体" w:eastAsia="宋体" w:cs="宋体"/>
          <w:spacing w:val="18"/>
          <w:sz w:val="28"/>
          <w:szCs w:val="28"/>
        </w:rPr>
        <w:t xml:space="preserve"> </w:t>
      </w:r>
      <w:r>
        <w:rPr>
          <w:rFonts w:ascii="宋体" w:hAnsi="宋体" w:eastAsia="宋体" w:cs="宋体"/>
          <w:sz w:val="28"/>
          <w:szCs w:val="28"/>
        </w:rPr>
        <w:t>（</w:t>
      </w:r>
      <w:r>
        <w:fldChar w:fldCharType="begin"/>
      </w:r>
      <w:r>
        <w:instrText xml:space="preserve"> HYPERLINK "http://tzjzy.jsj.zjtz.gov.cn/" </w:instrText>
      </w:r>
      <w:r>
        <w:fldChar w:fldCharType="separate"/>
      </w:r>
      <w:r>
        <w:rPr>
          <w:rFonts w:ascii="宋体" w:hAnsi="宋体" w:eastAsia="宋体" w:cs="宋体"/>
          <w:sz w:val="28"/>
          <w:szCs w:val="28"/>
        </w:rPr>
        <w:t>http://tzjzy.jsj.zjtz.gov.</w:t>
      </w:r>
      <w:r>
        <w:rPr>
          <w:rFonts w:ascii="宋体" w:hAnsi="宋体" w:eastAsia="宋体" w:cs="宋体"/>
          <w:spacing w:val="-1"/>
          <w:sz w:val="28"/>
          <w:szCs w:val="28"/>
        </w:rPr>
        <w:t>cn/</w:t>
      </w:r>
      <w:r>
        <w:rPr>
          <w:rFonts w:ascii="宋体" w:hAnsi="宋体" w:eastAsia="宋体" w:cs="宋体"/>
          <w:spacing w:val="-1"/>
          <w:sz w:val="28"/>
          <w:szCs w:val="28"/>
        </w:rPr>
        <w:fldChar w:fldCharType="end"/>
      </w:r>
      <w:r>
        <w:rPr>
          <w:rFonts w:ascii="宋体" w:hAnsi="宋体" w:eastAsia="宋体" w:cs="宋体"/>
          <w:spacing w:val="-1"/>
          <w:sz w:val="28"/>
          <w:szCs w:val="28"/>
        </w:rPr>
        <w:t>）省信用评价公示公布系统公布栏</w:t>
      </w:r>
      <w:r>
        <w:rPr>
          <w:rFonts w:ascii="宋体" w:hAnsi="宋体" w:eastAsia="宋体" w:cs="宋体"/>
          <w:sz w:val="28"/>
          <w:szCs w:val="28"/>
        </w:rPr>
        <w:t xml:space="preserve">  </w:t>
      </w:r>
      <w:r>
        <w:rPr>
          <w:rFonts w:ascii="宋体" w:hAnsi="宋体" w:eastAsia="宋体" w:cs="宋体"/>
          <w:spacing w:val="-1"/>
          <w:sz w:val="28"/>
          <w:szCs w:val="28"/>
        </w:rPr>
        <w:t>发布的评审结果，我公司及项目负责人的信用评价等级以及省信用评价</w:t>
      </w:r>
      <w:r>
        <w:rPr>
          <w:rFonts w:ascii="宋体" w:hAnsi="宋体" w:eastAsia="宋体" w:cs="宋体"/>
          <w:spacing w:val="15"/>
          <w:sz w:val="28"/>
          <w:szCs w:val="28"/>
        </w:rPr>
        <w:t xml:space="preserve"> </w:t>
      </w:r>
      <w:r>
        <w:rPr>
          <w:rFonts w:ascii="宋体" w:hAnsi="宋体" w:eastAsia="宋体" w:cs="宋体"/>
          <w:spacing w:val="-3"/>
          <w:sz w:val="28"/>
          <w:szCs w:val="28"/>
        </w:rPr>
        <w:t>总分如下：</w:t>
      </w:r>
    </w:p>
    <w:p>
      <w:pPr>
        <w:spacing w:before="22" w:line="405" w:lineRule="auto"/>
        <w:ind w:left="129" w:right="246" w:firstLine="554"/>
        <w:jc w:val="both"/>
        <w:rPr>
          <w:rFonts w:ascii="宋体" w:hAnsi="宋体" w:eastAsia="宋体" w:cs="宋体"/>
          <w:sz w:val="28"/>
          <w:szCs w:val="28"/>
        </w:rPr>
      </w:pPr>
    </w:p>
    <w:p>
      <w:pPr>
        <w:spacing w:line="179" w:lineRule="exact"/>
      </w:pPr>
    </w:p>
    <w:tbl>
      <w:tblPr>
        <w:tblStyle w:val="39"/>
        <w:tblW w:w="89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3686"/>
        <w:gridCol w:w="3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086" w:type="dxa"/>
            <w:vAlign w:val="top"/>
          </w:tcPr>
          <w:p>
            <w:pPr>
              <w:rPr>
                <w:rFonts w:ascii="Arial"/>
                <w:sz w:val="21"/>
              </w:rPr>
            </w:pPr>
          </w:p>
        </w:tc>
        <w:tc>
          <w:tcPr>
            <w:tcW w:w="3686" w:type="dxa"/>
            <w:vAlign w:val="top"/>
          </w:tcPr>
          <w:p>
            <w:pPr>
              <w:pStyle w:val="42"/>
              <w:spacing w:before="178" w:line="218" w:lineRule="auto"/>
              <w:ind w:left="1010"/>
              <w:rPr>
                <w:sz w:val="28"/>
                <w:szCs w:val="28"/>
              </w:rPr>
            </w:pPr>
            <w:r>
              <w:rPr>
                <w:spacing w:val="-2"/>
                <w:sz w:val="28"/>
                <w:szCs w:val="28"/>
              </w:rPr>
              <w:t>信用评价等级</w:t>
            </w:r>
          </w:p>
        </w:tc>
        <w:tc>
          <w:tcPr>
            <w:tcW w:w="3210" w:type="dxa"/>
            <w:vAlign w:val="top"/>
          </w:tcPr>
          <w:p>
            <w:pPr>
              <w:pStyle w:val="42"/>
              <w:spacing w:before="178" w:line="218" w:lineRule="auto"/>
              <w:ind w:left="638"/>
              <w:rPr>
                <w:sz w:val="28"/>
                <w:szCs w:val="28"/>
              </w:rPr>
            </w:pPr>
            <w:r>
              <w:rPr>
                <w:spacing w:val="-3"/>
                <w:sz w:val="28"/>
                <w:szCs w:val="28"/>
              </w:rPr>
              <w:t>省信用评价总分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86" w:type="dxa"/>
            <w:vAlign w:val="top"/>
          </w:tcPr>
          <w:p>
            <w:pPr>
              <w:pStyle w:val="42"/>
              <w:spacing w:before="175" w:line="220" w:lineRule="auto"/>
              <w:ind w:left="629"/>
              <w:rPr>
                <w:sz w:val="28"/>
                <w:szCs w:val="28"/>
              </w:rPr>
            </w:pPr>
            <w:r>
              <w:rPr>
                <w:spacing w:val="-3"/>
                <w:sz w:val="28"/>
                <w:szCs w:val="28"/>
              </w:rPr>
              <w:t>投标人</w:t>
            </w:r>
          </w:p>
        </w:tc>
        <w:tc>
          <w:tcPr>
            <w:tcW w:w="3686" w:type="dxa"/>
            <w:vAlign w:val="top"/>
          </w:tcPr>
          <w:p>
            <w:pPr>
              <w:rPr>
                <w:rFonts w:ascii="Arial"/>
                <w:sz w:val="21"/>
              </w:rPr>
            </w:pPr>
          </w:p>
        </w:tc>
        <w:tc>
          <w:tcPr>
            <w:tcW w:w="32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086" w:type="dxa"/>
            <w:vAlign w:val="top"/>
          </w:tcPr>
          <w:p>
            <w:pPr>
              <w:pStyle w:val="42"/>
              <w:spacing w:before="177" w:line="219" w:lineRule="auto"/>
              <w:ind w:left="353"/>
              <w:rPr>
                <w:sz w:val="28"/>
                <w:szCs w:val="28"/>
              </w:rPr>
            </w:pPr>
            <w:r>
              <w:rPr>
                <w:spacing w:val="-3"/>
                <w:sz w:val="28"/>
                <w:szCs w:val="28"/>
              </w:rPr>
              <w:t>项目负责人</w:t>
            </w:r>
          </w:p>
        </w:tc>
        <w:tc>
          <w:tcPr>
            <w:tcW w:w="3686" w:type="dxa"/>
            <w:vAlign w:val="center"/>
          </w:tcPr>
          <w:p>
            <w:pPr>
              <w:jc w:val="center"/>
              <w:rPr>
                <w:rFonts w:ascii="Arial"/>
                <w:sz w:val="21"/>
              </w:rPr>
            </w:pPr>
            <w:r>
              <w:rPr>
                <w:rFonts w:hint="eastAsia" w:ascii="Arial"/>
                <w:sz w:val="21"/>
                <w:lang w:val="en-US" w:eastAsia="zh-CN"/>
              </w:rPr>
              <w:t>/</w:t>
            </w:r>
          </w:p>
        </w:tc>
        <w:tc>
          <w:tcPr>
            <w:tcW w:w="3210" w:type="dxa"/>
            <w:vAlign w:val="center"/>
          </w:tcPr>
          <w:p>
            <w:pPr>
              <w:jc w:val="center"/>
              <w:rPr>
                <w:rFonts w:hint="eastAsia" w:ascii="Arial" w:eastAsia="宋体"/>
                <w:sz w:val="21"/>
                <w:lang w:val="en-US" w:eastAsia="zh-CN"/>
              </w:rPr>
            </w:pPr>
            <w:r>
              <w:rPr>
                <w:rFonts w:hint="eastAsia" w:ascii="Arial"/>
                <w:sz w:val="21"/>
                <w:lang w:val="en-US" w:eastAsia="zh-CN"/>
              </w:rPr>
              <w:t>/</w:t>
            </w:r>
          </w:p>
        </w:tc>
      </w:tr>
    </w:tbl>
    <w:p>
      <w:pPr>
        <w:spacing w:before="74"/>
      </w:pPr>
    </w:p>
    <w:p>
      <w:pPr>
        <w:spacing w:before="74"/>
      </w:pPr>
    </w:p>
    <w:tbl>
      <w:tblPr>
        <w:tblStyle w:val="39"/>
        <w:tblW w:w="8950"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5"/>
        <w:gridCol w:w="44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475" w:type="dxa"/>
            <w:vAlign w:val="top"/>
          </w:tcPr>
          <w:p>
            <w:pPr>
              <w:rPr>
                <w:rFonts w:ascii="Arial"/>
                <w:sz w:val="21"/>
              </w:rPr>
            </w:pPr>
          </w:p>
        </w:tc>
        <w:tc>
          <w:tcPr>
            <w:tcW w:w="4475" w:type="dxa"/>
            <w:vAlign w:val="top"/>
          </w:tcPr>
          <w:p>
            <w:pPr>
              <w:pStyle w:val="42"/>
              <w:spacing w:before="177" w:line="219" w:lineRule="auto"/>
              <w:ind w:left="1965"/>
              <w:rPr>
                <w:sz w:val="28"/>
                <w:szCs w:val="28"/>
              </w:rPr>
            </w:pPr>
            <w:r>
              <w:rPr>
                <w:spacing w:val="-5"/>
                <w:sz w:val="28"/>
                <w:szCs w:val="28"/>
                <w:u w:val="single" w:color="auto"/>
              </w:rPr>
              <w:t>姓名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475" w:type="dxa"/>
            <w:vAlign w:val="top"/>
          </w:tcPr>
          <w:p>
            <w:pPr>
              <w:pStyle w:val="42"/>
              <w:spacing w:before="175" w:line="219" w:lineRule="auto"/>
              <w:ind w:left="1547"/>
              <w:rPr>
                <w:sz w:val="28"/>
                <w:szCs w:val="28"/>
              </w:rPr>
            </w:pPr>
            <w:r>
              <w:rPr>
                <w:spacing w:val="-3"/>
                <w:sz w:val="28"/>
                <w:szCs w:val="28"/>
                <w:u w:val="single" w:color="auto"/>
              </w:rPr>
              <w:t>项目负责人</w:t>
            </w:r>
          </w:p>
        </w:tc>
        <w:tc>
          <w:tcPr>
            <w:tcW w:w="4475" w:type="dxa"/>
            <w:vAlign w:val="top"/>
          </w:tcPr>
          <w:p>
            <w:pPr>
              <w:rPr>
                <w:rFonts w:ascii="Arial"/>
                <w:sz w:val="21"/>
              </w:rPr>
            </w:pPr>
          </w:p>
        </w:tc>
      </w:tr>
    </w:tbl>
    <w:p>
      <w:pPr>
        <w:pStyle w:val="8"/>
        <w:spacing w:line="261" w:lineRule="auto"/>
      </w:pPr>
    </w:p>
    <w:p>
      <w:pPr>
        <w:pStyle w:val="8"/>
        <w:spacing w:line="261" w:lineRule="auto"/>
      </w:pPr>
    </w:p>
    <w:p>
      <w:pPr>
        <w:pStyle w:val="8"/>
        <w:spacing w:line="261" w:lineRule="auto"/>
      </w:pPr>
    </w:p>
    <w:p>
      <w:pPr>
        <w:pStyle w:val="8"/>
        <w:spacing w:line="261" w:lineRule="auto"/>
      </w:pPr>
    </w:p>
    <w:p>
      <w:pPr>
        <w:pStyle w:val="8"/>
        <w:spacing w:line="261" w:lineRule="auto"/>
      </w:pPr>
    </w:p>
    <w:p>
      <w:pPr>
        <w:pStyle w:val="8"/>
        <w:spacing w:line="262" w:lineRule="auto"/>
      </w:pPr>
    </w:p>
    <w:p>
      <w:pPr>
        <w:pStyle w:val="8"/>
        <w:spacing w:line="262" w:lineRule="auto"/>
      </w:pPr>
    </w:p>
    <w:p>
      <w:pPr>
        <w:pStyle w:val="8"/>
        <w:spacing w:line="262" w:lineRule="auto"/>
      </w:pPr>
    </w:p>
    <w:p>
      <w:pPr>
        <w:pStyle w:val="8"/>
        <w:spacing w:line="262" w:lineRule="auto"/>
      </w:pPr>
    </w:p>
    <w:p>
      <w:pPr>
        <w:spacing w:before="78" w:line="218" w:lineRule="auto"/>
        <w:ind w:left="3908"/>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rPr>
        <w:t>）：</w:t>
      </w:r>
    </w:p>
    <w:p>
      <w:pPr>
        <w:pStyle w:val="8"/>
        <w:spacing w:line="330" w:lineRule="auto"/>
      </w:pPr>
    </w:p>
    <w:p>
      <w:pPr>
        <w:spacing w:before="79" w:line="218" w:lineRule="auto"/>
        <w:ind w:left="3724"/>
        <w:rPr>
          <w:rFonts w:ascii="宋体" w:hAnsi="宋体" w:eastAsia="宋体" w:cs="宋体"/>
          <w:sz w:val="24"/>
          <w:szCs w:val="24"/>
        </w:rPr>
        <w:sectPr>
          <w:footerReference r:id="rId8" w:type="default"/>
          <w:pgSz w:w="11906" w:h="16839"/>
          <w:pgMar w:top="1431" w:right="1390" w:bottom="1147" w:left="1475" w:header="0" w:footer="960" w:gutter="0"/>
          <w:cols w:space="720" w:num="1"/>
        </w:sectPr>
      </w:pPr>
      <w:r>
        <w:rPr>
          <w:rFonts w:ascii="宋体" w:hAnsi="宋体" w:eastAsia="宋体" w:cs="宋体"/>
          <w:spacing w:val="-7"/>
          <w:sz w:val="24"/>
          <w:szCs w:val="24"/>
        </w:rPr>
        <w:t>投</w:t>
      </w:r>
      <w:r>
        <w:rPr>
          <w:rFonts w:ascii="宋体" w:hAnsi="宋体" w:eastAsia="宋体" w:cs="宋体"/>
          <w:spacing w:val="32"/>
          <w:sz w:val="24"/>
          <w:szCs w:val="24"/>
        </w:rPr>
        <w:t xml:space="preserve"> </w:t>
      </w:r>
      <w:r>
        <w:rPr>
          <w:rFonts w:ascii="宋体" w:hAnsi="宋体" w:eastAsia="宋体" w:cs="宋体"/>
          <w:spacing w:val="-7"/>
          <w:sz w:val="24"/>
          <w:szCs w:val="24"/>
        </w:rPr>
        <w:t>标</w:t>
      </w:r>
      <w:r>
        <w:rPr>
          <w:rFonts w:ascii="宋体" w:hAnsi="宋体" w:eastAsia="宋体" w:cs="宋体"/>
          <w:spacing w:val="34"/>
          <w:sz w:val="24"/>
          <w:szCs w:val="24"/>
        </w:rPr>
        <w:t xml:space="preserve"> </w:t>
      </w:r>
      <w:r>
        <w:rPr>
          <w:rFonts w:ascii="宋体" w:hAnsi="宋体" w:eastAsia="宋体" w:cs="宋体"/>
          <w:spacing w:val="-7"/>
          <w:sz w:val="24"/>
          <w:szCs w:val="24"/>
        </w:rPr>
        <w:t>人（盖章</w:t>
      </w:r>
      <w:r>
        <w:rPr>
          <w:rFonts w:ascii="宋体" w:hAnsi="宋体" w:eastAsia="宋体" w:cs="宋体"/>
          <w:spacing w:val="1"/>
          <w:sz w:val="24"/>
          <w:szCs w:val="24"/>
        </w:rPr>
        <w:t>）：</w:t>
      </w:r>
      <w:r>
        <w:rPr>
          <w:rFonts w:ascii="宋体" w:hAnsi="宋体" w:eastAsia="宋体" w:cs="宋体"/>
          <w:spacing w:val="5"/>
          <w:sz w:val="24"/>
          <w:szCs w:val="24"/>
        </w:rPr>
        <w:t xml:space="preserve">        </w:t>
      </w:r>
      <w:r>
        <w:rPr>
          <w:rFonts w:ascii="宋体" w:hAnsi="宋体" w:eastAsia="宋体" w:cs="宋体"/>
          <w:spacing w:val="-7"/>
          <w:sz w:val="24"/>
          <w:szCs w:val="24"/>
        </w:rPr>
        <w:t>年</w:t>
      </w:r>
      <w:r>
        <w:rPr>
          <w:rFonts w:ascii="宋体" w:hAnsi="宋体" w:eastAsia="宋体" w:cs="宋体"/>
          <w:spacing w:val="34"/>
          <w:sz w:val="24"/>
          <w:szCs w:val="24"/>
        </w:rPr>
        <w:t xml:space="preserve">  </w:t>
      </w:r>
      <w:r>
        <w:rPr>
          <w:rFonts w:ascii="宋体" w:hAnsi="宋体" w:eastAsia="宋体" w:cs="宋体"/>
          <w:spacing w:val="-7"/>
          <w:sz w:val="24"/>
          <w:szCs w:val="24"/>
        </w:rPr>
        <w:t>月</w:t>
      </w:r>
      <w:r>
        <w:rPr>
          <w:rFonts w:ascii="宋体" w:hAnsi="宋体" w:eastAsia="宋体" w:cs="宋体"/>
          <w:spacing w:val="46"/>
          <w:sz w:val="24"/>
          <w:szCs w:val="24"/>
        </w:rPr>
        <w:t xml:space="preserve">  </w:t>
      </w:r>
      <w:r>
        <w:rPr>
          <w:rFonts w:ascii="宋体" w:hAnsi="宋体" w:eastAsia="宋体" w:cs="宋体"/>
          <w:spacing w:val="-7"/>
          <w:sz w:val="24"/>
          <w:szCs w:val="24"/>
        </w:rPr>
        <w:t>日</w:t>
      </w:r>
    </w:p>
    <w:p>
      <w:pPr>
        <w:snapToGrid w:val="0"/>
        <w:spacing w:line="586" w:lineRule="exact"/>
        <w:ind w:right="640"/>
        <w:jc w:val="both"/>
        <w:rPr>
          <w:highlight w:val="none"/>
        </w:rPr>
      </w:pPr>
    </w:p>
    <w:p>
      <w:pPr>
        <w:pStyle w:val="3"/>
        <w:ind w:left="0"/>
        <w:rPr>
          <w:rFonts w:ascii="黑体" w:hAnsi="黑体" w:eastAsia="黑体" w:cs="黑体"/>
          <w:sz w:val="28"/>
          <w:szCs w:val="28"/>
          <w:highlight w:val="none"/>
        </w:rPr>
      </w:pPr>
      <w:bookmarkStart w:id="784" w:name="_Toc23180"/>
      <w:r>
        <w:rPr>
          <w:rFonts w:hint="eastAsia" w:ascii="黑体" w:hAnsi="黑体" w:eastAsia="黑体" w:cs="黑体"/>
          <w:sz w:val="28"/>
          <w:szCs w:val="28"/>
          <w:highlight w:val="none"/>
        </w:rPr>
        <w:t>七、台州市建设工程诚信投标承诺书</w:t>
      </w:r>
      <w:bookmarkEnd w:id="784"/>
    </w:p>
    <w:p>
      <w:pPr>
        <w:jc w:val="center"/>
        <w:rPr>
          <w:sz w:val="30"/>
          <w:szCs w:val="30"/>
          <w:highlight w:val="none"/>
        </w:rPr>
      </w:pPr>
      <w:bookmarkStart w:id="785" w:name="_Toc837"/>
      <w:bookmarkStart w:id="786" w:name="_Toc22238_WPSOffice_Level2"/>
      <w:bookmarkStart w:id="787" w:name="_Toc26720_WPSOffice_Level2"/>
      <w:r>
        <w:rPr>
          <w:rFonts w:hint="eastAsia"/>
          <w:sz w:val="30"/>
          <w:szCs w:val="30"/>
          <w:highlight w:val="none"/>
        </w:rPr>
        <w:t>台州市建设工程诚信投标承诺书</w:t>
      </w:r>
      <w:bookmarkEnd w:id="785"/>
      <w:bookmarkEnd w:id="786"/>
      <w:bookmarkEnd w:id="787"/>
    </w:p>
    <w:p>
      <w:pPr>
        <w:snapToGrid w:val="0"/>
        <w:spacing w:line="360" w:lineRule="auto"/>
        <w:rPr>
          <w:highlight w:val="none"/>
        </w:rPr>
      </w:pPr>
    </w:p>
    <w:p>
      <w:pPr>
        <w:snapToGrid w:val="0"/>
        <w:spacing w:line="420" w:lineRule="auto"/>
        <w:ind w:firstLine="491" w:firstLineChars="205"/>
        <w:rPr>
          <w:rFonts w:ascii="宋体" w:hAnsi="宋体"/>
          <w:highlight w:val="none"/>
        </w:rPr>
      </w:pPr>
      <w:r>
        <w:rPr>
          <w:rFonts w:hint="eastAsia" w:ascii="宋体" w:hAnsi="宋体"/>
          <w:highlight w:val="none"/>
        </w:rPr>
        <w:t>本人以企业法定代表人的身份郑重承诺：</w:t>
      </w:r>
    </w:p>
    <w:p>
      <w:pPr>
        <w:snapToGrid w:val="0"/>
        <w:spacing w:line="420" w:lineRule="auto"/>
        <w:ind w:firstLine="513" w:firstLineChars="214"/>
        <w:rPr>
          <w:rFonts w:ascii="宋体" w:hAnsi="宋体"/>
          <w:highlight w:val="none"/>
        </w:rPr>
      </w:pPr>
      <w:r>
        <w:rPr>
          <w:rFonts w:hint="eastAsia" w:ascii="宋体" w:hAnsi="宋体"/>
          <w:highlight w:val="none"/>
        </w:rPr>
        <w:t>一、将遵循公开、公平、公正和诚实信用的原则参加</w:t>
      </w:r>
      <w:r>
        <w:rPr>
          <w:rFonts w:hint="eastAsia" w:ascii="宋体" w:hAnsi="宋体"/>
          <w:highlight w:val="none"/>
          <w:u w:val="single"/>
        </w:rPr>
        <w:t xml:space="preserve">                  </w:t>
      </w:r>
      <w:r>
        <w:rPr>
          <w:rFonts w:hint="eastAsia" w:ascii="宋体" w:hAnsi="宋体"/>
          <w:highlight w:val="none"/>
        </w:rPr>
        <w:t>（工程项目名称）的投标；</w:t>
      </w:r>
    </w:p>
    <w:p>
      <w:pPr>
        <w:snapToGrid w:val="0"/>
        <w:spacing w:line="420" w:lineRule="auto"/>
        <w:ind w:firstLine="523" w:firstLineChars="218"/>
        <w:rPr>
          <w:rFonts w:ascii="宋体" w:hAnsi="宋体"/>
          <w:highlight w:val="none"/>
        </w:rPr>
      </w:pPr>
      <w:r>
        <w:rPr>
          <w:rFonts w:hint="eastAsia" w:ascii="宋体" w:hAnsi="宋体"/>
          <w:highlight w:val="none"/>
        </w:rPr>
        <w:t>二、所提供的一切材料都是真实、有效、合法的；</w:t>
      </w:r>
    </w:p>
    <w:p>
      <w:pPr>
        <w:snapToGrid w:val="0"/>
        <w:spacing w:line="420" w:lineRule="auto"/>
        <w:ind w:firstLine="535" w:firstLineChars="223"/>
        <w:rPr>
          <w:rFonts w:ascii="宋体" w:hAnsi="宋体"/>
          <w:highlight w:val="none"/>
        </w:rPr>
      </w:pPr>
      <w:r>
        <w:rPr>
          <w:rFonts w:hint="eastAsia" w:ascii="宋体" w:hAnsi="宋体"/>
          <w:highlight w:val="none"/>
        </w:rPr>
        <w:t>三、本公司的投标资格已按照《台州市建设工程投标人资格自查表》和《台州市建设工程投标项目负责人资格自查表》逐条自查，并如实填写；</w:t>
      </w:r>
    </w:p>
    <w:p>
      <w:pPr>
        <w:snapToGrid w:val="0"/>
        <w:spacing w:line="420" w:lineRule="auto"/>
        <w:ind w:firstLine="480" w:firstLineChars="200"/>
        <w:rPr>
          <w:rFonts w:ascii="宋体" w:hAnsi="宋体"/>
          <w:highlight w:val="none"/>
        </w:rPr>
      </w:pPr>
      <w:r>
        <w:rPr>
          <w:rFonts w:hint="eastAsia" w:ascii="宋体" w:hAnsi="宋体"/>
          <w:highlight w:val="none"/>
        </w:rPr>
        <w:t>四、不存在串通投标行为（包括不存在招标文件第三章“评标办法”第3.1.2和第3.1.3项规定的情形）；</w:t>
      </w:r>
    </w:p>
    <w:p>
      <w:pPr>
        <w:snapToGrid w:val="0"/>
        <w:spacing w:line="420" w:lineRule="auto"/>
        <w:ind w:firstLine="513" w:firstLineChars="214"/>
        <w:rPr>
          <w:rFonts w:ascii="宋体" w:hAnsi="宋体"/>
          <w:highlight w:val="none"/>
        </w:rPr>
      </w:pPr>
      <w:r>
        <w:rPr>
          <w:rFonts w:hint="eastAsia" w:ascii="宋体" w:hAnsi="宋体"/>
          <w:highlight w:val="none"/>
        </w:rPr>
        <w:t>五、不存在他人以本公司名义投标或者不存在以其他方式弄虚作假的行为；</w:t>
      </w:r>
    </w:p>
    <w:p>
      <w:pPr>
        <w:snapToGrid w:val="0"/>
        <w:spacing w:line="420" w:lineRule="auto"/>
        <w:ind w:firstLine="513" w:firstLineChars="214"/>
        <w:rPr>
          <w:rFonts w:ascii="宋体" w:hAnsi="宋体"/>
          <w:highlight w:val="none"/>
        </w:rPr>
      </w:pPr>
      <w:r>
        <w:rPr>
          <w:rFonts w:hint="eastAsia" w:ascii="宋体" w:hAnsi="宋体"/>
          <w:highlight w:val="none"/>
        </w:rPr>
        <w:t>六、不存在向招标人或者评标委员会成员行贿以牟取中标的行为。</w:t>
      </w:r>
    </w:p>
    <w:p>
      <w:pPr>
        <w:snapToGrid w:val="0"/>
        <w:spacing w:line="420" w:lineRule="auto"/>
        <w:ind w:firstLine="516" w:firstLineChars="214"/>
        <w:rPr>
          <w:rFonts w:hint="eastAsia" w:ascii="宋体" w:hAnsi="宋体" w:eastAsia="宋体"/>
          <w:b/>
          <w:bCs/>
          <w:highlight w:val="none"/>
          <w:lang w:eastAsia="zh-CN"/>
        </w:rPr>
      </w:pPr>
      <w:r>
        <w:rPr>
          <w:rFonts w:hint="eastAsia" w:ascii="宋体" w:hAnsi="宋体"/>
          <w:b/>
          <w:bCs/>
          <w:highlight w:val="none"/>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pPr>
        <w:snapToGrid w:val="0"/>
        <w:spacing w:line="420" w:lineRule="auto"/>
        <w:ind w:firstLine="513" w:firstLineChars="214"/>
        <w:rPr>
          <w:rFonts w:ascii="宋体" w:hAnsi="宋体"/>
          <w:highlight w:val="none"/>
          <w:u w:val="single"/>
        </w:rPr>
      </w:pPr>
      <w:r>
        <w:rPr>
          <w:rFonts w:hint="eastAsia" w:ascii="宋体" w:hAnsi="宋体"/>
          <w:highlight w:val="none"/>
        </w:rPr>
        <w:t>如招标人需要调查了解的，本公司负责本次投标的主管人员（分管经营的副总）将积极配合。主管人员：</w:t>
      </w:r>
      <w:r>
        <w:rPr>
          <w:rFonts w:hint="eastAsia" w:ascii="宋体" w:hAnsi="宋体"/>
          <w:highlight w:val="none"/>
          <w:u w:val="single"/>
        </w:rPr>
        <w:t xml:space="preserve">            </w:t>
      </w:r>
      <w:r>
        <w:rPr>
          <w:rFonts w:hint="eastAsia" w:ascii="宋体" w:hAnsi="宋体"/>
          <w:highlight w:val="none"/>
        </w:rPr>
        <w:t xml:space="preserve">      手机：</w:t>
      </w:r>
      <w:r>
        <w:rPr>
          <w:rFonts w:hint="eastAsia" w:ascii="宋体" w:hAnsi="宋体"/>
          <w:highlight w:val="none"/>
          <w:u w:val="single"/>
        </w:rPr>
        <w:t xml:space="preserve">                </w:t>
      </w:r>
    </w:p>
    <w:p>
      <w:pPr>
        <w:snapToGrid w:val="0"/>
        <w:spacing w:line="420" w:lineRule="auto"/>
        <w:ind w:firstLine="482" w:firstLineChars="200"/>
        <w:rPr>
          <w:rFonts w:ascii="宋体" w:hAnsi="宋体"/>
          <w:b/>
          <w:highlight w:val="none"/>
        </w:rPr>
      </w:pPr>
      <w:r>
        <w:rPr>
          <w:rFonts w:hint="eastAsia" w:ascii="宋体" w:hAnsi="宋体"/>
          <w:b/>
          <w:highlight w:val="none"/>
        </w:rPr>
        <w:t>本公司若有违反本承诺内容的行为，愿意按招标文件规定接受投标保证金的处理。如已中标的，自动放弃中标资格；给招标人造成损失的，依法承担赔偿责任。</w:t>
      </w:r>
    </w:p>
    <w:p>
      <w:pPr>
        <w:snapToGrid w:val="0"/>
        <w:spacing w:line="420" w:lineRule="auto"/>
        <w:rPr>
          <w:rFonts w:ascii="宋体" w:hAnsi="宋体"/>
          <w:highlight w:val="none"/>
          <w:u w:val="single"/>
        </w:rPr>
      </w:pPr>
    </w:p>
    <w:p>
      <w:pPr>
        <w:snapToGrid w:val="0"/>
        <w:spacing w:line="360" w:lineRule="auto"/>
        <w:rPr>
          <w:rFonts w:ascii="宋体" w:hAnsi="宋体"/>
          <w:highlight w:val="none"/>
        </w:rPr>
      </w:pPr>
      <w:r>
        <w:rPr>
          <w:rFonts w:hint="eastAsia" w:ascii="宋体" w:hAnsi="宋体"/>
          <w:highlight w:val="none"/>
        </w:rPr>
        <w:t>法定代表人（签字或盖章）：</w:t>
      </w:r>
    </w:p>
    <w:p>
      <w:pPr>
        <w:snapToGrid w:val="0"/>
        <w:spacing w:line="360" w:lineRule="auto"/>
        <w:rPr>
          <w:rFonts w:ascii="宋体" w:hAnsi="宋体"/>
          <w:highlight w:val="none"/>
        </w:rPr>
      </w:pPr>
      <w:r>
        <w:rPr>
          <w:rFonts w:hint="eastAsia" w:ascii="宋体" w:hAnsi="宋体"/>
          <w:highlight w:val="none"/>
        </w:rPr>
        <w:t>投  标  人（盖章）：</w:t>
      </w:r>
    </w:p>
    <w:p>
      <w:pPr>
        <w:spacing w:line="360" w:lineRule="auto"/>
        <w:jc w:val="both"/>
        <w:rPr>
          <w:rFonts w:ascii="宋体" w:hAnsi="宋体"/>
          <w:highlight w:val="none"/>
        </w:rPr>
      </w:pPr>
      <w:r>
        <w:rPr>
          <w:rFonts w:hint="eastAsia"/>
          <w:highlight w:val="none"/>
        </w:rPr>
        <w:t xml:space="preserve">日期：    </w:t>
      </w:r>
      <w:r>
        <w:rPr>
          <w:rFonts w:hint="eastAsia" w:ascii="宋体" w:hAnsi="宋体"/>
          <w:highlight w:val="none"/>
        </w:rPr>
        <w:t>年    月    日</w:t>
      </w:r>
    </w:p>
    <w:p>
      <w:pPr>
        <w:widowControl/>
        <w:autoSpaceDE/>
        <w:autoSpaceDN/>
        <w:adjustRightInd/>
        <w:rPr>
          <w:rFonts w:ascii="黑体" w:hAnsi="黑体" w:eastAsia="黑体" w:cs="黑体"/>
          <w:b/>
          <w:bCs/>
          <w:sz w:val="28"/>
          <w:szCs w:val="28"/>
          <w:highlight w:val="none"/>
        </w:rPr>
      </w:pPr>
      <w:bookmarkStart w:id="788" w:name="_Toc16521995"/>
      <w:bookmarkStart w:id="789" w:name="_Toc4248"/>
    </w:p>
    <w:p>
      <w:pPr>
        <w:pStyle w:val="34"/>
        <w:rPr>
          <w:szCs w:val="28"/>
          <w:highlight w:val="none"/>
        </w:rPr>
      </w:pPr>
      <w:bookmarkStart w:id="790" w:name="_Toc12002"/>
      <w:r>
        <w:rPr>
          <w:rFonts w:hint="eastAsia"/>
          <w:szCs w:val="28"/>
          <w:highlight w:val="none"/>
        </w:rPr>
        <w:t>八、法定代表人授权委托书</w:t>
      </w:r>
      <w:bookmarkEnd w:id="788"/>
      <w:bookmarkEnd w:id="789"/>
      <w:bookmarkEnd w:id="790"/>
    </w:p>
    <w:p>
      <w:pPr>
        <w:spacing w:line="440" w:lineRule="exact"/>
        <w:rPr>
          <w:rFonts w:ascii="Microsoft JhengHei" w:eastAsia="Microsoft JhengHei" w:cs="Microsoft JhengHei"/>
          <w:b/>
          <w:bCs/>
          <w:highlight w:val="none"/>
        </w:rPr>
      </w:pPr>
    </w:p>
    <w:p>
      <w:pPr>
        <w:snapToGrid w:val="0"/>
        <w:spacing w:before="156" w:beforeLines="50"/>
        <w:jc w:val="center"/>
        <w:rPr>
          <w:rFonts w:eastAsia="黑体"/>
          <w:sz w:val="44"/>
          <w:highlight w:val="none"/>
        </w:rPr>
      </w:pPr>
      <w:r>
        <w:rPr>
          <w:rFonts w:hint="eastAsia" w:eastAsia="黑体"/>
          <w:sz w:val="30"/>
          <w:szCs w:val="30"/>
          <w:highlight w:val="none"/>
        </w:rPr>
        <w:t>法定代表人授权委托书</w:t>
      </w:r>
    </w:p>
    <w:p>
      <w:pPr>
        <w:snapToGrid w:val="0"/>
        <w:spacing w:before="156" w:beforeLines="50"/>
        <w:jc w:val="center"/>
        <w:rPr>
          <w:sz w:val="28"/>
          <w:highlight w:val="none"/>
        </w:rPr>
      </w:pPr>
      <w:r>
        <w:rPr>
          <w:rFonts w:hint="eastAsia"/>
          <w:sz w:val="28"/>
          <w:highlight w:val="none"/>
        </w:rPr>
        <w:t>（参考样张）</w:t>
      </w:r>
    </w:p>
    <w:p>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pPr>
        <w:pStyle w:val="15"/>
        <w:spacing w:after="0" w:line="480" w:lineRule="exact"/>
        <w:ind w:left="42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p>
      <w:pPr>
        <w:snapToGrid w:val="0"/>
        <w:spacing w:before="156" w:beforeLines="50"/>
        <w:ind w:firstLine="48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highlight w:val="none"/>
        </w:rPr>
        <w:t>附</w:t>
      </w:r>
    </w:p>
    <w:p>
      <w:pPr>
        <w:rPr>
          <w:highlight w:val="none"/>
        </w:rPr>
      </w:pPr>
    </w:p>
    <w:p>
      <w:pPr>
        <w:snapToGrid w:val="0"/>
        <w:ind w:firstLine="480" w:firstLineChars="200"/>
        <w:rPr>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pPr>
                        <w:jc w:val="center"/>
                      </w:pPr>
                      <w:r>
                        <w:rPr>
                          <w:rFonts w:hint="eastAsia"/>
                        </w:rPr>
                        <w:t>代理人身份证正面复印件粘贴处</w:t>
                      </w:r>
                    </w:p>
                  </w:txbxContent>
                </v:textbox>
              </v:shape>
            </w:pict>
          </mc:Fallback>
        </mc:AlternateContent>
      </w: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jc w:val="both"/>
        <w:rPr>
          <w:rFonts w:ascii="宋体" w:hAnsi="宋体"/>
          <w:bCs/>
          <w:sz w:val="32"/>
          <w:szCs w:val="3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pPr>
                        <w:jc w:val="center"/>
                      </w:pPr>
                      <w:r>
                        <w:rPr>
                          <w:rFonts w:hint="eastAsia"/>
                        </w:rPr>
                        <w:t>代理人身份证背面复印件粘贴处</w:t>
                      </w:r>
                    </w:p>
                  </w:txbxContent>
                </v:textbox>
              </v:shape>
            </w:pict>
          </mc:Fallback>
        </mc:AlternateContent>
      </w: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snapToGrid w:val="0"/>
        <w:ind w:firstLine="640" w:firstLineChars="200"/>
        <w:jc w:val="right"/>
        <w:rPr>
          <w:rFonts w:ascii="宋体" w:hAnsi="宋体"/>
          <w:bCs/>
          <w:sz w:val="32"/>
          <w:szCs w:val="32"/>
          <w:highlight w:val="none"/>
        </w:rPr>
      </w:pPr>
    </w:p>
    <w:p>
      <w:pPr>
        <w:snapToGrid w:val="0"/>
        <w:jc w:val="both"/>
        <w:rPr>
          <w:rFonts w:ascii="宋体" w:hAnsi="宋体"/>
          <w:bCs/>
          <w:sz w:val="32"/>
          <w:szCs w:val="32"/>
          <w:highlight w:val="none"/>
        </w:rPr>
      </w:pPr>
    </w:p>
    <w:p>
      <w:pPr>
        <w:snapToGrid w:val="0"/>
        <w:spacing w:line="360" w:lineRule="auto"/>
        <w:rPr>
          <w:rFonts w:ascii="宋体" w:hAnsi="宋体"/>
          <w:highlight w:val="none"/>
        </w:rPr>
      </w:pPr>
      <w:r>
        <w:rPr>
          <w:rFonts w:hint="eastAsia" w:ascii="宋体" w:hAnsi="宋体"/>
          <w:highlight w:val="none"/>
        </w:rPr>
        <w:t xml:space="preserve">投标人（单位盖章）：            </w:t>
      </w:r>
    </w:p>
    <w:p>
      <w:pPr>
        <w:snapToGrid w:val="0"/>
        <w:spacing w:line="360" w:lineRule="auto"/>
        <w:rPr>
          <w:rFonts w:ascii="宋体" w:hAnsi="宋体"/>
          <w:highlight w:val="none"/>
        </w:rPr>
      </w:pPr>
      <w:r>
        <w:rPr>
          <w:rFonts w:hint="eastAsia" w:ascii="宋体" w:hAnsi="宋体"/>
          <w:highlight w:val="none"/>
        </w:rPr>
        <w:t xml:space="preserve">法定代表人（签字或者盖章）：    </w:t>
      </w:r>
    </w:p>
    <w:p>
      <w:pPr>
        <w:snapToGrid w:val="0"/>
        <w:spacing w:line="360" w:lineRule="auto"/>
        <w:rPr>
          <w:rFonts w:ascii="宋体" w:hAnsi="宋体"/>
          <w:highlight w:val="none"/>
        </w:rPr>
      </w:pPr>
      <w:r>
        <w:rPr>
          <w:rFonts w:hint="eastAsia" w:ascii="宋体" w:hAnsi="宋体"/>
          <w:highlight w:val="none"/>
        </w:rPr>
        <w:t>日期：   年    月    日</w:t>
      </w:r>
    </w:p>
    <w:p>
      <w:pPr>
        <w:pStyle w:val="34"/>
        <w:rPr>
          <w:szCs w:val="28"/>
          <w:highlight w:val="none"/>
        </w:rPr>
      </w:pPr>
      <w:r>
        <w:rPr>
          <w:rFonts w:ascii="黑体" w:hAnsi="黑体" w:cs="黑体"/>
          <w:b w:val="0"/>
          <w:szCs w:val="28"/>
          <w:highlight w:val="none"/>
        </w:rPr>
        <w:br w:type="page"/>
      </w:r>
      <w:bookmarkStart w:id="791" w:name="_Toc16924"/>
      <w:r>
        <w:rPr>
          <w:rFonts w:hint="eastAsia"/>
          <w:szCs w:val="28"/>
          <w:highlight w:val="none"/>
        </w:rPr>
        <w:t>九、台州市建设工程安全生产任职资格承诺书</w:t>
      </w:r>
      <w:bookmarkEnd w:id="791"/>
    </w:p>
    <w:p>
      <w:pPr>
        <w:snapToGrid w:val="0"/>
        <w:rPr>
          <w:rFonts w:ascii="宋体" w:hAnsi="宋体"/>
          <w:b/>
          <w:sz w:val="32"/>
          <w:szCs w:val="32"/>
          <w:highlight w:val="none"/>
        </w:rPr>
      </w:pPr>
    </w:p>
    <w:p>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pPr>
        <w:snapToGrid w:val="0"/>
        <w:rPr>
          <w:rFonts w:ascii="宋体" w:hAnsi="宋体"/>
          <w:b/>
          <w:sz w:val="32"/>
          <w:szCs w:val="32"/>
          <w:highlight w:val="none"/>
        </w:rPr>
      </w:pPr>
    </w:p>
    <w:p>
      <w:pPr>
        <w:snapToGrid w:val="0"/>
        <w:jc w:val="center"/>
        <w:rPr>
          <w:b/>
          <w:sz w:val="32"/>
          <w:szCs w:val="32"/>
          <w:highlight w:val="none"/>
        </w:rPr>
      </w:pPr>
      <w:r>
        <w:rPr>
          <w:rFonts w:hint="eastAsia"/>
          <w:b/>
          <w:sz w:val="32"/>
          <w:szCs w:val="32"/>
          <w:highlight w:val="none"/>
        </w:rPr>
        <w:t>台州市建设工程安全生产任职资格承诺书</w:t>
      </w:r>
    </w:p>
    <w:p>
      <w:pPr>
        <w:snapToGrid w:val="0"/>
        <w:jc w:val="center"/>
        <w:rPr>
          <w:rFonts w:ascii="宋体" w:hAnsi="宋体"/>
          <w:b/>
          <w:sz w:val="32"/>
          <w:szCs w:val="32"/>
          <w:highlight w:val="none"/>
        </w:rPr>
      </w:pPr>
    </w:p>
    <w:p>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pPr>
        <w:snapToGrid w:val="0"/>
        <w:spacing w:before="156"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pPr>
        <w:snapToGrid w:val="0"/>
        <w:spacing w:before="156" w:beforeLines="50" w:line="360" w:lineRule="auto"/>
        <w:rPr>
          <w:rFonts w:ascii="宋体" w:hAnsi="宋体"/>
          <w:sz w:val="30"/>
          <w:szCs w:val="30"/>
          <w:highlight w:val="none"/>
        </w:rPr>
      </w:pPr>
    </w:p>
    <w:p>
      <w:pPr>
        <w:snapToGrid w:val="0"/>
        <w:spacing w:line="360" w:lineRule="auto"/>
        <w:ind w:firstLine="480" w:firstLineChars="200"/>
        <w:rPr>
          <w:highlight w:val="none"/>
        </w:rPr>
      </w:pPr>
      <w:r>
        <w:rPr>
          <w:rFonts w:hint="eastAsia"/>
          <w:highlight w:val="none"/>
        </w:rPr>
        <w:t xml:space="preserve">法定代表人（签字或盖章）：                </w:t>
      </w:r>
    </w:p>
    <w:p>
      <w:pPr>
        <w:snapToGrid w:val="0"/>
        <w:spacing w:line="586" w:lineRule="exact"/>
        <w:ind w:right="640" w:firstLine="480" w:firstLineChars="200"/>
        <w:rPr>
          <w:highlight w:val="none"/>
        </w:rPr>
      </w:pPr>
      <w:r>
        <w:rPr>
          <w:rFonts w:hint="eastAsia"/>
          <w:highlight w:val="none"/>
        </w:rPr>
        <w:t xml:space="preserve">投  标  人（盖章）：         </w:t>
      </w:r>
    </w:p>
    <w:p>
      <w:pPr>
        <w:snapToGrid w:val="0"/>
        <w:spacing w:line="586" w:lineRule="exact"/>
        <w:ind w:right="640" w:firstLine="480" w:firstLineChars="200"/>
        <w:rPr>
          <w:highlight w:val="none"/>
        </w:rPr>
      </w:pPr>
      <w:r>
        <w:rPr>
          <w:rFonts w:hint="eastAsia" w:ascii="宋体" w:hAnsi="宋体"/>
          <w:highlight w:val="none"/>
        </w:rPr>
        <w:t xml:space="preserve">日 期：   </w:t>
      </w:r>
      <w:r>
        <w:rPr>
          <w:rFonts w:hint="eastAsia"/>
          <w:highlight w:val="none"/>
        </w:rPr>
        <w:t>年    月   日</w:t>
      </w:r>
    </w:p>
    <w:p>
      <w:pPr>
        <w:widowControl/>
        <w:spacing w:line="360" w:lineRule="auto"/>
        <w:jc w:val="both"/>
        <w:rPr>
          <w:highlight w:val="none"/>
        </w:rPr>
      </w:pPr>
    </w:p>
    <w:p>
      <w:pPr>
        <w:snapToGrid w:val="0"/>
        <w:spacing w:before="156" w:beforeLines="50" w:line="360" w:lineRule="auto"/>
        <w:rPr>
          <w:rFonts w:ascii="黑体" w:hAnsi="黑体" w:eastAsia="黑体" w:cs="黑体"/>
          <w:b/>
          <w:sz w:val="28"/>
          <w:szCs w:val="28"/>
          <w:highlight w:val="none"/>
        </w:rPr>
      </w:pPr>
    </w:p>
    <w:p>
      <w:pPr>
        <w:snapToGrid w:val="0"/>
        <w:spacing w:before="156" w:beforeLines="50" w:line="360" w:lineRule="auto"/>
        <w:rPr>
          <w:rFonts w:ascii="黑体" w:hAnsi="黑体" w:eastAsia="黑体" w:cs="黑体"/>
          <w:b/>
          <w:sz w:val="28"/>
          <w:szCs w:val="28"/>
          <w:highlight w:val="none"/>
        </w:rPr>
      </w:pPr>
    </w:p>
    <w:p>
      <w:pPr>
        <w:snapToGrid w:val="0"/>
        <w:spacing w:before="156" w:beforeLines="50" w:line="360" w:lineRule="auto"/>
        <w:rPr>
          <w:rFonts w:ascii="黑体" w:hAnsi="黑体" w:eastAsia="黑体" w:cs="黑体"/>
          <w:b/>
          <w:sz w:val="28"/>
          <w:szCs w:val="28"/>
          <w:highlight w:val="none"/>
        </w:rPr>
      </w:pPr>
    </w:p>
    <w:p>
      <w:pPr>
        <w:snapToGrid w:val="0"/>
        <w:spacing w:before="156" w:beforeLines="50" w:line="360" w:lineRule="auto"/>
        <w:rPr>
          <w:rFonts w:ascii="黑体" w:hAnsi="黑体" w:eastAsia="黑体" w:cs="黑体"/>
          <w:b/>
          <w:sz w:val="28"/>
          <w:szCs w:val="28"/>
          <w:highlight w:val="none"/>
        </w:rPr>
      </w:pPr>
    </w:p>
    <w:p>
      <w:pPr>
        <w:pStyle w:val="8"/>
        <w:rPr>
          <w:rFonts w:ascii="黑体" w:hAnsi="黑体" w:eastAsia="黑体" w:cs="黑体"/>
          <w:b/>
          <w:sz w:val="28"/>
          <w:szCs w:val="28"/>
          <w:highlight w:val="none"/>
        </w:rPr>
      </w:pPr>
    </w:p>
    <w:p>
      <w:pPr>
        <w:pStyle w:val="9"/>
        <w:ind w:firstLine="281"/>
        <w:rPr>
          <w:rFonts w:ascii="黑体" w:hAnsi="黑体" w:eastAsia="黑体" w:cs="黑体"/>
          <w:b/>
          <w:sz w:val="28"/>
          <w:szCs w:val="28"/>
          <w:highlight w:val="none"/>
        </w:rPr>
      </w:pPr>
    </w:p>
    <w:p>
      <w:pPr>
        <w:rPr>
          <w:rFonts w:ascii="黑体" w:hAnsi="黑体" w:eastAsia="黑体" w:cs="黑体"/>
          <w:b/>
          <w:sz w:val="28"/>
          <w:szCs w:val="28"/>
          <w:highlight w:val="none"/>
        </w:rPr>
      </w:pPr>
    </w:p>
    <w:p>
      <w:pPr>
        <w:pStyle w:val="8"/>
        <w:rPr>
          <w:highlight w:val="none"/>
        </w:rPr>
      </w:pPr>
    </w:p>
    <w:p>
      <w:pPr>
        <w:snapToGrid w:val="0"/>
        <w:spacing w:before="156" w:beforeLines="50" w:line="360" w:lineRule="auto"/>
        <w:rPr>
          <w:rFonts w:ascii="黑体" w:hAnsi="黑体" w:eastAsia="黑体" w:cs="黑体"/>
          <w:b/>
          <w:sz w:val="28"/>
          <w:szCs w:val="28"/>
          <w:highlight w:val="none"/>
        </w:rPr>
      </w:pPr>
    </w:p>
    <w:p>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pPr>
        <w:pStyle w:val="34"/>
        <w:rPr>
          <w:rFonts w:ascii="黑体" w:hAnsi="黑体" w:cs="黑体"/>
          <w:b w:val="0"/>
          <w:szCs w:val="28"/>
          <w:highlight w:val="none"/>
        </w:rPr>
      </w:pPr>
      <w:bookmarkStart w:id="792" w:name="_Toc358"/>
      <w:r>
        <w:rPr>
          <w:rFonts w:hint="eastAsia"/>
          <w:szCs w:val="28"/>
          <w:highlight w:val="none"/>
        </w:rPr>
        <w:t>十．停工证明</w:t>
      </w:r>
      <w:bookmarkEnd w:id="792"/>
    </w:p>
    <w:p>
      <w:pPr>
        <w:rPr>
          <w:highlight w:val="none"/>
        </w:rPr>
      </w:pPr>
    </w:p>
    <w:p>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pPr>
              <w:spacing w:line="360" w:lineRule="auto"/>
              <w:jc w:val="both"/>
              <w:rPr>
                <w:sz w:val="28"/>
                <w:szCs w:val="28"/>
                <w:highlight w:val="none"/>
              </w:rPr>
            </w:pPr>
            <w:r>
              <w:rPr>
                <w:rFonts w:hint="eastAsia"/>
                <w:sz w:val="28"/>
                <w:szCs w:val="28"/>
                <w:highlight w:val="none"/>
              </w:rPr>
              <w:t>____________(原建设单位）：</w:t>
            </w:r>
          </w:p>
          <w:p>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pPr>
              <w:spacing w:line="360" w:lineRule="auto"/>
              <w:ind w:firstLine="560" w:firstLineChars="200"/>
              <w:jc w:val="both"/>
              <w:rPr>
                <w:sz w:val="28"/>
                <w:szCs w:val="28"/>
                <w:highlight w:val="none"/>
              </w:rPr>
            </w:pPr>
            <w:r>
              <w:rPr>
                <w:rFonts w:hint="eastAsia"/>
                <w:sz w:val="28"/>
                <w:szCs w:val="28"/>
                <w:highlight w:val="none"/>
              </w:rPr>
              <w:t>特此报告。</w:t>
            </w:r>
          </w:p>
          <w:p>
            <w:pPr>
              <w:spacing w:line="360" w:lineRule="auto"/>
              <w:ind w:firstLine="560" w:firstLineChars="200"/>
              <w:jc w:val="right"/>
              <w:rPr>
                <w:sz w:val="28"/>
                <w:szCs w:val="28"/>
                <w:highlight w:val="none"/>
              </w:rPr>
            </w:pPr>
            <w:r>
              <w:rPr>
                <w:rFonts w:hint="eastAsia"/>
                <w:sz w:val="28"/>
                <w:szCs w:val="28"/>
                <w:highlight w:val="none"/>
              </w:rPr>
              <w:t>承包人（盖章）</w:t>
            </w:r>
          </w:p>
          <w:p>
            <w:pPr>
              <w:spacing w:line="360" w:lineRule="auto"/>
              <w:ind w:firstLine="560" w:firstLineChars="200"/>
              <w:jc w:val="right"/>
              <w:rPr>
                <w:highlight w:val="none"/>
              </w:rPr>
            </w:pPr>
            <w:r>
              <w:rPr>
                <w:rFonts w:hint="eastAsia"/>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pPr>
              <w:spacing w:line="360" w:lineRule="auto"/>
              <w:rPr>
                <w:sz w:val="28"/>
                <w:szCs w:val="28"/>
                <w:highlight w:val="none"/>
              </w:rPr>
            </w:pPr>
            <w:r>
              <w:rPr>
                <w:rFonts w:hint="eastAsia"/>
                <w:sz w:val="28"/>
                <w:szCs w:val="28"/>
                <w:highlight w:val="none"/>
              </w:rPr>
              <w:t>原建设单位意见：</w:t>
            </w:r>
          </w:p>
          <w:p>
            <w:pPr>
              <w:spacing w:line="360" w:lineRule="auto"/>
              <w:rPr>
                <w:sz w:val="28"/>
                <w:szCs w:val="28"/>
                <w:highlight w:val="none"/>
              </w:rPr>
            </w:pPr>
          </w:p>
          <w:p>
            <w:pPr>
              <w:spacing w:line="360" w:lineRule="auto"/>
              <w:jc w:val="right"/>
              <w:rPr>
                <w:sz w:val="28"/>
                <w:szCs w:val="28"/>
                <w:highlight w:val="none"/>
              </w:rPr>
            </w:pPr>
            <w:r>
              <w:rPr>
                <w:rFonts w:hint="eastAsia"/>
                <w:sz w:val="28"/>
                <w:szCs w:val="28"/>
                <w:highlight w:val="none"/>
              </w:rPr>
              <w:t>原建设单位（盖章）：</w:t>
            </w:r>
          </w:p>
          <w:p>
            <w:pPr>
              <w:spacing w:line="360" w:lineRule="auto"/>
              <w:jc w:val="right"/>
              <w:rPr>
                <w:sz w:val="28"/>
                <w:szCs w:val="28"/>
                <w:highlight w:val="none"/>
              </w:rPr>
            </w:pPr>
            <w:r>
              <w:rPr>
                <w:rFonts w:hint="eastAsia"/>
                <w:sz w:val="28"/>
                <w:szCs w:val="28"/>
                <w:highlight w:val="none"/>
              </w:rPr>
              <w:t>___年___月___日</w:t>
            </w:r>
          </w:p>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pPr>
              <w:spacing w:line="360" w:lineRule="auto"/>
              <w:rPr>
                <w:sz w:val="28"/>
                <w:szCs w:val="28"/>
                <w:highlight w:val="none"/>
              </w:rPr>
            </w:pPr>
            <w:r>
              <w:rPr>
                <w:rFonts w:hint="eastAsia"/>
                <w:sz w:val="28"/>
                <w:szCs w:val="28"/>
                <w:highlight w:val="none"/>
              </w:rPr>
              <w:t>行政主管部门证明：</w:t>
            </w:r>
          </w:p>
          <w:p>
            <w:pPr>
              <w:spacing w:line="360" w:lineRule="auto"/>
              <w:jc w:val="right"/>
              <w:rPr>
                <w:sz w:val="28"/>
                <w:szCs w:val="28"/>
                <w:highlight w:val="none"/>
              </w:rPr>
            </w:pPr>
            <w:r>
              <w:rPr>
                <w:rFonts w:hint="eastAsia"/>
                <w:sz w:val="28"/>
                <w:szCs w:val="28"/>
                <w:highlight w:val="none"/>
              </w:rPr>
              <w:t>自___年___月___日开始停工，至今已超过120天。情况属实。</w:t>
            </w:r>
          </w:p>
          <w:p>
            <w:pPr>
              <w:spacing w:line="360" w:lineRule="auto"/>
              <w:jc w:val="right"/>
              <w:rPr>
                <w:sz w:val="28"/>
                <w:szCs w:val="28"/>
                <w:highlight w:val="none"/>
              </w:rPr>
            </w:pPr>
          </w:p>
          <w:p>
            <w:pPr>
              <w:spacing w:line="360" w:lineRule="auto"/>
              <w:jc w:val="right"/>
              <w:rPr>
                <w:sz w:val="28"/>
                <w:szCs w:val="28"/>
                <w:highlight w:val="none"/>
              </w:rPr>
            </w:pPr>
            <w:r>
              <w:rPr>
                <w:rFonts w:hint="eastAsia"/>
                <w:sz w:val="28"/>
                <w:szCs w:val="28"/>
                <w:highlight w:val="none"/>
              </w:rPr>
              <w:t>行政主管部门（盖章）：</w:t>
            </w:r>
          </w:p>
          <w:p>
            <w:pPr>
              <w:spacing w:line="360" w:lineRule="auto"/>
              <w:jc w:val="right"/>
              <w:rPr>
                <w:highlight w:val="none"/>
              </w:rPr>
            </w:pPr>
            <w:r>
              <w:rPr>
                <w:rFonts w:hint="eastAsia"/>
                <w:sz w:val="28"/>
                <w:szCs w:val="28"/>
                <w:highlight w:val="none"/>
              </w:rPr>
              <w:t>___年___月___日</w:t>
            </w:r>
          </w:p>
        </w:tc>
      </w:tr>
    </w:tbl>
    <w:p>
      <w:pPr>
        <w:spacing w:line="360" w:lineRule="auto"/>
        <w:rPr>
          <w:highlight w:val="none"/>
        </w:rPr>
      </w:pPr>
      <w:r>
        <w:rPr>
          <w:rFonts w:hint="eastAsia"/>
          <w:szCs w:val="21"/>
          <w:highlight w:val="none"/>
        </w:rPr>
        <w:t>注：在承接新项目时原承接的项目仍处于连续停工状态。若原承接项目已复工的本《证明》不得使用。</w:t>
      </w:r>
    </w:p>
    <w:p>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pPr>
        <w:pStyle w:val="34"/>
        <w:rPr>
          <w:szCs w:val="28"/>
          <w:highlight w:val="none"/>
        </w:rPr>
      </w:pPr>
      <w:bookmarkStart w:id="793" w:name="_Toc12900"/>
      <w:r>
        <w:rPr>
          <w:rFonts w:hint="eastAsia"/>
          <w:szCs w:val="28"/>
          <w:highlight w:val="none"/>
        </w:rPr>
        <w:t>十</w:t>
      </w:r>
      <w:r>
        <w:rPr>
          <w:rFonts w:hint="eastAsia"/>
          <w:szCs w:val="28"/>
          <w:highlight w:val="none"/>
          <w:lang w:val="en-US" w:eastAsia="zh-CN"/>
        </w:rPr>
        <w:t>一</w:t>
      </w:r>
      <w:r>
        <w:rPr>
          <w:rFonts w:hint="eastAsia"/>
          <w:szCs w:val="28"/>
          <w:highlight w:val="none"/>
        </w:rPr>
        <w:t>．未验收证明</w:t>
      </w:r>
      <w:bookmarkEnd w:id="793"/>
    </w:p>
    <w:p>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pPr>
              <w:spacing w:line="360" w:lineRule="auto"/>
              <w:rPr>
                <w:sz w:val="28"/>
                <w:szCs w:val="28"/>
                <w:highlight w:val="none"/>
              </w:rPr>
            </w:pPr>
            <w:r>
              <w:rPr>
                <w:rFonts w:hint="eastAsia"/>
                <w:sz w:val="28"/>
                <w:szCs w:val="28"/>
                <w:highlight w:val="none"/>
              </w:rPr>
              <w:t>____________(原建设单位）：</w:t>
            </w:r>
          </w:p>
          <w:p>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pPr>
              <w:spacing w:line="360" w:lineRule="auto"/>
              <w:ind w:firstLine="560" w:firstLineChars="200"/>
              <w:jc w:val="both"/>
              <w:rPr>
                <w:sz w:val="28"/>
                <w:szCs w:val="28"/>
                <w:highlight w:val="none"/>
              </w:rPr>
            </w:pPr>
            <w:r>
              <w:rPr>
                <w:rFonts w:hint="eastAsia"/>
                <w:sz w:val="28"/>
                <w:szCs w:val="28"/>
                <w:highlight w:val="none"/>
              </w:rPr>
              <w:t>特此报告。</w:t>
            </w:r>
          </w:p>
          <w:p>
            <w:pPr>
              <w:spacing w:line="360" w:lineRule="auto"/>
              <w:ind w:firstLine="560" w:firstLineChars="200"/>
              <w:jc w:val="right"/>
              <w:rPr>
                <w:sz w:val="28"/>
                <w:szCs w:val="28"/>
                <w:highlight w:val="none"/>
              </w:rPr>
            </w:pPr>
            <w:r>
              <w:rPr>
                <w:rFonts w:hint="eastAsia"/>
                <w:sz w:val="28"/>
                <w:szCs w:val="28"/>
                <w:highlight w:val="none"/>
              </w:rPr>
              <w:t>承包人（盖章）</w:t>
            </w:r>
          </w:p>
          <w:p>
            <w:pPr>
              <w:spacing w:line="360" w:lineRule="auto"/>
              <w:ind w:firstLine="560" w:firstLineChars="200"/>
              <w:jc w:val="right"/>
              <w:rPr>
                <w:highlight w:val="none"/>
              </w:rPr>
            </w:pPr>
            <w:r>
              <w:rPr>
                <w:rFonts w:hint="eastAsia"/>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pPr>
              <w:spacing w:line="360" w:lineRule="auto"/>
              <w:rPr>
                <w:sz w:val="28"/>
                <w:szCs w:val="28"/>
                <w:highlight w:val="none"/>
              </w:rPr>
            </w:pPr>
            <w:r>
              <w:rPr>
                <w:rFonts w:hint="eastAsia"/>
                <w:sz w:val="28"/>
                <w:szCs w:val="28"/>
                <w:highlight w:val="none"/>
              </w:rPr>
              <w:t>原建设单位意见：</w:t>
            </w:r>
          </w:p>
          <w:p>
            <w:pPr>
              <w:spacing w:line="360" w:lineRule="auto"/>
              <w:rPr>
                <w:sz w:val="28"/>
                <w:szCs w:val="28"/>
                <w:highlight w:val="none"/>
              </w:rPr>
            </w:pPr>
          </w:p>
          <w:p>
            <w:pPr>
              <w:spacing w:line="360" w:lineRule="auto"/>
              <w:jc w:val="right"/>
              <w:rPr>
                <w:sz w:val="28"/>
                <w:szCs w:val="28"/>
                <w:highlight w:val="none"/>
              </w:rPr>
            </w:pPr>
            <w:r>
              <w:rPr>
                <w:rFonts w:hint="eastAsia"/>
                <w:sz w:val="28"/>
                <w:szCs w:val="28"/>
                <w:highlight w:val="none"/>
              </w:rPr>
              <w:t>原建设单位（盖章）：</w:t>
            </w:r>
          </w:p>
          <w:p>
            <w:pPr>
              <w:spacing w:line="360" w:lineRule="auto"/>
              <w:jc w:val="right"/>
              <w:rPr>
                <w:highlight w:val="none"/>
              </w:rPr>
            </w:pPr>
            <w:r>
              <w:rPr>
                <w:rFonts w:hint="eastAsia"/>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360" w:lineRule="auto"/>
              <w:rPr>
                <w:sz w:val="28"/>
                <w:szCs w:val="28"/>
                <w:highlight w:val="none"/>
              </w:rPr>
            </w:pPr>
            <w:r>
              <w:rPr>
                <w:rFonts w:hint="eastAsia"/>
                <w:sz w:val="28"/>
                <w:szCs w:val="28"/>
                <w:highlight w:val="none"/>
              </w:rPr>
              <w:t>行政主管部门证明：</w:t>
            </w:r>
          </w:p>
          <w:p>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pPr>
              <w:spacing w:line="360" w:lineRule="auto"/>
              <w:jc w:val="right"/>
              <w:rPr>
                <w:sz w:val="28"/>
                <w:szCs w:val="28"/>
                <w:highlight w:val="none"/>
              </w:rPr>
            </w:pPr>
            <w:r>
              <w:rPr>
                <w:rFonts w:hint="eastAsia"/>
                <w:sz w:val="28"/>
                <w:szCs w:val="28"/>
                <w:highlight w:val="none"/>
              </w:rPr>
              <w:t>行政主管部门（盖章）：</w:t>
            </w:r>
          </w:p>
          <w:p>
            <w:pPr>
              <w:spacing w:line="360" w:lineRule="auto"/>
              <w:jc w:val="right"/>
              <w:rPr>
                <w:highlight w:val="none"/>
              </w:rPr>
            </w:pPr>
            <w:r>
              <w:rPr>
                <w:rFonts w:hint="eastAsia"/>
                <w:sz w:val="28"/>
                <w:szCs w:val="28"/>
                <w:highlight w:val="none"/>
              </w:rPr>
              <w:t>___年___月___日</w:t>
            </w:r>
          </w:p>
        </w:tc>
      </w:tr>
    </w:tbl>
    <w:p>
      <w:pPr>
        <w:spacing w:line="360" w:lineRule="auto"/>
        <w:rPr>
          <w:highlight w:val="none"/>
        </w:rPr>
        <w:sectPr>
          <w:pgSz w:w="11906" w:h="16838"/>
          <w:pgMar w:top="964" w:right="1588" w:bottom="907" w:left="1588" w:header="851" w:footer="992" w:gutter="0"/>
          <w:cols w:space="720" w:num="1"/>
          <w:docGrid w:type="lines" w:linePitch="312" w:charSpace="0"/>
        </w:sectPr>
      </w:pPr>
      <w:r>
        <w:rPr>
          <w:rFonts w:hint="eastAsia"/>
          <w:highlight w:val="none"/>
        </w:rPr>
        <w:t>注：在承接新项目时原承接的项目已经竣工验收的，本《证明》不得使用。</w:t>
      </w:r>
    </w:p>
    <w:p>
      <w:pPr>
        <w:pStyle w:val="34"/>
        <w:spacing w:before="0"/>
        <w:jc w:val="left"/>
        <w:rPr>
          <w:szCs w:val="28"/>
          <w:highlight w:val="none"/>
        </w:rPr>
      </w:pPr>
      <w:bookmarkStart w:id="794" w:name="_Toc3244"/>
      <w:r>
        <w:rPr>
          <w:rFonts w:hint="eastAsia"/>
          <w:szCs w:val="28"/>
          <w:highlight w:val="none"/>
        </w:rPr>
        <w:t>十</w:t>
      </w:r>
      <w:r>
        <w:rPr>
          <w:rFonts w:hint="eastAsia"/>
          <w:szCs w:val="28"/>
          <w:highlight w:val="none"/>
          <w:lang w:val="en-US" w:eastAsia="zh-CN"/>
        </w:rPr>
        <w:t>二</w:t>
      </w:r>
      <w:r>
        <w:rPr>
          <w:rFonts w:hint="eastAsia"/>
          <w:szCs w:val="28"/>
          <w:highlight w:val="none"/>
        </w:rPr>
        <w:t>．法定代表人身份证明</w:t>
      </w:r>
      <w:bookmarkEnd w:id="794"/>
    </w:p>
    <w:p>
      <w:pPr>
        <w:widowControl/>
        <w:spacing w:line="360" w:lineRule="auto"/>
        <w:jc w:val="both"/>
        <w:rPr>
          <w:highlight w:val="none"/>
        </w:rPr>
      </w:pPr>
    </w:p>
    <w:p>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pPr>
        <w:widowControl/>
        <w:snapToGrid w:val="0"/>
        <w:spacing w:before="120" w:beforeLines="50" w:line="360" w:lineRule="auto"/>
        <w:jc w:val="center"/>
        <w:rPr>
          <w:rFonts w:ascii="方正小标宋简体" w:hAnsi="方正小标宋简体"/>
          <w:sz w:val="44"/>
          <w:szCs w:val="44"/>
          <w:highlight w:val="none"/>
        </w:rPr>
      </w:pPr>
      <w:r>
        <w:rPr>
          <w:rFonts w:hint="eastAsia"/>
          <w:sz w:val="28"/>
          <w:highlight w:val="none"/>
        </w:rPr>
        <w:t>（参考样张）</w:t>
      </w:r>
    </w:p>
    <w:p>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pPr>
        <w:snapToGrid w:val="0"/>
        <w:spacing w:line="360" w:lineRule="auto"/>
        <w:ind w:firstLine="480" w:firstLineChars="200"/>
        <w:textAlignment w:val="baseline"/>
        <w:rPr>
          <w:rFonts w:ascii="宋体" w:hAnsi="宋体"/>
          <w:sz w:val="28"/>
          <w:szCs w:val="28"/>
          <w:highlight w:val="none"/>
        </w:rPr>
      </w:pPr>
      <w:r>
        <w:rPr>
          <w:rFonts w:hint="eastAsia" w:ascii="宋体" w:hAnsi="宋体" w:cs="宋体"/>
          <w:highlight w:val="none"/>
        </w:rPr>
        <w:t>附</w:t>
      </w:r>
      <w:r>
        <w:rPr>
          <w:rFonts w:hint="eastAsia" w:ascii="宋体" w:hAnsi="宋体"/>
          <w:sz w:val="28"/>
          <w:szCs w:val="28"/>
          <w:highlight w:val="none"/>
        </w:rPr>
        <w:t xml:space="preserve">                                      </w:t>
      </w: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pPr>
                        <w:jc w:val="center"/>
                      </w:pPr>
                      <w:r>
                        <w:rPr>
                          <w:rFonts w:hint="eastAsia"/>
                        </w:rPr>
                        <w:t>法定代表人身份证正面复印件粘贴处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pPr>
                        <w:jc w:val="center"/>
                      </w:pPr>
                      <w:r>
                        <w:rPr>
                          <w:rFonts w:hint="eastAsia"/>
                        </w:rPr>
                        <w:t>法定代表人身份证反面复印件粘贴处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pPr>
        <w:ind w:firstLine="560" w:firstLineChars="200"/>
        <w:jc w:val="both"/>
        <w:rPr>
          <w:highlight w:val="none"/>
        </w:rPr>
      </w:pPr>
      <w:r>
        <w:rPr>
          <w:rFonts w:hint="eastAsia" w:ascii="宋体" w:hAnsi="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napToGrid w:val="0"/>
        <w:spacing w:line="360" w:lineRule="auto"/>
        <w:rPr>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szCs w:val="24"/>
          <w:highlight w:val="none"/>
        </w:rPr>
      </w:pPr>
      <w:r>
        <w:rPr>
          <w:rFonts w:hint="eastAsia"/>
          <w:b/>
          <w:position w:val="-4"/>
          <w:szCs w:val="24"/>
          <w:highlight w:val="none"/>
        </w:rPr>
        <w:t>附录1. 递交工程保函时出具的证明文件（线下）</w:t>
      </w:r>
    </w:p>
    <w:p>
      <w:pPr>
        <w:pStyle w:val="3"/>
        <w:spacing w:before="0"/>
        <w:rPr>
          <w:rFonts w:hint="eastAsia" w:ascii="黑体" w:hAnsi="黑体" w:cs="宋体"/>
          <w:b w:val="0"/>
          <w:bCs/>
          <w:sz w:val="28"/>
          <w:szCs w:val="28"/>
          <w:highlight w:val="none"/>
        </w:rPr>
      </w:pPr>
    </w:p>
    <w:p>
      <w:pPr>
        <w:pStyle w:val="4"/>
        <w:rPr>
          <w:highlight w:val="none"/>
        </w:rPr>
      </w:pPr>
    </w:p>
    <w:p>
      <w:pPr>
        <w:spacing w:line="460" w:lineRule="exact"/>
        <w:jc w:val="center"/>
        <w:rPr>
          <w:rFonts w:ascii="宋体" w:hAnsi="宋体"/>
          <w:sz w:val="36"/>
          <w:highlight w:val="none"/>
        </w:rPr>
      </w:pPr>
      <w:r>
        <w:rPr>
          <w:rFonts w:ascii="宋体" w:hAnsi="宋体"/>
          <w:b/>
          <w:sz w:val="36"/>
          <w:highlight w:val="none"/>
        </w:rPr>
        <w:t>法定代表人身份证明</w:t>
      </w:r>
    </w:p>
    <w:p>
      <w:pPr>
        <w:snapToGrid w:val="0"/>
        <w:spacing w:line="360" w:lineRule="auto"/>
        <w:ind w:firstLine="480"/>
        <w:rPr>
          <w:rFonts w:ascii="宋体" w:hAnsi="宋体"/>
          <w:b/>
          <w:szCs w:val="21"/>
          <w:highlight w:val="none"/>
        </w:rPr>
      </w:pPr>
    </w:p>
    <w:p>
      <w:pPr>
        <w:snapToGrid w:val="0"/>
        <w:spacing w:line="360" w:lineRule="auto"/>
        <w:ind w:firstLine="480"/>
        <w:rPr>
          <w:rFonts w:hint="eastAsia" w:ascii="宋体" w:hAnsi="宋体"/>
          <w:highlight w:val="none"/>
        </w:rPr>
      </w:pPr>
      <w:r>
        <w:rPr>
          <w:rFonts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 xml:space="preserve">  </w:t>
      </w:r>
      <w:r>
        <w:rPr>
          <w:rFonts w:hint="eastAsia" w:ascii="宋体" w:hAnsi="宋体"/>
          <w:highlight w:val="none"/>
        </w:rPr>
        <w:t xml:space="preserve">         </w:t>
      </w:r>
    </w:p>
    <w:p>
      <w:pPr>
        <w:snapToGrid w:val="0"/>
        <w:spacing w:line="360" w:lineRule="auto"/>
        <w:ind w:firstLine="480"/>
        <w:rPr>
          <w:rFonts w:hint="eastAsia" w:ascii="宋体" w:hAnsi="宋体"/>
          <w:highlight w:val="none"/>
          <w:u w:val="single"/>
        </w:rPr>
      </w:pPr>
      <w:r>
        <w:rPr>
          <w:rFonts w:ascii="宋体" w:hAnsi="宋体"/>
          <w:szCs w:val="24"/>
          <w:highlight w:val="none"/>
        </w:rPr>
        <w:t>单位性质：</w:t>
      </w:r>
      <w:r>
        <w:rPr>
          <w:rFonts w:hint="eastAsia" w:ascii="宋体" w:hAnsi="宋体"/>
          <w:highlight w:val="none"/>
          <w:u w:val="single"/>
        </w:rPr>
        <w:t xml:space="preserve">                                          </w:t>
      </w:r>
    </w:p>
    <w:p>
      <w:pPr>
        <w:snapToGrid w:val="0"/>
        <w:spacing w:line="360" w:lineRule="auto"/>
        <w:ind w:firstLine="480"/>
        <w:rPr>
          <w:rFonts w:ascii="宋体" w:hAnsi="宋体"/>
          <w:highlight w:val="none"/>
        </w:rPr>
      </w:pPr>
      <w:r>
        <w:rPr>
          <w:rFonts w:ascii="宋体" w:hAnsi="宋体"/>
          <w:szCs w:val="24"/>
          <w:highlight w:val="none"/>
        </w:rPr>
        <w:t>地址：</w:t>
      </w:r>
      <w:r>
        <w:rPr>
          <w:rFonts w:hint="eastAsia" w:ascii="宋体" w:hAnsi="宋体"/>
          <w:szCs w:val="24"/>
          <w:highlight w:val="none"/>
          <w:u w:val="single"/>
        </w:rPr>
        <w:t xml:space="preserve">                                              </w:t>
      </w:r>
    </w:p>
    <w:p>
      <w:pPr>
        <w:snapToGrid w:val="0"/>
        <w:spacing w:line="360" w:lineRule="auto"/>
        <w:ind w:firstLine="480"/>
        <w:rPr>
          <w:rFonts w:ascii="宋体" w:hAnsi="宋体"/>
          <w:highlight w:val="none"/>
        </w:rPr>
      </w:pPr>
      <w:r>
        <w:rPr>
          <w:rFonts w:ascii="宋体" w:hAnsi="宋体"/>
          <w:szCs w:val="24"/>
          <w:highlight w:val="none"/>
        </w:rPr>
        <w:t>成立时间：</w:t>
      </w:r>
      <w:r>
        <w:rPr>
          <w:rFonts w:hint="eastAsia" w:ascii="宋体" w:hAnsi="宋体"/>
          <w:szCs w:val="24"/>
          <w:highlight w:val="none"/>
          <w:u w:val="single"/>
        </w:rPr>
        <w:t xml:space="preserve">      </w:t>
      </w:r>
      <w:r>
        <w:rPr>
          <w:rFonts w:ascii="宋体" w:hAnsi="宋体"/>
          <w:szCs w:val="24"/>
          <w:highlight w:val="none"/>
        </w:rPr>
        <w:t>年</w:t>
      </w:r>
      <w:r>
        <w:rPr>
          <w:rFonts w:hint="eastAsia" w:ascii="宋体" w:hAnsi="宋体"/>
          <w:szCs w:val="24"/>
          <w:highlight w:val="none"/>
          <w:u w:val="single"/>
        </w:rPr>
        <w:t xml:space="preserve">   </w:t>
      </w:r>
      <w:r>
        <w:rPr>
          <w:rFonts w:ascii="宋体" w:hAnsi="宋体"/>
          <w:szCs w:val="24"/>
          <w:highlight w:val="none"/>
        </w:rPr>
        <w:t>月</w:t>
      </w:r>
      <w:r>
        <w:rPr>
          <w:rFonts w:hint="eastAsia" w:ascii="宋体" w:hAnsi="宋体"/>
          <w:szCs w:val="24"/>
          <w:highlight w:val="none"/>
          <w:u w:val="single"/>
        </w:rPr>
        <w:t xml:space="preserve">   </w:t>
      </w:r>
      <w:r>
        <w:rPr>
          <w:rFonts w:ascii="宋体" w:hAnsi="宋体"/>
          <w:szCs w:val="24"/>
          <w:highlight w:val="none"/>
        </w:rPr>
        <w:t>日</w:t>
      </w:r>
    </w:p>
    <w:p>
      <w:pPr>
        <w:snapToGrid w:val="0"/>
        <w:spacing w:line="360" w:lineRule="auto"/>
        <w:ind w:firstLine="480"/>
        <w:rPr>
          <w:rFonts w:ascii="宋体" w:hAnsi="宋体"/>
          <w:highlight w:val="none"/>
        </w:rPr>
      </w:pPr>
      <w:r>
        <w:rPr>
          <w:rFonts w:ascii="宋体" w:hAnsi="宋体"/>
          <w:szCs w:val="24"/>
          <w:highlight w:val="none"/>
        </w:rPr>
        <w:t>经营期限：</w:t>
      </w:r>
      <w:r>
        <w:rPr>
          <w:rFonts w:hint="eastAsia" w:ascii="宋体" w:hAnsi="宋体"/>
          <w:szCs w:val="24"/>
          <w:highlight w:val="none"/>
          <w:u w:val="single"/>
        </w:rPr>
        <w:t xml:space="preserve">                                         </w:t>
      </w:r>
    </w:p>
    <w:p>
      <w:pPr>
        <w:snapToGrid w:val="0"/>
        <w:spacing w:line="360" w:lineRule="auto"/>
        <w:ind w:firstLine="480"/>
        <w:rPr>
          <w:rFonts w:ascii="宋体" w:hAnsi="宋体"/>
          <w:highlight w:val="none"/>
          <w:u w:val="single"/>
        </w:rPr>
      </w:pPr>
      <w:r>
        <w:rPr>
          <w:rFonts w:ascii="宋体" w:hAnsi="宋体"/>
          <w:szCs w:val="24"/>
          <w:highlight w:val="none"/>
        </w:rPr>
        <w:t>姓名：</w:t>
      </w:r>
      <w:r>
        <w:rPr>
          <w:rFonts w:hint="eastAsia" w:ascii="宋体" w:hAnsi="宋体"/>
          <w:szCs w:val="24"/>
          <w:highlight w:val="none"/>
          <w:u w:val="single"/>
        </w:rPr>
        <w:t xml:space="preserve">             </w:t>
      </w:r>
      <w:r>
        <w:rPr>
          <w:rFonts w:ascii="宋体" w:hAnsi="宋体"/>
          <w:szCs w:val="24"/>
          <w:highlight w:val="none"/>
        </w:rPr>
        <w:t>性别：</w:t>
      </w:r>
      <w:r>
        <w:rPr>
          <w:rFonts w:hint="eastAsia" w:ascii="宋体" w:hAnsi="宋体"/>
          <w:szCs w:val="24"/>
          <w:highlight w:val="none"/>
          <w:u w:val="single"/>
        </w:rPr>
        <w:t xml:space="preserve">        </w:t>
      </w:r>
      <w:r>
        <w:rPr>
          <w:rFonts w:ascii="宋体" w:hAnsi="宋体"/>
          <w:szCs w:val="24"/>
          <w:highlight w:val="none"/>
        </w:rPr>
        <w:t>年龄：</w:t>
      </w:r>
      <w:r>
        <w:rPr>
          <w:rFonts w:hint="eastAsia" w:ascii="宋体" w:hAnsi="宋体"/>
          <w:szCs w:val="24"/>
          <w:highlight w:val="none"/>
          <w:u w:val="single"/>
        </w:rPr>
        <w:t xml:space="preserve">               </w:t>
      </w:r>
      <w:r>
        <w:rPr>
          <w:rFonts w:ascii="宋体" w:hAnsi="宋体"/>
          <w:szCs w:val="24"/>
          <w:highlight w:val="none"/>
        </w:rPr>
        <w:t>身份证号码</w:t>
      </w:r>
      <w:r>
        <w:rPr>
          <w:rFonts w:hint="eastAsia" w:ascii="宋体" w:hAnsi="宋体"/>
          <w:szCs w:val="24"/>
          <w:highlight w:val="none"/>
        </w:rPr>
        <w:t>：</w:t>
      </w:r>
      <w:r>
        <w:rPr>
          <w:rFonts w:hint="eastAsia" w:ascii="宋体" w:hAnsi="宋体"/>
          <w:szCs w:val="24"/>
          <w:highlight w:val="none"/>
          <w:u w:val="single"/>
        </w:rPr>
        <w:t xml:space="preserve">              </w:t>
      </w:r>
    </w:p>
    <w:p>
      <w:pPr>
        <w:snapToGrid w:val="0"/>
        <w:spacing w:line="360" w:lineRule="auto"/>
        <w:ind w:firstLine="480" w:firstLineChars="200"/>
        <w:rPr>
          <w:rFonts w:ascii="宋体" w:hAnsi="宋体"/>
          <w:highlight w:val="none"/>
        </w:rPr>
      </w:pPr>
      <w:r>
        <w:rPr>
          <w:rFonts w:hint="eastAsia" w:ascii="宋体" w:hAnsi="宋体"/>
          <w:szCs w:val="24"/>
          <w:highlight w:val="none"/>
        </w:rPr>
        <w:t>联系电话：</w:t>
      </w:r>
      <w:r>
        <w:rPr>
          <w:rFonts w:hint="eastAsia" w:ascii="宋体" w:hAnsi="宋体"/>
          <w:szCs w:val="24"/>
          <w:highlight w:val="none"/>
          <w:u w:val="single"/>
        </w:rPr>
        <w:t xml:space="preserve">         </w:t>
      </w:r>
      <w:r>
        <w:rPr>
          <w:rFonts w:ascii="宋体" w:hAnsi="宋体"/>
          <w:szCs w:val="24"/>
          <w:highlight w:val="none"/>
        </w:rPr>
        <w:t>职务：</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系</w:t>
      </w:r>
      <w:r>
        <w:rPr>
          <w:rFonts w:hint="eastAsia" w:ascii="宋体" w:hAnsi="宋体"/>
          <w:highlight w:val="none"/>
          <w:u w:val="single"/>
        </w:rPr>
        <w:t xml:space="preserve">                  </w:t>
      </w:r>
      <w:r>
        <w:rPr>
          <w:rFonts w:ascii="宋体" w:hAnsi="宋体"/>
          <w:szCs w:val="24"/>
          <w:highlight w:val="none"/>
        </w:rPr>
        <w:t>（投标人名称）的法定代表人。</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500" w:lineRule="exact"/>
        <w:ind w:firstLine="3840"/>
        <w:rPr>
          <w:rFonts w:ascii="宋体" w:hAnsi="宋体"/>
          <w:highlight w:val="none"/>
        </w:rPr>
      </w:pPr>
    </w:p>
    <w:p>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pPr>
        <w:spacing w:line="360" w:lineRule="auto"/>
        <w:ind w:firstLine="5160"/>
        <w:rPr>
          <w:rFonts w:ascii="宋体" w:hAnsi="宋体"/>
          <w:highlight w:val="none"/>
        </w:rPr>
      </w:pPr>
    </w:p>
    <w:p>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pPr>
        <w:rPr>
          <w:rFonts w:ascii="宋体" w:hAnsi="宋体"/>
          <w:szCs w:val="21"/>
          <w:highlight w:val="none"/>
        </w:rPr>
      </w:pPr>
    </w:p>
    <w:p>
      <w:pPr>
        <w:spacing w:line="460" w:lineRule="exact"/>
        <w:rPr>
          <w:rFonts w:ascii="宋体" w:hAnsi="宋体"/>
          <w:b/>
          <w:highlight w:val="none"/>
        </w:rPr>
      </w:pPr>
    </w:p>
    <w:p>
      <w:pPr>
        <w:spacing w:line="460" w:lineRule="exact"/>
        <w:rPr>
          <w:rFonts w:ascii="宋体" w:hAnsi="宋体"/>
          <w:b/>
          <w:highlight w:val="none"/>
        </w:rPr>
      </w:pPr>
    </w:p>
    <w:p>
      <w:pPr>
        <w:spacing w:line="460" w:lineRule="exact"/>
        <w:rPr>
          <w:rFonts w:ascii="宋体" w:hAnsi="宋体"/>
          <w:b/>
          <w:highlight w:val="none"/>
        </w:rPr>
      </w:pPr>
      <w:r>
        <w:rPr>
          <w:rFonts w:hint="eastAsia" w:ascii="宋体" w:hAnsi="宋体"/>
          <w:b/>
          <w:bCs/>
          <w:sz w:val="28"/>
          <w:szCs w:val="28"/>
          <w:highlight w:val="none"/>
        </w:rPr>
        <w:t>注：仅用于递交工程保函时出具，须采用线下盖章。</w:t>
      </w:r>
    </w:p>
    <w:p>
      <w:pPr>
        <w:spacing w:line="460" w:lineRule="exact"/>
        <w:rPr>
          <w:rFonts w:ascii="宋体" w:hAnsi="宋体"/>
          <w:b/>
          <w:highlight w:val="none"/>
        </w:rPr>
      </w:pPr>
    </w:p>
    <w:p>
      <w:pPr>
        <w:spacing w:line="460" w:lineRule="exact"/>
        <w:rPr>
          <w:rFonts w:ascii="宋体" w:hAnsi="宋体"/>
          <w:b/>
          <w:highlight w:val="none"/>
        </w:rPr>
      </w:pPr>
    </w:p>
    <w:p>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pPr>
        <w:spacing w:line="460" w:lineRule="exact"/>
        <w:jc w:val="center"/>
        <w:rPr>
          <w:rFonts w:ascii="宋体" w:hAnsi="宋体"/>
          <w:b/>
          <w:sz w:val="36"/>
          <w:highlight w:val="none"/>
        </w:rPr>
      </w:pPr>
      <w:r>
        <w:rPr>
          <w:rFonts w:ascii="宋体" w:hAnsi="宋体"/>
          <w:b/>
          <w:sz w:val="36"/>
          <w:highlight w:val="none"/>
        </w:rPr>
        <w:t>授权委托书</w:t>
      </w:r>
    </w:p>
    <w:p>
      <w:pPr>
        <w:snapToGrid w:val="0"/>
        <w:spacing w:line="360" w:lineRule="auto"/>
        <w:ind w:firstLine="480"/>
        <w:rPr>
          <w:rFonts w:ascii="宋体" w:hAnsi="宋体"/>
          <w:b/>
          <w:szCs w:val="21"/>
          <w:highlight w:val="none"/>
        </w:rPr>
      </w:pPr>
    </w:p>
    <w:p>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szCs w:val="24"/>
          <w:highlight w:val="none"/>
        </w:rPr>
        <w:t>、撤回、修改</w:t>
      </w:r>
      <w:r>
        <w:rPr>
          <w:rFonts w:hint="eastAsia" w:ascii="宋体" w:hAnsi="宋体"/>
          <w:szCs w:val="24"/>
          <w:highlight w:val="none"/>
          <w:u w:val="single"/>
        </w:rPr>
        <w:t xml:space="preserve">             </w:t>
      </w:r>
      <w:r>
        <w:rPr>
          <w:rFonts w:ascii="宋体" w:hAnsi="宋体"/>
          <w:szCs w:val="24"/>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pPr>
        <w:snapToGrid w:val="0"/>
        <w:spacing w:line="360" w:lineRule="auto"/>
        <w:ind w:firstLine="480"/>
        <w:rPr>
          <w:rFonts w:ascii="宋体" w:hAnsi="宋体"/>
          <w:highlight w:val="none"/>
        </w:rPr>
      </w:pPr>
      <w:r>
        <w:rPr>
          <w:rFonts w:ascii="宋体" w:hAnsi="宋体"/>
          <w:szCs w:val="21"/>
          <w:highlight w:val="none"/>
        </w:rPr>
        <w:t>代理人无转委托权。</w:t>
      </w:r>
    </w:p>
    <w:p>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pPr>
        <w:snapToGrid w:val="0"/>
        <w:spacing w:line="360" w:lineRule="auto"/>
        <w:ind w:firstLine="480"/>
        <w:rPr>
          <w:rFonts w:ascii="宋体" w:hAnsi="宋体"/>
          <w:szCs w:val="21"/>
          <w:highlight w:val="none"/>
        </w:rPr>
      </w:pPr>
    </w:p>
    <w:p>
      <w:pPr>
        <w:snapToGrid w:val="0"/>
        <w:spacing w:line="360" w:lineRule="auto"/>
        <w:ind w:firstLine="3360" w:firstLineChars="14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szCs w:val="24"/>
          <w:highlight w:val="none"/>
        </w:rPr>
        <w:t>公</w:t>
      </w:r>
      <w:r>
        <w:rPr>
          <w:rFonts w:ascii="宋体" w:hAnsi="宋体"/>
          <w:szCs w:val="21"/>
          <w:highlight w:val="none"/>
        </w:rPr>
        <w:t>章）</w:t>
      </w:r>
    </w:p>
    <w:p>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pPr>
        <w:snapToGrid w:val="0"/>
        <w:spacing w:line="360" w:lineRule="auto"/>
        <w:ind w:firstLine="3360"/>
        <w:rPr>
          <w:rFonts w:hint="eastAsia"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pPr>
        <w:pStyle w:val="40"/>
        <w:ind w:firstLine="2880" w:firstLineChars="1200"/>
        <w:rPr>
          <w:highlight w:val="none"/>
        </w:rPr>
      </w:pPr>
      <w:r>
        <w:rPr>
          <w:rFonts w:hint="eastAsia" w:ascii="宋体" w:hAnsi="宋体" w:eastAsia="宋体" w:cs="Times New Roman"/>
          <w:sz w:val="24"/>
          <w:szCs w:val="21"/>
          <w:highlight w:val="none"/>
          <w:lang w:val="en-US" w:eastAsia="zh-CN" w:bidi="ar-SA"/>
        </w:rPr>
        <w:t>联系电话：</w:t>
      </w:r>
      <w:r>
        <w:rPr>
          <w:rFonts w:hint="eastAsia" w:ascii="宋体" w:hAnsi="宋体"/>
          <w:szCs w:val="24"/>
          <w:highlight w:val="none"/>
          <w:u w:val="single"/>
        </w:rPr>
        <w:t xml:space="preserve">                       </w:t>
      </w:r>
    </w:p>
    <w:p>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pPr>
        <w:snapToGrid w:val="0"/>
        <w:spacing w:line="360" w:lineRule="auto"/>
        <w:ind w:firstLine="210"/>
        <w:rPr>
          <w:rFonts w:hint="eastAsia" w:ascii="宋体" w:hAnsi="宋体"/>
          <w:highlight w:val="none"/>
        </w:rPr>
      </w:pPr>
    </w:p>
    <w:p>
      <w:pPr>
        <w:snapToGrid w:val="0"/>
        <w:spacing w:line="360" w:lineRule="auto"/>
        <w:ind w:firstLine="210"/>
        <w:rPr>
          <w:rFonts w:hint="eastAsia" w:ascii="宋体" w:hAnsi="宋体"/>
          <w:highlight w:val="none"/>
        </w:rPr>
      </w:pPr>
    </w:p>
    <w:p>
      <w:pPr>
        <w:snapToGrid w:val="0"/>
        <w:spacing w:line="360" w:lineRule="auto"/>
        <w:ind w:firstLine="210"/>
        <w:rPr>
          <w:rFonts w:hint="eastAsia" w:ascii="宋体" w:hAnsi="宋体"/>
          <w:highlight w:val="none"/>
        </w:rPr>
      </w:pPr>
    </w:p>
    <w:p>
      <w:pPr>
        <w:snapToGrid w:val="0"/>
        <w:spacing w:line="360" w:lineRule="auto"/>
        <w:ind w:firstLine="210"/>
        <w:rPr>
          <w:rFonts w:hint="eastAsia" w:ascii="宋体" w:hAnsi="宋体"/>
          <w:highlight w:val="none"/>
        </w:rPr>
      </w:pPr>
    </w:p>
    <w:p>
      <w:pPr>
        <w:snapToGrid w:val="0"/>
        <w:spacing w:line="360" w:lineRule="auto"/>
        <w:ind w:firstLine="210"/>
        <w:rPr>
          <w:rFonts w:hint="eastAsia" w:ascii="宋体" w:hAnsi="宋体"/>
          <w:highlight w:val="none"/>
        </w:rPr>
      </w:pPr>
    </w:p>
    <w:p>
      <w:pPr>
        <w:pStyle w:val="40"/>
        <w:ind w:firstLine="240"/>
        <w:rPr>
          <w:rFonts w:hint="eastAsia" w:ascii="宋体" w:hAnsi="宋体"/>
          <w:highlight w:val="none"/>
        </w:rPr>
      </w:pPr>
      <w:r>
        <w:rPr>
          <w:rFonts w:ascii="宋体" w:hAnsi="宋体"/>
          <w:highlight w:val="none"/>
        </w:rPr>
        <w:t>注：1.法定代表人和委托代理人均应在本授权委托书上签字，不得使用印章、签名章或其他电子制版签名。</w:t>
      </w:r>
    </w:p>
    <w:p>
      <w:pPr>
        <w:pStyle w:val="40"/>
        <w:ind w:firstLine="240"/>
        <w:rPr>
          <w:rFonts w:ascii="宋体" w:hAnsi="宋体"/>
          <w:highlight w:val="none"/>
        </w:rPr>
      </w:pPr>
      <w:r>
        <w:rPr>
          <w:rFonts w:hint="eastAsia" w:ascii="宋体" w:hAnsi="宋体"/>
          <w:highlight w:val="none"/>
        </w:rPr>
        <w:t>2. 仅用于递交工程保函时出具，须采用线下盖章。</w:t>
      </w:r>
    </w:p>
    <w:p>
      <w:pPr>
        <w:rPr>
          <w:rFonts w:hint="eastAsia"/>
          <w:highlight w:val="none"/>
        </w:rPr>
      </w:pPr>
    </w:p>
    <w:p>
      <w:pPr>
        <w:spacing w:line="360" w:lineRule="auto"/>
        <w:rPr>
          <w:highlight w:val="none"/>
        </w:rPr>
      </w:pPr>
    </w:p>
    <w:p>
      <w:pPr>
        <w:pStyle w:val="15"/>
        <w:rPr>
          <w:highlight w:val="none"/>
        </w:rPr>
      </w:pPr>
    </w:p>
    <w:sectPr>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Microsoft JhengHei">
    <w:panose1 w:val="020B0604030504040204"/>
    <w:charset w:val="88"/>
    <w:family w:val="swiss"/>
    <w:pitch w:val="default"/>
    <w:sig w:usb0="00000087" w:usb1="28AF4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rPr>
        <w:lang w:val="zh-CN"/>
      </w:rPr>
      <w:fldChar w:fldCharType="end"/>
    </w:r>
  </w:p>
  <w:p>
    <w:pPr>
      <w:pStyle w:val="8"/>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pPr>
                            <w:pStyle w:val="13"/>
                            <w:jc w:val="center"/>
                          </w:pPr>
                          <w:r>
                            <w:fldChar w:fldCharType="begin"/>
                          </w:r>
                          <w:r>
                            <w:instrText xml:space="preserve">PAGE   \* MERGEFORMAT</w:instrText>
                          </w:r>
                          <w:r>
                            <w:fldChar w:fldCharType="separate"/>
                          </w:r>
                          <w:r>
                            <w:rPr>
                              <w:lang w:val="zh-CN"/>
                            </w:rPr>
                            <w:t>11</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pPr>
      <w:pStyle w:val="8"/>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34</w:t>
    </w:r>
    <w:r>
      <w:rPr>
        <w:lang w:val="zh-CN"/>
      </w:rPr>
      <w:fldChar w:fldCharType="end"/>
    </w:r>
  </w:p>
  <w:p>
    <w:pPr>
      <w:pStyle w:val="8"/>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95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8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381D6AF1"/>
    <w:multiLevelType w:val="multilevel"/>
    <w:tmpl w:val="381D6AF1"/>
    <w:lvl w:ilvl="0" w:tentative="0">
      <w:start w:val="1"/>
      <w:numFmt w:val="decimalEnclosedCircle"/>
      <w:pStyle w:val="41"/>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8">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4">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5">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9">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7"/>
  </w:num>
  <w:num w:numId="2">
    <w:abstractNumId w:val="15"/>
  </w:num>
  <w:num w:numId="3">
    <w:abstractNumId w:val="2"/>
  </w:num>
  <w:num w:numId="4">
    <w:abstractNumId w:val="16"/>
  </w:num>
  <w:num w:numId="5">
    <w:abstractNumId w:val="3"/>
  </w:num>
  <w:num w:numId="6">
    <w:abstractNumId w:val="9"/>
  </w:num>
  <w:num w:numId="7">
    <w:abstractNumId w:val="18"/>
  </w:num>
  <w:num w:numId="8">
    <w:abstractNumId w:val="14"/>
  </w:num>
  <w:num w:numId="9">
    <w:abstractNumId w:val="12"/>
  </w:num>
  <w:num w:numId="10">
    <w:abstractNumId w:val="6"/>
  </w:num>
  <w:num w:numId="11">
    <w:abstractNumId w:val="8"/>
  </w:num>
  <w:num w:numId="12">
    <w:abstractNumId w:val="13"/>
  </w:num>
  <w:num w:numId="13">
    <w:abstractNumId w:val="4"/>
  </w:num>
  <w:num w:numId="14">
    <w:abstractNumId w:val="1"/>
  </w:num>
  <w:num w:numId="15">
    <w:abstractNumId w:val="17"/>
  </w:num>
  <w:num w:numId="16">
    <w:abstractNumId w:val="19"/>
  </w:num>
  <w:num w:numId="17">
    <w:abstractNumId w:val="10"/>
  </w:num>
  <w:num w:numId="18">
    <w:abstractNumId w:val="11"/>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ZmZiYzBhZjQ2NGE0YjQwMDE1OGFmZjBlYTU2MWIifQ=="/>
    <w:docVar w:name="KSO_WPS_MARK_KEY" w:val="9c28a67c-ee5a-44be-9ea9-a5c0fe262a2f"/>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4DB8"/>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18B6C17"/>
    <w:rsid w:val="01A71FD9"/>
    <w:rsid w:val="01DB7ED5"/>
    <w:rsid w:val="024113D5"/>
    <w:rsid w:val="036D72A9"/>
    <w:rsid w:val="037B196F"/>
    <w:rsid w:val="038841A5"/>
    <w:rsid w:val="03A17523"/>
    <w:rsid w:val="049C1B9D"/>
    <w:rsid w:val="04BD30CA"/>
    <w:rsid w:val="050B79A4"/>
    <w:rsid w:val="054E7B8C"/>
    <w:rsid w:val="07CE7162"/>
    <w:rsid w:val="07F8752D"/>
    <w:rsid w:val="080355A0"/>
    <w:rsid w:val="0A611779"/>
    <w:rsid w:val="0B422D0F"/>
    <w:rsid w:val="0B472137"/>
    <w:rsid w:val="0B8D432E"/>
    <w:rsid w:val="0CC87D05"/>
    <w:rsid w:val="0CE02843"/>
    <w:rsid w:val="0D09244F"/>
    <w:rsid w:val="0DA273CD"/>
    <w:rsid w:val="0DEC40AD"/>
    <w:rsid w:val="0E214EC1"/>
    <w:rsid w:val="0F7B0F31"/>
    <w:rsid w:val="0F9314B7"/>
    <w:rsid w:val="106B3EB1"/>
    <w:rsid w:val="10D26947"/>
    <w:rsid w:val="11560D51"/>
    <w:rsid w:val="12D544CC"/>
    <w:rsid w:val="134D130F"/>
    <w:rsid w:val="135426E8"/>
    <w:rsid w:val="13685097"/>
    <w:rsid w:val="13B41CD4"/>
    <w:rsid w:val="14AF76CB"/>
    <w:rsid w:val="16073465"/>
    <w:rsid w:val="16873D30"/>
    <w:rsid w:val="170D2487"/>
    <w:rsid w:val="17AA23CB"/>
    <w:rsid w:val="17C214C3"/>
    <w:rsid w:val="191D5E20"/>
    <w:rsid w:val="1A2E1092"/>
    <w:rsid w:val="1A554870"/>
    <w:rsid w:val="1A68680D"/>
    <w:rsid w:val="1A8A3DEE"/>
    <w:rsid w:val="1CAD1EF7"/>
    <w:rsid w:val="1D2575BC"/>
    <w:rsid w:val="1D526E45"/>
    <w:rsid w:val="1D833C3B"/>
    <w:rsid w:val="1E067226"/>
    <w:rsid w:val="1F2677BD"/>
    <w:rsid w:val="1F5E5F16"/>
    <w:rsid w:val="1FBF6AB4"/>
    <w:rsid w:val="21DF0EC4"/>
    <w:rsid w:val="22582EC6"/>
    <w:rsid w:val="247213F5"/>
    <w:rsid w:val="24D97E4C"/>
    <w:rsid w:val="2593624D"/>
    <w:rsid w:val="25C10EBD"/>
    <w:rsid w:val="261A696E"/>
    <w:rsid w:val="266F6CBA"/>
    <w:rsid w:val="2719175A"/>
    <w:rsid w:val="27FA0805"/>
    <w:rsid w:val="280C1715"/>
    <w:rsid w:val="2942121D"/>
    <w:rsid w:val="2AA738BE"/>
    <w:rsid w:val="2B960416"/>
    <w:rsid w:val="2BDC52A4"/>
    <w:rsid w:val="2CB009EE"/>
    <w:rsid w:val="2CDD4252"/>
    <w:rsid w:val="2D452523"/>
    <w:rsid w:val="2EAA3725"/>
    <w:rsid w:val="2F7E052C"/>
    <w:rsid w:val="2FF46075"/>
    <w:rsid w:val="32C71E0E"/>
    <w:rsid w:val="337C2A16"/>
    <w:rsid w:val="342B6606"/>
    <w:rsid w:val="345B0EA7"/>
    <w:rsid w:val="357B288D"/>
    <w:rsid w:val="36EB6A98"/>
    <w:rsid w:val="384E32D5"/>
    <w:rsid w:val="39095FE3"/>
    <w:rsid w:val="396A131E"/>
    <w:rsid w:val="39F942E5"/>
    <w:rsid w:val="39FF7EFD"/>
    <w:rsid w:val="3AEC66D3"/>
    <w:rsid w:val="3C5430A6"/>
    <w:rsid w:val="3CAF79B9"/>
    <w:rsid w:val="3D7776CD"/>
    <w:rsid w:val="3DBD010D"/>
    <w:rsid w:val="3F895BC8"/>
    <w:rsid w:val="404E573A"/>
    <w:rsid w:val="405A7C3B"/>
    <w:rsid w:val="40777598"/>
    <w:rsid w:val="4159388A"/>
    <w:rsid w:val="4296401C"/>
    <w:rsid w:val="42C817D4"/>
    <w:rsid w:val="435B6F3D"/>
    <w:rsid w:val="43B835F7"/>
    <w:rsid w:val="43E8694C"/>
    <w:rsid w:val="44020D16"/>
    <w:rsid w:val="443A7677"/>
    <w:rsid w:val="44AC313E"/>
    <w:rsid w:val="46465762"/>
    <w:rsid w:val="464A4E09"/>
    <w:rsid w:val="464D6F18"/>
    <w:rsid w:val="46732CA2"/>
    <w:rsid w:val="47376F28"/>
    <w:rsid w:val="49310464"/>
    <w:rsid w:val="49531BD2"/>
    <w:rsid w:val="498B3013"/>
    <w:rsid w:val="49CF46F0"/>
    <w:rsid w:val="49F64E79"/>
    <w:rsid w:val="4C2A705C"/>
    <w:rsid w:val="4C2F01CE"/>
    <w:rsid w:val="4C6476C3"/>
    <w:rsid w:val="4DB841F3"/>
    <w:rsid w:val="4E5E38F9"/>
    <w:rsid w:val="4E5E4C9D"/>
    <w:rsid w:val="4F100D86"/>
    <w:rsid w:val="4FD07F3D"/>
    <w:rsid w:val="4FE308C7"/>
    <w:rsid w:val="51153B92"/>
    <w:rsid w:val="521B32CF"/>
    <w:rsid w:val="525E2AB0"/>
    <w:rsid w:val="52A82B52"/>
    <w:rsid w:val="52DE6BCC"/>
    <w:rsid w:val="52FB3500"/>
    <w:rsid w:val="53980D4F"/>
    <w:rsid w:val="53C51418"/>
    <w:rsid w:val="54635931"/>
    <w:rsid w:val="548B2661"/>
    <w:rsid w:val="54D45DB6"/>
    <w:rsid w:val="550F5041"/>
    <w:rsid w:val="553B5E36"/>
    <w:rsid w:val="55D02A22"/>
    <w:rsid w:val="55EE36DA"/>
    <w:rsid w:val="57454D4A"/>
    <w:rsid w:val="585B490D"/>
    <w:rsid w:val="58BB6A87"/>
    <w:rsid w:val="58F72073"/>
    <w:rsid w:val="598051A6"/>
    <w:rsid w:val="598C197E"/>
    <w:rsid w:val="59967ADE"/>
    <w:rsid w:val="59A06EA0"/>
    <w:rsid w:val="5A164D55"/>
    <w:rsid w:val="5A6424C2"/>
    <w:rsid w:val="5AE96334"/>
    <w:rsid w:val="5C4D24BD"/>
    <w:rsid w:val="5C7E7709"/>
    <w:rsid w:val="5D213A78"/>
    <w:rsid w:val="5DA36C10"/>
    <w:rsid w:val="5DBA7B13"/>
    <w:rsid w:val="5E0B157B"/>
    <w:rsid w:val="5EE44E48"/>
    <w:rsid w:val="5F84439B"/>
    <w:rsid w:val="602C1292"/>
    <w:rsid w:val="617310B0"/>
    <w:rsid w:val="6554596A"/>
    <w:rsid w:val="668D4017"/>
    <w:rsid w:val="67140294"/>
    <w:rsid w:val="679F1E52"/>
    <w:rsid w:val="697C158B"/>
    <w:rsid w:val="69C441F4"/>
    <w:rsid w:val="6A7B76F2"/>
    <w:rsid w:val="6AD40467"/>
    <w:rsid w:val="6BD101B5"/>
    <w:rsid w:val="6C541536"/>
    <w:rsid w:val="6D017F41"/>
    <w:rsid w:val="6E0307C8"/>
    <w:rsid w:val="6E5D69C5"/>
    <w:rsid w:val="6E773DF6"/>
    <w:rsid w:val="6E7E7825"/>
    <w:rsid w:val="6FFD0124"/>
    <w:rsid w:val="708F7F54"/>
    <w:rsid w:val="727D27CA"/>
    <w:rsid w:val="72A76461"/>
    <w:rsid w:val="72F07E08"/>
    <w:rsid w:val="72F773E8"/>
    <w:rsid w:val="735C5C7E"/>
    <w:rsid w:val="74B23FFC"/>
    <w:rsid w:val="75556682"/>
    <w:rsid w:val="75CA11B6"/>
    <w:rsid w:val="77197ED4"/>
    <w:rsid w:val="77E45A61"/>
    <w:rsid w:val="7800586F"/>
    <w:rsid w:val="781D4ABD"/>
    <w:rsid w:val="795C4159"/>
    <w:rsid w:val="79D42231"/>
    <w:rsid w:val="7A2E1215"/>
    <w:rsid w:val="7A763A9A"/>
    <w:rsid w:val="7AC176CD"/>
    <w:rsid w:val="7B294552"/>
    <w:rsid w:val="7B3A4896"/>
    <w:rsid w:val="7B91002B"/>
    <w:rsid w:val="7BA01B0D"/>
    <w:rsid w:val="7BC2430B"/>
    <w:rsid w:val="7C211032"/>
    <w:rsid w:val="7C4A77F6"/>
    <w:rsid w:val="7C652669"/>
    <w:rsid w:val="7D515947"/>
    <w:rsid w:val="7D563147"/>
    <w:rsid w:val="7D983576"/>
    <w:rsid w:val="7E100013"/>
    <w:rsid w:val="7E490D14"/>
    <w:rsid w:val="7E5F2715"/>
    <w:rsid w:val="7E927FC5"/>
    <w:rsid w:val="7F18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qFormat/>
    <w:uiPriority w:val="0"/>
    <w:pPr>
      <w:ind w:left="3"/>
      <w:outlineLvl w:val="1"/>
    </w:pPr>
    <w:rPr>
      <w:rFonts w:ascii="Cambria" w:hAnsi="Cambria"/>
      <w:b/>
      <w:bCs/>
      <w:sz w:val="32"/>
      <w:szCs w:val="32"/>
    </w:rPr>
  </w:style>
  <w:style w:type="paragraph" w:styleId="5">
    <w:name w:val="heading 3"/>
    <w:basedOn w:val="1"/>
    <w:next w:val="1"/>
    <w:qFormat/>
    <w:uiPriority w:val="0"/>
    <w:pPr>
      <w:ind w:left="100"/>
      <w:outlineLvl w:val="2"/>
    </w:pPr>
    <w:rPr>
      <w:rFonts w:ascii="Times New Roman" w:hAnsi="Times New Roman"/>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next w:val="9"/>
    <w:qFormat/>
    <w:uiPriority w:val="0"/>
    <w:pPr>
      <w:ind w:left="520"/>
    </w:pPr>
    <w:rPr>
      <w:rFonts w:ascii="Times New Roman" w:hAnsi="Times New Roman"/>
    </w:rPr>
  </w:style>
  <w:style w:type="paragraph" w:styleId="9">
    <w:name w:val="Body Text First Indent"/>
    <w:basedOn w:val="8"/>
    <w:next w:val="1"/>
    <w:qFormat/>
    <w:uiPriority w:val="0"/>
    <w:pPr>
      <w:tabs>
        <w:tab w:val="left" w:pos="9360"/>
      </w:tabs>
      <w:adjustRightInd/>
      <w:ind w:firstLine="420" w:firstLineChars="100"/>
    </w:pPr>
    <w:rPr>
      <w:sz w:val="21"/>
    </w:rPr>
  </w:style>
  <w:style w:type="paragraph" w:styleId="10">
    <w:name w:val="Body Text Indent"/>
    <w:basedOn w:val="1"/>
    <w:next w:val="1"/>
    <w:qFormat/>
    <w:uiPriority w:val="0"/>
    <w:pPr>
      <w:spacing w:after="120"/>
      <w:ind w:left="420" w:leftChars="200"/>
    </w:pPr>
  </w:style>
  <w:style w:type="paragraph" w:styleId="11">
    <w:name w:val="toc 3"/>
    <w:basedOn w:val="1"/>
    <w:next w:val="1"/>
    <w:qFormat/>
    <w:uiPriority w:val="39"/>
    <w:pPr>
      <w:ind w:left="840" w:leftChars="400"/>
    </w:pPr>
  </w:style>
  <w:style w:type="paragraph" w:styleId="12">
    <w:name w:val="Plain Text"/>
    <w:basedOn w:val="1"/>
    <w:qFormat/>
    <w:uiPriority w:val="0"/>
    <w:pPr>
      <w:autoSpaceDE/>
      <w:autoSpaceDN/>
      <w:adjustRightInd/>
      <w:jc w:val="both"/>
    </w:pPr>
    <w:rPr>
      <w:rFonts w:ascii="宋体" w:hAnsi="Courier New"/>
      <w:sz w:val="20"/>
      <w:szCs w:val="20"/>
    </w:rPr>
  </w:style>
  <w:style w:type="paragraph" w:styleId="13">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6">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pPr>
    <w:rPr>
      <w:rFonts w:eastAsia="仿宋_GB2312"/>
      <w:sz w:val="18"/>
      <w:szCs w:val="20"/>
    </w:rPr>
  </w:style>
  <w:style w:type="paragraph" w:styleId="18">
    <w:name w:val="toc 6"/>
    <w:basedOn w:val="1"/>
    <w:next w:val="1"/>
    <w:qFormat/>
    <w:uiPriority w:val="0"/>
    <w:pPr>
      <w:autoSpaceDE/>
      <w:autoSpaceDN/>
      <w:adjustRightInd/>
      <w:ind w:left="2100" w:leftChars="1000"/>
      <w:jc w:val="both"/>
    </w:pPr>
    <w:rPr>
      <w:kern w:val="2"/>
      <w:sz w:val="21"/>
      <w:szCs w:val="22"/>
    </w:rPr>
  </w:style>
  <w:style w:type="paragraph" w:styleId="19">
    <w:name w:val="toc 2"/>
    <w:basedOn w:val="1"/>
    <w:next w:val="1"/>
    <w:qFormat/>
    <w:uiPriority w:val="39"/>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21">
    <w:name w:val="Title"/>
    <w:basedOn w:val="1"/>
    <w:next w:val="1"/>
    <w:qFormat/>
    <w:uiPriority w:val="0"/>
    <w:pPr>
      <w:spacing w:before="240" w:after="60"/>
      <w:jc w:val="center"/>
      <w:outlineLvl w:val="0"/>
    </w:pPr>
    <w:rPr>
      <w:b/>
      <w:sz w:val="32"/>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footnote reference"/>
    <w:semiHidden/>
    <w:qFormat/>
    <w:uiPriority w:val="0"/>
    <w:rPr>
      <w:vertAlign w:val="superscript"/>
    </w:rPr>
  </w:style>
  <w:style w:type="paragraph" w:styleId="27">
    <w:name w:val="List Paragraph"/>
    <w:basedOn w:val="1"/>
    <w:qFormat/>
    <w:uiPriority w:val="0"/>
  </w:style>
  <w:style w:type="paragraph" w:customStyle="1" w:styleId="28">
    <w:name w:val="TOC 标题2"/>
    <w:basedOn w:val="2"/>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Table Paragraph"/>
    <w:basedOn w:val="1"/>
    <w:qFormat/>
    <w:uiPriority w:val="1"/>
  </w:style>
  <w:style w:type="paragraph" w:customStyle="1" w:styleId="32">
    <w:name w:val="[Normal]"/>
    <w:qFormat/>
    <w:uiPriority w:val="0"/>
    <w:rPr>
      <w:rFonts w:ascii="宋体" w:hAnsi="宋体" w:eastAsia="宋体" w:cs="Times New Roman"/>
      <w:sz w:val="24"/>
      <w:szCs w:val="22"/>
      <w:lang w:val="zh-CN" w:eastAsia="zh-CN" w:bidi="ar-SA"/>
    </w:rPr>
  </w:style>
  <w:style w:type="paragraph" w:customStyle="1" w:styleId="33">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34">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5">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6">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7">
    <w:name w:val="样式 标题 3 + Arial"/>
    <w:basedOn w:val="5"/>
    <w:qFormat/>
    <w:uiPriority w:val="0"/>
    <w:pPr>
      <w:spacing w:before="100" w:beforeLines="100" w:line="360" w:lineRule="auto"/>
    </w:pPr>
    <w:rPr>
      <w:rFonts w:ascii="Arial" w:hAnsi="Arial"/>
      <w:sz w:val="24"/>
    </w:rPr>
  </w:style>
  <w:style w:type="paragraph" w:customStyle="1" w:styleId="38">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39">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40">
    <w:name w:val="正文文本首行缩进"/>
    <w:basedOn w:val="8"/>
    <w:qFormat/>
    <w:uiPriority w:val="0"/>
    <w:pPr>
      <w:ind w:firstLine="420" w:firstLineChars="100"/>
    </w:pPr>
  </w:style>
  <w:style w:type="paragraph" w:customStyle="1" w:styleId="41">
    <w:name w:val="样式3"/>
    <w:basedOn w:val="1"/>
    <w:qFormat/>
    <w:uiPriority w:val="0"/>
    <w:pPr>
      <w:numPr>
        <w:ilvl w:val="0"/>
        <w:numId w:val="1"/>
      </w:numPr>
      <w:spacing w:line="360" w:lineRule="auto"/>
    </w:pPr>
    <w:rPr>
      <w:rFonts w:ascii="宋体" w:hAnsi="Times New Roman"/>
      <w:sz w:val="24"/>
      <w:szCs w:val="24"/>
    </w:rPr>
  </w:style>
  <w:style w:type="paragraph" w:customStyle="1" w:styleId="4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08CD3-C35A-45E3-88E3-6B35EC334EB2}">
  <ds:schemaRefs/>
</ds:datastoreItem>
</file>

<file path=docProps/app.xml><?xml version="1.0" encoding="utf-8"?>
<Properties xmlns="http://schemas.openxmlformats.org/officeDocument/2006/extended-properties" xmlns:vt="http://schemas.openxmlformats.org/officeDocument/2006/docPropsVTypes">
  <Template>Normal</Template>
  <Pages>99</Pages>
  <Words>56874</Words>
  <Characters>60598</Characters>
  <Lines>494</Lines>
  <Paragraphs>139</Paragraphs>
  <TotalTime>0</TotalTime>
  <ScaleCrop>false</ScaleCrop>
  <LinksUpToDate>false</LinksUpToDate>
  <CharactersWithSpaces>67239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Administrator</cp:lastModifiedBy>
  <cp:lastPrinted>2024-03-13T00:45:00Z</cp:lastPrinted>
  <dcterms:modified xsi:type="dcterms:W3CDTF">2024-08-22T09:28:38Z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1A7295564E91473691B29FBF7E681F98_11</vt:lpwstr>
  </property>
</Properties>
</file>