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imes New Roman" w:eastAsia="宋体"/>
          <w:color w:val="auto"/>
          <w:sz w:val="20"/>
          <w:highlight w:val="none"/>
          <w:lang w:eastAsia="zh-CN"/>
        </w:rPr>
      </w:pPr>
    </w:p>
    <w:p>
      <w:pPr>
        <w:pStyle w:val="2"/>
        <w:rPr>
          <w:rFonts w:ascii="Times New Roman"/>
          <w:color w:val="auto"/>
          <w:sz w:val="20"/>
          <w:highlight w:val="none"/>
        </w:rPr>
      </w:pPr>
    </w:p>
    <w:p>
      <w:pPr>
        <w:pStyle w:val="2"/>
        <w:rPr>
          <w:rFonts w:ascii="Times New Roman"/>
          <w:color w:val="auto"/>
          <w:sz w:val="20"/>
          <w:highlight w:val="none"/>
        </w:rPr>
      </w:pPr>
    </w:p>
    <w:p>
      <w:pPr>
        <w:pStyle w:val="6"/>
        <w:spacing w:before="216"/>
        <w:ind w:left="340"/>
        <w:outlineLvl w:val="0"/>
        <w:rPr>
          <w:rFonts w:hint="eastAsia" w:eastAsia="黑体"/>
          <w:color w:val="auto"/>
          <w:sz w:val="40"/>
          <w:szCs w:val="40"/>
          <w:highlight w:val="none"/>
          <w:lang w:eastAsia="zh-CN"/>
        </w:rPr>
      </w:pPr>
      <w:r>
        <w:rPr>
          <w:rFonts w:hint="eastAsia" w:ascii="Arial" w:eastAsia="宋体"/>
          <w:color w:val="auto"/>
          <w:w w:val="110"/>
          <w:sz w:val="40"/>
          <w:szCs w:val="40"/>
          <w:highlight w:val="none"/>
          <w:lang w:eastAsia="zh-CN"/>
        </w:rPr>
        <w:t>2024年三门县普通国道路基路面养护工程设计</w:t>
      </w:r>
    </w:p>
    <w:p>
      <w:pPr>
        <w:pStyle w:val="2"/>
        <w:spacing w:before="11"/>
        <w:rPr>
          <w:rFonts w:ascii="黑体"/>
          <w:color w:val="auto"/>
          <w:sz w:val="60"/>
          <w:highlight w:val="none"/>
        </w:rPr>
      </w:pPr>
    </w:p>
    <w:p>
      <w:pPr>
        <w:pStyle w:val="2"/>
        <w:rPr>
          <w:rFonts w:ascii="Arial"/>
          <w:color w:val="auto"/>
          <w:sz w:val="36"/>
          <w:highlight w:val="none"/>
        </w:rPr>
      </w:pPr>
    </w:p>
    <w:p>
      <w:pPr>
        <w:pStyle w:val="2"/>
        <w:rPr>
          <w:rFonts w:ascii="Arial"/>
          <w:color w:val="auto"/>
          <w:sz w:val="36"/>
          <w:highlight w:val="none"/>
        </w:rPr>
      </w:pPr>
    </w:p>
    <w:p>
      <w:pPr>
        <w:pStyle w:val="2"/>
        <w:rPr>
          <w:rFonts w:ascii="Arial"/>
          <w:color w:val="auto"/>
          <w:sz w:val="36"/>
          <w:highlight w:val="none"/>
        </w:rPr>
      </w:pPr>
    </w:p>
    <w:p>
      <w:pPr>
        <w:pStyle w:val="2"/>
        <w:rPr>
          <w:rFonts w:ascii="Arial"/>
          <w:color w:val="auto"/>
          <w:sz w:val="36"/>
          <w:highlight w:val="none"/>
        </w:rPr>
      </w:pPr>
    </w:p>
    <w:p>
      <w:pPr>
        <w:pStyle w:val="2"/>
        <w:spacing w:before="9"/>
        <w:rPr>
          <w:rFonts w:ascii="Arial"/>
          <w:color w:val="auto"/>
          <w:sz w:val="35"/>
          <w:highlight w:val="none"/>
        </w:rPr>
      </w:pPr>
    </w:p>
    <w:p>
      <w:pPr>
        <w:tabs>
          <w:tab w:val="left" w:pos="1259"/>
          <w:tab w:val="left" w:pos="2519"/>
          <w:tab w:val="left" w:pos="3779"/>
        </w:tabs>
        <w:spacing w:before="0"/>
        <w:ind w:left="0" w:right="16" w:firstLine="0"/>
        <w:jc w:val="center"/>
        <w:rPr>
          <w:rFonts w:hint="eastAsia" w:ascii="黑体" w:eastAsia="黑体"/>
          <w:color w:val="auto"/>
          <w:sz w:val="84"/>
          <w:highlight w:val="none"/>
        </w:rPr>
      </w:pPr>
      <w:r>
        <w:rPr>
          <w:rFonts w:hint="eastAsia" w:ascii="黑体" w:eastAsia="黑体"/>
          <w:color w:val="auto"/>
          <w:sz w:val="84"/>
          <w:highlight w:val="none"/>
        </w:rPr>
        <w:t>招</w:t>
      </w:r>
      <w:r>
        <w:rPr>
          <w:rFonts w:hint="eastAsia" w:ascii="黑体" w:eastAsia="黑体"/>
          <w:color w:val="auto"/>
          <w:sz w:val="84"/>
          <w:highlight w:val="none"/>
        </w:rPr>
        <w:tab/>
      </w:r>
      <w:r>
        <w:rPr>
          <w:rFonts w:hint="eastAsia" w:ascii="黑体" w:eastAsia="黑体"/>
          <w:color w:val="auto"/>
          <w:sz w:val="84"/>
          <w:highlight w:val="none"/>
        </w:rPr>
        <w:t>标</w:t>
      </w:r>
      <w:r>
        <w:rPr>
          <w:rFonts w:hint="eastAsia" w:ascii="黑体" w:eastAsia="黑体"/>
          <w:color w:val="auto"/>
          <w:sz w:val="84"/>
          <w:highlight w:val="none"/>
        </w:rPr>
        <w:tab/>
      </w:r>
      <w:r>
        <w:rPr>
          <w:rFonts w:hint="eastAsia" w:ascii="黑体" w:eastAsia="黑体"/>
          <w:color w:val="auto"/>
          <w:sz w:val="84"/>
          <w:highlight w:val="none"/>
        </w:rPr>
        <w:t>文</w:t>
      </w:r>
      <w:r>
        <w:rPr>
          <w:rFonts w:hint="eastAsia" w:ascii="黑体" w:eastAsia="黑体"/>
          <w:color w:val="auto"/>
          <w:sz w:val="84"/>
          <w:highlight w:val="none"/>
        </w:rPr>
        <w:tab/>
      </w:r>
      <w:r>
        <w:rPr>
          <w:rFonts w:hint="eastAsia" w:ascii="黑体" w:eastAsia="黑体"/>
          <w:color w:val="auto"/>
          <w:sz w:val="84"/>
          <w:highlight w:val="none"/>
        </w:rPr>
        <w:t>件</w:t>
      </w:r>
    </w:p>
    <w:p>
      <w:pPr>
        <w:pStyle w:val="2"/>
        <w:rPr>
          <w:rFonts w:ascii="黑体"/>
          <w:color w:val="auto"/>
          <w:sz w:val="84"/>
          <w:highlight w:val="none"/>
        </w:rPr>
      </w:pPr>
    </w:p>
    <w:p>
      <w:pPr>
        <w:pStyle w:val="2"/>
        <w:rPr>
          <w:rFonts w:ascii="黑体"/>
          <w:color w:val="auto"/>
          <w:sz w:val="84"/>
          <w:highlight w:val="none"/>
        </w:rPr>
      </w:pPr>
    </w:p>
    <w:p>
      <w:pPr>
        <w:pStyle w:val="2"/>
        <w:spacing w:before="2"/>
        <w:rPr>
          <w:rFonts w:ascii="黑体"/>
          <w:color w:val="auto"/>
          <w:sz w:val="64"/>
          <w:highlight w:val="none"/>
        </w:rPr>
      </w:pPr>
    </w:p>
    <w:p>
      <w:pPr>
        <w:spacing w:before="0" w:line="470" w:lineRule="auto"/>
        <w:ind w:left="3885" w:right="1348" w:hanging="941"/>
        <w:jc w:val="left"/>
        <w:rPr>
          <w:rFonts w:hint="eastAsia" w:ascii="黑体" w:eastAsia="黑体"/>
          <w:color w:val="auto"/>
          <w:w w:val="90"/>
          <w:sz w:val="32"/>
          <w:highlight w:val="none"/>
          <w:lang w:eastAsia="zh-CN"/>
        </w:rPr>
      </w:pPr>
      <w:bookmarkStart w:id="0" w:name="_Toc19670"/>
      <w:r>
        <w:rPr>
          <w:rFonts w:hint="eastAsia" w:ascii="黑体" w:eastAsia="黑体"/>
          <w:color w:val="auto"/>
          <w:w w:val="90"/>
          <w:sz w:val="32"/>
          <w:highlight w:val="none"/>
        </w:rPr>
        <w:t>招标人：</w:t>
      </w:r>
      <w:bookmarkEnd w:id="0"/>
      <w:r>
        <w:rPr>
          <w:rFonts w:hint="eastAsia" w:ascii="黑体" w:eastAsia="黑体"/>
          <w:color w:val="auto"/>
          <w:w w:val="90"/>
          <w:sz w:val="32"/>
          <w:highlight w:val="none"/>
          <w:lang w:eastAsia="zh-CN"/>
        </w:rPr>
        <w:t>三门县公路与运输管理中心</w:t>
      </w:r>
    </w:p>
    <w:p>
      <w:pPr>
        <w:spacing w:before="0" w:line="470" w:lineRule="auto"/>
        <w:ind w:left="3885" w:right="1348" w:hanging="941"/>
        <w:jc w:val="left"/>
        <w:rPr>
          <w:rFonts w:hint="eastAsia" w:ascii="黑体" w:hAnsi="Times New Roman" w:eastAsia="黑体" w:cs="Times New Roman"/>
          <w:color w:val="auto"/>
          <w:w w:val="90"/>
          <w:sz w:val="32"/>
          <w:highlight w:val="none"/>
          <w:lang w:eastAsia="zh-CN"/>
        </w:rPr>
      </w:pPr>
      <w:r>
        <w:rPr>
          <w:rFonts w:hint="eastAsia" w:ascii="黑体" w:hAnsi="Times New Roman" w:eastAsia="黑体" w:cs="Times New Roman"/>
          <w:color w:val="auto"/>
          <w:w w:val="90"/>
          <w:sz w:val="32"/>
          <w:highlight w:val="none"/>
          <w:lang w:eastAsia="zh-CN"/>
        </w:rPr>
        <w:t>招标代理：台州景珩建设管理有限公司</w:t>
      </w:r>
    </w:p>
    <w:p>
      <w:pPr>
        <w:spacing w:before="0" w:line="470" w:lineRule="auto"/>
        <w:ind w:left="3885" w:right="1348" w:hanging="941"/>
        <w:jc w:val="left"/>
        <w:rPr>
          <w:rFonts w:hint="eastAsia" w:ascii="黑体" w:hAnsi="Times New Roman" w:eastAsia="黑体" w:cs="Times New Roman"/>
          <w:color w:val="auto"/>
          <w:w w:val="90"/>
          <w:sz w:val="32"/>
          <w:highlight w:val="none"/>
          <w:lang w:eastAsia="zh-CN"/>
        </w:rPr>
      </w:pPr>
      <w:r>
        <w:rPr>
          <w:rFonts w:hint="eastAsia" w:ascii="黑体" w:hAnsi="Times New Roman" w:eastAsia="黑体" w:cs="Times New Roman"/>
          <w:color w:val="auto"/>
          <w:w w:val="90"/>
          <w:sz w:val="32"/>
          <w:highlight w:val="none"/>
          <w:lang w:eastAsia="zh-CN"/>
        </w:rPr>
        <w:t>行业主管部门：三门县交通运输局</w:t>
      </w:r>
    </w:p>
    <w:p>
      <w:pPr>
        <w:spacing w:before="0" w:line="470" w:lineRule="auto"/>
        <w:ind w:left="3357" w:leftChars="1526" w:right="1348" w:firstLine="432" w:firstLineChars="150"/>
        <w:jc w:val="left"/>
        <w:rPr>
          <w:rFonts w:hint="eastAsia" w:ascii="黑体" w:hAnsi="Times New Roman" w:eastAsia="黑体" w:cs="Times New Roman"/>
          <w:color w:val="auto"/>
          <w:w w:val="90"/>
          <w:sz w:val="32"/>
          <w:highlight w:val="none"/>
        </w:rPr>
      </w:pPr>
      <w:r>
        <w:rPr>
          <w:rFonts w:hint="eastAsia" w:ascii="黑体" w:hAnsi="Times New Roman" w:eastAsia="黑体" w:cs="Times New Roman"/>
          <w:color w:val="auto"/>
          <w:w w:val="90"/>
          <w:sz w:val="32"/>
          <w:highlight w:val="none"/>
        </w:rPr>
        <w:t>二〇二</w:t>
      </w:r>
      <w:r>
        <w:rPr>
          <w:rFonts w:hint="eastAsia" w:ascii="黑体" w:hAnsi="Times New Roman" w:eastAsia="黑体" w:cs="Times New Roman"/>
          <w:color w:val="auto"/>
          <w:w w:val="90"/>
          <w:sz w:val="32"/>
          <w:highlight w:val="none"/>
          <w:lang w:val="en-US" w:eastAsia="zh-CN"/>
        </w:rPr>
        <w:t>三</w:t>
      </w:r>
      <w:r>
        <w:rPr>
          <w:rFonts w:hint="eastAsia" w:ascii="黑体" w:hAnsi="Times New Roman" w:eastAsia="黑体" w:cs="Times New Roman"/>
          <w:color w:val="auto"/>
          <w:w w:val="90"/>
          <w:sz w:val="32"/>
          <w:highlight w:val="none"/>
        </w:rPr>
        <w:t>年十</w:t>
      </w:r>
      <w:r>
        <w:rPr>
          <w:rFonts w:hint="eastAsia" w:ascii="黑体" w:hAnsi="Times New Roman" w:eastAsia="黑体" w:cs="Times New Roman"/>
          <w:color w:val="auto"/>
          <w:w w:val="90"/>
          <w:sz w:val="32"/>
          <w:highlight w:val="none"/>
          <w:lang w:val="en-US" w:eastAsia="zh-CN"/>
        </w:rPr>
        <w:t>一</w:t>
      </w:r>
      <w:r>
        <w:rPr>
          <w:rFonts w:hint="eastAsia" w:ascii="黑体" w:hAnsi="Times New Roman" w:eastAsia="黑体" w:cs="Times New Roman"/>
          <w:color w:val="auto"/>
          <w:w w:val="90"/>
          <w:sz w:val="32"/>
          <w:highlight w:val="none"/>
        </w:rPr>
        <w:t>月</w:t>
      </w:r>
    </w:p>
    <w:p>
      <w:pPr>
        <w:spacing w:before="0" w:line="470" w:lineRule="auto"/>
        <w:ind w:left="3885" w:right="1348" w:hanging="941"/>
        <w:jc w:val="left"/>
        <w:rPr>
          <w:rFonts w:hint="eastAsia" w:ascii="黑体" w:hAnsi="Times New Roman" w:eastAsia="黑体" w:cs="Times New Roman"/>
          <w:color w:val="auto"/>
          <w:w w:val="90"/>
          <w:sz w:val="32"/>
          <w:highlight w:val="none"/>
        </w:rPr>
        <w:sectPr>
          <w:footerReference r:id="rId5" w:type="default"/>
          <w:pgSz w:w="11910" w:h="16840"/>
          <w:pgMar w:top="1580" w:right="860" w:bottom="280" w:left="960" w:header="720" w:footer="720" w:gutter="0"/>
          <w:pgBorders>
            <w:top w:val="none" w:sz="0" w:space="0"/>
            <w:left w:val="none" w:sz="0" w:space="0"/>
            <w:bottom w:val="none" w:sz="0" w:space="0"/>
            <w:right w:val="none" w:sz="0" w:space="0"/>
          </w:pgBorders>
          <w:pgNumType w:fmt="decimal"/>
          <w:cols w:space="720" w:num="1"/>
        </w:sectPr>
      </w:pPr>
    </w:p>
    <w:tbl>
      <w:tblPr>
        <w:tblStyle w:val="26"/>
        <w:tblW w:w="9073"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0" w:hRule="atLeast"/>
        </w:trPr>
        <w:tc>
          <w:tcPr>
            <w:tcW w:w="9073" w:type="dxa"/>
            <w:noWrap w:val="0"/>
            <w:vAlign w:val="top"/>
          </w:tcPr>
          <w:p>
            <w:pPr>
              <w:spacing w:line="400" w:lineRule="exact"/>
              <w:jc w:val="center"/>
              <w:rPr>
                <w:rFonts w:hint="eastAsia" w:ascii="黑体" w:hAnsi="黑体" w:eastAsia="黑体"/>
                <w:bCs/>
                <w:color w:val="auto"/>
                <w:sz w:val="44"/>
                <w:szCs w:val="20"/>
                <w:highlight w:val="none"/>
              </w:rPr>
            </w:pPr>
          </w:p>
          <w:p>
            <w:pPr>
              <w:spacing w:line="640" w:lineRule="exact"/>
              <w:jc w:val="center"/>
              <w:rPr>
                <w:rFonts w:ascii="黑体" w:hAnsi="黑体" w:eastAsia="黑体"/>
                <w:color w:val="auto"/>
                <w:sz w:val="32"/>
                <w:szCs w:val="32"/>
                <w:highlight w:val="none"/>
              </w:rPr>
            </w:pPr>
            <w:r>
              <w:rPr>
                <w:rFonts w:ascii="黑体" w:hAnsi="黑体" w:eastAsia="黑体"/>
                <w:bCs/>
                <w:color w:val="auto"/>
                <w:sz w:val="44"/>
                <w:szCs w:val="20"/>
                <w:highlight w:val="none"/>
              </w:rPr>
              <w:t>三   门   县</w:t>
            </w:r>
          </w:p>
          <w:p>
            <w:pPr>
              <w:spacing w:line="1100" w:lineRule="exact"/>
              <w:jc w:val="center"/>
              <w:rPr>
                <w:rFonts w:ascii="黑体" w:hAnsi="黑体" w:eastAsia="黑体"/>
                <w:bCs/>
                <w:color w:val="auto"/>
                <w:spacing w:val="120"/>
                <w:sz w:val="44"/>
                <w:szCs w:val="20"/>
                <w:highlight w:val="none"/>
              </w:rPr>
            </w:pPr>
            <w:r>
              <w:rPr>
                <w:rFonts w:ascii="黑体" w:hAnsi="黑体" w:eastAsia="黑体"/>
                <w:bCs/>
                <w:color w:val="auto"/>
                <w:spacing w:val="120"/>
                <w:sz w:val="44"/>
                <w:szCs w:val="20"/>
                <w:highlight w:val="none"/>
              </w:rPr>
              <w:t>建设工程招标文件</w:t>
            </w:r>
          </w:p>
          <w:p>
            <w:pPr>
              <w:spacing w:before="240" w:beforeLines="100" w:line="440" w:lineRule="exact"/>
              <w:jc w:val="center"/>
              <w:rPr>
                <w:rFonts w:hint="eastAsia" w:ascii="黑体" w:hAnsi="黑体" w:eastAsia="黑体"/>
                <w:bCs/>
                <w:color w:val="auto"/>
                <w:sz w:val="32"/>
                <w:szCs w:val="20"/>
                <w:highlight w:val="none"/>
              </w:rPr>
            </w:pPr>
            <w:r>
              <w:rPr>
                <w:rFonts w:ascii="黑体" w:hAnsi="黑体" w:eastAsia="黑体"/>
                <w:bCs/>
                <w:color w:val="auto"/>
                <w:sz w:val="32"/>
                <w:szCs w:val="20"/>
                <w:highlight w:val="none"/>
              </w:rPr>
              <w:t>备案登记号：</w:t>
            </w:r>
            <w:r>
              <w:rPr>
                <w:rFonts w:hint="eastAsia" w:ascii="黑体" w:hAnsi="黑体" w:eastAsia="黑体"/>
                <w:bCs/>
                <w:color w:val="auto"/>
                <w:sz w:val="32"/>
                <w:szCs w:val="20"/>
                <w:highlight w:val="none"/>
              </w:rPr>
              <w:t>三招建备</w:t>
            </w:r>
            <w:r>
              <w:rPr>
                <w:rFonts w:hint="eastAsia" w:ascii="黑体" w:hAnsi="黑体" w:eastAsia="黑体"/>
                <w:bCs/>
                <w:color w:val="auto"/>
                <w:sz w:val="32"/>
                <w:szCs w:val="20"/>
                <w:highlight w:val="none"/>
                <w:lang w:val="en-US" w:eastAsia="zh-CN"/>
              </w:rPr>
              <w:t>2023-130</w:t>
            </w:r>
            <w:r>
              <w:rPr>
                <w:rFonts w:ascii="黑体" w:hAnsi="黑体" w:eastAsia="黑体"/>
                <w:bCs/>
                <w:color w:val="auto"/>
                <w:sz w:val="32"/>
                <w:szCs w:val="20"/>
                <w:highlight w:val="none"/>
              </w:rPr>
              <w:t>号</w:t>
            </w:r>
          </w:p>
          <w:p>
            <w:pPr>
              <w:spacing w:line="640" w:lineRule="exact"/>
              <w:ind w:left="210" w:firstLine="591" w:firstLineChars="269"/>
              <w:rPr>
                <w:rFonts w:ascii="黑体" w:hAnsi="黑体" w:eastAsia="黑体"/>
                <w:bCs/>
                <w:color w:val="auto"/>
                <w:highlight w:val="none"/>
              </w:rPr>
            </w:pPr>
          </w:p>
          <w:p>
            <w:pPr>
              <w:spacing w:line="640" w:lineRule="exact"/>
              <w:jc w:val="center"/>
              <w:rPr>
                <w:rFonts w:hint="eastAsia" w:ascii="黑体" w:hAnsi="黑体" w:eastAsia="黑体"/>
                <w:b/>
                <w:bCs/>
                <w:color w:val="auto"/>
                <w:sz w:val="36"/>
                <w:szCs w:val="36"/>
                <w:highlight w:val="none"/>
                <w:lang w:eastAsia="zh-CN"/>
              </w:rPr>
            </w:pPr>
            <w:r>
              <w:rPr>
                <w:rFonts w:ascii="黑体" w:hAnsi="黑体" w:eastAsia="黑体"/>
                <w:b/>
                <w:bCs/>
                <w:color w:val="auto"/>
                <w:sz w:val="36"/>
                <w:szCs w:val="36"/>
                <w:highlight w:val="none"/>
              </w:rPr>
              <w:t>项目名称：</w:t>
            </w:r>
            <w:r>
              <w:rPr>
                <w:rFonts w:hint="eastAsia" w:ascii="黑体" w:hAnsi="黑体" w:eastAsia="黑体"/>
                <w:b/>
                <w:bCs/>
                <w:color w:val="auto"/>
                <w:sz w:val="32"/>
                <w:szCs w:val="32"/>
                <w:highlight w:val="none"/>
                <w:lang w:eastAsia="zh-CN"/>
              </w:rPr>
              <w:t>2024年三门县普通国道路基路面养护工程设计</w:t>
            </w:r>
          </w:p>
          <w:p>
            <w:pPr>
              <w:spacing w:line="640" w:lineRule="exact"/>
              <w:ind w:left="210" w:firstLine="860" w:firstLineChars="269"/>
              <w:rPr>
                <w:rFonts w:hint="eastAsia" w:ascii="黑体" w:hAnsi="黑体" w:eastAsia="黑体"/>
                <w:bCs/>
                <w:color w:val="auto"/>
                <w:sz w:val="32"/>
                <w:szCs w:val="20"/>
                <w:highlight w:val="none"/>
              </w:rPr>
            </w:pPr>
          </w:p>
          <w:p>
            <w:pPr>
              <w:spacing w:line="640" w:lineRule="exact"/>
              <w:ind w:left="210" w:firstLine="860" w:firstLineChars="269"/>
              <w:rPr>
                <w:rFonts w:hint="eastAsia" w:ascii="黑体" w:hAnsi="黑体" w:eastAsia="黑体"/>
                <w:bCs/>
                <w:color w:val="auto"/>
                <w:sz w:val="32"/>
                <w:szCs w:val="20"/>
                <w:highlight w:val="none"/>
              </w:rPr>
            </w:pPr>
          </w:p>
          <w:p>
            <w:pPr>
              <w:spacing w:line="640" w:lineRule="exact"/>
              <w:ind w:left="210" w:firstLine="640" w:firstLineChars="200"/>
              <w:rPr>
                <w:rFonts w:hint="eastAsia" w:ascii="黑体" w:hAnsi="黑体" w:eastAsia="黑体"/>
                <w:bCs/>
                <w:color w:val="auto"/>
                <w:sz w:val="32"/>
                <w:szCs w:val="20"/>
                <w:highlight w:val="none"/>
              </w:rPr>
            </w:pPr>
            <w:r>
              <w:rPr>
                <w:rFonts w:ascii="黑体" w:hAnsi="黑体" w:eastAsia="黑体"/>
                <w:bCs/>
                <w:color w:val="auto"/>
                <w:sz w:val="32"/>
                <w:szCs w:val="20"/>
                <w:highlight w:val="none"/>
              </w:rPr>
              <w:t>招 标 人：</w:t>
            </w:r>
            <w:r>
              <w:rPr>
                <w:rFonts w:hint="eastAsia" w:ascii="黑体" w:hAnsi="黑体" w:eastAsia="黑体"/>
                <w:bCs/>
                <w:color w:val="auto"/>
                <w:sz w:val="32"/>
                <w:szCs w:val="20"/>
                <w:highlight w:val="none"/>
                <w:lang w:eastAsia="zh-CN"/>
              </w:rPr>
              <w:t>三门县公路与运输管理中心</w:t>
            </w:r>
            <w:r>
              <w:rPr>
                <w:rFonts w:ascii="黑体" w:hAnsi="黑体" w:eastAsia="黑体"/>
                <w:bCs/>
                <w:color w:val="auto"/>
                <w:sz w:val="32"/>
                <w:szCs w:val="20"/>
                <w:highlight w:val="none"/>
              </w:rPr>
              <w:t>（盖章）</w:t>
            </w:r>
          </w:p>
          <w:p>
            <w:pPr>
              <w:spacing w:line="640" w:lineRule="exact"/>
              <w:ind w:left="210" w:firstLine="640" w:firstLineChars="200"/>
              <w:rPr>
                <w:rFonts w:hint="eastAsia" w:ascii="黑体" w:hAnsi="黑体" w:eastAsia="黑体"/>
                <w:bCs/>
                <w:color w:val="auto"/>
                <w:sz w:val="32"/>
                <w:szCs w:val="20"/>
                <w:highlight w:val="none"/>
                <w:lang w:eastAsia="zh-CN"/>
              </w:rPr>
            </w:pPr>
            <w:r>
              <w:rPr>
                <w:rFonts w:ascii="黑体" w:hAnsi="黑体" w:eastAsia="黑体"/>
                <w:bCs/>
                <w:color w:val="auto"/>
                <w:sz w:val="32"/>
                <w:szCs w:val="20"/>
                <w:highlight w:val="none"/>
              </w:rPr>
              <w:t>联 系 人：</w:t>
            </w:r>
            <w:r>
              <w:rPr>
                <w:rFonts w:hint="eastAsia" w:ascii="黑体" w:hAnsi="黑体" w:eastAsia="黑体"/>
                <w:bCs/>
                <w:color w:val="auto"/>
                <w:sz w:val="32"/>
                <w:szCs w:val="20"/>
                <w:highlight w:val="none"/>
                <w:lang w:eastAsia="zh-CN"/>
              </w:rPr>
              <w:t>王群</w:t>
            </w:r>
          </w:p>
          <w:p>
            <w:pPr>
              <w:spacing w:line="640" w:lineRule="exact"/>
              <w:ind w:left="210" w:firstLine="640" w:firstLineChars="200"/>
              <w:rPr>
                <w:rFonts w:hint="eastAsia" w:ascii="黑体" w:hAnsi="黑体" w:eastAsia="黑体"/>
                <w:bCs/>
                <w:color w:val="auto"/>
                <w:sz w:val="32"/>
                <w:szCs w:val="20"/>
                <w:highlight w:val="none"/>
                <w:lang w:eastAsia="zh-CN"/>
              </w:rPr>
            </w:pPr>
            <w:r>
              <w:rPr>
                <w:rFonts w:ascii="黑体" w:hAnsi="黑体" w:eastAsia="黑体"/>
                <w:bCs/>
                <w:color w:val="auto"/>
                <w:sz w:val="32"/>
                <w:szCs w:val="20"/>
                <w:highlight w:val="none"/>
              </w:rPr>
              <w:t>联系电</w:t>
            </w:r>
            <w:r>
              <w:rPr>
                <w:rFonts w:hint="eastAsia" w:ascii="黑体" w:hAnsi="黑体" w:eastAsia="黑体"/>
                <w:bCs/>
                <w:color w:val="auto"/>
                <w:sz w:val="32"/>
                <w:szCs w:val="20"/>
                <w:highlight w:val="none"/>
                <w:lang w:eastAsia="zh-CN"/>
              </w:rPr>
              <w:t>话：</w:t>
            </w:r>
            <w:r>
              <w:rPr>
                <w:rFonts w:hint="eastAsia" w:ascii="黑体" w:hAnsi="黑体" w:eastAsia="黑体"/>
                <w:bCs/>
                <w:color w:val="auto"/>
                <w:sz w:val="32"/>
                <w:szCs w:val="20"/>
                <w:highlight w:val="none"/>
                <w:lang w:val="en-US" w:eastAsia="zh-CN"/>
              </w:rPr>
              <w:t>0576-83515018</w:t>
            </w:r>
          </w:p>
          <w:p>
            <w:pPr>
              <w:spacing w:line="640" w:lineRule="exact"/>
              <w:ind w:left="210" w:firstLine="860" w:firstLineChars="269"/>
              <w:rPr>
                <w:rFonts w:ascii="黑体" w:hAnsi="黑体" w:eastAsia="黑体"/>
                <w:bCs/>
                <w:color w:val="auto"/>
                <w:sz w:val="32"/>
                <w:szCs w:val="20"/>
                <w:highlight w:val="none"/>
              </w:rPr>
            </w:pPr>
          </w:p>
          <w:p>
            <w:pPr>
              <w:spacing w:line="640" w:lineRule="exact"/>
              <w:ind w:left="210" w:firstLine="860" w:firstLineChars="269"/>
              <w:rPr>
                <w:rFonts w:ascii="黑体" w:hAnsi="黑体" w:eastAsia="黑体"/>
                <w:bCs/>
                <w:color w:val="auto"/>
                <w:sz w:val="32"/>
                <w:szCs w:val="20"/>
                <w:highlight w:val="none"/>
              </w:rPr>
            </w:pPr>
            <w:r>
              <w:rPr>
                <w:rFonts w:ascii="黑体" w:hAnsi="黑体" w:eastAsia="黑体"/>
                <w:bCs/>
                <w:color w:val="auto"/>
                <w:sz w:val="32"/>
                <w:szCs w:val="20"/>
                <w:highlight w:val="none"/>
              </w:rPr>
              <w:t>招标代理：</w:t>
            </w:r>
            <w:r>
              <w:rPr>
                <w:rFonts w:hint="eastAsia" w:ascii="黑体" w:hAnsi="黑体" w:eastAsia="黑体"/>
                <w:bCs/>
                <w:color w:val="auto"/>
                <w:sz w:val="32"/>
                <w:szCs w:val="20"/>
                <w:highlight w:val="none"/>
                <w:lang w:eastAsia="zh-CN"/>
              </w:rPr>
              <w:t>台州景珩建设管理有限公司</w:t>
            </w:r>
            <w:r>
              <w:rPr>
                <w:rFonts w:ascii="黑体" w:hAnsi="黑体" w:eastAsia="黑体"/>
                <w:bCs/>
                <w:color w:val="auto"/>
                <w:sz w:val="32"/>
                <w:szCs w:val="20"/>
                <w:highlight w:val="none"/>
              </w:rPr>
              <w:t>（盖章）</w:t>
            </w:r>
          </w:p>
          <w:p>
            <w:pPr>
              <w:spacing w:line="640" w:lineRule="exact"/>
              <w:ind w:left="210" w:firstLine="860" w:firstLineChars="269"/>
              <w:rPr>
                <w:rFonts w:hint="eastAsia" w:ascii="黑体" w:hAnsi="黑体" w:eastAsia="黑体"/>
                <w:bCs/>
                <w:color w:val="auto"/>
                <w:sz w:val="32"/>
                <w:szCs w:val="20"/>
                <w:highlight w:val="none"/>
                <w:lang w:eastAsia="zh-CN"/>
              </w:rPr>
            </w:pPr>
            <w:r>
              <w:rPr>
                <w:rFonts w:ascii="黑体" w:hAnsi="黑体" w:eastAsia="黑体"/>
                <w:bCs/>
                <w:color w:val="auto"/>
                <w:sz w:val="32"/>
                <w:szCs w:val="20"/>
                <w:highlight w:val="none"/>
              </w:rPr>
              <w:t>联 系 人：</w:t>
            </w:r>
            <w:r>
              <w:rPr>
                <w:rFonts w:hint="eastAsia" w:ascii="黑体" w:hAnsi="黑体" w:eastAsia="黑体"/>
                <w:bCs/>
                <w:color w:val="auto"/>
                <w:sz w:val="32"/>
                <w:szCs w:val="20"/>
                <w:highlight w:val="none"/>
                <w:lang w:eastAsia="zh-CN"/>
              </w:rPr>
              <w:t>吴春莲</w:t>
            </w:r>
          </w:p>
          <w:p>
            <w:pPr>
              <w:spacing w:line="640" w:lineRule="exact"/>
              <w:ind w:left="210" w:firstLine="860" w:firstLineChars="269"/>
              <w:rPr>
                <w:rFonts w:hint="eastAsia" w:ascii="黑体" w:hAnsi="黑体" w:eastAsia="黑体"/>
                <w:bCs/>
                <w:color w:val="auto"/>
                <w:sz w:val="32"/>
                <w:szCs w:val="20"/>
                <w:highlight w:val="none"/>
                <w:lang w:eastAsia="zh-CN"/>
              </w:rPr>
            </w:pPr>
            <w:r>
              <w:rPr>
                <w:rFonts w:ascii="黑体" w:hAnsi="黑体" w:eastAsia="黑体"/>
                <w:bCs/>
                <w:color w:val="auto"/>
                <w:sz w:val="32"/>
                <w:szCs w:val="20"/>
                <w:highlight w:val="none"/>
              </w:rPr>
              <w:t>联系电话：</w:t>
            </w:r>
            <w:r>
              <w:rPr>
                <w:rFonts w:hint="eastAsia" w:ascii="黑体" w:hAnsi="黑体" w:eastAsia="黑体"/>
                <w:bCs/>
                <w:color w:val="auto"/>
                <w:sz w:val="32"/>
                <w:szCs w:val="20"/>
                <w:highlight w:val="none"/>
                <w:lang w:eastAsia="zh-CN"/>
              </w:rPr>
              <w:t>0576-83519809</w:t>
            </w:r>
          </w:p>
          <w:p>
            <w:pPr>
              <w:spacing w:line="640" w:lineRule="exact"/>
              <w:ind w:left="210" w:firstLine="860" w:firstLineChars="269"/>
              <w:rPr>
                <w:rFonts w:ascii="黑体" w:hAnsi="黑体" w:eastAsia="黑体"/>
                <w:bCs/>
                <w:color w:val="auto"/>
                <w:sz w:val="32"/>
                <w:szCs w:val="20"/>
                <w:highlight w:val="none"/>
              </w:rPr>
            </w:pPr>
          </w:p>
          <w:p>
            <w:pPr>
              <w:spacing w:line="640" w:lineRule="exact"/>
              <w:ind w:left="210" w:firstLine="860" w:firstLineChars="269"/>
              <w:rPr>
                <w:rFonts w:ascii="黑体" w:hAnsi="黑体" w:eastAsia="黑体"/>
                <w:bCs/>
                <w:color w:val="auto"/>
                <w:sz w:val="32"/>
                <w:szCs w:val="20"/>
                <w:highlight w:val="none"/>
              </w:rPr>
            </w:pPr>
            <w:r>
              <w:rPr>
                <w:rFonts w:ascii="黑体" w:hAnsi="黑体" w:eastAsia="黑体"/>
                <w:bCs/>
                <w:color w:val="auto"/>
                <w:sz w:val="32"/>
                <w:szCs w:val="20"/>
                <w:highlight w:val="none"/>
              </w:rPr>
              <w:t>行业主管部门：三门县交通运输局（盖章）</w:t>
            </w:r>
          </w:p>
          <w:p>
            <w:pPr>
              <w:spacing w:line="640" w:lineRule="exact"/>
              <w:rPr>
                <w:rFonts w:hint="eastAsia" w:ascii="黑体" w:hAnsi="黑体" w:eastAsia="黑体"/>
                <w:bCs/>
                <w:color w:val="auto"/>
                <w:highlight w:val="none"/>
              </w:rPr>
            </w:pPr>
          </w:p>
          <w:p>
            <w:pPr>
              <w:spacing w:line="640" w:lineRule="exact"/>
              <w:rPr>
                <w:rFonts w:ascii="黑体" w:hAnsi="黑体" w:eastAsia="黑体"/>
                <w:bCs/>
                <w:color w:val="auto"/>
                <w:highlight w:val="none"/>
              </w:rPr>
            </w:pPr>
          </w:p>
          <w:p>
            <w:pPr>
              <w:jc w:val="center"/>
              <w:rPr>
                <w:rFonts w:ascii="黑体" w:hAnsi="黑体" w:eastAsia="黑体"/>
                <w:bCs/>
                <w:color w:val="auto"/>
                <w:sz w:val="32"/>
                <w:szCs w:val="20"/>
                <w:highlight w:val="none"/>
              </w:rPr>
            </w:pPr>
            <w:r>
              <w:rPr>
                <w:rFonts w:ascii="黑体" w:hAnsi="黑体" w:eastAsia="黑体"/>
                <w:bCs/>
                <w:color w:val="auto"/>
                <w:sz w:val="32"/>
                <w:szCs w:val="20"/>
                <w:highlight w:val="none"/>
              </w:rPr>
              <w:t>二 〇</w:t>
            </w:r>
            <w:r>
              <w:rPr>
                <w:rFonts w:hint="eastAsia" w:ascii="黑体" w:hAnsi="黑体" w:eastAsia="黑体"/>
                <w:bCs/>
                <w:color w:val="auto"/>
                <w:sz w:val="32"/>
                <w:szCs w:val="20"/>
                <w:highlight w:val="none"/>
              </w:rPr>
              <w:t xml:space="preserve"> </w:t>
            </w:r>
            <w:r>
              <w:rPr>
                <w:rFonts w:ascii="黑体" w:hAnsi="黑体" w:eastAsia="黑体"/>
                <w:bCs/>
                <w:color w:val="auto"/>
                <w:sz w:val="32"/>
                <w:szCs w:val="20"/>
                <w:highlight w:val="none"/>
              </w:rPr>
              <w:t xml:space="preserve">二 </w:t>
            </w:r>
            <w:r>
              <w:rPr>
                <w:rFonts w:hint="eastAsia" w:ascii="黑体" w:hAnsi="黑体" w:eastAsia="黑体"/>
                <w:bCs/>
                <w:color w:val="auto"/>
                <w:sz w:val="32"/>
                <w:szCs w:val="20"/>
                <w:highlight w:val="none"/>
                <w:lang w:val="en-US" w:eastAsia="zh-CN"/>
              </w:rPr>
              <w:t>三</w:t>
            </w:r>
            <w:r>
              <w:rPr>
                <w:rFonts w:hint="eastAsia" w:ascii="黑体" w:hAnsi="黑体" w:eastAsia="黑体"/>
                <w:bCs/>
                <w:color w:val="auto"/>
                <w:sz w:val="32"/>
                <w:szCs w:val="20"/>
                <w:highlight w:val="none"/>
              </w:rPr>
              <w:t xml:space="preserve"> </w:t>
            </w:r>
            <w:r>
              <w:rPr>
                <w:rFonts w:ascii="黑体" w:hAnsi="黑体" w:eastAsia="黑体"/>
                <w:bCs/>
                <w:color w:val="auto"/>
                <w:sz w:val="32"/>
                <w:szCs w:val="20"/>
                <w:highlight w:val="none"/>
              </w:rPr>
              <w:t xml:space="preserve">年 </w:t>
            </w:r>
            <w:r>
              <w:rPr>
                <w:rFonts w:hint="eastAsia" w:ascii="黑体" w:hAnsi="黑体" w:eastAsia="黑体"/>
                <w:bCs/>
                <w:color w:val="auto"/>
                <w:sz w:val="32"/>
                <w:szCs w:val="20"/>
                <w:highlight w:val="none"/>
                <w:lang w:val="en-US" w:eastAsia="zh-CN"/>
              </w:rPr>
              <w:t>十一</w:t>
            </w:r>
            <w:r>
              <w:rPr>
                <w:rFonts w:ascii="黑体" w:hAnsi="黑体" w:eastAsia="黑体"/>
                <w:bCs/>
                <w:color w:val="auto"/>
                <w:sz w:val="32"/>
                <w:szCs w:val="20"/>
                <w:highlight w:val="none"/>
              </w:rPr>
              <w:t xml:space="preserve"> 月</w:t>
            </w:r>
          </w:p>
        </w:tc>
      </w:tr>
    </w:tbl>
    <w:p>
      <w:pPr>
        <w:tabs>
          <w:tab w:val="left" w:pos="880"/>
        </w:tabs>
        <w:spacing w:before="16"/>
        <w:ind w:left="0" w:right="14" w:firstLine="0"/>
        <w:jc w:val="center"/>
        <w:rPr>
          <w:rFonts w:hint="eastAsia" w:ascii="黑体" w:eastAsia="黑体"/>
          <w:color w:val="auto"/>
          <w:sz w:val="44"/>
          <w:highlight w:val="none"/>
        </w:rPr>
      </w:pPr>
    </w:p>
    <w:p>
      <w:pPr>
        <w:tabs>
          <w:tab w:val="left" w:pos="880"/>
        </w:tabs>
        <w:spacing w:before="16"/>
        <w:ind w:left="0" w:right="14" w:firstLine="0"/>
        <w:jc w:val="center"/>
        <w:rPr>
          <w:rFonts w:hint="eastAsia" w:ascii="黑体" w:eastAsia="黑体"/>
          <w:color w:val="auto"/>
          <w:sz w:val="44"/>
          <w:highlight w:val="none"/>
        </w:rPr>
      </w:pPr>
      <w:r>
        <w:rPr>
          <w:rFonts w:hint="eastAsia" w:ascii="黑体" w:eastAsia="黑体"/>
          <w:color w:val="auto"/>
          <w:sz w:val="44"/>
          <w:highlight w:val="none"/>
        </w:rPr>
        <w:t>说</w:t>
      </w:r>
      <w:r>
        <w:rPr>
          <w:rFonts w:hint="eastAsia" w:ascii="黑体" w:eastAsia="黑体"/>
          <w:color w:val="auto"/>
          <w:sz w:val="44"/>
          <w:highlight w:val="none"/>
        </w:rPr>
        <w:tab/>
      </w:r>
      <w:r>
        <w:rPr>
          <w:rFonts w:hint="eastAsia" w:ascii="黑体" w:eastAsia="黑体"/>
          <w:color w:val="auto"/>
          <w:sz w:val="44"/>
          <w:highlight w:val="none"/>
        </w:rPr>
        <w:t>明</w:t>
      </w:r>
    </w:p>
    <w:p>
      <w:pPr>
        <w:spacing w:before="4" w:line="360" w:lineRule="auto"/>
        <w:ind w:left="878" w:leftChars="0" w:right="0" w:firstLine="441" w:firstLineChars="184"/>
        <w:jc w:val="left"/>
        <w:rPr>
          <w:rFonts w:hint="eastAsia" w:ascii="Arial Unicode MS" w:hAnsi="Arial Unicode MS" w:eastAsia="Arial Unicode MS"/>
          <w:color w:val="auto"/>
          <w:sz w:val="24"/>
          <w:highlight w:val="none"/>
        </w:rPr>
      </w:pPr>
      <w:r>
        <w:rPr>
          <w:rFonts w:hint="eastAsia" w:ascii="Arial Unicode MS" w:hAnsi="Arial Unicode MS" w:eastAsia="Arial Unicode MS"/>
          <w:color w:val="auto"/>
          <w:sz w:val="24"/>
          <w:highlight w:val="none"/>
        </w:rPr>
        <w:t>一、</w:t>
      </w:r>
      <w:r>
        <w:rPr>
          <w:rFonts w:hint="eastAsia" w:ascii="Arial Unicode MS" w:hAnsi="Arial Unicode MS" w:eastAsia="Arial Unicode MS"/>
          <w:color w:val="auto"/>
          <w:sz w:val="24"/>
          <w:highlight w:val="none"/>
          <w:lang w:eastAsia="zh-CN"/>
        </w:rPr>
        <w:t>2024年三门县普通国道路基路面养护工程设计</w:t>
      </w:r>
      <w:r>
        <w:rPr>
          <w:rFonts w:hint="eastAsia" w:ascii="Arial Unicode MS" w:hAnsi="Arial Unicode MS" w:eastAsia="Arial Unicode MS"/>
          <w:color w:val="auto"/>
          <w:sz w:val="24"/>
          <w:highlight w:val="none"/>
        </w:rPr>
        <w:t>招标文件，以《中华人民共和国招标投标法》、《中华人民共和国招标投标法实施条例》、交通运输部《公路工程标准勘察设计招标文件》（2018 年版）和《浙江省公路工程勘察设计招标文件编制办法》（2012 年版）等有关规定为依据，结合本项目的特点和实际需要编制而成。</w:t>
      </w:r>
    </w:p>
    <w:p>
      <w:pPr>
        <w:spacing w:before="4" w:line="360" w:lineRule="auto"/>
        <w:ind w:left="878" w:leftChars="0" w:right="0" w:firstLine="441" w:firstLineChars="184"/>
        <w:jc w:val="left"/>
        <w:rPr>
          <w:rFonts w:hint="eastAsia" w:ascii="Arial Unicode MS" w:hAnsi="Arial Unicode MS" w:eastAsia="Arial Unicode MS"/>
          <w:color w:val="auto"/>
          <w:sz w:val="24"/>
          <w:highlight w:val="none"/>
        </w:rPr>
      </w:pPr>
      <w:r>
        <w:rPr>
          <w:rFonts w:hint="eastAsia" w:ascii="Arial Unicode MS" w:hAnsi="Arial Unicode MS" w:eastAsia="Arial Unicode MS"/>
          <w:color w:val="auto"/>
          <w:sz w:val="24"/>
          <w:highlight w:val="none"/>
        </w:rPr>
        <w:t>招标文件中不加修改地引用了《公路工程标准勘察设计招标文件》（2018 年版）中的“投标人须知”、“评标办法”、“通用合同条款”正文。</w:t>
      </w:r>
    </w:p>
    <w:p>
      <w:pPr>
        <w:numPr>
          <w:ilvl w:val="0"/>
          <w:numId w:val="1"/>
        </w:numPr>
        <w:spacing w:before="4" w:line="360" w:lineRule="auto"/>
        <w:ind w:left="878" w:leftChars="0" w:right="0" w:firstLine="441" w:firstLineChars="184"/>
        <w:jc w:val="left"/>
        <w:rPr>
          <w:rFonts w:hint="eastAsia" w:ascii="Arial Unicode MS" w:hAnsi="Arial Unicode MS" w:eastAsia="Arial Unicode MS"/>
          <w:color w:val="auto"/>
          <w:sz w:val="24"/>
          <w:highlight w:val="none"/>
        </w:rPr>
      </w:pPr>
      <w:r>
        <w:rPr>
          <w:rFonts w:hint="eastAsia" w:ascii="Arial Unicode MS" w:hAnsi="Arial Unicode MS" w:eastAsia="Arial Unicode MS"/>
          <w:color w:val="auto"/>
          <w:sz w:val="24"/>
          <w:highlight w:val="none"/>
        </w:rPr>
        <w:t>针对本项目的具体特点和实际情况：在“投标人须知前附表”和“评标办法前附表”中对“投标人须知”、“评标办法”进行了补充、细化。</w:t>
      </w:r>
    </w:p>
    <w:p>
      <w:pPr>
        <w:numPr>
          <w:ilvl w:val="0"/>
          <w:numId w:val="0"/>
        </w:numPr>
        <w:spacing w:before="4" w:line="360" w:lineRule="auto"/>
        <w:ind w:leftChars="184" w:right="0" w:rightChars="0" w:firstLine="960" w:firstLineChars="400"/>
        <w:jc w:val="left"/>
        <w:rPr>
          <w:rFonts w:hint="eastAsia" w:ascii="Arial Unicode MS" w:hAnsi="Arial Unicode MS" w:eastAsia="Arial Unicode MS"/>
          <w:color w:val="auto"/>
          <w:sz w:val="24"/>
          <w:highlight w:val="none"/>
        </w:rPr>
      </w:pPr>
      <w:r>
        <w:rPr>
          <w:rFonts w:hint="eastAsia" w:ascii="Arial Unicode MS" w:hAnsi="Arial Unicode MS" w:eastAsia="Arial Unicode MS"/>
          <w:color w:val="auto"/>
          <w:sz w:val="24"/>
          <w:highlight w:val="none"/>
        </w:rPr>
        <w:t>在“专用合同条款”中，对“通用合同条款”进行了补充、细化或约定。</w:t>
      </w:r>
    </w:p>
    <w:p>
      <w:pPr>
        <w:spacing w:before="4" w:line="360" w:lineRule="auto"/>
        <w:ind w:left="878" w:leftChars="0" w:right="0" w:firstLine="441" w:firstLineChars="184"/>
        <w:jc w:val="left"/>
        <w:rPr>
          <w:rFonts w:hint="eastAsia" w:ascii="Arial Unicode MS" w:hAnsi="Arial Unicode MS" w:eastAsia="Arial Unicode MS"/>
          <w:color w:val="auto"/>
          <w:sz w:val="24"/>
          <w:highlight w:val="none"/>
        </w:rPr>
      </w:pPr>
      <w:r>
        <w:rPr>
          <w:rFonts w:hint="eastAsia" w:ascii="Arial Unicode MS" w:hAnsi="Arial Unicode MS" w:eastAsia="Arial Unicode MS"/>
          <w:color w:val="auto"/>
          <w:sz w:val="24"/>
          <w:highlight w:val="none"/>
        </w:rPr>
        <w:t>三、投标人应按招标文件的要求认真编制投标文件，完整地反映招标文件的规定和内容，避免投标文件因不能通过评审而被拒绝。</w:t>
      </w:r>
    </w:p>
    <w:p>
      <w:pPr>
        <w:spacing w:before="4"/>
        <w:ind w:left="878" w:right="0" w:firstLine="0"/>
        <w:jc w:val="left"/>
        <w:rPr>
          <w:rFonts w:hint="eastAsia" w:ascii="Arial Unicode MS" w:hAnsi="Arial Unicode MS" w:eastAsia="Arial Unicode MS"/>
          <w:color w:val="auto"/>
          <w:sz w:val="24"/>
          <w:highlight w:val="none"/>
        </w:rPr>
        <w:sectPr>
          <w:footerReference r:id="rId6" w:type="default"/>
          <w:pgSz w:w="11910" w:h="16840"/>
          <w:pgMar w:top="1160" w:right="860" w:bottom="860" w:left="960" w:header="0" w:footer="672" w:gutter="0"/>
          <w:pgBorders>
            <w:top w:val="none" w:sz="0" w:space="0"/>
            <w:left w:val="none" w:sz="0" w:space="0"/>
            <w:bottom w:val="none" w:sz="0" w:space="0"/>
            <w:right w:val="none" w:sz="0" w:space="0"/>
          </w:pgBorders>
          <w:pgNumType w:fmt="decimal" w:start="1"/>
          <w:cols w:space="720" w:num="1"/>
        </w:sectPr>
      </w:pPr>
    </w:p>
    <w:p>
      <w:pPr>
        <w:spacing w:before="23"/>
        <w:ind w:left="777" w:right="314" w:firstLine="0"/>
        <w:jc w:val="center"/>
        <w:rPr>
          <w:rFonts w:hint="eastAsia" w:ascii="黑体" w:eastAsia="黑体"/>
          <w:color w:val="auto"/>
          <w:sz w:val="44"/>
          <w:highlight w:val="none"/>
        </w:rPr>
      </w:pPr>
      <w:r>
        <w:rPr>
          <w:rFonts w:hint="eastAsia" w:ascii="黑体" w:eastAsia="黑体"/>
          <w:color w:val="auto"/>
          <w:sz w:val="44"/>
          <w:highlight w:val="none"/>
        </w:rPr>
        <w:t>目 录</w:t>
      </w:r>
    </w:p>
    <w:p>
      <w:pPr>
        <w:spacing w:after="0"/>
        <w:jc w:val="center"/>
        <w:rPr>
          <w:rFonts w:hint="eastAsia" w:ascii="黑体" w:eastAsia="黑体"/>
          <w:color w:val="auto"/>
          <w:sz w:val="44"/>
          <w:highlight w:val="none"/>
        </w:rPr>
        <w:sectPr>
          <w:pgSz w:w="11910" w:h="16840"/>
          <w:pgMar w:top="980" w:right="860" w:bottom="1492" w:left="960" w:header="0" w:footer="672" w:gutter="0"/>
          <w:pgBorders>
            <w:top w:val="none" w:sz="0" w:space="0"/>
            <w:left w:val="none" w:sz="0" w:space="0"/>
            <w:bottom w:val="none" w:sz="0" w:space="0"/>
            <w:right w:val="none" w:sz="0" w:space="0"/>
          </w:pgBorders>
          <w:pgNumType w:fmt="decimal"/>
          <w:cols w:space="720" w:num="1"/>
        </w:sectPr>
      </w:pPr>
    </w:p>
    <w:p>
      <w:pPr>
        <w:spacing w:after="0"/>
        <w:rPr>
          <w:rFonts w:ascii="Arial" w:hAnsi="宋体" w:eastAsia="Arial" w:cs="宋体"/>
          <w:color w:val="auto"/>
          <w:sz w:val="22"/>
          <w:szCs w:val="22"/>
          <w:highlight w:val="none"/>
          <w:lang w:val="zh-CN" w:eastAsia="zh-CN" w:bidi="zh-CN"/>
        </w:rPr>
      </w:pPr>
      <w:r>
        <w:rPr>
          <w:rFonts w:ascii="Arial" w:eastAsia="Arial"/>
          <w:color w:val="auto"/>
          <w:sz w:val="21"/>
          <w:highlight w:val="none"/>
        </w:rPr>
        <w:fldChar w:fldCharType="begin"/>
      </w:r>
      <w:r>
        <w:rPr>
          <w:rFonts w:ascii="Arial" w:eastAsia="Arial"/>
          <w:color w:val="auto"/>
          <w:sz w:val="21"/>
          <w:highlight w:val="none"/>
        </w:rPr>
        <w:instrText xml:space="preserve">TOC \o "1-3" \h \u </w:instrText>
      </w:r>
      <w:r>
        <w:rPr>
          <w:rFonts w:ascii="Arial" w:eastAsia="Arial"/>
          <w:color w:val="auto"/>
          <w:sz w:val="21"/>
          <w:highlight w:val="none"/>
        </w:rPr>
        <w:fldChar w:fldCharType="separate"/>
      </w:r>
    </w:p>
    <w:p>
      <w:pPr>
        <w:pStyle w:val="24"/>
        <w:tabs>
          <w:tab w:val="right" w:pos="2000"/>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_Toc11749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第一章</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t>招标公告</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_Toc11749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2"/>
        <w:tabs>
          <w:tab w:val="right" w:pos="2000"/>
          <w:tab w:val="right" w:leader="dot" w:pos="10090"/>
        </w:tabs>
        <w:rPr>
          <w:rFonts w:hint="eastAsia" w:asciiTheme="minorEastAsia" w:hAnsiTheme="minorEastAsia" w:eastAsiaTheme="minorEastAsia" w:cstheme="minorEastAsia"/>
          <w:b w:val="0"/>
          <w:bCs w:val="0"/>
          <w:i w:val="0"/>
          <w:iCs w:val="0"/>
          <w:color w:val="auto"/>
          <w:highlight w:val="none"/>
          <w:lang w:val="en-US" w:eastAsia="zh-CN"/>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_Toc23487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第二章</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t>投标人须知</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lang w:val="en-US" w:eastAsia="zh-CN"/>
        </w:rPr>
        <w:t>1</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lang w:val="en-US" w:eastAsia="zh-CN"/>
        </w:rPr>
        <w:t>1</w:t>
      </w:r>
    </w:p>
    <w:p>
      <w:pPr>
        <w:pStyle w:val="24"/>
        <w:tabs>
          <w:tab w:val="right" w:leader="dot" w:pos="10090"/>
        </w:tabs>
        <w:rPr>
          <w:rFonts w:hint="eastAsia" w:asciiTheme="minorEastAsia" w:hAnsiTheme="minorEastAsia" w:eastAsiaTheme="minorEastAsia" w:cstheme="minorEastAsia"/>
          <w:b w:val="0"/>
          <w:bCs w:val="0"/>
          <w:i w:val="0"/>
          <w:iCs w:val="0"/>
          <w:color w:val="auto"/>
          <w:highlight w:val="none"/>
          <w:lang w:val="en-US" w:eastAsia="zh-CN"/>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_Toc12800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投标人须知前附表</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lang w:val="en-US" w:eastAsia="zh-CN"/>
        </w:rPr>
        <w:t>1</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lang w:val="en-US" w:eastAsia="zh-CN"/>
        </w:rPr>
        <w:t>1</w:t>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_Toc20004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8"/>
          <w:highlight w:val="none"/>
        </w:rPr>
        <w:t>1. 总则</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_Toc20004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22</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_Toc27381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1.1 项目概况</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_Toc27381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22</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_Toc9970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1.2 资金来源和落实情况</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_Toc9970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22</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_Toc16927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1.3 招标范围和服务周期</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_Toc16927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22</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_Toc12253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1.4 投标人资格要求</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_Toc12253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22</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_Toc25282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1.5 费用承担</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_Toc25282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23</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_Toc26599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1.6 保密</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_Toc26599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23</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_Toc2156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1.7 语言文字</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_Toc2156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23</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_Toc15021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1.8 计量单位</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_Toc15021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23</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_Toc15722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1.9 踏勘现场</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_Toc15722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23</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_Toc10726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1.10 投标预备会</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_Toc10726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23</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_Toc710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1.11 分包</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_Toc710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23</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_Toc26590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1.12 偏差</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_Toc26590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24</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_Toc18784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8"/>
          <w:highlight w:val="none"/>
        </w:rPr>
        <w:t>2. 招标文件</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_Toc18784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24</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_Toc4780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2.1 招标文件的构成</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_Toc4780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24</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_Toc19652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2.2 招标文件的澄清</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_Toc19652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24</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_Toc32309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2.3 招标文件的修改</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_Toc32309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25</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_Toc9636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8"/>
          <w:highlight w:val="none"/>
        </w:rPr>
        <w:t>3. 投标文件</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_Toc9636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25</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_Toc11073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3.1 投标文件的构成</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_Toc11073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25</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_Toc22812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3.2 投标报价</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_Toc22812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25</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_Toc15397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3.3 投标有效期</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_Toc15397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26</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_Toc4911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3.4 投标保证金</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_Toc4911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26</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_Toc31696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3.5 资格审查表</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_Toc31696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26</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_Toc28192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3.6 投标人信息的核查</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_Toc28192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27</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_Toc29251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3.7 投标文件的编制</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_Toc29251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27</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_Toc30097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8"/>
          <w:highlight w:val="none"/>
        </w:rPr>
        <w:t>4. 投标</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_Toc30097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27</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lang w:val="en-US" w:eastAsia="zh-CN"/>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_Toc6582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4.1 投标文件的密封和标识</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lang w:val="en-US" w:eastAsia="zh-CN"/>
        </w:rPr>
        <w:t>2</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lang w:val="en-US" w:eastAsia="zh-CN"/>
        </w:rPr>
        <w:t>7</w:t>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lang w:val="en-US" w:eastAsia="zh-CN"/>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_Toc19337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4.2 投标文件的递交</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lang w:val="en-US" w:eastAsia="zh-CN"/>
        </w:rPr>
        <w:t>2</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lang w:val="en-US" w:eastAsia="zh-CN"/>
        </w:rPr>
        <w:t>7</w:t>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lang w:val="en-US" w:eastAsia="zh-CN"/>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_Toc8698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4.3 投标文件的修改与撤回</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lang w:val="en-US" w:eastAsia="zh-CN"/>
        </w:rPr>
        <w:t>2</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lang w:val="en-US" w:eastAsia="zh-CN"/>
        </w:rPr>
        <w:t>7</w:t>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_Toc18137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8"/>
          <w:highlight w:val="none"/>
        </w:rPr>
        <w:t>5. 开标</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_Toc18137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_Toc23513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5.1 开标时间和地点</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_Toc23513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_Toc23924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5.2 开标程序</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_Toc23924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_Toc29824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8"/>
          <w:highlight w:val="none"/>
        </w:rPr>
        <w:t>6. 评标</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_Toc29824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_Toc693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6.1 评标委员会</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_Toc693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_Toc10555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6.2 评标原则</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_Toc10555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_Toc8362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6.3 评标</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_Toc8362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_Toc7688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6.4 评标结果公示</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_Toc7688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29</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_Toc19674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8"/>
          <w:highlight w:val="none"/>
        </w:rPr>
        <w:t>7. 合同授予</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_Toc19674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29</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_Toc5583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7.1 定标</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_Toc5583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29</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_Toc7204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7.2 中标通知</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_Toc7204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29</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_Toc314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7.3 履约担保</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_Toc314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29</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_Toc22182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7.4 签订合同</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_Toc22182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29</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_Toc16779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8"/>
          <w:highlight w:val="none"/>
        </w:rPr>
        <w:t>8. 重新招标和不再招标</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_Toc16779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30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_Toc5071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8.1 重新招标</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_Toc5071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30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_Toc9952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8.2 不再招标</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_Toc9952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30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_Toc18436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8"/>
          <w:highlight w:val="none"/>
        </w:rPr>
        <w:t>9. 纪律和监督</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_Toc18436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30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_Toc11710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9.1 对招标人的纪律要求</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_Toc11710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30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_Toc22668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9.2 对投标人的纪律要求</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_Toc22668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30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_Toc24034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9.3 对评标委员会成员的纪律要求</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_Toc24034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30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_Toc12177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9.4 对与评标活动有关的工作人员的纪律要求</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_Toc12177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30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_Toc31908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1"/>
          <w:highlight w:val="none"/>
        </w:rPr>
        <w:t>9.5 投诉</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_Toc31908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30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_Toc22907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8"/>
          <w:highlight w:val="none"/>
        </w:rPr>
        <w:t>10. 其他规定</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_Toc22907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30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pos="2000"/>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_Toc21390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第三章</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t>评标办法</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_Toc21390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42</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_Toc20659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30"/>
          <w:highlight w:val="none"/>
          <w:lang w:val="zh-CN" w:eastAsia="zh-CN" w:bidi="zh-CN"/>
        </w:rPr>
        <w:t xml:space="preserve">1. </w:t>
      </w:r>
      <w:r>
        <w:rPr>
          <w:rFonts w:hint="eastAsia" w:asciiTheme="minorEastAsia" w:hAnsiTheme="minorEastAsia" w:eastAsiaTheme="minorEastAsia" w:cstheme="minorEastAsia"/>
          <w:b w:val="0"/>
          <w:bCs w:val="0"/>
          <w:i w:val="0"/>
          <w:iCs w:val="0"/>
          <w:color w:val="auto"/>
          <w:highlight w:val="none"/>
        </w:rPr>
        <w:t>总则</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_Toc20659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48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_Toc13641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30"/>
          <w:highlight w:val="none"/>
          <w:lang w:val="zh-CN" w:eastAsia="zh-CN" w:bidi="zh-CN"/>
        </w:rPr>
        <w:t xml:space="preserve">2. </w:t>
      </w:r>
      <w:r>
        <w:rPr>
          <w:rFonts w:hint="eastAsia" w:asciiTheme="minorEastAsia" w:hAnsiTheme="minorEastAsia" w:eastAsiaTheme="minorEastAsia" w:cstheme="minorEastAsia"/>
          <w:b w:val="0"/>
          <w:bCs w:val="0"/>
          <w:i w:val="0"/>
          <w:iCs w:val="0"/>
          <w:color w:val="auto"/>
          <w:highlight w:val="none"/>
        </w:rPr>
        <w:t>评标程序和评审标准</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_Toc13641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48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_Toc29671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2.1 </w:t>
      </w:r>
      <w:r>
        <w:rPr>
          <w:rFonts w:hint="eastAsia" w:asciiTheme="minorEastAsia" w:hAnsiTheme="minorEastAsia" w:eastAsiaTheme="minorEastAsia" w:cstheme="minorEastAsia"/>
          <w:b w:val="0"/>
          <w:bCs w:val="0"/>
          <w:i w:val="0"/>
          <w:iCs w:val="0"/>
          <w:color w:val="auto"/>
          <w:highlight w:val="none"/>
        </w:rPr>
        <w:t>评标程序</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_Toc29671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48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_Toc12700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2.2 </w:t>
      </w:r>
      <w:r>
        <w:rPr>
          <w:rFonts w:hint="eastAsia" w:asciiTheme="minorEastAsia" w:hAnsiTheme="minorEastAsia" w:eastAsiaTheme="minorEastAsia" w:cstheme="minorEastAsia"/>
          <w:b w:val="0"/>
          <w:bCs w:val="0"/>
          <w:i w:val="0"/>
          <w:iCs w:val="0"/>
          <w:color w:val="auto"/>
          <w:highlight w:val="none"/>
        </w:rPr>
        <w:t>第一信封资格审查</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_Toc12700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48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_Toc4028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2.3 </w:t>
      </w:r>
      <w:r>
        <w:rPr>
          <w:rFonts w:hint="eastAsia" w:asciiTheme="minorEastAsia" w:hAnsiTheme="minorEastAsia" w:eastAsiaTheme="minorEastAsia" w:cstheme="minorEastAsia"/>
          <w:b w:val="0"/>
          <w:bCs w:val="0"/>
          <w:i w:val="0"/>
          <w:iCs w:val="0"/>
          <w:color w:val="auto"/>
          <w:highlight w:val="none"/>
        </w:rPr>
        <w:t>第一信封初步评审</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_Toc4028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48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_Toc25552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2.4 </w:t>
      </w:r>
      <w:r>
        <w:rPr>
          <w:rFonts w:hint="eastAsia" w:asciiTheme="minorEastAsia" w:hAnsiTheme="minorEastAsia" w:eastAsiaTheme="minorEastAsia" w:cstheme="minorEastAsia"/>
          <w:b w:val="0"/>
          <w:bCs w:val="0"/>
          <w:i w:val="0"/>
          <w:iCs w:val="0"/>
          <w:color w:val="auto"/>
          <w:highlight w:val="none"/>
        </w:rPr>
        <w:t>第一信封澄清</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_Toc25552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48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_Toc16302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2.5 </w:t>
      </w:r>
      <w:r>
        <w:rPr>
          <w:rFonts w:hint="eastAsia" w:asciiTheme="minorEastAsia" w:hAnsiTheme="minorEastAsia" w:eastAsiaTheme="minorEastAsia" w:cstheme="minorEastAsia"/>
          <w:b w:val="0"/>
          <w:bCs w:val="0"/>
          <w:i w:val="0"/>
          <w:iCs w:val="0"/>
          <w:color w:val="auto"/>
          <w:highlight w:val="none"/>
        </w:rPr>
        <w:t>第一信封详细评审</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_Toc16302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49</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_Toc31096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2.6 </w:t>
      </w:r>
      <w:r>
        <w:rPr>
          <w:rFonts w:hint="eastAsia" w:asciiTheme="minorEastAsia" w:hAnsiTheme="minorEastAsia" w:eastAsiaTheme="minorEastAsia" w:cstheme="minorEastAsia"/>
          <w:b w:val="0"/>
          <w:bCs w:val="0"/>
          <w:i w:val="0"/>
          <w:iCs w:val="0"/>
          <w:color w:val="auto"/>
          <w:highlight w:val="none"/>
        </w:rPr>
        <w:t>第二信封开标</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_Toc31096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49</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_Toc8928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2.7 </w:t>
      </w:r>
      <w:r>
        <w:rPr>
          <w:rFonts w:hint="eastAsia" w:asciiTheme="minorEastAsia" w:hAnsiTheme="minorEastAsia" w:eastAsiaTheme="minorEastAsia" w:cstheme="minorEastAsia"/>
          <w:b w:val="0"/>
          <w:bCs w:val="0"/>
          <w:i w:val="0"/>
          <w:iCs w:val="0"/>
          <w:color w:val="auto"/>
          <w:highlight w:val="none"/>
        </w:rPr>
        <w:t>第二信封初步评审</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_Toc8928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49</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_Toc9601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2.8 </w:t>
      </w:r>
      <w:r>
        <w:rPr>
          <w:rFonts w:hint="eastAsia" w:asciiTheme="minorEastAsia" w:hAnsiTheme="minorEastAsia" w:eastAsiaTheme="minorEastAsia" w:cstheme="minorEastAsia"/>
          <w:b w:val="0"/>
          <w:bCs w:val="0"/>
          <w:i w:val="0"/>
          <w:iCs w:val="0"/>
          <w:color w:val="auto"/>
          <w:spacing w:val="-1"/>
          <w:highlight w:val="none"/>
        </w:rPr>
        <w:t>第二信封算术性修正</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_Toc9601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49</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_Toc22399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2.9 </w:t>
      </w:r>
      <w:r>
        <w:rPr>
          <w:rFonts w:hint="eastAsia" w:asciiTheme="minorEastAsia" w:hAnsiTheme="minorEastAsia" w:eastAsiaTheme="minorEastAsia" w:cstheme="minorEastAsia"/>
          <w:b w:val="0"/>
          <w:bCs w:val="0"/>
          <w:i w:val="0"/>
          <w:iCs w:val="0"/>
          <w:color w:val="auto"/>
          <w:highlight w:val="none"/>
        </w:rPr>
        <w:t>第二信封澄清</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_Toc22399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49</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_Toc12437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2.10 </w:t>
      </w:r>
      <w:r>
        <w:rPr>
          <w:rFonts w:hint="eastAsia" w:asciiTheme="minorEastAsia" w:hAnsiTheme="minorEastAsia" w:eastAsiaTheme="minorEastAsia" w:cstheme="minorEastAsia"/>
          <w:b w:val="0"/>
          <w:bCs w:val="0"/>
          <w:i w:val="0"/>
          <w:iCs w:val="0"/>
          <w:color w:val="auto"/>
          <w:spacing w:val="-1"/>
          <w:highlight w:val="none"/>
        </w:rPr>
        <w:t>第二信封详细评审</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_Toc12437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50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_Toc16911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2.11 </w:t>
      </w:r>
      <w:r>
        <w:rPr>
          <w:rFonts w:hint="eastAsia" w:asciiTheme="minorEastAsia" w:hAnsiTheme="minorEastAsia" w:eastAsiaTheme="minorEastAsia" w:cstheme="minorEastAsia"/>
          <w:b w:val="0"/>
          <w:bCs w:val="0"/>
          <w:i w:val="0"/>
          <w:iCs w:val="0"/>
          <w:color w:val="auto"/>
          <w:highlight w:val="none"/>
        </w:rPr>
        <w:t>评标排序</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_Toc16911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50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_Toc14752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2.12 </w:t>
      </w:r>
      <w:r>
        <w:rPr>
          <w:rFonts w:hint="eastAsia" w:asciiTheme="minorEastAsia" w:hAnsiTheme="minorEastAsia" w:eastAsiaTheme="minorEastAsia" w:cstheme="minorEastAsia"/>
          <w:b w:val="0"/>
          <w:bCs w:val="0"/>
          <w:i w:val="0"/>
          <w:iCs w:val="0"/>
          <w:color w:val="auto"/>
          <w:highlight w:val="none"/>
        </w:rPr>
        <w:t>评标结果</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_Toc14752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50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pos="2000"/>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_Toc2144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第四章</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t>合同条款及格式</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_Toc2144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51</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pos="2000"/>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_Toc3965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第一节</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t>通用合同条款</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_Toc3965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52</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_Toc9472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30"/>
          <w:highlight w:val="none"/>
          <w:lang w:val="zh-CN" w:eastAsia="zh-CN" w:bidi="zh-CN"/>
        </w:rPr>
        <w:t xml:space="preserve">1. </w:t>
      </w:r>
      <w:r>
        <w:rPr>
          <w:rFonts w:hint="eastAsia" w:asciiTheme="minorEastAsia" w:hAnsiTheme="minorEastAsia" w:eastAsiaTheme="minorEastAsia" w:cstheme="minorEastAsia"/>
          <w:b w:val="0"/>
          <w:bCs w:val="0"/>
          <w:i w:val="0"/>
          <w:iCs w:val="0"/>
          <w:color w:val="auto"/>
          <w:highlight w:val="none"/>
        </w:rPr>
        <w:t>定义和解释</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_Toc9472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52</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_Toc5398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30"/>
          <w:highlight w:val="none"/>
          <w:lang w:val="zh-CN" w:eastAsia="zh-CN" w:bidi="zh-CN"/>
        </w:rPr>
        <w:t xml:space="preserve">2. </w:t>
      </w:r>
      <w:r>
        <w:rPr>
          <w:rFonts w:hint="eastAsia" w:asciiTheme="minorEastAsia" w:hAnsiTheme="minorEastAsia" w:eastAsiaTheme="minorEastAsia" w:cstheme="minorEastAsia"/>
          <w:b w:val="0"/>
          <w:bCs w:val="0"/>
          <w:i w:val="0"/>
          <w:iCs w:val="0"/>
          <w:color w:val="auto"/>
          <w:highlight w:val="none"/>
        </w:rPr>
        <w:t>发包人的责任与义务</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_Toc5398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53</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_Toc24420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30"/>
          <w:highlight w:val="none"/>
          <w:lang w:val="zh-CN" w:eastAsia="zh-CN" w:bidi="zh-CN"/>
        </w:rPr>
        <w:t xml:space="preserve">3. </w:t>
      </w:r>
      <w:r>
        <w:rPr>
          <w:rFonts w:hint="eastAsia" w:asciiTheme="minorEastAsia" w:hAnsiTheme="minorEastAsia" w:eastAsiaTheme="minorEastAsia" w:cstheme="minorEastAsia"/>
          <w:b w:val="0"/>
          <w:bCs w:val="0"/>
          <w:i w:val="0"/>
          <w:iCs w:val="0"/>
          <w:color w:val="auto"/>
          <w:highlight w:val="none"/>
        </w:rPr>
        <w:t>设计人的责任与义务</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_Toc24420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54</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_Toc27517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30"/>
          <w:highlight w:val="none"/>
          <w:lang w:val="zh-CN" w:eastAsia="zh-CN" w:bidi="zh-CN"/>
        </w:rPr>
        <w:t xml:space="preserve">4. </w:t>
      </w:r>
      <w:r>
        <w:rPr>
          <w:rFonts w:hint="eastAsia" w:asciiTheme="minorEastAsia" w:hAnsiTheme="minorEastAsia" w:eastAsiaTheme="minorEastAsia" w:cstheme="minorEastAsia"/>
          <w:b w:val="0"/>
          <w:bCs w:val="0"/>
          <w:i w:val="0"/>
          <w:iCs w:val="0"/>
          <w:color w:val="auto"/>
          <w:highlight w:val="none"/>
        </w:rPr>
        <w:t>勘察设计周期及提交成果</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_Toc27517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58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_Toc5656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30"/>
          <w:highlight w:val="none"/>
          <w:lang w:val="zh-CN" w:eastAsia="zh-CN" w:bidi="zh-CN"/>
        </w:rPr>
        <w:t xml:space="preserve">5. </w:t>
      </w:r>
      <w:r>
        <w:rPr>
          <w:rFonts w:hint="eastAsia" w:asciiTheme="minorEastAsia" w:hAnsiTheme="minorEastAsia" w:eastAsiaTheme="minorEastAsia" w:cstheme="minorEastAsia"/>
          <w:b w:val="0"/>
          <w:bCs w:val="0"/>
          <w:i w:val="0"/>
          <w:iCs w:val="0"/>
          <w:color w:val="auto"/>
          <w:highlight w:val="none"/>
        </w:rPr>
        <w:t>违约与赔偿</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_Toc5656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59</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_Toc14788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30"/>
          <w:highlight w:val="none"/>
          <w:lang w:val="zh-CN" w:eastAsia="zh-CN" w:bidi="zh-CN"/>
        </w:rPr>
        <w:t xml:space="preserve">6. </w:t>
      </w:r>
      <w:r>
        <w:rPr>
          <w:rFonts w:hint="eastAsia" w:asciiTheme="minorEastAsia" w:hAnsiTheme="minorEastAsia" w:eastAsiaTheme="minorEastAsia" w:cstheme="minorEastAsia"/>
          <w:b w:val="0"/>
          <w:bCs w:val="0"/>
          <w:i w:val="0"/>
          <w:iCs w:val="0"/>
          <w:color w:val="auto"/>
          <w:highlight w:val="none"/>
        </w:rPr>
        <w:t>合同的生效、推迟与终止</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_Toc14788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60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_Toc29625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30"/>
          <w:highlight w:val="none"/>
          <w:lang w:val="zh-CN" w:eastAsia="zh-CN" w:bidi="zh-CN"/>
        </w:rPr>
        <w:t xml:space="preserve">7. </w:t>
      </w:r>
      <w:r>
        <w:rPr>
          <w:rFonts w:hint="eastAsia" w:asciiTheme="minorEastAsia" w:hAnsiTheme="minorEastAsia" w:eastAsiaTheme="minorEastAsia" w:cstheme="minorEastAsia"/>
          <w:b w:val="0"/>
          <w:bCs w:val="0"/>
          <w:i w:val="0"/>
          <w:iCs w:val="0"/>
          <w:color w:val="auto"/>
          <w:highlight w:val="none"/>
        </w:rPr>
        <w:t>费用与支付</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_Toc29625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61</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_Toc26782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30"/>
          <w:highlight w:val="none"/>
          <w:lang w:val="zh-CN" w:eastAsia="zh-CN" w:bidi="zh-CN"/>
        </w:rPr>
        <w:t xml:space="preserve">8. </w:t>
      </w:r>
      <w:r>
        <w:rPr>
          <w:rFonts w:hint="eastAsia" w:asciiTheme="minorEastAsia" w:hAnsiTheme="minorEastAsia" w:eastAsiaTheme="minorEastAsia" w:cstheme="minorEastAsia"/>
          <w:b w:val="0"/>
          <w:bCs w:val="0"/>
          <w:i w:val="0"/>
          <w:iCs w:val="0"/>
          <w:color w:val="auto"/>
          <w:highlight w:val="none"/>
        </w:rPr>
        <w:t>其他</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_Toc26782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62</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_Toc11405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第二节 专用合同条款</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_Toc11405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64</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_Toc6167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1. </w:t>
      </w:r>
      <w:r>
        <w:rPr>
          <w:rFonts w:hint="eastAsia" w:asciiTheme="minorEastAsia" w:hAnsiTheme="minorEastAsia" w:eastAsiaTheme="minorEastAsia" w:cstheme="minorEastAsia"/>
          <w:b w:val="0"/>
          <w:bCs w:val="0"/>
          <w:i w:val="0"/>
          <w:iCs w:val="0"/>
          <w:color w:val="auto"/>
          <w:highlight w:val="none"/>
        </w:rPr>
        <w:t>定义和解释</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_Toc6167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64</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_Toc4584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2. </w:t>
      </w:r>
      <w:r>
        <w:rPr>
          <w:rFonts w:hint="eastAsia" w:asciiTheme="minorEastAsia" w:hAnsiTheme="minorEastAsia" w:eastAsiaTheme="minorEastAsia" w:cstheme="minorEastAsia"/>
          <w:b w:val="0"/>
          <w:bCs w:val="0"/>
          <w:i w:val="0"/>
          <w:iCs w:val="0"/>
          <w:color w:val="auto"/>
          <w:highlight w:val="none"/>
        </w:rPr>
        <w:t>发包人的责任与义务</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_Toc4584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64</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_Toc2008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3. </w:t>
      </w:r>
      <w:r>
        <w:rPr>
          <w:rFonts w:hint="eastAsia" w:asciiTheme="minorEastAsia" w:hAnsiTheme="minorEastAsia" w:eastAsiaTheme="minorEastAsia" w:cstheme="minorEastAsia"/>
          <w:b w:val="0"/>
          <w:bCs w:val="0"/>
          <w:i w:val="0"/>
          <w:iCs w:val="0"/>
          <w:color w:val="auto"/>
          <w:highlight w:val="none"/>
        </w:rPr>
        <w:t>设计人的责任与义务</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_Toc2008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64</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_Toc29131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4. </w:t>
      </w:r>
      <w:r>
        <w:rPr>
          <w:rFonts w:hint="eastAsia" w:asciiTheme="minorEastAsia" w:hAnsiTheme="minorEastAsia" w:eastAsiaTheme="minorEastAsia" w:cstheme="minorEastAsia"/>
          <w:b w:val="0"/>
          <w:bCs w:val="0"/>
          <w:i w:val="0"/>
          <w:iCs w:val="0"/>
          <w:color w:val="auto"/>
          <w:highlight w:val="none"/>
        </w:rPr>
        <w:t>设计周期及提交成果</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_Toc29131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65</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_Toc11996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5. </w:t>
      </w:r>
      <w:r>
        <w:rPr>
          <w:rFonts w:hint="eastAsia" w:asciiTheme="minorEastAsia" w:hAnsiTheme="minorEastAsia" w:eastAsiaTheme="minorEastAsia" w:cstheme="minorEastAsia"/>
          <w:b w:val="0"/>
          <w:bCs w:val="0"/>
          <w:i w:val="0"/>
          <w:iCs w:val="0"/>
          <w:color w:val="auto"/>
          <w:highlight w:val="none"/>
        </w:rPr>
        <w:t>违约与赔偿</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_Toc11996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66</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_Toc11353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7. </w:t>
      </w:r>
      <w:r>
        <w:rPr>
          <w:rFonts w:hint="eastAsia" w:asciiTheme="minorEastAsia" w:hAnsiTheme="minorEastAsia" w:eastAsiaTheme="minorEastAsia" w:cstheme="minorEastAsia"/>
          <w:b w:val="0"/>
          <w:bCs w:val="0"/>
          <w:i w:val="0"/>
          <w:iCs w:val="0"/>
          <w:color w:val="auto"/>
          <w:highlight w:val="none"/>
        </w:rPr>
        <w:t>费用与支付</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_Toc11353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67</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_Toc25987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w w:val="99"/>
          <w:szCs w:val="24"/>
          <w:highlight w:val="none"/>
          <w:lang w:val="zh-CN" w:eastAsia="zh-CN" w:bidi="zh-CN"/>
        </w:rPr>
        <w:t xml:space="preserve">8. </w:t>
      </w:r>
      <w:r>
        <w:rPr>
          <w:rFonts w:hint="eastAsia" w:asciiTheme="minorEastAsia" w:hAnsiTheme="minorEastAsia" w:eastAsiaTheme="minorEastAsia" w:cstheme="minorEastAsia"/>
          <w:b w:val="0"/>
          <w:bCs w:val="0"/>
          <w:i w:val="0"/>
          <w:iCs w:val="0"/>
          <w:color w:val="auto"/>
          <w:highlight w:val="none"/>
        </w:rPr>
        <w:t>其他</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_Toc25987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67</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_Toc30231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第三节 合同附件格式</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_Toc30231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68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pos="2000"/>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_Toc6258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第五章</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t>设计技术要求</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_Toc6258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73</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_Toc7054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一、设计技术标准与规范</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_Toc7054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74</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2"/>
        <w:tabs>
          <w:tab w:val="right" w:pos="2000"/>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_Toc17616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第六章</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t>投标文件格式</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_Toc17616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76</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_Toc32499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28"/>
          <w:highlight w:val="none"/>
        </w:rPr>
        <w:t>自查、自评表</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_Toc32499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78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_Toc1472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一、投标函</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_Toc1472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79</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_Toc13095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二、法定代表人身份证明或法定代表人的授权委托书</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_Toc13095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80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_Toc8682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（一）法定代表人身份证明</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_Toc8682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80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_Toc13097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（二）授权委托书</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_Toc13097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81</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_Toc8450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三、投标保证金</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_Toc8450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82</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_Toc1062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szCs w:val="32"/>
          <w:highlight w:val="none"/>
          <w:lang w:eastAsia="zh-CN"/>
        </w:rPr>
        <w:t>四</w:t>
      </w:r>
      <w:r>
        <w:rPr>
          <w:rFonts w:hint="eastAsia" w:asciiTheme="minorEastAsia" w:hAnsiTheme="minorEastAsia" w:eastAsiaTheme="minorEastAsia" w:cstheme="minorEastAsia"/>
          <w:b w:val="0"/>
          <w:bCs w:val="0"/>
          <w:i w:val="0"/>
          <w:iCs w:val="0"/>
          <w:color w:val="auto"/>
          <w:szCs w:val="32"/>
          <w:highlight w:val="none"/>
        </w:rPr>
        <w:t>、拟分包项目情况表</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_Toc1062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83</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_Toc24670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lang w:eastAsia="zh-CN"/>
        </w:rPr>
        <w:t>五</w:t>
      </w:r>
      <w:r>
        <w:rPr>
          <w:rFonts w:hint="eastAsia" w:asciiTheme="minorEastAsia" w:hAnsiTheme="minorEastAsia" w:eastAsiaTheme="minorEastAsia" w:cstheme="minorEastAsia"/>
          <w:b w:val="0"/>
          <w:bCs w:val="0"/>
          <w:i w:val="0"/>
          <w:iCs w:val="0"/>
          <w:color w:val="auto"/>
          <w:highlight w:val="none"/>
        </w:rPr>
        <w:t>、资格审查表</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_Toc24670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84</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_Toc22464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（一）投标人基本情况表</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_Toc22464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84</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_Toc13999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（二）</w:t>
      </w:r>
      <w:r>
        <w:rPr>
          <w:rFonts w:hint="eastAsia" w:asciiTheme="minorEastAsia" w:hAnsiTheme="minorEastAsia" w:eastAsiaTheme="minorEastAsia" w:cstheme="minorEastAsia"/>
          <w:b w:val="0"/>
          <w:bCs w:val="0"/>
          <w:i w:val="0"/>
          <w:iCs w:val="0"/>
          <w:color w:val="auto"/>
          <w:highlight w:val="none"/>
          <w:lang w:eastAsia="zh-CN"/>
        </w:rPr>
        <w:t>201</w:t>
      </w:r>
      <w:r>
        <w:rPr>
          <w:rFonts w:hint="eastAsia" w:asciiTheme="minorEastAsia" w:hAnsiTheme="minorEastAsia" w:eastAsiaTheme="minorEastAsia" w:cstheme="minorEastAsia"/>
          <w:b w:val="0"/>
          <w:bCs w:val="0"/>
          <w:i w:val="0"/>
          <w:iCs w:val="0"/>
          <w:color w:val="auto"/>
          <w:highlight w:val="none"/>
          <w:lang w:val="en-US" w:eastAsia="zh-CN"/>
        </w:rPr>
        <w:t>8</w:t>
      </w:r>
      <w:r>
        <w:rPr>
          <w:rFonts w:hint="eastAsia" w:asciiTheme="minorEastAsia" w:hAnsiTheme="minorEastAsia" w:eastAsiaTheme="minorEastAsia" w:cstheme="minorEastAsia"/>
          <w:b w:val="0"/>
          <w:bCs w:val="0"/>
          <w:i w:val="0"/>
          <w:iCs w:val="0"/>
          <w:color w:val="auto"/>
          <w:highlight w:val="none"/>
          <w:lang w:eastAsia="zh-CN"/>
        </w:rPr>
        <w:t>年 7 月 1 日</w:t>
      </w:r>
      <w:r>
        <w:rPr>
          <w:rFonts w:hint="eastAsia" w:asciiTheme="minorEastAsia" w:hAnsiTheme="minorEastAsia" w:eastAsiaTheme="minorEastAsia" w:cstheme="minorEastAsia"/>
          <w:b w:val="0"/>
          <w:bCs w:val="0"/>
          <w:i w:val="0"/>
          <w:iCs w:val="0"/>
          <w:color w:val="auto"/>
          <w:highlight w:val="none"/>
        </w:rPr>
        <w:t>以来完成的类似项目情况表</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_Toc13999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85</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_Toc20237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（三）正在进行的设计和新承接的主要项目情况表</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_Toc20237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86</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_Toc6429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（四）拟委任的主要人员汇总表</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_Toc6429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87</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_Toc10594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（五）主要人员资历表</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_Toc10594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88</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_Toc30053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（六）投标人信誉情况表</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_Toc30053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89</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_Toc596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（七）投标人与其他单位资产关联、隶属关系框图</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_Toc596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90</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_Toc4691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（八）诚信系统信息表</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_Toc4691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91</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18"/>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_Toc24801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（九）履约行为表</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_Toc24801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92</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_Toc20674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lang w:eastAsia="zh-CN"/>
        </w:rPr>
        <w:t>六</w:t>
      </w:r>
      <w:r>
        <w:rPr>
          <w:rFonts w:hint="eastAsia" w:asciiTheme="minorEastAsia" w:hAnsiTheme="minorEastAsia" w:eastAsiaTheme="minorEastAsia" w:cstheme="minorEastAsia"/>
          <w:b w:val="0"/>
          <w:bCs w:val="0"/>
          <w:i w:val="0"/>
          <w:iCs w:val="0"/>
          <w:color w:val="auto"/>
          <w:highlight w:val="none"/>
        </w:rPr>
        <w:t>、其他材料</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_Toc20674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93</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leader="dot" w:pos="10090"/>
        </w:tabs>
        <w:rPr>
          <w:rFonts w:hint="eastAsia" w:asciiTheme="minorEastAsia" w:hAnsiTheme="minorEastAsia" w:eastAsiaTheme="minorEastAsia" w:cstheme="minorEastAsia"/>
          <w:b w:val="0"/>
          <w:bCs w:val="0"/>
          <w:i w:val="0"/>
          <w:iCs w:val="0"/>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_Toc10476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lang w:eastAsia="zh-CN"/>
        </w:rPr>
        <w:t>七</w:t>
      </w:r>
      <w:r>
        <w:rPr>
          <w:rFonts w:hint="eastAsia" w:asciiTheme="minorEastAsia" w:hAnsiTheme="minorEastAsia" w:eastAsiaTheme="minorEastAsia" w:cstheme="minorEastAsia"/>
          <w:b w:val="0"/>
          <w:bCs w:val="0"/>
          <w:i w:val="0"/>
          <w:iCs w:val="0"/>
          <w:color w:val="auto"/>
          <w:highlight w:val="none"/>
        </w:rPr>
        <w:t>、技术建议书</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_Toc10476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95</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pStyle w:val="24"/>
        <w:tabs>
          <w:tab w:val="right" w:leader="dot" w:pos="10090"/>
        </w:tabs>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HYPERLINK \l _Toc18786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一、报价函</w:t>
      </w:r>
      <w:r>
        <w:rPr>
          <w:rFonts w:hint="eastAsia" w:asciiTheme="minorEastAsia" w:hAnsiTheme="minorEastAsia" w:eastAsiaTheme="minorEastAsia" w:cstheme="minorEastAsia"/>
          <w:b w:val="0"/>
          <w:bCs w:val="0"/>
          <w:i w:val="0"/>
          <w:iCs w:val="0"/>
          <w:color w:val="auto"/>
          <w:highlight w:val="none"/>
        </w:rPr>
        <w:tab/>
      </w:r>
      <w:r>
        <w:rPr>
          <w:rFonts w:hint="eastAsia" w:asciiTheme="minorEastAsia" w:hAnsiTheme="minorEastAsia" w:eastAsiaTheme="minorEastAsia" w:cstheme="minorEastAsia"/>
          <w:b w:val="0"/>
          <w:bCs w:val="0"/>
          <w:i w:val="0"/>
          <w:iCs w:val="0"/>
          <w:color w:val="auto"/>
          <w:highlight w:val="none"/>
        </w:rPr>
        <w:fldChar w:fldCharType="begin"/>
      </w:r>
      <w:r>
        <w:rPr>
          <w:rFonts w:hint="eastAsia" w:asciiTheme="minorEastAsia" w:hAnsiTheme="minorEastAsia" w:eastAsiaTheme="minorEastAsia" w:cstheme="minorEastAsia"/>
          <w:b w:val="0"/>
          <w:bCs w:val="0"/>
          <w:i w:val="0"/>
          <w:iCs w:val="0"/>
          <w:color w:val="auto"/>
          <w:highlight w:val="none"/>
        </w:rPr>
        <w:instrText xml:space="preserve"> PAGEREF _Toc18786 \h </w:instrText>
      </w:r>
      <w:r>
        <w:rPr>
          <w:rFonts w:hint="eastAsia" w:asciiTheme="minorEastAsia" w:hAnsiTheme="minorEastAsia" w:eastAsiaTheme="minorEastAsia" w:cstheme="minorEastAsia"/>
          <w:b w:val="0"/>
          <w:bCs w:val="0"/>
          <w:i w:val="0"/>
          <w:iCs w:val="0"/>
          <w:color w:val="auto"/>
          <w:highlight w:val="none"/>
        </w:rPr>
        <w:fldChar w:fldCharType="separate"/>
      </w:r>
      <w:r>
        <w:rPr>
          <w:rFonts w:hint="eastAsia" w:asciiTheme="minorEastAsia" w:hAnsiTheme="minorEastAsia" w:eastAsiaTheme="minorEastAsia" w:cstheme="minorEastAsia"/>
          <w:b w:val="0"/>
          <w:bCs w:val="0"/>
          <w:i w:val="0"/>
          <w:iCs w:val="0"/>
          <w:color w:val="auto"/>
          <w:highlight w:val="none"/>
        </w:rPr>
        <w:t>95</w:t>
      </w:r>
      <w:r>
        <w:rPr>
          <w:rFonts w:hint="eastAsia" w:asciiTheme="minorEastAsia" w:hAnsiTheme="minorEastAsia" w:eastAsiaTheme="minorEastAsia" w:cstheme="minorEastAsia"/>
          <w:b w:val="0"/>
          <w:bCs w:val="0"/>
          <w:i w:val="0"/>
          <w:iCs w:val="0"/>
          <w:color w:val="auto"/>
          <w:highlight w:val="none"/>
        </w:rPr>
        <w:fldChar w:fldCharType="end"/>
      </w:r>
      <w:r>
        <w:rPr>
          <w:rFonts w:hint="eastAsia" w:asciiTheme="minorEastAsia" w:hAnsiTheme="minorEastAsia" w:eastAsiaTheme="minorEastAsia" w:cstheme="minorEastAsia"/>
          <w:b w:val="0"/>
          <w:bCs w:val="0"/>
          <w:i w:val="0"/>
          <w:iCs w:val="0"/>
          <w:color w:val="auto"/>
          <w:highlight w:val="none"/>
        </w:rPr>
        <w:fldChar w:fldCharType="end"/>
      </w:r>
    </w:p>
    <w:p>
      <w:pPr>
        <w:spacing w:before="0" w:beforeLines="0" w:after="0" w:afterLines="0" w:line="240" w:lineRule="auto"/>
        <w:ind w:left="0" w:leftChars="0" w:right="0" w:rightChars="0" w:firstLine="0" w:firstLineChars="0"/>
        <w:jc w:val="center"/>
        <w:rPr>
          <w:rFonts w:ascii="Arial" w:eastAsia="Arial"/>
          <w:color w:val="auto"/>
          <w:sz w:val="21"/>
          <w:highlight w:val="none"/>
        </w:rPr>
        <w:sectPr>
          <w:type w:val="continuous"/>
          <w:pgSz w:w="11910" w:h="16840"/>
          <w:pgMar w:top="960" w:right="860" w:bottom="1492" w:left="960" w:header="720" w:footer="720" w:gutter="0"/>
          <w:pgBorders>
            <w:top w:val="none" w:sz="0" w:space="0"/>
            <w:left w:val="none" w:sz="0" w:space="0"/>
            <w:bottom w:val="none" w:sz="0" w:space="0"/>
            <w:right w:val="none" w:sz="0" w:space="0"/>
          </w:pgBorders>
          <w:pgNumType w:fmt="decimal"/>
          <w:cols w:space="720" w:num="1"/>
        </w:sectPr>
      </w:pPr>
      <w:r>
        <w:rPr>
          <w:rFonts w:ascii="Arial" w:eastAsia="Arial"/>
          <w:color w:val="auto"/>
          <w:highlight w:val="none"/>
        </w:rPr>
        <w:fldChar w:fldCharType="end"/>
      </w:r>
    </w:p>
    <w:p>
      <w:pPr>
        <w:spacing w:line="360" w:lineRule="exact"/>
        <w:jc w:val="center"/>
        <w:rPr>
          <w:color w:val="auto"/>
          <w:highlight w:val="none"/>
        </w:rPr>
      </w:pPr>
      <w:bookmarkStart w:id="1" w:name="_Toc23534"/>
      <w:bookmarkStart w:id="2" w:name="_Toc19931"/>
    </w:p>
    <w:p>
      <w:pPr>
        <w:spacing w:line="360" w:lineRule="exact"/>
        <w:jc w:val="center"/>
        <w:rPr>
          <w:color w:val="auto"/>
          <w:highlight w:val="none"/>
        </w:rPr>
      </w:pPr>
      <w:r>
        <w:rPr>
          <w:rFonts w:hint="eastAsia" w:eastAsia="黑体"/>
          <w:color w:val="auto"/>
          <w:sz w:val="32"/>
          <w:szCs w:val="32"/>
          <w:highlight w:val="none"/>
        </w:rPr>
        <w:t>三门县公共资源交易不见面开标大厅试运行投标人须知</w:t>
      </w:r>
      <w:bookmarkEnd w:id="1"/>
      <w:bookmarkEnd w:id="2"/>
    </w:p>
    <w:p>
      <w:pPr>
        <w:spacing w:line="320" w:lineRule="exact"/>
        <w:ind w:firstLine="440" w:firstLineChars="200"/>
        <w:rPr>
          <w:color w:val="auto"/>
          <w:highlight w:val="none"/>
        </w:rPr>
      </w:pPr>
    </w:p>
    <w:p>
      <w:pPr>
        <w:widowControl/>
        <w:spacing w:line="360" w:lineRule="exact"/>
        <w:ind w:left="-123" w:leftChars="-56" w:right="-106" w:rightChars="-48" w:firstLine="440" w:firstLineChars="200"/>
        <w:jc w:val="left"/>
        <w:rPr>
          <w:rFonts w:ascii="宋体" w:hAnsi="宋体"/>
          <w:color w:val="auto"/>
          <w:highlight w:val="none"/>
        </w:rPr>
      </w:pPr>
      <w:r>
        <w:rPr>
          <w:rFonts w:ascii="宋体" w:hAnsi="宋体"/>
          <w:color w:val="auto"/>
          <w:highlight w:val="none"/>
        </w:rPr>
        <w:t>1、三门县公共资源交易不见面开标大</w:t>
      </w:r>
      <w:r>
        <w:rPr>
          <w:rFonts w:ascii="宋体" w:hAnsi="宋体"/>
          <w:color w:val="auto"/>
          <w:spacing w:val="-3"/>
          <w:highlight w:val="none"/>
        </w:rPr>
        <w:t>厅</w:t>
      </w:r>
      <w:r>
        <w:rPr>
          <w:rFonts w:ascii="宋体" w:hAnsi="宋体"/>
          <w:color w:val="auto"/>
          <w:highlight w:val="none"/>
        </w:rPr>
        <w:t>（以下简称：不见面开标系统）登录方式：插入CA锁—三门县公共资源交易网页—便捷导航—不见面开标大厅。</w:t>
      </w:r>
    </w:p>
    <w:p>
      <w:pPr>
        <w:widowControl/>
        <w:spacing w:line="360" w:lineRule="exact"/>
        <w:ind w:left="-123" w:leftChars="-56" w:right="-106" w:rightChars="-48" w:firstLine="440" w:firstLineChars="200"/>
        <w:jc w:val="left"/>
        <w:rPr>
          <w:rFonts w:ascii="宋体" w:hAnsi="宋体"/>
          <w:color w:val="auto"/>
          <w:highlight w:val="none"/>
        </w:rPr>
      </w:pPr>
      <w:r>
        <w:rPr>
          <w:rFonts w:ascii="宋体" w:hAnsi="宋体"/>
          <w:color w:val="auto"/>
          <w:highlight w:val="none"/>
        </w:rPr>
        <w:t>2、</w:t>
      </w:r>
      <w:r>
        <w:rPr>
          <w:rFonts w:ascii="宋体" w:hAnsi="宋体"/>
          <w:b/>
          <w:color w:val="auto"/>
          <w:highlight w:val="none"/>
        </w:rPr>
        <w:t>投标文件递交截止时间前，各投标人的授权委托人或法人代表应提前进入不见面交易系统进行在线签到，未完成签到或逾期签到的，将无法解密投标文件，并视为放弃投标。</w:t>
      </w:r>
    </w:p>
    <w:p>
      <w:pPr>
        <w:widowControl/>
        <w:spacing w:line="360" w:lineRule="exact"/>
        <w:ind w:left="-123" w:leftChars="-56" w:right="-106" w:rightChars="-48" w:firstLine="440" w:firstLineChars="200"/>
        <w:jc w:val="left"/>
        <w:rPr>
          <w:rFonts w:ascii="宋体" w:hAnsi="宋体"/>
          <w:color w:val="auto"/>
          <w:highlight w:val="none"/>
        </w:rPr>
      </w:pPr>
      <w:r>
        <w:rPr>
          <w:rFonts w:ascii="宋体" w:hAnsi="宋体"/>
          <w:color w:val="auto"/>
          <w:highlight w:val="none"/>
        </w:rPr>
        <w:t>3、投标文件递交截止时间后，主持人在系统内发出投标文件解密指令，投标人需在招标文件规定解密时间内解密（投标人远程解密方法详见操作手册）。</w:t>
      </w:r>
      <w:r>
        <w:rPr>
          <w:rFonts w:ascii="宋体" w:hAnsi="宋体"/>
          <w:b/>
          <w:color w:val="auto"/>
          <w:highlight w:val="none"/>
        </w:rPr>
        <w:t>投标人未在规定时间内解密、解密失败或解密超时，视为放弃投标。</w:t>
      </w:r>
    </w:p>
    <w:p>
      <w:pPr>
        <w:widowControl/>
        <w:spacing w:line="360" w:lineRule="exact"/>
        <w:ind w:left="-123" w:leftChars="-56" w:right="-106" w:rightChars="-48" w:firstLine="440" w:firstLineChars="200"/>
        <w:jc w:val="left"/>
        <w:rPr>
          <w:rFonts w:ascii="宋体" w:hAnsi="宋体"/>
          <w:color w:val="auto"/>
          <w:highlight w:val="none"/>
        </w:rPr>
      </w:pPr>
      <w:r>
        <w:rPr>
          <w:rFonts w:ascii="宋体" w:hAnsi="宋体"/>
          <w:color w:val="auto"/>
          <w:highlight w:val="none"/>
        </w:rPr>
        <w:t>4、不见面开标前投标人需完成以下准备工作：</w:t>
      </w:r>
    </w:p>
    <w:p>
      <w:pPr>
        <w:widowControl/>
        <w:spacing w:line="360" w:lineRule="exact"/>
        <w:ind w:left="-123" w:leftChars="-56" w:right="-106" w:rightChars="-48" w:firstLine="440" w:firstLineChars="200"/>
        <w:rPr>
          <w:rFonts w:ascii="宋体" w:hAnsi="宋体"/>
          <w:color w:val="auto"/>
          <w:highlight w:val="none"/>
        </w:rPr>
      </w:pPr>
      <w:r>
        <w:rPr>
          <w:rFonts w:ascii="宋体" w:hAnsi="宋体"/>
          <w:color w:val="auto"/>
          <w:highlight w:val="none"/>
        </w:rPr>
        <w:t>（1）投标人需在“三门县公共资源交易网页”注册，并核验通过。</w:t>
      </w:r>
    </w:p>
    <w:p>
      <w:pPr>
        <w:widowControl/>
        <w:spacing w:line="360" w:lineRule="exact"/>
        <w:ind w:left="-123" w:leftChars="-56" w:right="-106" w:rightChars="-48" w:firstLine="440" w:firstLineChars="200"/>
        <w:jc w:val="left"/>
        <w:rPr>
          <w:rFonts w:ascii="宋体" w:hAnsi="宋体"/>
          <w:color w:val="auto"/>
          <w:highlight w:val="none"/>
        </w:rPr>
      </w:pPr>
      <w:r>
        <w:rPr>
          <w:rFonts w:ascii="宋体" w:hAnsi="宋体"/>
          <w:color w:val="auto"/>
          <w:highlight w:val="none"/>
        </w:rPr>
        <w:t>（2）投标人终端要求：根据操作说明，自行安装相关插件并按要求进行相关插件的设置。</w:t>
      </w:r>
    </w:p>
    <w:p>
      <w:pPr>
        <w:widowControl/>
        <w:spacing w:line="360" w:lineRule="exact"/>
        <w:ind w:left="-123" w:leftChars="-56" w:right="-106" w:rightChars="-48" w:firstLine="440" w:firstLineChars="200"/>
        <w:jc w:val="left"/>
        <w:rPr>
          <w:rFonts w:ascii="宋体" w:hAnsi="宋体"/>
          <w:color w:val="auto"/>
          <w:highlight w:val="none"/>
        </w:rPr>
      </w:pPr>
      <w:r>
        <w:rPr>
          <w:rFonts w:ascii="宋体" w:hAnsi="宋体"/>
          <w:color w:val="auto"/>
          <w:highlight w:val="none"/>
        </w:rPr>
        <w:t>（3）需使用数字证书（CA）操作，未取得数字证书（CA）的，请前往“三门县公共资源交易专用数字证书用户自助申报系统”自助办理（网址：</w:t>
      </w:r>
      <w:r>
        <w:rPr>
          <w:rFonts w:ascii="宋体" w:hAnsi="宋体"/>
          <w:color w:val="auto"/>
          <w:highlight w:val="none"/>
        </w:rPr>
        <w:fldChar w:fldCharType="begin"/>
      </w:r>
      <w:r>
        <w:rPr>
          <w:rFonts w:ascii="宋体" w:hAnsi="宋体"/>
          <w:color w:val="auto"/>
          <w:highlight w:val="none"/>
        </w:rPr>
        <w:instrText xml:space="preserve"> HYPERLINK "http://www.tseal.cn/tcloud/smxztb" </w:instrText>
      </w:r>
      <w:r>
        <w:rPr>
          <w:rFonts w:ascii="宋体" w:hAnsi="宋体"/>
          <w:color w:val="auto"/>
          <w:highlight w:val="none"/>
        </w:rPr>
        <w:fldChar w:fldCharType="separate"/>
      </w:r>
      <w:r>
        <w:rPr>
          <w:rStyle w:val="28"/>
          <w:rFonts w:ascii="宋体" w:hAnsi="宋体"/>
          <w:color w:val="auto"/>
          <w:highlight w:val="none"/>
        </w:rPr>
        <w:t>http://www.tseal.cn/tcloud/smxztb</w:t>
      </w:r>
      <w:r>
        <w:rPr>
          <w:rFonts w:ascii="宋体" w:hAnsi="宋体"/>
          <w:color w:val="auto"/>
          <w:highlight w:val="none"/>
        </w:rPr>
        <w:fldChar w:fldCharType="end"/>
      </w:r>
      <w:r>
        <w:rPr>
          <w:rFonts w:ascii="宋体" w:hAnsi="宋体"/>
          <w:color w:val="auto"/>
          <w:highlight w:val="none"/>
        </w:rPr>
        <w:t>。</w:t>
      </w:r>
    </w:p>
    <w:p>
      <w:pPr>
        <w:widowControl/>
        <w:spacing w:line="360" w:lineRule="exact"/>
        <w:ind w:left="-123" w:leftChars="-56" w:right="-106" w:rightChars="-48" w:firstLine="440" w:firstLineChars="200"/>
        <w:jc w:val="left"/>
        <w:rPr>
          <w:rFonts w:ascii="宋体" w:hAnsi="宋体"/>
          <w:color w:val="auto"/>
          <w:highlight w:val="none"/>
        </w:rPr>
      </w:pPr>
      <w:r>
        <w:rPr>
          <w:rFonts w:ascii="宋体" w:hAnsi="宋体"/>
          <w:color w:val="auto"/>
          <w:highlight w:val="none"/>
        </w:rPr>
        <w:t>（4）需使用专用投标工具软件编制，软件下载地址见网站下载中心，投标工具锁申请地址：</w:t>
      </w:r>
      <w:r>
        <w:rPr>
          <w:rFonts w:ascii="宋体" w:hAnsi="宋体"/>
          <w:color w:val="auto"/>
          <w:highlight w:val="none"/>
        </w:rPr>
        <w:fldChar w:fldCharType="begin"/>
      </w:r>
      <w:r>
        <w:rPr>
          <w:rFonts w:ascii="宋体" w:hAnsi="宋体"/>
          <w:color w:val="auto"/>
          <w:highlight w:val="none"/>
        </w:rPr>
        <w:instrText xml:space="preserve"> HYPERLINK "http://commkey.pminfo.cn/RegisterRockey/Login/Login.aspx" </w:instrText>
      </w:r>
      <w:r>
        <w:rPr>
          <w:rFonts w:ascii="宋体" w:hAnsi="宋体"/>
          <w:color w:val="auto"/>
          <w:highlight w:val="none"/>
        </w:rPr>
        <w:fldChar w:fldCharType="separate"/>
      </w:r>
      <w:r>
        <w:rPr>
          <w:rStyle w:val="28"/>
          <w:rFonts w:ascii="宋体" w:hAnsi="宋体"/>
          <w:color w:val="auto"/>
          <w:highlight w:val="none"/>
        </w:rPr>
        <w:t>http://commkey.pminfo.cn/RegisterRockey/Login/Login.aspx</w:t>
      </w:r>
      <w:r>
        <w:rPr>
          <w:rFonts w:ascii="宋体" w:hAnsi="宋体"/>
          <w:color w:val="auto"/>
          <w:highlight w:val="none"/>
        </w:rPr>
        <w:fldChar w:fldCharType="end"/>
      </w:r>
      <w:r>
        <w:rPr>
          <w:rFonts w:ascii="宋体" w:hAnsi="宋体"/>
          <w:color w:val="auto"/>
          <w:highlight w:val="none"/>
        </w:rPr>
        <w:t>。</w:t>
      </w:r>
    </w:p>
    <w:p>
      <w:pPr>
        <w:widowControl/>
        <w:spacing w:line="360" w:lineRule="exact"/>
        <w:ind w:left="-123" w:leftChars="-56" w:right="-106" w:rightChars="-48" w:firstLine="442" w:firstLineChars="200"/>
        <w:jc w:val="left"/>
        <w:rPr>
          <w:rFonts w:ascii="宋体" w:hAnsi="宋体"/>
          <w:b/>
          <w:color w:val="auto"/>
          <w:highlight w:val="none"/>
        </w:rPr>
      </w:pPr>
      <w:r>
        <w:rPr>
          <w:rFonts w:ascii="宋体" w:hAnsi="宋体"/>
          <w:b/>
          <w:color w:val="auto"/>
          <w:highlight w:val="none"/>
        </w:rPr>
        <w:t>其他说明：</w:t>
      </w:r>
    </w:p>
    <w:p>
      <w:pPr>
        <w:widowControl/>
        <w:spacing w:line="360" w:lineRule="exact"/>
        <w:ind w:left="-123" w:leftChars="-56" w:right="-106" w:rightChars="-48" w:firstLine="440" w:firstLineChars="200"/>
        <w:jc w:val="left"/>
        <w:rPr>
          <w:rFonts w:ascii="宋体" w:hAnsi="宋体"/>
          <w:color w:val="auto"/>
          <w:highlight w:val="none"/>
        </w:rPr>
      </w:pPr>
      <w:r>
        <w:rPr>
          <w:rFonts w:ascii="宋体" w:hAnsi="宋体"/>
          <w:color w:val="auto"/>
          <w:highlight w:val="none"/>
        </w:rPr>
        <w:t>（1）开标当日，投标人不必抵达开标现场，仅需在任意地点通过互联网参加开标会议，并根据需要使用开标系统与现场招标人进行互动交流、澄清、质疑等活动。各投标人参与远程交互的授权委托人或法人代表应始终为同一个人，中途不得更换，在解密、唱标、提疑、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未参加开标会议视为放弃交互和放弃对开评标全过程提疑的权利。</w:t>
      </w:r>
    </w:p>
    <w:p>
      <w:pPr>
        <w:widowControl/>
        <w:spacing w:line="360" w:lineRule="exact"/>
        <w:ind w:left="-123" w:leftChars="-56" w:right="-106" w:rightChars="-48" w:firstLine="440" w:firstLineChars="200"/>
        <w:jc w:val="left"/>
        <w:rPr>
          <w:rFonts w:ascii="宋体" w:hAnsi="宋体"/>
          <w:color w:val="auto"/>
          <w:highlight w:val="none"/>
        </w:rPr>
      </w:pPr>
      <w:r>
        <w:rPr>
          <w:rFonts w:ascii="宋体" w:hAnsi="宋体"/>
          <w:color w:val="auto"/>
          <w:highlight w:val="none"/>
        </w:rPr>
        <w:t>（2）因投标人网络与电源不稳定、未按操作手册要求配置软硬件、解密锁发生故障或用错、故意不在要求时限内完成解密等自身原因，导致投标文件在规定时间内未能解密、解密失败或解密超时，视为投标人放弃投标；</w:t>
      </w:r>
    </w:p>
    <w:p>
      <w:pPr>
        <w:widowControl/>
        <w:spacing w:line="360" w:lineRule="exact"/>
        <w:ind w:left="-123" w:leftChars="-56" w:right="-106" w:rightChars="-48" w:firstLine="440" w:firstLineChars="200"/>
        <w:jc w:val="left"/>
        <w:rPr>
          <w:rFonts w:ascii="宋体" w:hAnsi="宋体"/>
          <w:color w:val="auto"/>
          <w:highlight w:val="none"/>
        </w:rPr>
      </w:pPr>
      <w:r>
        <w:rPr>
          <w:rFonts w:ascii="宋体" w:hAnsi="宋体"/>
          <w:color w:val="auto"/>
          <w:highlight w:val="none"/>
        </w:rPr>
        <w:t>（3）因招标人原因或电子交易平台发生故障等，导致无法按时完成投标文件解密或开、评标工作无法进行的，可根据实际情况相应延迟解密时间或调整开、评标时间。</w:t>
      </w:r>
    </w:p>
    <w:p>
      <w:pPr>
        <w:widowControl/>
        <w:spacing w:line="360" w:lineRule="exact"/>
        <w:ind w:left="-123" w:leftChars="-56" w:right="-106" w:rightChars="-48" w:firstLine="440" w:firstLineChars="200"/>
        <w:jc w:val="left"/>
        <w:rPr>
          <w:rFonts w:ascii="宋体" w:hAnsi="宋体"/>
          <w:color w:val="auto"/>
          <w:highlight w:val="none"/>
        </w:rPr>
      </w:pPr>
      <w:r>
        <w:rPr>
          <w:rFonts w:ascii="宋体" w:hAnsi="宋体"/>
          <w:color w:val="auto"/>
          <w:highlight w:val="none"/>
        </w:rPr>
        <w:t>（4）投标人必须使用生成电子投标文件的CA数字证书解密电子投标文件，否则造成解密失败的，由投标人负责。</w:t>
      </w:r>
    </w:p>
    <w:p>
      <w:pPr>
        <w:widowControl/>
        <w:spacing w:line="360" w:lineRule="exact"/>
        <w:ind w:left="-123" w:leftChars="-56" w:right="-106" w:rightChars="-48" w:firstLine="440" w:firstLineChars="200"/>
        <w:jc w:val="left"/>
        <w:rPr>
          <w:rFonts w:ascii="宋体" w:hAnsi="宋体"/>
          <w:color w:val="auto"/>
          <w:highlight w:val="none"/>
        </w:rPr>
      </w:pPr>
      <w:r>
        <w:rPr>
          <w:rFonts w:ascii="宋体" w:hAnsi="宋体"/>
          <w:color w:val="auto"/>
          <w:highlight w:val="none"/>
        </w:rPr>
        <w:t>（5）开标项目的时间均以国家授时中心发布的时间为准。</w:t>
      </w:r>
    </w:p>
    <w:p>
      <w:pPr>
        <w:spacing w:line="360" w:lineRule="exact"/>
        <w:ind w:firstLine="440" w:firstLineChars="200"/>
        <w:rPr>
          <w:rFonts w:ascii="宋体" w:hAnsi="宋体" w:cs="Arial"/>
          <w:color w:val="auto"/>
          <w:highlight w:val="none"/>
        </w:rPr>
        <w:sectPr>
          <w:footerReference r:id="rId7" w:type="default"/>
          <w:pgSz w:w="11906" w:h="16838"/>
          <w:pgMar w:top="1240" w:right="1797" w:bottom="1440" w:left="1797" w:header="851" w:footer="992" w:gutter="0"/>
          <w:pgNumType w:fmt="decimal"/>
          <w:cols w:space="720" w:num="1"/>
          <w:docGrid w:linePitch="312" w:charSpace="0"/>
        </w:sectPr>
      </w:pPr>
      <w:r>
        <w:rPr>
          <w:rFonts w:ascii="宋体" w:hAnsi="宋体"/>
          <w:color w:val="auto"/>
          <w:highlight w:val="none"/>
        </w:rPr>
        <w:t>如有疑问，请咨询品茗公司技术服务电话，技术服务电话：</w:t>
      </w:r>
      <w:r>
        <w:rPr>
          <w:rFonts w:hint="eastAsia"/>
          <w:color w:val="auto"/>
          <w:spacing w:val="-2"/>
        </w:rPr>
        <w:t>章宏涛，</w:t>
      </w:r>
      <w:r>
        <w:rPr>
          <w:color w:val="auto"/>
          <w:spacing w:val="-1"/>
        </w:rPr>
        <w:t>13968512856</w:t>
      </w:r>
      <w:r>
        <w:rPr>
          <w:rFonts w:hint="eastAsia"/>
          <w:color w:val="auto"/>
          <w:highlight w:val="none"/>
          <w:lang w:val="en-US" w:eastAsia="zh-CN"/>
        </w:rPr>
        <w:t xml:space="preserve"> </w:t>
      </w:r>
      <w:r>
        <w:rPr>
          <w:rFonts w:ascii="宋体" w:hAnsi="宋体"/>
          <w:color w:val="auto"/>
          <w:highlight w:val="none"/>
        </w:rPr>
        <w:t>QQ“三门交易平台交流群”（群号：146117595），进行业务咨询。此群也将作为不见面开标的备用远程交互群。</w:t>
      </w:r>
    </w:p>
    <w:p>
      <w:pPr>
        <w:pStyle w:val="2"/>
        <w:rPr>
          <w:rFonts w:ascii="Arial"/>
          <w:color w:val="auto"/>
          <w:sz w:val="52"/>
          <w:highlight w:val="none"/>
        </w:rPr>
      </w:pPr>
    </w:p>
    <w:p>
      <w:pPr>
        <w:pStyle w:val="2"/>
        <w:rPr>
          <w:rFonts w:ascii="Arial"/>
          <w:color w:val="auto"/>
          <w:sz w:val="52"/>
          <w:highlight w:val="none"/>
        </w:rPr>
      </w:pPr>
    </w:p>
    <w:p>
      <w:pPr>
        <w:pStyle w:val="5"/>
        <w:spacing w:before="0" w:after="0" w:line="240" w:lineRule="auto"/>
        <w:jc w:val="center"/>
        <w:rPr>
          <w:rFonts w:eastAsia="黑体"/>
          <w:color w:val="auto"/>
          <w:sz w:val="72"/>
          <w:szCs w:val="72"/>
          <w:highlight w:val="none"/>
        </w:rPr>
      </w:pPr>
      <w:bookmarkStart w:id="3" w:name="_Toc12805"/>
      <w:r>
        <w:rPr>
          <w:rFonts w:eastAsia="黑体"/>
          <w:color w:val="auto"/>
          <w:sz w:val="72"/>
          <w:szCs w:val="72"/>
          <w:highlight w:val="none"/>
        </w:rPr>
        <w:t>第  一  卷</w:t>
      </w:r>
      <w:bookmarkEnd w:id="3"/>
    </w:p>
    <w:p>
      <w:pPr>
        <w:rPr>
          <w:color w:val="auto"/>
          <w:sz w:val="24"/>
          <w:highlight w:val="none"/>
        </w:rPr>
      </w:pPr>
    </w:p>
    <w:p>
      <w:pPr>
        <w:pStyle w:val="2"/>
        <w:rPr>
          <w:rFonts w:ascii="Arial"/>
          <w:color w:val="auto"/>
          <w:sz w:val="52"/>
          <w:highlight w:val="none"/>
        </w:rPr>
      </w:pPr>
    </w:p>
    <w:p>
      <w:pPr>
        <w:pStyle w:val="3"/>
        <w:rPr>
          <w:rFonts w:ascii="Arial"/>
          <w:color w:val="auto"/>
          <w:sz w:val="52"/>
          <w:highlight w:val="none"/>
        </w:rPr>
      </w:pPr>
    </w:p>
    <w:p>
      <w:pPr>
        <w:pStyle w:val="4"/>
        <w:rPr>
          <w:rFonts w:ascii="Arial"/>
          <w:color w:val="auto"/>
          <w:sz w:val="52"/>
          <w:highlight w:val="none"/>
        </w:rPr>
      </w:pPr>
    </w:p>
    <w:p>
      <w:pPr>
        <w:rPr>
          <w:rFonts w:ascii="Arial"/>
          <w:color w:val="auto"/>
          <w:sz w:val="52"/>
          <w:highlight w:val="none"/>
        </w:rPr>
      </w:pPr>
    </w:p>
    <w:p>
      <w:pPr>
        <w:pStyle w:val="2"/>
        <w:rPr>
          <w:rFonts w:ascii="Arial"/>
          <w:color w:val="auto"/>
          <w:sz w:val="52"/>
          <w:highlight w:val="none"/>
        </w:rPr>
      </w:pPr>
    </w:p>
    <w:p>
      <w:pPr>
        <w:pStyle w:val="3"/>
        <w:rPr>
          <w:rFonts w:ascii="Arial"/>
          <w:color w:val="auto"/>
          <w:sz w:val="52"/>
          <w:highlight w:val="none"/>
        </w:rPr>
      </w:pPr>
    </w:p>
    <w:p>
      <w:pPr>
        <w:pStyle w:val="4"/>
        <w:rPr>
          <w:rFonts w:ascii="Arial"/>
          <w:color w:val="auto"/>
          <w:sz w:val="52"/>
          <w:highlight w:val="none"/>
        </w:rPr>
      </w:pPr>
    </w:p>
    <w:p>
      <w:pPr>
        <w:rPr>
          <w:rFonts w:ascii="Arial"/>
          <w:color w:val="auto"/>
          <w:sz w:val="52"/>
          <w:highlight w:val="none"/>
        </w:rPr>
      </w:pPr>
    </w:p>
    <w:p>
      <w:pPr>
        <w:pStyle w:val="2"/>
        <w:rPr>
          <w:rFonts w:ascii="Arial"/>
          <w:color w:val="auto"/>
          <w:sz w:val="52"/>
          <w:highlight w:val="none"/>
        </w:rPr>
      </w:pPr>
    </w:p>
    <w:p>
      <w:pPr>
        <w:pStyle w:val="3"/>
        <w:rPr>
          <w:rFonts w:ascii="Arial"/>
          <w:color w:val="auto"/>
          <w:sz w:val="52"/>
          <w:highlight w:val="none"/>
        </w:rPr>
      </w:pPr>
    </w:p>
    <w:p>
      <w:pPr>
        <w:pStyle w:val="4"/>
        <w:rPr>
          <w:rFonts w:ascii="Arial"/>
          <w:color w:val="auto"/>
          <w:sz w:val="52"/>
          <w:highlight w:val="none"/>
        </w:rPr>
      </w:pPr>
    </w:p>
    <w:p>
      <w:pPr>
        <w:rPr>
          <w:rFonts w:ascii="Arial"/>
          <w:color w:val="auto"/>
          <w:sz w:val="52"/>
          <w:highlight w:val="none"/>
        </w:rPr>
      </w:pPr>
    </w:p>
    <w:p>
      <w:pPr>
        <w:pStyle w:val="2"/>
        <w:rPr>
          <w:rFonts w:ascii="Arial"/>
          <w:color w:val="auto"/>
          <w:sz w:val="52"/>
          <w:highlight w:val="none"/>
        </w:rPr>
      </w:pPr>
    </w:p>
    <w:p>
      <w:pPr>
        <w:pStyle w:val="3"/>
        <w:rPr>
          <w:rFonts w:ascii="Arial"/>
          <w:color w:val="auto"/>
          <w:sz w:val="52"/>
          <w:highlight w:val="none"/>
        </w:rPr>
      </w:pPr>
    </w:p>
    <w:p>
      <w:pPr>
        <w:pStyle w:val="4"/>
        <w:rPr>
          <w:rFonts w:ascii="Arial"/>
          <w:color w:val="auto"/>
          <w:sz w:val="52"/>
          <w:highlight w:val="none"/>
        </w:rPr>
      </w:pPr>
    </w:p>
    <w:p>
      <w:pPr>
        <w:rPr>
          <w:rFonts w:ascii="Arial"/>
          <w:color w:val="auto"/>
          <w:sz w:val="52"/>
          <w:highlight w:val="none"/>
        </w:rPr>
      </w:pPr>
    </w:p>
    <w:p>
      <w:pPr>
        <w:pStyle w:val="2"/>
        <w:rPr>
          <w:rFonts w:ascii="Arial"/>
          <w:color w:val="auto"/>
          <w:sz w:val="52"/>
          <w:highlight w:val="none"/>
        </w:rPr>
      </w:pPr>
    </w:p>
    <w:p>
      <w:pPr>
        <w:pStyle w:val="3"/>
        <w:rPr>
          <w:rFonts w:ascii="Arial"/>
          <w:color w:val="auto"/>
          <w:sz w:val="52"/>
          <w:highlight w:val="none"/>
        </w:rPr>
      </w:pPr>
    </w:p>
    <w:p>
      <w:pPr>
        <w:pStyle w:val="4"/>
        <w:rPr>
          <w:color w:val="auto"/>
          <w:highlight w:val="none"/>
        </w:rPr>
      </w:pPr>
    </w:p>
    <w:p>
      <w:pPr>
        <w:pStyle w:val="2"/>
        <w:rPr>
          <w:rFonts w:ascii="Arial"/>
          <w:color w:val="auto"/>
          <w:sz w:val="52"/>
          <w:highlight w:val="none"/>
        </w:rPr>
      </w:pPr>
    </w:p>
    <w:p>
      <w:pPr>
        <w:pStyle w:val="2"/>
        <w:spacing w:before="8"/>
        <w:rPr>
          <w:rFonts w:ascii="Arial"/>
          <w:color w:val="auto"/>
          <w:sz w:val="58"/>
          <w:highlight w:val="none"/>
        </w:rPr>
      </w:pPr>
    </w:p>
    <w:p>
      <w:pPr>
        <w:pStyle w:val="5"/>
        <w:tabs>
          <w:tab w:val="left" w:pos="2349"/>
        </w:tabs>
        <w:spacing w:before="0"/>
        <w:ind w:right="17" w:firstLine="2610" w:firstLineChars="500"/>
        <w:jc w:val="both"/>
        <w:outlineLvl w:val="0"/>
        <w:rPr>
          <w:color w:val="auto"/>
          <w:highlight w:val="none"/>
        </w:rPr>
      </w:pPr>
      <w:bookmarkStart w:id="4" w:name="第一章   招标公告"/>
      <w:bookmarkEnd w:id="4"/>
      <w:bookmarkStart w:id="5" w:name="_Toc11749"/>
      <w:r>
        <w:rPr>
          <w:color w:val="auto"/>
          <w:highlight w:val="none"/>
        </w:rPr>
        <w:t>第一章</w:t>
      </w:r>
      <w:r>
        <w:rPr>
          <w:color w:val="auto"/>
          <w:highlight w:val="none"/>
        </w:rPr>
        <w:tab/>
      </w:r>
      <w:r>
        <w:rPr>
          <w:color w:val="auto"/>
          <w:highlight w:val="none"/>
        </w:rPr>
        <w:t>招标公告</w:t>
      </w:r>
      <w:bookmarkEnd w:id="5"/>
    </w:p>
    <w:p>
      <w:pPr>
        <w:spacing w:after="0"/>
        <w:rPr>
          <w:color w:val="auto"/>
          <w:highlight w:val="none"/>
        </w:rPr>
        <w:sectPr>
          <w:pgSz w:w="11910" w:h="16840"/>
          <w:pgMar w:top="1580" w:right="860" w:bottom="940" w:left="960" w:header="0" w:footer="672" w:gutter="0"/>
          <w:pgBorders>
            <w:top w:val="none" w:sz="0" w:space="0"/>
            <w:left w:val="none" w:sz="0" w:space="0"/>
            <w:bottom w:val="none" w:sz="0" w:space="0"/>
            <w:right w:val="none" w:sz="0" w:space="0"/>
          </w:pgBorders>
          <w:pgNumType w:fmt="decimal"/>
          <w:cols w:space="720" w:num="1"/>
        </w:sectPr>
      </w:pPr>
    </w:p>
    <w:p>
      <w:pPr>
        <w:tabs>
          <w:tab w:val="left" w:pos="1199"/>
        </w:tabs>
        <w:spacing w:before="33"/>
        <w:ind w:left="0" w:right="14" w:firstLine="0"/>
        <w:jc w:val="center"/>
        <w:rPr>
          <w:rFonts w:hint="eastAsia" w:ascii="黑体" w:eastAsia="黑体"/>
          <w:color w:val="auto"/>
          <w:sz w:val="30"/>
          <w:highlight w:val="none"/>
        </w:rPr>
      </w:pPr>
      <w:r>
        <w:rPr>
          <w:rFonts w:hint="eastAsia" w:ascii="黑体" w:eastAsia="黑体"/>
          <w:color w:val="auto"/>
          <w:sz w:val="30"/>
          <w:highlight w:val="none"/>
        </w:rPr>
        <w:t>第一章</w:t>
      </w:r>
      <w:r>
        <w:rPr>
          <w:rFonts w:hint="eastAsia" w:ascii="黑体" w:eastAsia="黑体"/>
          <w:color w:val="auto"/>
          <w:sz w:val="30"/>
          <w:highlight w:val="none"/>
        </w:rPr>
        <w:tab/>
      </w:r>
      <w:r>
        <w:rPr>
          <w:rFonts w:hint="eastAsia" w:ascii="黑体" w:eastAsia="黑体"/>
          <w:color w:val="auto"/>
          <w:sz w:val="30"/>
          <w:highlight w:val="none"/>
        </w:rPr>
        <w:t>招标公告</w:t>
      </w:r>
    </w:p>
    <w:p>
      <w:pPr>
        <w:spacing w:before="239" w:line="388" w:lineRule="auto"/>
        <w:ind w:left="-1" w:leftChars="0" w:right="-30" w:rightChars="0" w:firstLine="0" w:firstLineChars="0"/>
        <w:jc w:val="center"/>
        <w:rPr>
          <w:rFonts w:hint="eastAsia" w:ascii="黑体" w:eastAsia="黑体"/>
          <w:color w:val="auto"/>
          <w:sz w:val="30"/>
          <w:highlight w:val="none"/>
        </w:rPr>
      </w:pPr>
      <w:r>
        <w:rPr>
          <w:rFonts w:hint="eastAsia" w:ascii="Arial"/>
          <w:color w:val="auto"/>
          <w:sz w:val="30"/>
          <w:highlight w:val="none"/>
          <w:lang w:eastAsia="zh-CN"/>
        </w:rPr>
        <w:t>2024年三门县普通国道路基路面养护工程设计招标公告</w:t>
      </w:r>
    </w:p>
    <w:p>
      <w:pPr>
        <w:pStyle w:val="13"/>
        <w:numPr>
          <w:ilvl w:val="0"/>
          <w:numId w:val="2"/>
        </w:numPr>
        <w:tabs>
          <w:tab w:val="left" w:pos="720"/>
        </w:tabs>
        <w:spacing w:before="70" w:after="0" w:line="240" w:lineRule="auto"/>
        <w:ind w:left="720" w:right="0" w:hanging="322"/>
        <w:jc w:val="both"/>
        <w:outlineLvl w:val="1"/>
        <w:rPr>
          <w:color w:val="auto"/>
          <w:highlight w:val="none"/>
        </w:rPr>
      </w:pPr>
      <w:bookmarkStart w:id="6" w:name="_bookmark1"/>
      <w:bookmarkEnd w:id="6"/>
      <w:bookmarkStart w:id="7" w:name="1. 招标条件"/>
      <w:bookmarkEnd w:id="7"/>
      <w:bookmarkStart w:id="8" w:name="_Toc30923"/>
      <w:bookmarkStart w:id="9" w:name="_Toc24665"/>
      <w:r>
        <w:rPr>
          <w:color w:val="auto"/>
          <w:highlight w:val="none"/>
        </w:rPr>
        <w:t>招标条件</w:t>
      </w:r>
      <w:bookmarkEnd w:id="8"/>
      <w:bookmarkEnd w:id="9"/>
    </w:p>
    <w:p>
      <w:pPr>
        <w:pStyle w:val="2"/>
        <w:spacing w:before="102" w:line="338" w:lineRule="auto"/>
        <w:ind w:left="398" w:right="335" w:firstLine="420"/>
        <w:jc w:val="both"/>
        <w:rPr>
          <w:color w:val="auto"/>
          <w:highlight w:val="none"/>
        </w:rPr>
      </w:pPr>
      <w:r>
        <w:rPr>
          <w:color w:val="auto"/>
          <w:spacing w:val="-1"/>
          <w:highlight w:val="none"/>
        </w:rPr>
        <w:t xml:space="preserve">本招标项目 </w:t>
      </w:r>
      <w:r>
        <w:rPr>
          <w:rFonts w:hint="eastAsia" w:ascii="Arial"/>
          <w:color w:val="auto"/>
          <w:highlight w:val="none"/>
          <w:lang w:eastAsia="zh-CN"/>
        </w:rPr>
        <w:t>2024年三门县普通国道路基路面养护工程设计</w:t>
      </w:r>
      <w:r>
        <w:rPr>
          <w:color w:val="auto"/>
          <w:highlight w:val="none"/>
        </w:rPr>
        <w:t>（</w:t>
      </w:r>
      <w:r>
        <w:rPr>
          <w:color w:val="auto"/>
          <w:spacing w:val="-3"/>
          <w:highlight w:val="none"/>
        </w:rPr>
        <w:t>下称本项目）已列入浙江省公路与运输管理中心</w:t>
      </w:r>
      <w:r>
        <w:rPr>
          <w:color w:val="auto"/>
          <w:spacing w:val="-3"/>
          <w:w w:val="100"/>
          <w:highlight w:val="none"/>
        </w:rPr>
        <w:t>建设计划，项目业主为</w:t>
      </w:r>
      <w:r>
        <w:rPr>
          <w:rFonts w:hint="eastAsia"/>
          <w:color w:val="auto"/>
          <w:spacing w:val="-3"/>
          <w:w w:val="100"/>
          <w:highlight w:val="none"/>
          <w:lang w:eastAsia="zh-CN"/>
        </w:rPr>
        <w:t>三门县公路与运输管理中心</w:t>
      </w:r>
      <w:r>
        <w:rPr>
          <w:color w:val="auto"/>
          <w:w w:val="100"/>
          <w:highlight w:val="none"/>
        </w:rPr>
        <w:t>（</w:t>
      </w:r>
      <w:r>
        <w:rPr>
          <w:color w:val="auto"/>
          <w:spacing w:val="-3"/>
          <w:w w:val="100"/>
          <w:highlight w:val="none"/>
        </w:rPr>
        <w:t>下称招标人</w:t>
      </w:r>
      <w:r>
        <w:rPr>
          <w:color w:val="auto"/>
          <w:spacing w:val="-108"/>
          <w:w w:val="100"/>
          <w:highlight w:val="none"/>
        </w:rPr>
        <w:t>）</w:t>
      </w:r>
      <w:r>
        <w:rPr>
          <w:color w:val="auto"/>
          <w:spacing w:val="-3"/>
          <w:w w:val="100"/>
          <w:highlight w:val="none"/>
        </w:rPr>
        <w:t>，建设资金来自上级部门拨付。</w:t>
      </w:r>
      <w:r>
        <w:rPr>
          <w:color w:val="auto"/>
          <w:spacing w:val="-3"/>
          <w:highlight w:val="none"/>
        </w:rPr>
        <w:t>项目已具备招标条件，现对该项目的设计及后续服务进行公开招标。</w:t>
      </w:r>
    </w:p>
    <w:p>
      <w:pPr>
        <w:pStyle w:val="13"/>
        <w:numPr>
          <w:ilvl w:val="0"/>
          <w:numId w:val="2"/>
        </w:numPr>
        <w:tabs>
          <w:tab w:val="left" w:pos="720"/>
        </w:tabs>
        <w:spacing w:before="92" w:after="0" w:line="240" w:lineRule="auto"/>
        <w:ind w:left="720" w:right="0" w:hanging="322"/>
        <w:jc w:val="both"/>
        <w:outlineLvl w:val="1"/>
        <w:rPr>
          <w:color w:val="auto"/>
          <w:highlight w:val="none"/>
        </w:rPr>
      </w:pPr>
      <w:bookmarkStart w:id="10" w:name="2. 项目概况与招标范围"/>
      <w:bookmarkEnd w:id="10"/>
      <w:bookmarkStart w:id="11" w:name="_bookmark2"/>
      <w:bookmarkEnd w:id="11"/>
      <w:bookmarkStart w:id="12" w:name="_Toc1131"/>
      <w:bookmarkStart w:id="13" w:name="_Toc31153"/>
      <w:r>
        <w:rPr>
          <w:color w:val="auto"/>
          <w:highlight w:val="none"/>
        </w:rPr>
        <w:t>项目概况与招标范围</w:t>
      </w:r>
      <w:bookmarkEnd w:id="12"/>
      <w:bookmarkEnd w:id="13"/>
    </w:p>
    <w:p>
      <w:pPr>
        <w:pStyle w:val="30"/>
        <w:numPr>
          <w:ilvl w:val="1"/>
          <w:numId w:val="2"/>
        </w:numPr>
        <w:tabs>
          <w:tab w:val="left" w:pos="1169"/>
        </w:tabs>
        <w:spacing w:before="101" w:after="0" w:line="338" w:lineRule="auto"/>
        <w:ind w:left="398" w:right="304" w:firstLine="420"/>
        <w:jc w:val="both"/>
        <w:rPr>
          <w:color w:val="auto"/>
          <w:sz w:val="21"/>
          <w:highlight w:val="none"/>
        </w:rPr>
      </w:pPr>
      <w:r>
        <w:rPr>
          <w:color w:val="auto"/>
          <w:sz w:val="21"/>
          <w:highlight w:val="none"/>
        </w:rPr>
        <w:t>建设规模：</w:t>
      </w:r>
      <w:r>
        <w:rPr>
          <w:rFonts w:hint="eastAsia"/>
          <w:color w:val="auto"/>
          <w:sz w:val="21"/>
          <w:highlight w:val="none"/>
          <w:lang w:eastAsia="zh-CN"/>
        </w:rPr>
        <w:t>本项目为2024年三门县普通国道路基路面养护工程设计，本次招标分</w:t>
      </w:r>
      <w:r>
        <w:rPr>
          <w:rFonts w:hint="eastAsia"/>
          <w:color w:val="auto"/>
          <w:sz w:val="21"/>
          <w:highlight w:val="none"/>
          <w:lang w:val="en-US" w:eastAsia="zh-CN"/>
        </w:rPr>
        <w:t>1</w:t>
      </w:r>
      <w:r>
        <w:rPr>
          <w:rFonts w:hint="eastAsia"/>
          <w:color w:val="auto"/>
          <w:sz w:val="21"/>
          <w:highlight w:val="none"/>
          <w:lang w:eastAsia="zh-CN"/>
        </w:rPr>
        <w:t>个标段实施</w:t>
      </w:r>
      <w:r>
        <w:rPr>
          <w:color w:val="auto"/>
          <w:sz w:val="21"/>
          <w:highlight w:val="none"/>
        </w:rPr>
        <w:t>。</w:t>
      </w:r>
    </w:p>
    <w:p>
      <w:pPr>
        <w:pStyle w:val="2"/>
        <w:spacing w:before="102" w:line="338" w:lineRule="auto"/>
        <w:ind w:left="398" w:right="335" w:firstLine="420"/>
        <w:jc w:val="both"/>
        <w:rPr>
          <w:color w:val="auto"/>
          <w:spacing w:val="-3"/>
          <w:highlight w:val="none"/>
        </w:rPr>
      </w:pPr>
      <w:r>
        <w:rPr>
          <w:rFonts w:hint="eastAsia"/>
          <w:color w:val="auto"/>
          <w:spacing w:val="-3"/>
          <w:highlight w:val="none"/>
          <w:lang w:eastAsia="zh-CN"/>
        </w:rPr>
        <w:t>本</w:t>
      </w:r>
      <w:r>
        <w:rPr>
          <w:rFonts w:hint="eastAsia"/>
          <w:color w:val="auto"/>
          <w:spacing w:val="-3"/>
          <w:highlight w:val="none"/>
          <w:lang w:val="en-US" w:eastAsia="zh-CN"/>
        </w:rPr>
        <w:t>标段即</w:t>
      </w:r>
      <w:r>
        <w:rPr>
          <w:rFonts w:hint="eastAsia" w:ascii="Arial"/>
          <w:color w:val="auto"/>
          <w:highlight w:val="none"/>
          <w:lang w:eastAsia="zh-CN"/>
        </w:rPr>
        <w:t>2024年三门县普通国道路基路面养护工程设计</w:t>
      </w:r>
      <w:r>
        <w:rPr>
          <w:rFonts w:hint="eastAsia"/>
          <w:color w:val="auto"/>
          <w:spacing w:val="-3"/>
          <w:highlight w:val="none"/>
          <w:lang w:eastAsia="zh-CN"/>
        </w:rPr>
        <w:t>，</w:t>
      </w:r>
      <w:r>
        <w:rPr>
          <w:color w:val="auto"/>
          <w:spacing w:val="-3"/>
          <w:highlight w:val="none"/>
        </w:rPr>
        <w:t>预计建设内容为：</w:t>
      </w:r>
      <w:r>
        <w:rPr>
          <w:rFonts w:hint="eastAsia" w:ascii="Times New Roman" w:hAnsi="Times New Roman" w:cs="Times New Roman"/>
          <w:color w:val="auto"/>
          <w:kern w:val="2"/>
          <w:sz w:val="21"/>
          <w:szCs w:val="20"/>
          <w:highlight w:val="none"/>
          <w:lang w:val="en-US" w:eastAsia="zh-CN" w:bidi="ar-SA"/>
        </w:rPr>
        <w:t>三门县公路与运输管理中心所管辖的G228丹东线国道路面养护大中修、修复和完善该路段护栏、标志标线等沿线附属设施及其他不可预见项目（上级部门有统一安排的除外）</w:t>
      </w:r>
      <w:r>
        <w:rPr>
          <w:color w:val="auto"/>
          <w:spacing w:val="-3"/>
          <w:highlight w:val="none"/>
        </w:rPr>
        <w:t>。</w:t>
      </w:r>
      <w:r>
        <w:rPr>
          <w:b/>
          <w:bCs/>
          <w:color w:val="auto"/>
          <w:spacing w:val="-3"/>
          <w:highlight w:val="none"/>
        </w:rPr>
        <w:t>预计总投资约</w:t>
      </w:r>
      <w:r>
        <w:rPr>
          <w:rFonts w:hint="eastAsia"/>
          <w:b/>
          <w:bCs/>
          <w:color w:val="auto"/>
          <w:spacing w:val="-3"/>
          <w:highlight w:val="none"/>
          <w:lang w:val="en-US" w:eastAsia="zh-CN"/>
        </w:rPr>
        <w:t>2599万元</w:t>
      </w:r>
      <w:r>
        <w:rPr>
          <w:color w:val="auto"/>
          <w:spacing w:val="-3"/>
          <w:highlight w:val="none"/>
        </w:rPr>
        <w:t>，具体投资以上级主管部门的实际批复为准。</w:t>
      </w:r>
    </w:p>
    <w:p>
      <w:pPr>
        <w:pStyle w:val="30"/>
        <w:numPr>
          <w:ilvl w:val="1"/>
          <w:numId w:val="2"/>
        </w:numPr>
        <w:tabs>
          <w:tab w:val="left" w:pos="1169"/>
        </w:tabs>
        <w:spacing w:before="101" w:after="0" w:line="338" w:lineRule="auto"/>
        <w:ind w:left="398" w:right="304" w:firstLine="420"/>
        <w:jc w:val="both"/>
        <w:outlineLvl w:val="2"/>
        <w:rPr>
          <w:color w:val="auto"/>
          <w:sz w:val="21"/>
          <w:highlight w:val="none"/>
        </w:rPr>
      </w:pPr>
      <w:bookmarkStart w:id="14" w:name="_Toc24191"/>
      <w:bookmarkStart w:id="15" w:name="_Toc14578"/>
      <w:r>
        <w:rPr>
          <w:color w:val="auto"/>
          <w:sz w:val="21"/>
          <w:highlight w:val="none"/>
        </w:rPr>
        <w:t>招标范围：</w:t>
      </w:r>
      <w:r>
        <w:rPr>
          <w:rFonts w:hint="eastAsia"/>
          <w:color w:val="auto"/>
          <w:sz w:val="21"/>
          <w:highlight w:val="none"/>
          <w:lang w:eastAsia="zh-CN"/>
        </w:rPr>
        <w:t>本次招标划分</w:t>
      </w:r>
      <w:r>
        <w:rPr>
          <w:rFonts w:hint="eastAsia"/>
          <w:color w:val="auto"/>
          <w:sz w:val="21"/>
          <w:highlight w:val="none"/>
          <w:lang w:val="en-US" w:eastAsia="zh-CN"/>
        </w:rPr>
        <w:t>1个标段</w:t>
      </w:r>
      <w:bookmarkEnd w:id="14"/>
      <w:bookmarkEnd w:id="15"/>
    </w:p>
    <w:p>
      <w:pPr>
        <w:pStyle w:val="30"/>
        <w:numPr>
          <w:ilvl w:val="0"/>
          <w:numId w:val="0"/>
        </w:numPr>
        <w:tabs>
          <w:tab w:val="left" w:pos="1169"/>
        </w:tabs>
        <w:spacing w:before="101" w:after="0" w:line="338" w:lineRule="auto"/>
        <w:ind w:left="440" w:leftChars="200" w:right="304" w:rightChars="0" w:firstLine="438" w:firstLineChars="226"/>
        <w:jc w:val="both"/>
        <w:rPr>
          <w:color w:val="auto"/>
          <w:spacing w:val="-8"/>
          <w:sz w:val="21"/>
          <w:highlight w:val="none"/>
        </w:rPr>
      </w:pPr>
      <w:r>
        <w:rPr>
          <w:rFonts w:hint="eastAsia"/>
          <w:color w:val="auto"/>
          <w:spacing w:val="-8"/>
          <w:sz w:val="21"/>
          <w:highlight w:val="none"/>
          <w:lang w:eastAsia="zh-CN"/>
        </w:rPr>
        <w:t>主要工作内容包括</w:t>
      </w:r>
      <w:r>
        <w:rPr>
          <w:rFonts w:hint="eastAsia" w:ascii="Times New Roman" w:hAnsi="Times New Roman" w:cs="Times New Roman"/>
          <w:color w:val="auto"/>
          <w:kern w:val="2"/>
          <w:sz w:val="21"/>
          <w:szCs w:val="20"/>
          <w:highlight w:val="none"/>
          <w:lang w:val="en-US" w:eastAsia="zh-CN" w:bidi="ar-SA"/>
        </w:rPr>
        <w:t>三门县公路与运输管理中心所管辖的G228丹东线国道路面养护大中修、修复和完善该路段护栏、标志标线等沿线附属设施及其他不可预见项目（上级部门有统一安排的除外）</w:t>
      </w:r>
      <w:r>
        <w:rPr>
          <w:color w:val="auto"/>
          <w:spacing w:val="-8"/>
          <w:sz w:val="21"/>
          <w:highlight w:val="none"/>
        </w:rPr>
        <w:t>的</w:t>
      </w:r>
      <w:r>
        <w:rPr>
          <w:rFonts w:hint="eastAsia"/>
          <w:color w:val="auto"/>
          <w:spacing w:val="-8"/>
          <w:sz w:val="21"/>
          <w:highlight w:val="none"/>
          <w:lang w:eastAsia="zh-CN"/>
        </w:rPr>
        <w:t>路况勘察</w:t>
      </w:r>
      <w:r>
        <w:rPr>
          <w:rFonts w:hint="eastAsia"/>
          <w:color w:val="auto"/>
          <w:spacing w:val="-8"/>
          <w:sz w:val="21"/>
          <w:highlight w:val="none"/>
          <w:lang w:val="en-US" w:eastAsia="zh-CN"/>
        </w:rPr>
        <w:t>及检测</w:t>
      </w:r>
      <w:r>
        <w:rPr>
          <w:rFonts w:hint="eastAsia"/>
          <w:color w:val="auto"/>
          <w:spacing w:val="-8"/>
          <w:sz w:val="21"/>
          <w:highlight w:val="none"/>
          <w:lang w:eastAsia="zh-CN"/>
        </w:rPr>
        <w:t>、施工图设计、预算文件编制、施工招标用图纸、施工项目专用技术规范编制，后续服务等</w:t>
      </w:r>
      <w:r>
        <w:rPr>
          <w:color w:val="auto"/>
          <w:spacing w:val="-8"/>
          <w:sz w:val="21"/>
          <w:highlight w:val="none"/>
        </w:rPr>
        <w:t>全部工作。</w:t>
      </w:r>
    </w:p>
    <w:p>
      <w:pPr>
        <w:pStyle w:val="30"/>
        <w:numPr>
          <w:ilvl w:val="1"/>
          <w:numId w:val="2"/>
        </w:numPr>
        <w:tabs>
          <w:tab w:val="left" w:pos="1169"/>
        </w:tabs>
        <w:spacing w:before="101" w:after="0" w:line="338" w:lineRule="auto"/>
        <w:ind w:left="398" w:right="304" w:firstLine="420"/>
        <w:jc w:val="both"/>
        <w:outlineLvl w:val="2"/>
        <w:rPr>
          <w:rFonts w:eastAsia="宋体" w:cs="Times New Roman"/>
          <w:color w:val="auto"/>
          <w:sz w:val="21"/>
          <w:highlight w:val="none"/>
        </w:rPr>
      </w:pPr>
      <w:bookmarkStart w:id="16" w:name="_Toc5319"/>
      <w:bookmarkStart w:id="17" w:name="_Toc28955"/>
      <w:r>
        <w:rPr>
          <w:rFonts w:eastAsia="宋体" w:cs="Times New Roman"/>
          <w:color w:val="auto"/>
          <w:sz w:val="21"/>
          <w:highlight w:val="none"/>
        </w:rPr>
        <w:t>设计周期：</w:t>
      </w:r>
      <w:bookmarkEnd w:id="16"/>
      <w:bookmarkEnd w:id="17"/>
    </w:p>
    <w:p>
      <w:pPr>
        <w:pStyle w:val="30"/>
        <w:numPr>
          <w:ilvl w:val="0"/>
          <w:numId w:val="3"/>
        </w:numPr>
        <w:shd w:val="clear"/>
        <w:tabs>
          <w:tab w:val="left" w:pos="1360"/>
        </w:tabs>
        <w:spacing w:before="110" w:after="0" w:line="338" w:lineRule="auto"/>
        <w:ind w:left="398" w:right="409" w:firstLine="419"/>
        <w:jc w:val="both"/>
        <w:rPr>
          <w:color w:val="auto"/>
          <w:sz w:val="21"/>
          <w:highlight w:val="none"/>
        </w:rPr>
      </w:pPr>
      <w:r>
        <w:rPr>
          <w:color w:val="auto"/>
          <w:spacing w:val="-3"/>
          <w:w w:val="100"/>
          <w:sz w:val="21"/>
          <w:highlight w:val="none"/>
        </w:rPr>
        <w:t>一阶段设计（若遇技术复杂项目除外</w:t>
      </w:r>
      <w:r>
        <w:rPr>
          <w:color w:val="auto"/>
          <w:spacing w:val="-107"/>
          <w:w w:val="100"/>
          <w:sz w:val="21"/>
          <w:highlight w:val="none"/>
        </w:rPr>
        <w:t>）</w:t>
      </w:r>
      <w:r>
        <w:rPr>
          <w:color w:val="auto"/>
          <w:spacing w:val="-3"/>
          <w:w w:val="100"/>
          <w:sz w:val="21"/>
          <w:highlight w:val="none"/>
        </w:rPr>
        <w:t>：在收到招标人设计分项任务要</w:t>
      </w:r>
      <w:r>
        <w:rPr>
          <w:color w:val="auto"/>
          <w:spacing w:val="-3"/>
          <w:w w:val="100"/>
          <w:sz w:val="21"/>
          <w:highlight w:val="none"/>
          <w:shd w:val="clear"/>
        </w:rPr>
        <w:t>求后</w:t>
      </w:r>
      <w:r>
        <w:rPr>
          <w:rFonts w:hint="eastAsia" w:ascii="Arial"/>
          <w:color w:val="auto"/>
          <w:w w:val="100"/>
          <w:sz w:val="21"/>
          <w:highlight w:val="none"/>
          <w:shd w:val="clear" w:color="auto"/>
          <w:lang w:val="en-US" w:eastAsia="zh-CN"/>
        </w:rPr>
        <w:t>30</w:t>
      </w:r>
      <w:r>
        <w:rPr>
          <w:color w:val="auto"/>
          <w:spacing w:val="-3"/>
          <w:w w:val="100"/>
          <w:sz w:val="21"/>
          <w:highlight w:val="none"/>
          <w:shd w:val="clear" w:color="auto"/>
        </w:rPr>
        <w:t>天</w:t>
      </w:r>
      <w:r>
        <w:rPr>
          <w:color w:val="auto"/>
          <w:w w:val="100"/>
          <w:sz w:val="21"/>
          <w:highlight w:val="none"/>
          <w:shd w:val="clear"/>
        </w:rPr>
        <w:t>内，</w:t>
      </w:r>
      <w:r>
        <w:rPr>
          <w:color w:val="auto"/>
          <w:spacing w:val="-4"/>
          <w:sz w:val="21"/>
          <w:highlight w:val="none"/>
          <w:shd w:val="clear"/>
        </w:rPr>
        <w:t>向招</w:t>
      </w:r>
      <w:r>
        <w:rPr>
          <w:color w:val="auto"/>
          <w:spacing w:val="-4"/>
          <w:sz w:val="21"/>
          <w:highlight w:val="none"/>
        </w:rPr>
        <w:t>标人提交各分项工程一阶段设计的</w:t>
      </w:r>
      <w:r>
        <w:rPr>
          <w:rFonts w:hint="eastAsia"/>
          <w:color w:val="auto"/>
          <w:spacing w:val="-4"/>
          <w:sz w:val="21"/>
          <w:highlight w:val="none"/>
        </w:rPr>
        <w:t>路况</w:t>
      </w:r>
      <w:r>
        <w:rPr>
          <w:rFonts w:hint="eastAsia"/>
          <w:color w:val="auto"/>
          <w:spacing w:val="-4"/>
          <w:sz w:val="21"/>
          <w:highlight w:val="none"/>
          <w:lang w:eastAsia="zh-CN"/>
        </w:rPr>
        <w:t>检测</w:t>
      </w:r>
      <w:r>
        <w:rPr>
          <w:rFonts w:hint="eastAsia"/>
          <w:color w:val="auto"/>
          <w:spacing w:val="-4"/>
          <w:sz w:val="21"/>
          <w:highlight w:val="none"/>
        </w:rPr>
        <w:t>报告</w:t>
      </w:r>
      <w:r>
        <w:rPr>
          <w:rFonts w:hint="eastAsia"/>
          <w:color w:val="auto"/>
          <w:spacing w:val="-4"/>
          <w:sz w:val="21"/>
          <w:highlight w:val="none"/>
          <w:lang w:eastAsia="zh-CN"/>
        </w:rPr>
        <w:t>、</w:t>
      </w:r>
      <w:r>
        <w:rPr>
          <w:color w:val="auto"/>
          <w:spacing w:val="-4"/>
          <w:sz w:val="21"/>
          <w:highlight w:val="none"/>
        </w:rPr>
        <w:t>全部施工图、预算文件及相应施工技术规范</w:t>
      </w:r>
      <w:r>
        <w:rPr>
          <w:color w:val="auto"/>
          <w:spacing w:val="-2"/>
          <w:sz w:val="21"/>
          <w:highlight w:val="none"/>
        </w:rPr>
        <w:t>专用条款编制。</w:t>
      </w:r>
    </w:p>
    <w:p>
      <w:pPr>
        <w:pStyle w:val="30"/>
        <w:numPr>
          <w:ilvl w:val="0"/>
          <w:numId w:val="3"/>
        </w:numPr>
        <w:shd w:val="clear"/>
        <w:tabs>
          <w:tab w:val="left" w:pos="1360"/>
        </w:tabs>
        <w:spacing w:before="110" w:after="0" w:line="338" w:lineRule="auto"/>
        <w:ind w:left="398" w:right="409" w:firstLine="419"/>
        <w:jc w:val="both"/>
        <w:rPr>
          <w:rFonts w:eastAsia="宋体" w:cs="Times New Roman"/>
          <w:color w:val="auto"/>
          <w:spacing w:val="-3"/>
          <w:w w:val="100"/>
          <w:sz w:val="21"/>
          <w:highlight w:val="none"/>
        </w:rPr>
      </w:pPr>
      <w:r>
        <w:rPr>
          <w:rFonts w:eastAsia="宋体" w:cs="Times New Roman"/>
          <w:color w:val="auto"/>
          <w:spacing w:val="-3"/>
          <w:w w:val="100"/>
          <w:sz w:val="21"/>
          <w:highlight w:val="none"/>
        </w:rPr>
        <w:t>收到咨询单位</w:t>
      </w:r>
      <w:r>
        <w:rPr>
          <w:rFonts w:hint="default" w:eastAsia="宋体" w:cs="Times New Roman"/>
          <w:color w:val="auto"/>
          <w:spacing w:val="-3"/>
          <w:w w:val="100"/>
          <w:sz w:val="21"/>
          <w:highlight w:val="none"/>
          <w:lang w:eastAsia="zh-CN"/>
        </w:rPr>
        <w:t>（如有）</w:t>
      </w:r>
      <w:r>
        <w:rPr>
          <w:rFonts w:eastAsia="宋体" w:cs="Times New Roman"/>
          <w:color w:val="auto"/>
          <w:spacing w:val="-3"/>
          <w:w w:val="100"/>
          <w:sz w:val="21"/>
          <w:highlight w:val="none"/>
        </w:rPr>
        <w:t>、发包人和上级主管部门审查意见后</w:t>
      </w:r>
      <w:r>
        <w:rPr>
          <w:rFonts w:hint="eastAsia" w:eastAsia="宋体" w:cs="Times New Roman"/>
          <w:color w:val="auto"/>
          <w:spacing w:val="-3"/>
          <w:w w:val="100"/>
          <w:sz w:val="21"/>
          <w:highlight w:val="none"/>
          <w:lang w:val="en-US" w:eastAsia="zh-CN"/>
        </w:rPr>
        <w:t>20</w:t>
      </w:r>
      <w:r>
        <w:rPr>
          <w:rFonts w:eastAsia="宋体" w:cs="Times New Roman"/>
          <w:color w:val="auto"/>
          <w:spacing w:val="-3"/>
          <w:w w:val="100"/>
          <w:sz w:val="21"/>
          <w:highlight w:val="none"/>
        </w:rPr>
        <w:t>天内，对施工图设计文件进行修改完善，</w:t>
      </w:r>
      <w:r>
        <w:rPr>
          <w:rFonts w:hint="eastAsia" w:cs="Times New Roman"/>
          <w:color w:val="auto"/>
          <w:spacing w:val="-3"/>
          <w:w w:val="100"/>
          <w:sz w:val="21"/>
          <w:highlight w:val="none"/>
          <w:lang w:eastAsia="zh-CN"/>
        </w:rPr>
        <w:t>在</w:t>
      </w:r>
      <w:r>
        <w:rPr>
          <w:rFonts w:hint="eastAsia" w:cs="Times New Roman"/>
          <w:color w:val="auto"/>
          <w:spacing w:val="-3"/>
          <w:w w:val="100"/>
          <w:sz w:val="21"/>
          <w:highlight w:val="none"/>
          <w:lang w:val="en-US" w:eastAsia="zh-CN"/>
        </w:rPr>
        <w:t>1月底</w:t>
      </w:r>
      <w:r>
        <w:rPr>
          <w:rFonts w:hint="eastAsia" w:cs="Times New Roman"/>
          <w:color w:val="auto"/>
          <w:spacing w:val="-3"/>
          <w:w w:val="100"/>
          <w:sz w:val="21"/>
          <w:highlight w:val="none"/>
          <w:lang w:eastAsia="zh-CN"/>
        </w:rPr>
        <w:t>前</w:t>
      </w:r>
      <w:r>
        <w:rPr>
          <w:rFonts w:hint="eastAsia" w:cs="Times New Roman"/>
          <w:color w:val="auto"/>
          <w:spacing w:val="-3"/>
          <w:w w:val="100"/>
          <w:sz w:val="21"/>
          <w:highlight w:val="none"/>
          <w:lang w:val="en-US" w:eastAsia="zh-CN"/>
        </w:rPr>
        <w:t>完成</w:t>
      </w:r>
      <w:r>
        <w:rPr>
          <w:rFonts w:hint="eastAsia" w:cs="Times New Roman"/>
          <w:color w:val="auto"/>
          <w:spacing w:val="-3"/>
          <w:w w:val="100"/>
          <w:sz w:val="21"/>
          <w:highlight w:val="none"/>
          <w:lang w:eastAsia="zh-CN"/>
        </w:rPr>
        <w:t>施工图设计文件最终文本8份</w:t>
      </w:r>
      <w:r>
        <w:rPr>
          <w:rFonts w:eastAsia="宋体" w:cs="Times New Roman"/>
          <w:color w:val="auto"/>
          <w:spacing w:val="-3"/>
          <w:w w:val="100"/>
          <w:sz w:val="21"/>
          <w:highlight w:val="none"/>
        </w:rPr>
        <w:t>。</w:t>
      </w:r>
    </w:p>
    <w:p>
      <w:pPr>
        <w:pStyle w:val="30"/>
        <w:numPr>
          <w:ilvl w:val="0"/>
          <w:numId w:val="3"/>
        </w:numPr>
        <w:shd w:val="clear"/>
        <w:tabs>
          <w:tab w:val="left" w:pos="1360"/>
        </w:tabs>
        <w:spacing w:before="110" w:after="0" w:line="338" w:lineRule="auto"/>
        <w:ind w:left="398" w:right="409" w:firstLine="419"/>
        <w:jc w:val="both"/>
        <w:rPr>
          <w:rFonts w:eastAsia="宋体" w:cs="Times New Roman"/>
          <w:color w:val="auto"/>
          <w:spacing w:val="-3"/>
          <w:w w:val="100"/>
          <w:sz w:val="21"/>
          <w:highlight w:val="none"/>
        </w:rPr>
      </w:pPr>
      <w:r>
        <w:rPr>
          <w:rFonts w:eastAsia="宋体" w:cs="Times New Roman"/>
          <w:color w:val="auto"/>
          <w:spacing w:val="-3"/>
          <w:w w:val="100"/>
          <w:sz w:val="21"/>
          <w:highlight w:val="none"/>
        </w:rPr>
        <w:t>后续服务：从项目开工至竣工验收，缺陷责任期1年。</w:t>
      </w:r>
    </w:p>
    <w:p>
      <w:pPr>
        <w:pStyle w:val="13"/>
        <w:pageBreakBefore w:val="0"/>
        <w:numPr>
          <w:ilvl w:val="0"/>
          <w:numId w:val="2"/>
        </w:numPr>
        <w:shd w:val="clear"/>
        <w:tabs>
          <w:tab w:val="left" w:pos="720"/>
        </w:tabs>
        <w:kinsoku/>
        <w:wordWrap/>
        <w:overflowPunct/>
        <w:topLinePunct w:val="0"/>
        <w:autoSpaceDE/>
        <w:autoSpaceDN/>
        <w:bidi w:val="0"/>
        <w:adjustRightInd/>
        <w:snapToGrid/>
        <w:spacing w:before="201" w:after="0" w:line="339" w:lineRule="auto"/>
        <w:ind w:left="720" w:right="0" w:hanging="322"/>
        <w:jc w:val="both"/>
        <w:textAlignment w:val="auto"/>
        <w:outlineLvl w:val="1"/>
        <w:rPr>
          <w:color w:val="auto"/>
          <w:highlight w:val="none"/>
        </w:rPr>
      </w:pPr>
      <w:bookmarkStart w:id="18" w:name="3. 投标人资格要求"/>
      <w:bookmarkEnd w:id="18"/>
      <w:bookmarkStart w:id="19" w:name="_bookmark3"/>
      <w:bookmarkEnd w:id="19"/>
      <w:bookmarkStart w:id="20" w:name="_Toc7747"/>
      <w:bookmarkStart w:id="21" w:name="_Toc29592"/>
      <w:r>
        <w:rPr>
          <w:color w:val="auto"/>
          <w:highlight w:val="none"/>
        </w:rPr>
        <w:t>投标人资格要求</w:t>
      </w:r>
      <w:bookmarkEnd w:id="20"/>
      <w:bookmarkEnd w:id="21"/>
    </w:p>
    <w:p>
      <w:pPr>
        <w:pStyle w:val="30"/>
        <w:pageBreakBefore w:val="0"/>
        <w:numPr>
          <w:ilvl w:val="1"/>
          <w:numId w:val="2"/>
        </w:numPr>
        <w:shd w:val="clear"/>
        <w:tabs>
          <w:tab w:val="left" w:pos="1164"/>
        </w:tabs>
        <w:kinsoku/>
        <w:wordWrap/>
        <w:overflowPunct/>
        <w:topLinePunct w:val="0"/>
        <w:autoSpaceDE/>
        <w:autoSpaceDN/>
        <w:bidi w:val="0"/>
        <w:adjustRightInd/>
        <w:snapToGrid/>
        <w:spacing w:before="104" w:after="0" w:line="339" w:lineRule="auto"/>
        <w:ind w:left="398" w:right="410" w:firstLine="420"/>
        <w:jc w:val="both"/>
        <w:textAlignment w:val="auto"/>
        <w:rPr>
          <w:color w:val="auto"/>
          <w:sz w:val="21"/>
          <w:highlight w:val="none"/>
        </w:rPr>
      </w:pPr>
      <w:r>
        <w:rPr>
          <w:color w:val="auto"/>
          <w:spacing w:val="-5"/>
          <w:sz w:val="21"/>
          <w:highlight w:val="none"/>
        </w:rPr>
        <w:t>本次招标</w:t>
      </w:r>
      <w:r>
        <w:rPr>
          <w:color w:val="auto"/>
          <w:spacing w:val="-5"/>
          <w:sz w:val="21"/>
          <w:highlight w:val="none"/>
          <w:shd w:val="clear"/>
        </w:rPr>
        <w:t>要求投标人须具备独立法人资格，</w:t>
      </w:r>
      <w:r>
        <w:rPr>
          <w:rFonts w:hint="eastAsia"/>
          <w:color w:val="auto"/>
          <w:spacing w:val="-9"/>
          <w:sz w:val="21"/>
          <w:highlight w:val="none"/>
          <w:u w:val="single"/>
          <w:shd w:val="clear" w:color="auto"/>
          <w:lang w:eastAsia="zh-CN"/>
        </w:rPr>
        <w:t>工程设计综合甲级资质［或工程设计公路行业甲级资质或工程设计公路行业（公路）专业甲级资质］</w:t>
      </w:r>
      <w:r>
        <w:rPr>
          <w:color w:val="auto"/>
          <w:spacing w:val="-8"/>
          <w:sz w:val="21"/>
          <w:highlight w:val="none"/>
          <w:shd w:val="clear"/>
        </w:rPr>
        <w:t>，具有同类</w:t>
      </w:r>
      <w:r>
        <w:rPr>
          <w:color w:val="auto"/>
          <w:spacing w:val="-5"/>
          <w:sz w:val="21"/>
          <w:highlight w:val="none"/>
          <w:shd w:val="clear"/>
        </w:rPr>
        <w:t>工</w:t>
      </w:r>
      <w:r>
        <w:rPr>
          <w:color w:val="auto"/>
          <w:spacing w:val="-5"/>
          <w:sz w:val="21"/>
          <w:highlight w:val="none"/>
        </w:rPr>
        <w:t>程设计业绩，并在人员组成结构等方面具有相应的设计能力的单位均可参加本项目的投标。</w:t>
      </w:r>
    </w:p>
    <w:p>
      <w:pPr>
        <w:pStyle w:val="30"/>
        <w:pageBreakBefore w:val="0"/>
        <w:numPr>
          <w:ilvl w:val="1"/>
          <w:numId w:val="2"/>
        </w:numPr>
        <w:shd w:val="clear"/>
        <w:tabs>
          <w:tab w:val="left" w:pos="1164"/>
        </w:tabs>
        <w:kinsoku/>
        <w:wordWrap/>
        <w:overflowPunct/>
        <w:topLinePunct w:val="0"/>
        <w:autoSpaceDE/>
        <w:autoSpaceDN/>
        <w:bidi w:val="0"/>
        <w:adjustRightInd/>
        <w:snapToGrid/>
        <w:spacing w:before="104" w:after="0" w:line="339" w:lineRule="auto"/>
        <w:ind w:left="398" w:right="410" w:firstLine="420"/>
        <w:jc w:val="both"/>
        <w:textAlignment w:val="auto"/>
        <w:rPr>
          <w:rFonts w:eastAsia="宋体" w:cs="Times New Roman"/>
          <w:color w:val="auto"/>
          <w:spacing w:val="-5"/>
          <w:sz w:val="21"/>
          <w:highlight w:val="none"/>
          <w:shd w:val="clear"/>
        </w:rPr>
      </w:pPr>
      <w:bookmarkStart w:id="22" w:name="_Toc11651"/>
      <w:bookmarkStart w:id="23" w:name="_Toc9895"/>
      <w:r>
        <w:rPr>
          <w:rFonts w:eastAsia="宋体" w:cs="Times New Roman"/>
          <w:color w:val="auto"/>
          <w:spacing w:val="-5"/>
          <w:sz w:val="21"/>
          <w:highlight w:val="none"/>
          <w:shd w:val="clear"/>
        </w:rPr>
        <w:t>本次招标不接受联合体投标。</w:t>
      </w:r>
      <w:bookmarkEnd w:id="22"/>
      <w:bookmarkEnd w:id="23"/>
    </w:p>
    <w:p>
      <w:pPr>
        <w:pStyle w:val="30"/>
        <w:pageBreakBefore w:val="0"/>
        <w:numPr>
          <w:ilvl w:val="1"/>
          <w:numId w:val="2"/>
        </w:numPr>
        <w:tabs>
          <w:tab w:val="left" w:pos="1220"/>
        </w:tabs>
        <w:kinsoku/>
        <w:wordWrap/>
        <w:overflowPunct/>
        <w:topLinePunct w:val="0"/>
        <w:autoSpaceDE/>
        <w:autoSpaceDN/>
        <w:bidi w:val="0"/>
        <w:adjustRightInd/>
        <w:snapToGrid/>
        <w:spacing w:before="112" w:after="0" w:line="339" w:lineRule="auto"/>
        <w:ind w:left="398" w:right="409" w:firstLine="419"/>
        <w:jc w:val="both"/>
        <w:textAlignment w:val="auto"/>
        <w:rPr>
          <w:color w:val="auto"/>
          <w:sz w:val="21"/>
          <w:highlight w:val="none"/>
        </w:rPr>
      </w:pPr>
      <w:r>
        <w:rPr>
          <w:rFonts w:hint="eastAsia"/>
          <w:color w:val="auto"/>
          <w:sz w:val="21"/>
          <w:highlight w:val="none"/>
          <w:u w:val="single"/>
          <w:lang w:eastAsia="zh-CN"/>
        </w:rPr>
        <w:t>工程设计公路行业甲级资质或工程设计公路行业（公路）专业甲级资质</w:t>
      </w:r>
      <w:r>
        <w:rPr>
          <w:color w:val="auto"/>
          <w:sz w:val="21"/>
          <w:highlight w:val="none"/>
        </w:rPr>
        <w:t>的投标人应为列入</w:t>
      </w:r>
      <w:r>
        <w:rPr>
          <w:rFonts w:ascii="Arial" w:hAnsi="Arial" w:eastAsia="Arial"/>
          <w:color w:val="auto"/>
          <w:sz w:val="21"/>
          <w:highlight w:val="none"/>
        </w:rPr>
        <w:t>“</w:t>
      </w:r>
      <w:r>
        <w:rPr>
          <w:color w:val="auto"/>
          <w:sz w:val="21"/>
          <w:highlight w:val="none"/>
        </w:rPr>
        <w:t>全国公路建设市场信用信息管理系统</w:t>
      </w:r>
      <w:r>
        <w:rPr>
          <w:rFonts w:ascii="Arial" w:hAnsi="Arial" w:eastAsia="Arial"/>
          <w:color w:val="auto"/>
          <w:sz w:val="21"/>
          <w:highlight w:val="none"/>
        </w:rPr>
        <w:t>”</w:t>
      </w:r>
      <w:r>
        <w:rPr>
          <w:color w:val="auto"/>
          <w:sz w:val="21"/>
          <w:highlight w:val="none"/>
        </w:rPr>
        <w:t>中最新</w:t>
      </w:r>
      <w:r>
        <w:rPr>
          <w:color w:val="auto"/>
          <w:spacing w:val="-4"/>
          <w:sz w:val="21"/>
          <w:highlight w:val="none"/>
        </w:rPr>
        <w:t>公布的公路工程设计资质企业名录，且投标人名称与设计资质企业名录相符，对未列入最新公布的名</w:t>
      </w:r>
      <w:r>
        <w:rPr>
          <w:color w:val="auto"/>
          <w:spacing w:val="-3"/>
          <w:sz w:val="21"/>
          <w:highlight w:val="none"/>
        </w:rPr>
        <w:t>录或单位名称与名录不符的，资格审查将不予通过。</w:t>
      </w:r>
    </w:p>
    <w:p>
      <w:pPr>
        <w:pStyle w:val="13"/>
        <w:pageBreakBefore w:val="0"/>
        <w:numPr>
          <w:ilvl w:val="0"/>
          <w:numId w:val="2"/>
        </w:numPr>
        <w:tabs>
          <w:tab w:val="left" w:pos="720"/>
        </w:tabs>
        <w:kinsoku/>
        <w:wordWrap/>
        <w:overflowPunct/>
        <w:topLinePunct w:val="0"/>
        <w:autoSpaceDE/>
        <w:autoSpaceDN/>
        <w:bidi w:val="0"/>
        <w:adjustRightInd/>
        <w:snapToGrid/>
        <w:spacing w:before="93" w:after="0" w:line="339" w:lineRule="auto"/>
        <w:ind w:left="720" w:right="0" w:hanging="322"/>
        <w:jc w:val="both"/>
        <w:textAlignment w:val="auto"/>
        <w:outlineLvl w:val="1"/>
        <w:rPr>
          <w:color w:val="auto"/>
          <w:highlight w:val="none"/>
        </w:rPr>
      </w:pPr>
      <w:bookmarkStart w:id="24" w:name="4. 招标文件的获取"/>
      <w:bookmarkEnd w:id="24"/>
      <w:bookmarkStart w:id="25" w:name="_bookmark4"/>
      <w:bookmarkEnd w:id="25"/>
      <w:bookmarkStart w:id="26" w:name="_Toc27541"/>
      <w:bookmarkStart w:id="27" w:name="_Toc10906"/>
      <w:r>
        <w:rPr>
          <w:color w:val="auto"/>
          <w:highlight w:val="none"/>
        </w:rPr>
        <w:t>招标文件的获取</w:t>
      </w:r>
      <w:bookmarkEnd w:id="26"/>
      <w:bookmarkEnd w:id="27"/>
    </w:p>
    <w:p>
      <w:pPr>
        <w:pStyle w:val="30"/>
        <w:pageBreakBefore w:val="0"/>
        <w:numPr>
          <w:ilvl w:val="1"/>
          <w:numId w:val="2"/>
        </w:numPr>
        <w:tabs>
          <w:tab w:val="left" w:pos="1220"/>
        </w:tabs>
        <w:kinsoku/>
        <w:wordWrap/>
        <w:overflowPunct/>
        <w:topLinePunct w:val="0"/>
        <w:autoSpaceDE/>
        <w:autoSpaceDN/>
        <w:bidi w:val="0"/>
        <w:adjustRightInd/>
        <w:snapToGrid/>
        <w:spacing w:before="112" w:after="0" w:line="339" w:lineRule="auto"/>
        <w:ind w:left="398" w:right="409" w:firstLine="419"/>
        <w:jc w:val="both"/>
        <w:textAlignment w:val="auto"/>
        <w:rPr>
          <w:rFonts w:eastAsia="宋体" w:cs="Times New Roman"/>
          <w:color w:val="auto"/>
          <w:sz w:val="21"/>
          <w:highlight w:val="none"/>
        </w:rPr>
      </w:pPr>
      <w:r>
        <w:rPr>
          <w:rFonts w:eastAsia="宋体" w:cs="Times New Roman"/>
          <w:color w:val="auto"/>
          <w:sz w:val="21"/>
          <w:highlight w:val="none"/>
        </w:rPr>
        <w:t>本项目招标文件和补遗书（ 补充、澄清、修改文件） 以</w:t>
      </w:r>
      <w:r>
        <w:rPr>
          <w:rFonts w:hint="eastAsia" w:eastAsia="宋体" w:cs="Times New Roman"/>
          <w:color w:val="auto"/>
          <w:sz w:val="21"/>
          <w:highlight w:val="none"/>
        </w:rPr>
        <w:t>三门县工程建设电子交易平台</w:t>
      </w:r>
      <w:r>
        <w:rPr>
          <w:rFonts w:eastAsia="宋体" w:cs="Times New Roman"/>
          <w:color w:val="auto"/>
          <w:sz w:val="21"/>
          <w:highlight w:val="none"/>
        </w:rPr>
        <w:t xml:space="preserve"> </w:t>
      </w:r>
    </w:p>
    <w:p>
      <w:pPr>
        <w:pStyle w:val="30"/>
        <w:pageBreakBefore w:val="0"/>
        <w:numPr>
          <w:numId w:val="0"/>
        </w:numPr>
        <w:tabs>
          <w:tab w:val="left" w:pos="1220"/>
        </w:tabs>
        <w:kinsoku/>
        <w:wordWrap/>
        <w:overflowPunct/>
        <w:topLinePunct w:val="0"/>
        <w:autoSpaceDE/>
        <w:autoSpaceDN/>
        <w:bidi w:val="0"/>
        <w:adjustRightInd/>
        <w:snapToGrid/>
        <w:spacing w:before="112" w:after="0" w:line="339" w:lineRule="auto"/>
        <w:ind w:left="817" w:leftChars="0" w:right="409" w:rightChars="0"/>
        <w:jc w:val="both"/>
        <w:textAlignment w:val="auto"/>
        <w:rPr>
          <w:rFonts w:eastAsia="宋体" w:cs="Times New Roman"/>
          <w:color w:val="auto"/>
          <w:sz w:val="21"/>
          <w:highlight w:val="none"/>
        </w:rPr>
      </w:pPr>
      <w:r>
        <w:rPr>
          <w:rFonts w:hint="eastAsia" w:eastAsia="宋体" w:cs="Times New Roman"/>
          <w:color w:val="auto"/>
          <w:sz w:val="21"/>
          <w:highlight w:val="none"/>
        </w:rPr>
        <w:t>（网址：</w:t>
      </w:r>
      <w:r>
        <w:rPr>
          <w:rFonts w:hint="eastAsia" w:eastAsia="宋体" w:cs="Times New Roman"/>
          <w:color w:val="auto"/>
          <w:sz w:val="21"/>
          <w:highlight w:val="none"/>
        </w:rPr>
        <w:fldChar w:fldCharType="begin"/>
      </w:r>
      <w:r>
        <w:rPr>
          <w:rFonts w:hint="eastAsia" w:eastAsia="宋体" w:cs="Times New Roman"/>
          <w:color w:val="auto"/>
          <w:sz w:val="21"/>
          <w:highlight w:val="none"/>
        </w:rPr>
        <w:instrText xml:space="preserve"> HYPERLINK "https://gcjs.smztb.com）自行下载招标文件、施工图纸等招标资料。" </w:instrText>
      </w:r>
      <w:r>
        <w:rPr>
          <w:rFonts w:hint="eastAsia" w:eastAsia="宋体" w:cs="Times New Roman"/>
          <w:color w:val="auto"/>
          <w:sz w:val="21"/>
          <w:highlight w:val="none"/>
        </w:rPr>
        <w:fldChar w:fldCharType="separate"/>
      </w:r>
      <w:r>
        <w:rPr>
          <w:rFonts w:hint="eastAsia" w:eastAsia="宋体" w:cs="Times New Roman"/>
          <w:color w:val="auto"/>
          <w:sz w:val="21"/>
          <w:highlight w:val="none"/>
        </w:rPr>
        <w:t>http</w:t>
      </w:r>
      <w:r>
        <w:rPr>
          <w:rFonts w:hint="default" w:eastAsia="宋体" w:cs="Times New Roman"/>
          <w:color w:val="auto"/>
          <w:sz w:val="21"/>
          <w:highlight w:val="none"/>
        </w:rPr>
        <w:t>s</w:t>
      </w:r>
      <w:r>
        <w:rPr>
          <w:rFonts w:hint="eastAsia" w:eastAsia="宋体" w:cs="Times New Roman"/>
          <w:color w:val="auto"/>
          <w:sz w:val="21"/>
          <w:highlight w:val="none"/>
        </w:rPr>
        <w:t>://</w:t>
      </w:r>
      <w:r>
        <w:rPr>
          <w:rFonts w:hint="default" w:eastAsia="宋体" w:cs="Times New Roman"/>
          <w:color w:val="auto"/>
          <w:sz w:val="21"/>
          <w:highlight w:val="none"/>
        </w:rPr>
        <w:t>gcjs</w:t>
      </w:r>
      <w:r>
        <w:rPr>
          <w:rFonts w:hint="eastAsia" w:eastAsia="宋体" w:cs="Times New Roman"/>
          <w:color w:val="auto"/>
          <w:sz w:val="21"/>
          <w:highlight w:val="none"/>
        </w:rPr>
        <w:t>.smztb.com）自行下载招标文件等招标资料。</w:t>
      </w:r>
      <w:r>
        <w:rPr>
          <w:rFonts w:hint="eastAsia" w:eastAsia="宋体" w:cs="Times New Roman"/>
          <w:color w:val="auto"/>
          <w:sz w:val="21"/>
          <w:highlight w:val="none"/>
        </w:rPr>
        <w:fldChar w:fldCharType="end"/>
      </w:r>
    </w:p>
    <w:p>
      <w:pPr>
        <w:pStyle w:val="30"/>
        <w:pageBreakBefore w:val="0"/>
        <w:numPr>
          <w:ilvl w:val="1"/>
          <w:numId w:val="2"/>
        </w:numPr>
        <w:tabs>
          <w:tab w:val="left" w:pos="1220"/>
        </w:tabs>
        <w:kinsoku/>
        <w:wordWrap/>
        <w:overflowPunct/>
        <w:topLinePunct w:val="0"/>
        <w:autoSpaceDE/>
        <w:autoSpaceDN/>
        <w:bidi w:val="0"/>
        <w:adjustRightInd/>
        <w:snapToGrid/>
        <w:spacing w:before="112" w:after="0" w:line="339" w:lineRule="auto"/>
        <w:ind w:left="398" w:right="409" w:firstLine="419"/>
        <w:jc w:val="both"/>
        <w:textAlignment w:val="auto"/>
        <w:rPr>
          <w:rFonts w:eastAsia="宋体" w:cs="Times New Roman"/>
          <w:color w:val="auto"/>
          <w:spacing w:val="-4"/>
          <w:sz w:val="21"/>
          <w:highlight w:val="none"/>
        </w:rPr>
      </w:pPr>
      <w:bookmarkStart w:id="28" w:name="_Toc26878"/>
      <w:bookmarkStart w:id="29" w:name="_Toc6512"/>
      <w:r>
        <w:rPr>
          <w:rFonts w:hint="eastAsia" w:eastAsia="宋体" w:cs="Times New Roman"/>
          <w:color w:val="auto"/>
          <w:spacing w:val="-4"/>
          <w:sz w:val="21"/>
          <w:highlight w:val="none"/>
        </w:rPr>
        <w:t>投标人网上免费下载招标文件，不收取任何工本费。</w:t>
      </w:r>
      <w:bookmarkEnd w:id="28"/>
      <w:bookmarkEnd w:id="29"/>
    </w:p>
    <w:p>
      <w:pPr>
        <w:pStyle w:val="30"/>
        <w:pageBreakBefore w:val="0"/>
        <w:numPr>
          <w:ilvl w:val="1"/>
          <w:numId w:val="2"/>
        </w:numPr>
        <w:tabs>
          <w:tab w:val="left" w:pos="1220"/>
        </w:tabs>
        <w:kinsoku/>
        <w:wordWrap/>
        <w:overflowPunct/>
        <w:topLinePunct w:val="0"/>
        <w:autoSpaceDE/>
        <w:autoSpaceDN/>
        <w:bidi w:val="0"/>
        <w:adjustRightInd/>
        <w:snapToGrid/>
        <w:spacing w:before="112" w:after="0" w:line="339" w:lineRule="auto"/>
        <w:ind w:left="398" w:right="409" w:firstLine="419"/>
        <w:jc w:val="both"/>
        <w:textAlignment w:val="auto"/>
        <w:rPr>
          <w:rFonts w:hint="eastAsia" w:eastAsia="宋体" w:cs="Times New Roman"/>
          <w:color w:val="auto"/>
          <w:spacing w:val="-4"/>
          <w:sz w:val="21"/>
          <w:highlight w:val="none"/>
        </w:rPr>
      </w:pPr>
      <w:r>
        <w:rPr>
          <w:rFonts w:hint="eastAsia" w:eastAsia="宋体" w:cs="Times New Roman"/>
          <w:color w:val="auto"/>
          <w:spacing w:val="-4"/>
          <w:sz w:val="21"/>
          <w:highlight w:val="none"/>
        </w:rPr>
        <w:t>本次招标采用“杭州品茗信息技术有限公司”提供的全流程招、投、开、评标工具。未在“三门县工程建设电子交易平台”注册及未领取CA锁的单位，请参照《三门县公共资源电子交易平台企业网上注册登记操作示意卡》自行网上注册并核验通过，见三门县公共资源交易网“下载中心”。CA锁办理请前往“三门县公共资源交易专用数字证书用户自助申报系统”自助办理（网址：</w:t>
      </w:r>
      <w:r>
        <w:rPr>
          <w:rFonts w:eastAsia="宋体" w:cs="Times New Roman"/>
          <w:color w:val="auto"/>
          <w:spacing w:val="-4"/>
          <w:sz w:val="21"/>
          <w:highlight w:val="none"/>
        </w:rPr>
        <w:fldChar w:fldCharType="begin"/>
      </w:r>
      <w:r>
        <w:rPr>
          <w:rFonts w:eastAsia="宋体" w:cs="Times New Roman"/>
          <w:color w:val="auto"/>
          <w:spacing w:val="-4"/>
          <w:sz w:val="21"/>
          <w:highlight w:val="none"/>
        </w:rPr>
        <w:instrText xml:space="preserve"> HYPERLINK "</w:instrText>
      </w:r>
      <w:r>
        <w:rPr>
          <w:rFonts w:hint="eastAsia" w:eastAsia="宋体" w:cs="Times New Roman"/>
          <w:color w:val="auto"/>
          <w:spacing w:val="-4"/>
          <w:sz w:val="21"/>
          <w:highlight w:val="none"/>
        </w:rPr>
        <w:instrText xml:space="preserve">http://www.tseal.cn/tcloud/smxztb</w:instrText>
      </w:r>
      <w:r>
        <w:rPr>
          <w:rFonts w:eastAsia="宋体" w:cs="Times New Roman"/>
          <w:color w:val="auto"/>
          <w:spacing w:val="-4"/>
          <w:sz w:val="21"/>
          <w:highlight w:val="none"/>
        </w:rPr>
        <w:instrText xml:space="preserve">" </w:instrText>
      </w:r>
      <w:r>
        <w:rPr>
          <w:rFonts w:eastAsia="宋体" w:cs="Times New Roman"/>
          <w:color w:val="auto"/>
          <w:spacing w:val="-4"/>
          <w:sz w:val="21"/>
          <w:highlight w:val="none"/>
        </w:rPr>
        <w:fldChar w:fldCharType="separate"/>
      </w:r>
      <w:r>
        <w:rPr>
          <w:rFonts w:hint="eastAsia" w:eastAsia="宋体" w:cs="Times New Roman"/>
          <w:color w:val="auto"/>
          <w:spacing w:val="-4"/>
          <w:sz w:val="21"/>
          <w:highlight w:val="none"/>
        </w:rPr>
        <w:t>http://www.tseal.cn/tcloud/smxztb</w:t>
      </w:r>
      <w:r>
        <w:rPr>
          <w:rFonts w:eastAsia="宋体" w:cs="Times New Roman"/>
          <w:color w:val="auto"/>
          <w:spacing w:val="-4"/>
          <w:sz w:val="21"/>
          <w:highlight w:val="none"/>
        </w:rPr>
        <w:fldChar w:fldCharType="end"/>
      </w:r>
      <w:r>
        <w:rPr>
          <w:rFonts w:hint="eastAsia" w:eastAsia="宋体" w:cs="Times New Roman"/>
          <w:color w:val="auto"/>
          <w:spacing w:val="-4"/>
          <w:sz w:val="21"/>
          <w:highlight w:val="none"/>
        </w:rPr>
        <w:t>）。</w:t>
      </w:r>
    </w:p>
    <w:p>
      <w:pPr>
        <w:pStyle w:val="13"/>
        <w:pageBreakBefore w:val="0"/>
        <w:numPr>
          <w:ilvl w:val="0"/>
          <w:numId w:val="2"/>
        </w:numPr>
        <w:tabs>
          <w:tab w:val="left" w:pos="720"/>
        </w:tabs>
        <w:kinsoku/>
        <w:wordWrap/>
        <w:overflowPunct/>
        <w:topLinePunct w:val="0"/>
        <w:autoSpaceDE/>
        <w:autoSpaceDN/>
        <w:bidi w:val="0"/>
        <w:adjustRightInd/>
        <w:snapToGrid/>
        <w:spacing w:before="60" w:after="0" w:line="339" w:lineRule="auto"/>
        <w:ind w:left="720" w:right="0" w:hanging="322"/>
        <w:jc w:val="both"/>
        <w:textAlignment w:val="auto"/>
        <w:outlineLvl w:val="1"/>
        <w:rPr>
          <w:color w:val="auto"/>
          <w:highlight w:val="none"/>
        </w:rPr>
      </w:pPr>
      <w:bookmarkStart w:id="30" w:name="5. 投标文件的递交及相关事宜"/>
      <w:bookmarkEnd w:id="30"/>
      <w:bookmarkStart w:id="31" w:name="_bookmark5"/>
      <w:bookmarkEnd w:id="31"/>
      <w:bookmarkStart w:id="32" w:name="_Toc10823"/>
      <w:bookmarkStart w:id="33" w:name="_Toc5407"/>
      <w:r>
        <w:rPr>
          <w:color w:val="auto"/>
          <w:highlight w:val="none"/>
        </w:rPr>
        <w:t>投标文件的递交及相关事宜</w:t>
      </w:r>
      <w:bookmarkEnd w:id="32"/>
      <w:bookmarkEnd w:id="33"/>
    </w:p>
    <w:p>
      <w:pPr>
        <w:pStyle w:val="30"/>
        <w:pageBreakBefore w:val="0"/>
        <w:numPr>
          <w:ilvl w:val="1"/>
          <w:numId w:val="2"/>
        </w:numPr>
        <w:tabs>
          <w:tab w:val="left" w:pos="1164"/>
        </w:tabs>
        <w:kinsoku/>
        <w:wordWrap/>
        <w:overflowPunct/>
        <w:topLinePunct w:val="0"/>
        <w:autoSpaceDE/>
        <w:autoSpaceDN/>
        <w:bidi w:val="0"/>
        <w:adjustRightInd/>
        <w:snapToGrid/>
        <w:spacing w:before="110" w:after="0" w:line="339" w:lineRule="auto"/>
        <w:ind w:left="398" w:right="410" w:firstLine="420"/>
        <w:jc w:val="both"/>
        <w:textAlignment w:val="auto"/>
        <w:rPr>
          <w:rFonts w:hint="eastAsia" w:eastAsia="宋体" w:cs="Times New Roman"/>
          <w:color w:val="auto"/>
          <w:sz w:val="21"/>
          <w:highlight w:val="none"/>
        </w:rPr>
      </w:pPr>
      <w:r>
        <w:rPr>
          <w:rFonts w:hint="eastAsia" w:eastAsia="宋体" w:cs="Times New Roman"/>
          <w:color w:val="auto"/>
          <w:sz w:val="21"/>
          <w:highlight w:val="none"/>
        </w:rPr>
        <w:t>招标人不组织进行工程现场踏勘和召开投标预备会，如投标人需要可自行安排。</w:t>
      </w:r>
    </w:p>
    <w:p>
      <w:pPr>
        <w:pStyle w:val="30"/>
        <w:pageBreakBefore w:val="0"/>
        <w:numPr>
          <w:ilvl w:val="1"/>
          <w:numId w:val="2"/>
        </w:numPr>
        <w:tabs>
          <w:tab w:val="left" w:pos="1164"/>
        </w:tabs>
        <w:kinsoku/>
        <w:wordWrap/>
        <w:overflowPunct/>
        <w:topLinePunct w:val="0"/>
        <w:autoSpaceDE/>
        <w:autoSpaceDN/>
        <w:bidi w:val="0"/>
        <w:adjustRightInd/>
        <w:snapToGrid/>
        <w:spacing w:before="110" w:after="0" w:line="339" w:lineRule="auto"/>
        <w:ind w:left="398" w:right="410" w:firstLine="420"/>
        <w:jc w:val="both"/>
        <w:textAlignment w:val="auto"/>
        <w:rPr>
          <w:rFonts w:ascii="宋体" w:hAnsi="宋体" w:cs="宋体"/>
          <w:color w:val="auto"/>
          <w:kern w:val="0"/>
          <w:szCs w:val="21"/>
          <w:highlight w:val="none"/>
        </w:rPr>
      </w:pPr>
      <w:r>
        <w:rPr>
          <w:rFonts w:hint="eastAsia" w:eastAsia="宋体" w:cs="Times New Roman"/>
          <w:color w:val="auto"/>
          <w:sz w:val="21"/>
          <w:highlight w:val="none"/>
        </w:rPr>
        <w:t>投标文件递</w:t>
      </w:r>
      <w:r>
        <w:rPr>
          <w:rFonts w:hint="eastAsia"/>
          <w:color w:val="auto"/>
          <w:sz w:val="21"/>
          <w:highlight w:val="none"/>
        </w:rPr>
        <w:t>交的截止时间（投标截止时间，下同）详见“</w:t>
      </w:r>
      <w:r>
        <w:rPr>
          <w:rFonts w:hint="eastAsia"/>
          <w:color w:val="auto"/>
          <w:sz w:val="21"/>
          <w:highlight w:val="none"/>
          <w:lang w:eastAsia="zh-CN"/>
        </w:rPr>
        <w:t>三门县公共资源交易网</w:t>
      </w:r>
      <w:r>
        <w:rPr>
          <w:rFonts w:hint="eastAsia"/>
          <w:color w:val="auto"/>
          <w:sz w:val="21"/>
          <w:highlight w:val="none"/>
        </w:rPr>
        <w:t>”发布的招标公告。</w:t>
      </w:r>
      <w:bookmarkStart w:id="34" w:name="6. 发布公告的媒介"/>
      <w:bookmarkEnd w:id="34"/>
      <w:bookmarkStart w:id="35" w:name="_bookmark6"/>
      <w:bookmarkEnd w:id="35"/>
      <w:bookmarkStart w:id="36" w:name="_Toc5766"/>
      <w:r>
        <w:rPr>
          <w:rFonts w:hint="eastAsia"/>
          <w:color w:val="auto"/>
          <w:sz w:val="21"/>
          <w:highlight w:val="none"/>
        </w:rPr>
        <w:t>投标文件递交方式：</w:t>
      </w:r>
      <w:r>
        <w:rPr>
          <w:color w:val="auto"/>
          <w:szCs w:val="21"/>
          <w:highlight w:val="none"/>
        </w:rPr>
        <w:t>电子投标文件采用网上递交的方式，上传至“三门县工程建设电子交易平台”。</w:t>
      </w:r>
      <w:r>
        <w:rPr>
          <w:rFonts w:hint="eastAsia"/>
          <w:color w:val="auto"/>
          <w:sz w:val="21"/>
          <w:highlight w:val="none"/>
        </w:rPr>
        <w:t>本项目无须提供纸质投标文件，投标人的法定代表人或其委托代理人无需到开标现场。</w:t>
      </w:r>
      <w:r>
        <w:rPr>
          <w:rFonts w:hint="eastAsia" w:ascii="宋体" w:hAnsi="宋体" w:cs="宋体"/>
          <w:color w:val="auto"/>
          <w:kern w:val="0"/>
          <w:szCs w:val="21"/>
          <w:highlight w:val="none"/>
        </w:rPr>
        <w:t>投标人无需到开标现场，</w:t>
      </w:r>
      <w:r>
        <w:rPr>
          <w:rFonts w:ascii="宋体" w:hAnsi="宋体" w:cs="宋体"/>
          <w:color w:val="auto"/>
          <w:kern w:val="0"/>
          <w:szCs w:val="21"/>
          <w:highlight w:val="none"/>
        </w:rPr>
        <w:t>不见面开标大厅的登录方式为：三门县公共资源交易网—便捷导航—不见面开标大厅</w:t>
      </w:r>
      <w:r>
        <w:rPr>
          <w:rFonts w:hint="eastAsia" w:ascii="宋体" w:hAnsi="宋体" w:cs="宋体"/>
          <w:color w:val="auto"/>
          <w:kern w:val="0"/>
          <w:szCs w:val="21"/>
          <w:highlight w:val="none"/>
        </w:rPr>
        <w:t>。</w:t>
      </w:r>
    </w:p>
    <w:p>
      <w:pPr>
        <w:pStyle w:val="30"/>
        <w:pageBreakBefore w:val="0"/>
        <w:numPr>
          <w:ilvl w:val="1"/>
          <w:numId w:val="2"/>
        </w:numPr>
        <w:tabs>
          <w:tab w:val="left" w:pos="1164"/>
        </w:tabs>
        <w:kinsoku/>
        <w:wordWrap/>
        <w:overflowPunct/>
        <w:topLinePunct w:val="0"/>
        <w:autoSpaceDE/>
        <w:autoSpaceDN/>
        <w:bidi w:val="0"/>
        <w:adjustRightInd/>
        <w:snapToGrid/>
        <w:spacing w:before="110" w:after="0" w:line="339" w:lineRule="auto"/>
        <w:ind w:left="398" w:right="410" w:firstLine="420"/>
        <w:jc w:val="both"/>
        <w:textAlignment w:val="auto"/>
        <w:rPr>
          <w:rFonts w:hint="eastAsia"/>
          <w:color w:val="auto"/>
          <w:sz w:val="21"/>
          <w:highlight w:val="none"/>
        </w:rPr>
      </w:pPr>
      <w:r>
        <w:rPr>
          <w:rFonts w:hint="eastAsia"/>
          <w:color w:val="auto"/>
          <w:sz w:val="21"/>
          <w:highlight w:val="none"/>
        </w:rPr>
        <w:t>超过投标截止时间未完成上传的投标文件，交易平台将拒收。</w:t>
      </w:r>
    </w:p>
    <w:p>
      <w:pPr>
        <w:pStyle w:val="13"/>
        <w:numPr>
          <w:ilvl w:val="0"/>
          <w:numId w:val="2"/>
        </w:numPr>
        <w:tabs>
          <w:tab w:val="left" w:pos="720"/>
        </w:tabs>
        <w:spacing w:before="60" w:after="0" w:line="240" w:lineRule="auto"/>
        <w:ind w:left="720" w:right="0" w:hanging="322"/>
        <w:jc w:val="both"/>
        <w:outlineLvl w:val="1"/>
        <w:rPr>
          <w:rFonts w:hint="eastAsia"/>
          <w:color w:val="auto"/>
          <w:highlight w:val="none"/>
        </w:rPr>
      </w:pPr>
      <w:bookmarkStart w:id="37" w:name="_Toc22714"/>
      <w:r>
        <w:rPr>
          <w:rFonts w:hint="eastAsia"/>
          <w:color w:val="auto"/>
          <w:highlight w:val="none"/>
        </w:rPr>
        <w:t>发布公告的媒介</w:t>
      </w:r>
      <w:bookmarkEnd w:id="36"/>
      <w:bookmarkEnd w:id="37"/>
    </w:p>
    <w:p>
      <w:pPr>
        <w:pStyle w:val="13"/>
        <w:numPr>
          <w:ilvl w:val="0"/>
          <w:numId w:val="0"/>
        </w:numPr>
        <w:tabs>
          <w:tab w:val="left" w:pos="720"/>
        </w:tabs>
        <w:spacing w:before="60" w:after="0" w:line="240" w:lineRule="auto"/>
        <w:ind w:left="398" w:leftChars="0" w:right="0" w:rightChars="0" w:firstLine="420" w:firstLineChars="200"/>
        <w:jc w:val="both"/>
        <w:outlineLvl w:val="1"/>
        <w:rPr>
          <w:rFonts w:hint="eastAsia" w:ascii="宋体" w:hAnsi="宋体" w:eastAsia="宋体" w:cs="宋体"/>
          <w:b w:val="0"/>
          <w:bCs w:val="0"/>
          <w:color w:val="auto"/>
          <w:sz w:val="21"/>
          <w:szCs w:val="22"/>
          <w:highlight w:val="none"/>
          <w:lang w:val="zh-CN" w:eastAsia="zh-CN" w:bidi="zh-CN"/>
        </w:rPr>
      </w:pPr>
      <w:r>
        <w:rPr>
          <w:rFonts w:hint="eastAsia" w:ascii="宋体" w:hAnsi="宋体" w:eastAsia="宋体" w:cs="宋体"/>
          <w:b w:val="0"/>
          <w:bCs w:val="0"/>
          <w:color w:val="auto"/>
          <w:sz w:val="21"/>
          <w:szCs w:val="22"/>
          <w:highlight w:val="none"/>
          <w:lang w:val="zh-CN" w:eastAsia="zh-CN" w:bidi="zh-CN"/>
        </w:rPr>
        <w:t>本次招标公告同时在三门县公共资源交易网（网址：http://www.sanmen.gov.cn/col/col1229610743/ind</w:t>
      </w:r>
      <w:bookmarkStart w:id="274" w:name="_GoBack"/>
      <w:bookmarkEnd w:id="274"/>
      <w:r>
        <w:rPr>
          <w:rFonts w:hint="eastAsia" w:ascii="宋体" w:hAnsi="宋体" w:eastAsia="宋体" w:cs="宋体"/>
          <w:b w:val="0"/>
          <w:bCs w:val="0"/>
          <w:color w:val="auto"/>
          <w:sz w:val="21"/>
          <w:szCs w:val="22"/>
          <w:highlight w:val="none"/>
          <w:lang w:val="zh-CN" w:eastAsia="zh-CN" w:bidi="zh-CN"/>
        </w:rPr>
        <w:t>ex.html）和浙江省公共资源交易服务平台https://ggzy.zj.gov.cn上发布</w:t>
      </w:r>
    </w:p>
    <w:p>
      <w:pPr>
        <w:pStyle w:val="13"/>
        <w:numPr>
          <w:ilvl w:val="0"/>
          <w:numId w:val="2"/>
        </w:numPr>
        <w:tabs>
          <w:tab w:val="left" w:pos="720"/>
        </w:tabs>
        <w:spacing w:before="201" w:after="0" w:line="240" w:lineRule="auto"/>
        <w:ind w:left="720" w:right="0" w:hanging="322"/>
        <w:jc w:val="both"/>
        <w:outlineLvl w:val="1"/>
        <w:rPr>
          <w:rFonts w:ascii="宋体" w:hAnsi="宋体" w:eastAsia="宋体" w:cs="宋体"/>
          <w:color w:val="auto"/>
          <w:highlight w:val="none"/>
        </w:rPr>
      </w:pPr>
      <w:bookmarkStart w:id="38" w:name="7. 联系方式"/>
      <w:bookmarkEnd w:id="38"/>
      <w:bookmarkStart w:id="39" w:name="_bookmark7"/>
      <w:bookmarkEnd w:id="39"/>
      <w:bookmarkStart w:id="40" w:name="_Toc27946"/>
      <w:bookmarkStart w:id="41" w:name="_Toc6774"/>
      <w:r>
        <w:rPr>
          <w:rFonts w:ascii="宋体" w:hAnsi="宋体" w:eastAsia="宋体" w:cs="宋体"/>
          <w:color w:val="auto"/>
          <w:highlight w:val="none"/>
        </w:rPr>
        <w:t>联系方式</w:t>
      </w:r>
      <w:bookmarkEnd w:id="40"/>
      <w:bookmarkEnd w:id="41"/>
    </w:p>
    <w:p>
      <w:pPr>
        <w:pStyle w:val="2"/>
        <w:spacing w:before="102"/>
        <w:ind w:left="818"/>
        <w:rPr>
          <w:rFonts w:hint="eastAsia" w:ascii="宋体" w:hAnsi="宋体" w:eastAsia="宋体" w:cs="宋体"/>
          <w:color w:val="auto"/>
          <w:highlight w:val="none"/>
          <w:lang w:val="zh-CN" w:eastAsia="zh-CN"/>
        </w:rPr>
      </w:pPr>
      <w:r>
        <w:rPr>
          <w:rFonts w:ascii="宋体" w:hAnsi="宋体" w:eastAsia="宋体" w:cs="宋体"/>
          <w:color w:val="auto"/>
          <w:highlight w:val="none"/>
          <w:lang w:val="zh-CN" w:eastAsia="zh-CN"/>
        </w:rPr>
        <w:t>招标人：</w:t>
      </w:r>
      <w:r>
        <w:rPr>
          <w:rFonts w:hint="eastAsia" w:cs="宋体"/>
          <w:color w:val="auto"/>
          <w:highlight w:val="none"/>
          <w:lang w:val="zh-CN" w:eastAsia="zh-CN"/>
        </w:rPr>
        <w:t>三门县公路与运输管理中心</w:t>
      </w:r>
    </w:p>
    <w:p>
      <w:pPr>
        <w:pStyle w:val="2"/>
        <w:spacing w:before="102"/>
        <w:ind w:left="818"/>
        <w:rPr>
          <w:rFonts w:hint="default" w:ascii="宋体" w:hAnsi="宋体" w:eastAsia="宋体" w:cs="宋体"/>
          <w:color w:val="auto"/>
          <w:highlight w:val="none"/>
          <w:lang w:val="en-US" w:eastAsia="zh-CN"/>
        </w:rPr>
      </w:pPr>
      <w:r>
        <w:rPr>
          <w:rFonts w:ascii="宋体" w:hAnsi="宋体" w:eastAsia="宋体" w:cs="宋体"/>
          <w:color w:val="auto"/>
          <w:highlight w:val="none"/>
          <w:lang w:val="zh-CN" w:eastAsia="zh-CN"/>
        </w:rPr>
        <w:t>地</w:t>
      </w:r>
      <w:r>
        <w:rPr>
          <w:rFonts w:ascii="宋体" w:hAnsi="宋体" w:eastAsia="宋体" w:cs="宋体"/>
          <w:color w:val="auto"/>
          <w:highlight w:val="none"/>
          <w:lang w:val="zh-CN" w:eastAsia="zh-CN"/>
        </w:rPr>
        <w:tab/>
      </w:r>
      <w:r>
        <w:rPr>
          <w:rFonts w:ascii="宋体" w:hAnsi="宋体" w:eastAsia="宋体" w:cs="宋体"/>
          <w:color w:val="auto"/>
          <w:highlight w:val="none"/>
          <w:lang w:val="zh-CN" w:eastAsia="zh-CN"/>
        </w:rPr>
        <w:t>址：</w:t>
      </w:r>
      <w:r>
        <w:rPr>
          <w:rFonts w:hint="eastAsia" w:cs="宋体"/>
          <w:color w:val="auto"/>
          <w:highlight w:val="none"/>
          <w:lang w:val="zh-CN" w:eastAsia="zh-CN"/>
        </w:rPr>
        <w:t>三门县海游街道广场路</w:t>
      </w:r>
      <w:r>
        <w:rPr>
          <w:rFonts w:hint="eastAsia" w:cs="宋体"/>
          <w:color w:val="auto"/>
          <w:highlight w:val="none"/>
          <w:lang w:val="en-US" w:eastAsia="zh-CN"/>
        </w:rPr>
        <w:t>22号交通大楼</w:t>
      </w:r>
    </w:p>
    <w:p>
      <w:pPr>
        <w:pStyle w:val="2"/>
        <w:spacing w:before="102"/>
        <w:ind w:left="818"/>
        <w:rPr>
          <w:rFonts w:ascii="宋体" w:hAnsi="宋体" w:eastAsia="宋体" w:cs="宋体"/>
          <w:color w:val="auto"/>
          <w:highlight w:val="none"/>
          <w:lang w:val="zh-CN" w:eastAsia="zh-CN"/>
        </w:rPr>
      </w:pPr>
      <w:r>
        <w:rPr>
          <w:rFonts w:ascii="宋体" w:hAnsi="宋体" w:eastAsia="宋体" w:cs="宋体"/>
          <w:color w:val="auto"/>
          <w:highlight w:val="none"/>
          <w:lang w:val="zh-CN" w:eastAsia="zh-CN"/>
        </w:rPr>
        <w:t>联</w:t>
      </w:r>
      <w:r>
        <w:rPr>
          <w:rFonts w:hint="eastAsia" w:ascii="宋体" w:hAnsi="宋体" w:eastAsia="宋体" w:cs="宋体"/>
          <w:color w:val="auto"/>
          <w:highlight w:val="none"/>
          <w:lang w:val="en-US" w:eastAsia="zh-CN"/>
        </w:rPr>
        <w:t xml:space="preserve"> </w:t>
      </w:r>
      <w:r>
        <w:rPr>
          <w:rFonts w:ascii="宋体" w:hAnsi="宋体" w:eastAsia="宋体" w:cs="宋体"/>
          <w:color w:val="auto"/>
          <w:highlight w:val="none"/>
          <w:lang w:val="zh-CN" w:eastAsia="zh-CN"/>
        </w:rPr>
        <w:t>系</w:t>
      </w:r>
      <w:r>
        <w:rPr>
          <w:rFonts w:hint="eastAsia" w:ascii="宋体" w:hAnsi="宋体" w:eastAsia="宋体" w:cs="宋体"/>
          <w:color w:val="auto"/>
          <w:highlight w:val="none"/>
          <w:lang w:val="en-US" w:eastAsia="zh-CN"/>
        </w:rPr>
        <w:t xml:space="preserve"> </w:t>
      </w:r>
      <w:r>
        <w:rPr>
          <w:rFonts w:ascii="宋体" w:hAnsi="宋体" w:eastAsia="宋体" w:cs="宋体"/>
          <w:color w:val="auto"/>
          <w:highlight w:val="none"/>
          <w:lang w:val="zh-CN" w:eastAsia="zh-CN"/>
        </w:rPr>
        <w:t>人：</w:t>
      </w:r>
      <w:r>
        <w:rPr>
          <w:rFonts w:hint="eastAsia" w:cs="宋体"/>
          <w:color w:val="auto"/>
          <w:highlight w:val="none"/>
          <w:lang w:val="zh-CN" w:eastAsia="zh-CN"/>
        </w:rPr>
        <w:t>王群</w:t>
      </w:r>
    </w:p>
    <w:p>
      <w:pPr>
        <w:pStyle w:val="2"/>
        <w:spacing w:before="102"/>
        <w:ind w:left="818"/>
        <w:rPr>
          <w:rFonts w:hint="default" w:ascii="宋体" w:hAnsi="宋体" w:eastAsia="宋体" w:cs="宋体"/>
          <w:color w:val="auto"/>
          <w:highlight w:val="none"/>
          <w:lang w:val="en-US" w:eastAsia="zh-CN"/>
        </w:rPr>
      </w:pPr>
      <w:r>
        <w:rPr>
          <w:rFonts w:ascii="宋体" w:hAnsi="宋体" w:eastAsia="宋体" w:cs="宋体"/>
          <w:color w:val="auto"/>
          <w:highlight w:val="none"/>
          <w:lang w:val="zh-CN" w:eastAsia="zh-CN"/>
        </w:rPr>
        <w:t>电</w:t>
      </w:r>
      <w:r>
        <w:rPr>
          <w:rFonts w:ascii="宋体" w:hAnsi="宋体" w:eastAsia="宋体" w:cs="宋体"/>
          <w:color w:val="auto"/>
          <w:highlight w:val="none"/>
          <w:lang w:val="zh-CN" w:eastAsia="zh-CN"/>
        </w:rPr>
        <w:tab/>
      </w:r>
      <w:r>
        <w:rPr>
          <w:rFonts w:ascii="宋体" w:hAnsi="宋体" w:eastAsia="宋体" w:cs="宋体"/>
          <w:color w:val="auto"/>
          <w:highlight w:val="none"/>
          <w:lang w:val="zh-CN" w:eastAsia="zh-CN"/>
        </w:rPr>
        <w:t>话：</w:t>
      </w:r>
      <w:r>
        <w:rPr>
          <w:rFonts w:hint="eastAsia"/>
          <w:color w:val="auto"/>
          <w:highlight w:val="none"/>
          <w:lang w:val="en-US" w:eastAsia="zh-CN"/>
        </w:rPr>
        <w:t>0576-83515018</w:t>
      </w:r>
    </w:p>
    <w:p>
      <w:pPr>
        <w:pStyle w:val="2"/>
        <w:spacing w:before="102"/>
        <w:ind w:left="818"/>
        <w:rPr>
          <w:rFonts w:ascii="宋体" w:hAnsi="宋体" w:eastAsia="宋体" w:cs="宋体"/>
          <w:color w:val="auto"/>
          <w:highlight w:val="none"/>
        </w:rPr>
      </w:pPr>
    </w:p>
    <w:p>
      <w:pPr>
        <w:pStyle w:val="2"/>
        <w:spacing w:before="102"/>
        <w:ind w:left="818"/>
        <w:rPr>
          <w:rFonts w:hint="eastAsia" w:ascii="宋体" w:hAnsi="宋体" w:eastAsia="宋体" w:cs="宋体"/>
          <w:color w:val="auto"/>
          <w:highlight w:val="none"/>
          <w:lang w:eastAsia="zh-CN"/>
        </w:rPr>
      </w:pPr>
      <w:r>
        <w:rPr>
          <w:rFonts w:ascii="宋体" w:hAnsi="宋体" w:eastAsia="宋体" w:cs="宋体"/>
          <w:color w:val="auto"/>
          <w:highlight w:val="none"/>
        </w:rPr>
        <w:t>招标代理机构：</w:t>
      </w:r>
      <w:r>
        <w:rPr>
          <w:rFonts w:hint="eastAsia" w:cs="宋体"/>
          <w:color w:val="auto"/>
          <w:highlight w:val="none"/>
          <w:lang w:eastAsia="zh-CN"/>
        </w:rPr>
        <w:t>台州景珩建设管理有限公司</w:t>
      </w:r>
    </w:p>
    <w:p>
      <w:pPr>
        <w:pStyle w:val="2"/>
        <w:spacing w:before="102"/>
        <w:ind w:left="818"/>
        <w:rPr>
          <w:rFonts w:hint="eastAsia" w:ascii="宋体" w:hAnsi="宋体" w:eastAsia="宋体" w:cs="宋体"/>
          <w:color w:val="auto"/>
          <w:highlight w:val="none"/>
          <w:lang w:eastAsia="zh-CN"/>
        </w:rPr>
      </w:pPr>
      <w:r>
        <w:rPr>
          <w:rFonts w:ascii="宋体" w:hAnsi="宋体" w:eastAsia="宋体" w:cs="宋体"/>
          <w:color w:val="auto"/>
          <w:highlight w:val="none"/>
        </w:rPr>
        <w:t>地   址：</w:t>
      </w:r>
      <w:r>
        <w:rPr>
          <w:rFonts w:hint="eastAsia" w:cs="宋体"/>
          <w:color w:val="auto"/>
          <w:highlight w:val="none"/>
          <w:lang w:eastAsia="zh-CN"/>
        </w:rPr>
        <w:t xml:space="preserve"> 浙江省三门县海游街道西区大道89号</w:t>
      </w:r>
    </w:p>
    <w:p>
      <w:pPr>
        <w:pStyle w:val="2"/>
        <w:spacing w:before="102"/>
        <w:ind w:left="818"/>
        <w:rPr>
          <w:rFonts w:hint="eastAsia" w:ascii="宋体" w:hAnsi="宋体" w:eastAsia="宋体" w:cs="宋体"/>
          <w:color w:val="auto"/>
          <w:highlight w:val="none"/>
          <w:lang w:eastAsia="zh-CN"/>
        </w:rPr>
      </w:pPr>
      <w:r>
        <w:rPr>
          <w:rFonts w:ascii="宋体" w:hAnsi="宋体" w:eastAsia="宋体" w:cs="宋体"/>
          <w:color w:val="auto"/>
          <w:highlight w:val="none"/>
        </w:rPr>
        <w:t>联 系 人：</w:t>
      </w:r>
      <w:r>
        <w:rPr>
          <w:rFonts w:hint="eastAsia" w:cs="宋体"/>
          <w:color w:val="auto"/>
          <w:highlight w:val="none"/>
          <w:lang w:eastAsia="zh-CN"/>
        </w:rPr>
        <w:t>吴春莲</w:t>
      </w:r>
    </w:p>
    <w:p>
      <w:pPr>
        <w:pStyle w:val="2"/>
        <w:spacing w:before="102"/>
        <w:ind w:left="818"/>
        <w:rPr>
          <w:rFonts w:ascii="宋体" w:hAnsi="宋体" w:eastAsia="宋体" w:cs="宋体"/>
          <w:color w:val="auto"/>
          <w:highlight w:val="none"/>
        </w:rPr>
      </w:pPr>
      <w:r>
        <w:rPr>
          <w:rFonts w:ascii="宋体" w:hAnsi="宋体" w:eastAsia="宋体" w:cs="宋体"/>
          <w:color w:val="auto"/>
          <w:highlight w:val="none"/>
        </w:rPr>
        <w:t>电</w:t>
      </w:r>
      <w:r>
        <w:rPr>
          <w:rFonts w:ascii="宋体" w:hAnsi="宋体" w:eastAsia="宋体" w:cs="宋体"/>
          <w:color w:val="auto"/>
          <w:highlight w:val="none"/>
        </w:rPr>
        <w:tab/>
      </w:r>
      <w:r>
        <w:rPr>
          <w:rFonts w:ascii="宋体" w:hAnsi="宋体" w:eastAsia="宋体" w:cs="宋体"/>
          <w:color w:val="auto"/>
          <w:highlight w:val="none"/>
        </w:rPr>
        <w:t>话：</w:t>
      </w:r>
      <w:r>
        <w:rPr>
          <w:rFonts w:hint="eastAsia" w:cs="宋体"/>
          <w:color w:val="auto"/>
          <w:highlight w:val="none"/>
          <w:lang w:eastAsia="zh-CN"/>
        </w:rPr>
        <w:t>0576-83519809</w:t>
      </w:r>
      <w:r>
        <w:rPr>
          <w:rFonts w:ascii="宋体" w:hAnsi="宋体" w:eastAsia="宋体" w:cs="宋体"/>
          <w:color w:val="auto"/>
          <w:highlight w:val="none"/>
        </w:rPr>
        <w:t xml:space="preserve"> </w:t>
      </w:r>
    </w:p>
    <w:p>
      <w:pPr>
        <w:pStyle w:val="2"/>
        <w:spacing w:before="102"/>
        <w:ind w:left="818"/>
        <w:rPr>
          <w:rFonts w:hint="eastAsia" w:ascii="宋体" w:hAnsi="宋体" w:eastAsia="宋体" w:cs="宋体"/>
          <w:color w:val="auto"/>
          <w:highlight w:val="none"/>
          <w:lang w:eastAsia="zh-CN"/>
        </w:rPr>
      </w:pPr>
      <w:r>
        <w:rPr>
          <w:rFonts w:ascii="宋体" w:hAnsi="宋体" w:eastAsia="宋体" w:cs="宋体"/>
          <w:color w:val="auto"/>
          <w:highlight w:val="none"/>
        </w:rPr>
        <w:t>传</w:t>
      </w:r>
      <w:r>
        <w:rPr>
          <w:rFonts w:ascii="宋体" w:hAnsi="宋体" w:eastAsia="宋体" w:cs="宋体"/>
          <w:color w:val="auto"/>
          <w:highlight w:val="none"/>
        </w:rPr>
        <w:tab/>
      </w:r>
      <w:r>
        <w:rPr>
          <w:rFonts w:ascii="宋体" w:hAnsi="宋体" w:eastAsia="宋体" w:cs="宋体"/>
          <w:color w:val="auto"/>
          <w:highlight w:val="none"/>
        </w:rPr>
        <w:t>真：</w:t>
      </w:r>
      <w:r>
        <w:rPr>
          <w:rFonts w:hint="eastAsia" w:cs="宋体"/>
          <w:color w:val="auto"/>
          <w:highlight w:val="none"/>
          <w:lang w:eastAsia="zh-CN"/>
        </w:rPr>
        <w:t>0576-83519809</w:t>
      </w:r>
    </w:p>
    <w:p>
      <w:pPr>
        <w:pStyle w:val="13"/>
        <w:numPr>
          <w:ilvl w:val="0"/>
          <w:numId w:val="2"/>
        </w:numPr>
        <w:tabs>
          <w:tab w:val="left" w:pos="720"/>
        </w:tabs>
        <w:spacing w:before="201" w:after="0" w:line="240" w:lineRule="auto"/>
        <w:ind w:left="720" w:right="0" w:hanging="322"/>
        <w:jc w:val="both"/>
        <w:rPr>
          <w:rFonts w:ascii="宋体" w:hAnsi="宋体" w:eastAsia="宋体" w:cs="宋体"/>
          <w:color w:val="auto"/>
          <w:highlight w:val="none"/>
        </w:rPr>
        <w:sectPr>
          <w:pgSz w:w="11910" w:h="16840"/>
          <w:pgMar w:top="980" w:right="860" w:bottom="940" w:left="960" w:header="0" w:footer="672" w:gutter="0"/>
          <w:pgBorders>
            <w:top w:val="none" w:sz="0" w:space="0"/>
            <w:left w:val="none" w:sz="0" w:space="0"/>
            <w:bottom w:val="none" w:sz="0" w:space="0"/>
            <w:right w:val="none" w:sz="0" w:space="0"/>
          </w:pgBorders>
          <w:pgNumType w:fmt="decimal"/>
          <w:cols w:space="720" w:num="1"/>
        </w:sect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52"/>
          <w:szCs w:val="52"/>
          <w:highlight w:val="none"/>
        </w:rPr>
      </w:pPr>
    </w:p>
    <w:p>
      <w:pPr>
        <w:jc w:val="center"/>
        <w:rPr>
          <w:rFonts w:eastAsia="黑体"/>
          <w:b/>
          <w:color w:val="auto"/>
          <w:sz w:val="48"/>
          <w:szCs w:val="48"/>
          <w:highlight w:val="none"/>
        </w:rPr>
      </w:pPr>
      <w:r>
        <w:rPr>
          <w:rFonts w:eastAsia="黑体"/>
          <w:b/>
          <w:color w:val="auto"/>
          <w:sz w:val="48"/>
          <w:szCs w:val="48"/>
          <w:highlight w:val="none"/>
        </w:rPr>
        <w:t>第二章  投标人须知</w:t>
      </w: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pStyle w:val="5"/>
        <w:spacing w:before="120" w:after="120"/>
        <w:jc w:val="center"/>
        <w:rPr>
          <w:rFonts w:eastAsia="黑体"/>
          <w:color w:val="auto"/>
          <w:sz w:val="30"/>
          <w:szCs w:val="30"/>
          <w:highlight w:val="none"/>
        </w:rPr>
      </w:pPr>
      <w:r>
        <w:rPr>
          <w:rFonts w:eastAsia="黑体"/>
          <w:color w:val="auto"/>
          <w:sz w:val="36"/>
          <w:szCs w:val="36"/>
          <w:highlight w:val="none"/>
        </w:rPr>
        <w:br w:type="page"/>
      </w:r>
      <w:bookmarkStart w:id="42" w:name="_Toc22807"/>
      <w:bookmarkStart w:id="43" w:name="_Toc452301215"/>
      <w:r>
        <w:rPr>
          <w:rFonts w:eastAsia="黑体"/>
          <w:color w:val="auto"/>
          <w:sz w:val="30"/>
          <w:szCs w:val="30"/>
          <w:highlight w:val="none"/>
        </w:rPr>
        <w:t>第二章  投标人须知</w:t>
      </w:r>
      <w:bookmarkEnd w:id="42"/>
      <w:bookmarkEnd w:id="43"/>
    </w:p>
    <w:p>
      <w:pPr>
        <w:pStyle w:val="5"/>
        <w:spacing w:before="0" w:after="0" w:line="240" w:lineRule="auto"/>
        <w:rPr>
          <w:rFonts w:eastAsia="黑体"/>
          <w:color w:val="auto"/>
          <w:sz w:val="30"/>
          <w:szCs w:val="30"/>
          <w:highlight w:val="none"/>
        </w:rPr>
      </w:pPr>
      <w:bookmarkStart w:id="44" w:name="_Toc2589"/>
      <w:r>
        <w:rPr>
          <w:rFonts w:eastAsia="黑体"/>
          <w:color w:val="auto"/>
          <w:sz w:val="30"/>
          <w:szCs w:val="30"/>
          <w:highlight w:val="none"/>
        </w:rPr>
        <w:t>投标人须知前附表</w:t>
      </w:r>
      <w:bookmarkEnd w:id="44"/>
    </w:p>
    <w:tbl>
      <w:tblPr>
        <w:tblStyle w:val="26"/>
        <w:tblW w:w="987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50"/>
        <w:gridCol w:w="2447"/>
        <w:gridCol w:w="637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b/>
                <w:color w:val="auto"/>
                <w:szCs w:val="21"/>
                <w:highlight w:val="none"/>
              </w:rPr>
            </w:pPr>
            <w:r>
              <w:rPr>
                <w:b/>
                <w:color w:val="auto"/>
                <w:szCs w:val="21"/>
                <w:highlight w:val="none"/>
              </w:rPr>
              <w:t>条款号</w:t>
            </w:r>
          </w:p>
        </w:tc>
        <w:tc>
          <w:tcPr>
            <w:tcW w:w="2447" w:type="dxa"/>
            <w:noWrap w:val="0"/>
            <w:vAlign w:val="center"/>
          </w:tcPr>
          <w:p>
            <w:pPr>
              <w:spacing w:line="360" w:lineRule="exact"/>
              <w:jc w:val="center"/>
              <w:rPr>
                <w:b/>
                <w:color w:val="auto"/>
                <w:szCs w:val="21"/>
                <w:highlight w:val="none"/>
              </w:rPr>
            </w:pPr>
            <w:r>
              <w:rPr>
                <w:b/>
                <w:color w:val="auto"/>
                <w:szCs w:val="21"/>
                <w:highlight w:val="none"/>
              </w:rPr>
              <w:t>条 款 名 称</w:t>
            </w:r>
          </w:p>
        </w:tc>
        <w:tc>
          <w:tcPr>
            <w:tcW w:w="6375" w:type="dxa"/>
            <w:noWrap w:val="0"/>
            <w:vAlign w:val="center"/>
          </w:tcPr>
          <w:p>
            <w:pPr>
              <w:spacing w:line="360" w:lineRule="exact"/>
              <w:ind w:left="147" w:leftChars="67"/>
              <w:jc w:val="center"/>
              <w:rPr>
                <w:b/>
                <w:color w:val="auto"/>
                <w:szCs w:val="21"/>
                <w:highlight w:val="none"/>
              </w:rPr>
            </w:pPr>
            <w:r>
              <w:rPr>
                <w:b/>
                <w:color w:val="auto"/>
                <w:szCs w:val="21"/>
                <w:highlight w:val="none"/>
              </w:rPr>
              <w:t>编 列 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1.1.2</w:t>
            </w:r>
          </w:p>
        </w:tc>
        <w:tc>
          <w:tcPr>
            <w:tcW w:w="2447" w:type="dxa"/>
            <w:noWrap w:val="0"/>
            <w:vAlign w:val="center"/>
          </w:tcPr>
          <w:p>
            <w:pPr>
              <w:spacing w:line="360" w:lineRule="exact"/>
              <w:jc w:val="center"/>
              <w:rPr>
                <w:color w:val="auto"/>
                <w:szCs w:val="21"/>
                <w:highlight w:val="none"/>
              </w:rPr>
            </w:pPr>
            <w:r>
              <w:rPr>
                <w:color w:val="auto"/>
                <w:szCs w:val="21"/>
                <w:highlight w:val="none"/>
              </w:rPr>
              <w:t>招标人</w:t>
            </w:r>
          </w:p>
        </w:tc>
        <w:tc>
          <w:tcPr>
            <w:tcW w:w="6375" w:type="dxa"/>
            <w:noWrap w:val="0"/>
            <w:vAlign w:val="center"/>
          </w:tcPr>
          <w:p>
            <w:pPr>
              <w:spacing w:line="240" w:lineRule="exact"/>
              <w:ind w:left="147" w:leftChars="67"/>
              <w:rPr>
                <w:rFonts w:hint="eastAsia" w:eastAsia="宋体"/>
                <w:color w:val="auto"/>
                <w:szCs w:val="21"/>
                <w:highlight w:val="none"/>
                <w:lang w:eastAsia="zh-CN"/>
              </w:rPr>
            </w:pPr>
            <w:r>
              <w:rPr>
                <w:color w:val="auto"/>
                <w:szCs w:val="21"/>
                <w:highlight w:val="none"/>
              </w:rPr>
              <w:t>名  称：</w:t>
            </w:r>
            <w:r>
              <w:rPr>
                <w:rFonts w:hint="eastAsia"/>
                <w:b/>
                <w:color w:val="auto"/>
                <w:szCs w:val="21"/>
                <w:highlight w:val="none"/>
                <w:lang w:eastAsia="zh-CN"/>
              </w:rPr>
              <w:t>三门县公路与运输管理中心</w:t>
            </w:r>
          </w:p>
          <w:p>
            <w:pPr>
              <w:spacing w:line="240" w:lineRule="exact"/>
              <w:ind w:left="147" w:leftChars="67"/>
              <w:rPr>
                <w:rFonts w:hint="eastAsia" w:eastAsia="宋体"/>
                <w:b/>
                <w:color w:val="auto"/>
                <w:szCs w:val="21"/>
                <w:highlight w:val="none"/>
                <w:lang w:eastAsia="zh-CN"/>
              </w:rPr>
            </w:pPr>
            <w:r>
              <w:rPr>
                <w:color w:val="auto"/>
                <w:szCs w:val="21"/>
                <w:highlight w:val="none"/>
              </w:rPr>
              <w:t>地  址：</w:t>
            </w:r>
            <w:r>
              <w:rPr>
                <w:rFonts w:hint="eastAsia"/>
                <w:b/>
                <w:color w:val="auto"/>
                <w:szCs w:val="21"/>
                <w:highlight w:val="none"/>
                <w:lang w:eastAsia="zh-CN"/>
              </w:rPr>
              <w:t>三门县海游街道广场路22号交通大楼</w:t>
            </w:r>
          </w:p>
          <w:p>
            <w:pPr>
              <w:spacing w:line="240" w:lineRule="exact"/>
              <w:ind w:left="147" w:leftChars="67"/>
              <w:rPr>
                <w:rFonts w:hint="eastAsia"/>
                <w:b/>
                <w:color w:val="auto"/>
                <w:kern w:val="0"/>
                <w:szCs w:val="21"/>
                <w:highlight w:val="none"/>
                <w:lang w:eastAsia="zh-CN"/>
              </w:rPr>
            </w:pPr>
            <w:r>
              <w:rPr>
                <w:color w:val="auto"/>
                <w:szCs w:val="21"/>
                <w:highlight w:val="none"/>
              </w:rPr>
              <w:t>联系人：</w:t>
            </w:r>
            <w:r>
              <w:rPr>
                <w:rFonts w:hint="eastAsia"/>
                <w:b/>
                <w:color w:val="auto"/>
                <w:kern w:val="0"/>
                <w:szCs w:val="21"/>
                <w:highlight w:val="none"/>
                <w:lang w:eastAsia="zh-CN"/>
              </w:rPr>
              <w:t>王群</w:t>
            </w:r>
          </w:p>
          <w:p>
            <w:pPr>
              <w:spacing w:line="240" w:lineRule="exact"/>
              <w:ind w:left="147" w:leftChars="67"/>
              <w:rPr>
                <w:rFonts w:hint="eastAsia" w:eastAsia="宋体"/>
                <w:b/>
                <w:color w:val="auto"/>
                <w:szCs w:val="21"/>
                <w:highlight w:val="none"/>
                <w:lang w:eastAsia="zh-CN"/>
              </w:rPr>
            </w:pPr>
            <w:r>
              <w:rPr>
                <w:rFonts w:hint="eastAsia"/>
                <w:color w:val="auto"/>
                <w:szCs w:val="21"/>
                <w:highlight w:val="none"/>
                <w:lang w:eastAsia="zh-CN"/>
              </w:rPr>
              <w:t>电  话：</w:t>
            </w:r>
            <w:r>
              <w:rPr>
                <w:rFonts w:hint="eastAsia"/>
                <w:b/>
                <w:color w:val="auto"/>
                <w:kern w:val="0"/>
                <w:szCs w:val="21"/>
                <w:highlight w:val="none"/>
                <w:lang w:val="en-US" w:eastAsia="zh-CN"/>
              </w:rPr>
              <w:t>0576-83515018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1.1.3</w:t>
            </w:r>
          </w:p>
        </w:tc>
        <w:tc>
          <w:tcPr>
            <w:tcW w:w="2447" w:type="dxa"/>
            <w:noWrap w:val="0"/>
            <w:vAlign w:val="center"/>
          </w:tcPr>
          <w:p>
            <w:pPr>
              <w:spacing w:line="360" w:lineRule="exact"/>
              <w:jc w:val="center"/>
              <w:rPr>
                <w:color w:val="auto"/>
                <w:szCs w:val="21"/>
                <w:highlight w:val="none"/>
              </w:rPr>
            </w:pPr>
            <w:r>
              <w:rPr>
                <w:color w:val="auto"/>
                <w:szCs w:val="21"/>
                <w:highlight w:val="none"/>
              </w:rPr>
              <w:t>招标代理机构</w:t>
            </w:r>
          </w:p>
        </w:tc>
        <w:tc>
          <w:tcPr>
            <w:tcW w:w="6375" w:type="dxa"/>
            <w:noWrap w:val="0"/>
            <w:vAlign w:val="center"/>
          </w:tcPr>
          <w:p>
            <w:pPr>
              <w:spacing w:line="240" w:lineRule="exact"/>
              <w:ind w:left="147" w:leftChars="67"/>
              <w:rPr>
                <w:rFonts w:hint="eastAsia" w:eastAsia="宋体"/>
                <w:color w:val="auto"/>
                <w:szCs w:val="21"/>
                <w:highlight w:val="none"/>
                <w:lang w:eastAsia="zh-CN"/>
              </w:rPr>
            </w:pPr>
            <w:r>
              <w:rPr>
                <w:color w:val="auto"/>
                <w:szCs w:val="21"/>
                <w:highlight w:val="none"/>
              </w:rPr>
              <w:t>名  称：</w:t>
            </w:r>
            <w:r>
              <w:rPr>
                <w:rFonts w:hint="eastAsia"/>
                <w:b/>
                <w:color w:val="auto"/>
                <w:kern w:val="0"/>
                <w:szCs w:val="21"/>
                <w:highlight w:val="none"/>
                <w:lang w:eastAsia="zh-CN"/>
              </w:rPr>
              <w:t>台州景珩建设管理有限公司</w:t>
            </w:r>
          </w:p>
          <w:p>
            <w:pPr>
              <w:spacing w:line="240" w:lineRule="exact"/>
              <w:ind w:left="917" w:leftChars="67" w:hanging="770" w:hangingChars="350"/>
              <w:rPr>
                <w:rFonts w:hint="eastAsia" w:eastAsia="宋体"/>
                <w:color w:val="auto"/>
                <w:szCs w:val="21"/>
                <w:highlight w:val="none"/>
                <w:lang w:eastAsia="zh-CN"/>
              </w:rPr>
            </w:pPr>
            <w:r>
              <w:rPr>
                <w:color w:val="auto"/>
                <w:szCs w:val="21"/>
                <w:highlight w:val="none"/>
              </w:rPr>
              <w:t>地  址：</w:t>
            </w:r>
            <w:r>
              <w:rPr>
                <w:rFonts w:hint="eastAsia"/>
                <w:b/>
                <w:color w:val="auto"/>
                <w:kern w:val="0"/>
                <w:szCs w:val="21"/>
                <w:highlight w:val="none"/>
                <w:lang w:eastAsia="zh-CN"/>
              </w:rPr>
              <w:t>浙江省三门县海游街道西区大道89号</w:t>
            </w:r>
          </w:p>
          <w:p>
            <w:pPr>
              <w:spacing w:line="240" w:lineRule="exact"/>
              <w:ind w:left="147" w:leftChars="67"/>
              <w:rPr>
                <w:rFonts w:hint="eastAsia" w:eastAsia="宋体"/>
                <w:color w:val="auto"/>
                <w:szCs w:val="21"/>
                <w:highlight w:val="none"/>
                <w:lang w:eastAsia="zh-CN"/>
              </w:rPr>
            </w:pPr>
            <w:r>
              <w:rPr>
                <w:color w:val="auto"/>
                <w:szCs w:val="21"/>
                <w:highlight w:val="none"/>
              </w:rPr>
              <w:t>联系人：</w:t>
            </w:r>
            <w:r>
              <w:rPr>
                <w:rFonts w:hint="eastAsia"/>
                <w:b/>
                <w:color w:val="auto"/>
                <w:kern w:val="0"/>
                <w:szCs w:val="21"/>
                <w:highlight w:val="none"/>
                <w:lang w:eastAsia="zh-CN"/>
              </w:rPr>
              <w:t>吴春莲</w:t>
            </w:r>
          </w:p>
          <w:p>
            <w:pPr>
              <w:spacing w:line="240" w:lineRule="exact"/>
              <w:ind w:left="147" w:leftChars="67"/>
              <w:rPr>
                <w:rFonts w:hint="eastAsia" w:eastAsia="宋体"/>
                <w:color w:val="auto"/>
                <w:kern w:val="0"/>
                <w:szCs w:val="21"/>
                <w:highlight w:val="none"/>
                <w:lang w:eastAsia="zh-CN"/>
              </w:rPr>
            </w:pPr>
            <w:r>
              <w:rPr>
                <w:color w:val="auto"/>
                <w:szCs w:val="21"/>
                <w:highlight w:val="none"/>
              </w:rPr>
              <w:t>电  话：</w:t>
            </w:r>
            <w:r>
              <w:rPr>
                <w:rFonts w:hint="eastAsia"/>
                <w:b/>
                <w:color w:val="auto"/>
                <w:kern w:val="0"/>
                <w:szCs w:val="21"/>
                <w:highlight w:val="none"/>
                <w:lang w:eastAsia="zh-CN"/>
              </w:rPr>
              <w:t>0576-83519809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1.1.4</w:t>
            </w:r>
          </w:p>
        </w:tc>
        <w:tc>
          <w:tcPr>
            <w:tcW w:w="2447" w:type="dxa"/>
            <w:noWrap w:val="0"/>
            <w:vAlign w:val="center"/>
          </w:tcPr>
          <w:p>
            <w:pPr>
              <w:spacing w:line="360" w:lineRule="exact"/>
              <w:jc w:val="center"/>
              <w:rPr>
                <w:color w:val="auto"/>
                <w:szCs w:val="21"/>
                <w:highlight w:val="none"/>
              </w:rPr>
            </w:pPr>
            <w:r>
              <w:rPr>
                <w:color w:val="auto"/>
                <w:szCs w:val="21"/>
                <w:highlight w:val="none"/>
              </w:rPr>
              <w:t>项目名称</w:t>
            </w:r>
          </w:p>
        </w:tc>
        <w:tc>
          <w:tcPr>
            <w:tcW w:w="6375" w:type="dxa"/>
            <w:noWrap w:val="0"/>
            <w:vAlign w:val="center"/>
          </w:tcPr>
          <w:p>
            <w:pPr>
              <w:spacing w:line="240" w:lineRule="exact"/>
              <w:ind w:left="110" w:leftChars="50"/>
              <w:rPr>
                <w:rFonts w:hint="eastAsia" w:eastAsia="宋体"/>
                <w:b/>
                <w:color w:val="auto"/>
                <w:szCs w:val="21"/>
                <w:highlight w:val="none"/>
                <w:lang w:eastAsia="zh-CN"/>
              </w:rPr>
            </w:pPr>
            <w:r>
              <w:rPr>
                <w:rFonts w:hint="eastAsia"/>
                <w:b/>
                <w:color w:val="auto"/>
                <w:szCs w:val="21"/>
                <w:highlight w:val="none"/>
                <w:lang w:eastAsia="zh-CN"/>
              </w:rPr>
              <w:t>2024年三门县普通国道路基路面养护工程设计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1.1.5</w:t>
            </w:r>
          </w:p>
        </w:tc>
        <w:tc>
          <w:tcPr>
            <w:tcW w:w="2447" w:type="dxa"/>
            <w:noWrap w:val="0"/>
            <w:vAlign w:val="center"/>
          </w:tcPr>
          <w:p>
            <w:pPr>
              <w:spacing w:line="360" w:lineRule="exact"/>
              <w:jc w:val="center"/>
              <w:rPr>
                <w:color w:val="auto"/>
                <w:szCs w:val="21"/>
                <w:highlight w:val="none"/>
              </w:rPr>
            </w:pPr>
            <w:r>
              <w:rPr>
                <w:color w:val="auto"/>
                <w:szCs w:val="21"/>
                <w:highlight w:val="none"/>
              </w:rPr>
              <w:t>建设地点</w:t>
            </w:r>
          </w:p>
        </w:tc>
        <w:tc>
          <w:tcPr>
            <w:tcW w:w="6375" w:type="dxa"/>
            <w:noWrap w:val="0"/>
            <w:vAlign w:val="center"/>
          </w:tcPr>
          <w:p>
            <w:pPr>
              <w:spacing w:line="240" w:lineRule="exact"/>
              <w:ind w:firstLine="110" w:firstLineChars="50"/>
              <w:rPr>
                <w:rFonts w:hint="eastAsia"/>
                <w:b/>
                <w:color w:val="auto"/>
                <w:szCs w:val="21"/>
                <w:highlight w:val="none"/>
              </w:rPr>
            </w:pPr>
            <w:r>
              <w:rPr>
                <w:rFonts w:hint="eastAsia"/>
                <w:b/>
                <w:color w:val="auto"/>
                <w:szCs w:val="21"/>
                <w:highlight w:val="none"/>
              </w:rPr>
              <w:t>三门县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1.2.1</w:t>
            </w:r>
          </w:p>
        </w:tc>
        <w:tc>
          <w:tcPr>
            <w:tcW w:w="2447" w:type="dxa"/>
            <w:noWrap w:val="0"/>
            <w:vAlign w:val="center"/>
          </w:tcPr>
          <w:p>
            <w:pPr>
              <w:spacing w:line="360" w:lineRule="exact"/>
              <w:jc w:val="center"/>
              <w:rPr>
                <w:color w:val="auto"/>
                <w:szCs w:val="21"/>
                <w:highlight w:val="none"/>
              </w:rPr>
            </w:pPr>
            <w:r>
              <w:rPr>
                <w:color w:val="auto"/>
                <w:szCs w:val="21"/>
                <w:highlight w:val="none"/>
              </w:rPr>
              <w:t>资金来源</w:t>
            </w:r>
          </w:p>
        </w:tc>
        <w:tc>
          <w:tcPr>
            <w:tcW w:w="6375" w:type="dxa"/>
            <w:noWrap w:val="0"/>
            <w:vAlign w:val="center"/>
          </w:tcPr>
          <w:p>
            <w:pPr>
              <w:spacing w:line="240" w:lineRule="exact"/>
              <w:ind w:left="147" w:leftChars="67"/>
              <w:rPr>
                <w:rFonts w:hint="eastAsia" w:eastAsia="宋体"/>
                <w:b/>
                <w:color w:val="auto"/>
                <w:szCs w:val="21"/>
                <w:highlight w:val="none"/>
                <w:lang w:eastAsia="zh-CN"/>
              </w:rPr>
            </w:pPr>
            <w:r>
              <w:rPr>
                <w:color w:val="auto"/>
                <w:sz w:val="21"/>
                <w:highlight w:val="none"/>
              </w:rPr>
              <w:t>上级部门拨付资金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1.2.2</w:t>
            </w:r>
          </w:p>
        </w:tc>
        <w:tc>
          <w:tcPr>
            <w:tcW w:w="2447" w:type="dxa"/>
            <w:noWrap w:val="0"/>
            <w:vAlign w:val="center"/>
          </w:tcPr>
          <w:p>
            <w:pPr>
              <w:spacing w:line="360" w:lineRule="exact"/>
              <w:jc w:val="center"/>
              <w:rPr>
                <w:color w:val="auto"/>
                <w:szCs w:val="21"/>
                <w:highlight w:val="none"/>
              </w:rPr>
            </w:pPr>
            <w:r>
              <w:rPr>
                <w:color w:val="auto"/>
                <w:szCs w:val="21"/>
                <w:highlight w:val="none"/>
              </w:rPr>
              <w:t>出资比例</w:t>
            </w:r>
          </w:p>
        </w:tc>
        <w:tc>
          <w:tcPr>
            <w:tcW w:w="6375" w:type="dxa"/>
            <w:noWrap w:val="0"/>
            <w:vAlign w:val="center"/>
          </w:tcPr>
          <w:p>
            <w:pPr>
              <w:spacing w:line="240" w:lineRule="exact"/>
              <w:ind w:left="147" w:leftChars="67"/>
              <w:rPr>
                <w:rFonts w:hint="eastAsia" w:eastAsia="宋体"/>
                <w:b/>
                <w:color w:val="auto"/>
                <w:szCs w:val="21"/>
                <w:highlight w:val="none"/>
                <w:lang w:eastAsia="zh-CN"/>
              </w:rPr>
            </w:pPr>
            <w:r>
              <w:rPr>
                <w:rFonts w:hint="eastAsia"/>
                <w:b/>
                <w:color w:val="auto"/>
                <w:szCs w:val="21"/>
                <w:highlight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1.2.3</w:t>
            </w:r>
          </w:p>
        </w:tc>
        <w:tc>
          <w:tcPr>
            <w:tcW w:w="2447" w:type="dxa"/>
            <w:noWrap w:val="0"/>
            <w:vAlign w:val="center"/>
          </w:tcPr>
          <w:p>
            <w:pPr>
              <w:spacing w:line="360" w:lineRule="exact"/>
              <w:jc w:val="center"/>
              <w:rPr>
                <w:color w:val="auto"/>
                <w:szCs w:val="21"/>
                <w:highlight w:val="none"/>
              </w:rPr>
            </w:pPr>
            <w:r>
              <w:rPr>
                <w:color w:val="auto"/>
                <w:szCs w:val="21"/>
                <w:highlight w:val="none"/>
              </w:rPr>
              <w:t>资金落实情况</w:t>
            </w:r>
          </w:p>
        </w:tc>
        <w:tc>
          <w:tcPr>
            <w:tcW w:w="6375" w:type="dxa"/>
            <w:noWrap w:val="0"/>
            <w:vAlign w:val="center"/>
          </w:tcPr>
          <w:p>
            <w:pPr>
              <w:spacing w:line="240" w:lineRule="exact"/>
              <w:ind w:left="147" w:leftChars="67"/>
              <w:rPr>
                <w:b/>
                <w:color w:val="auto"/>
                <w:szCs w:val="21"/>
                <w:highlight w:val="none"/>
              </w:rPr>
            </w:pPr>
            <w:r>
              <w:rPr>
                <w:b/>
                <w:color w:val="auto"/>
                <w:szCs w:val="21"/>
                <w:highlight w:val="none"/>
              </w:rPr>
              <w:t>已落实</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1.3.1</w:t>
            </w:r>
          </w:p>
        </w:tc>
        <w:tc>
          <w:tcPr>
            <w:tcW w:w="2447" w:type="dxa"/>
            <w:noWrap w:val="0"/>
            <w:vAlign w:val="center"/>
          </w:tcPr>
          <w:p>
            <w:pPr>
              <w:spacing w:line="360" w:lineRule="exact"/>
              <w:jc w:val="center"/>
              <w:rPr>
                <w:color w:val="auto"/>
                <w:szCs w:val="21"/>
                <w:highlight w:val="none"/>
              </w:rPr>
            </w:pPr>
            <w:r>
              <w:rPr>
                <w:color w:val="auto"/>
                <w:szCs w:val="21"/>
                <w:highlight w:val="none"/>
              </w:rPr>
              <w:t>招标范围</w:t>
            </w:r>
          </w:p>
        </w:tc>
        <w:tc>
          <w:tcPr>
            <w:tcW w:w="6375" w:type="dxa"/>
            <w:noWrap w:val="0"/>
            <w:vAlign w:val="center"/>
          </w:tcPr>
          <w:p>
            <w:pPr>
              <w:pStyle w:val="31"/>
              <w:ind w:left="116"/>
              <w:jc w:val="both"/>
              <w:rPr>
                <w:color w:val="auto"/>
                <w:sz w:val="21"/>
                <w:highlight w:val="none"/>
              </w:rPr>
            </w:pPr>
            <w:r>
              <w:rPr>
                <w:color w:val="auto"/>
                <w:sz w:val="21"/>
                <w:highlight w:val="none"/>
              </w:rPr>
              <w:t>施工图勘察设计（一阶段</w:t>
            </w:r>
            <w:r>
              <w:rPr>
                <w:rFonts w:hint="eastAsia"/>
                <w:color w:val="auto"/>
                <w:sz w:val="21"/>
                <w:highlight w:val="none"/>
                <w:lang w:eastAsia="zh-CN"/>
              </w:rPr>
              <w:t>，含路况检测报告</w:t>
            </w:r>
            <w:r>
              <w:rPr>
                <w:color w:val="auto"/>
                <w:sz w:val="21"/>
                <w:highlight w:val="none"/>
              </w:rPr>
              <w:t>）</w:t>
            </w:r>
          </w:p>
          <w:p>
            <w:pPr>
              <w:spacing w:line="240" w:lineRule="exact"/>
              <w:ind w:left="147" w:leftChars="67" w:right="79" w:rightChars="36"/>
              <w:rPr>
                <w:rFonts w:hint="eastAsia"/>
                <w:b/>
                <w:color w:val="auto"/>
                <w:szCs w:val="21"/>
                <w:highlight w:val="none"/>
              </w:rPr>
            </w:pPr>
            <w:r>
              <w:rPr>
                <w:color w:val="auto"/>
                <w:spacing w:val="-10"/>
                <w:sz w:val="21"/>
                <w:highlight w:val="none"/>
              </w:rPr>
              <w:t>其它：预算文件编制、施工招标用图纸、施工项目专用技术规</w:t>
            </w:r>
            <w:r>
              <w:rPr>
                <w:color w:val="auto"/>
                <w:spacing w:val="-3"/>
                <w:sz w:val="21"/>
                <w:highlight w:val="none"/>
              </w:rPr>
              <w:t>范编制，后续服务等全部工作。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1.3.2</w:t>
            </w:r>
          </w:p>
        </w:tc>
        <w:tc>
          <w:tcPr>
            <w:tcW w:w="2447" w:type="dxa"/>
            <w:noWrap w:val="0"/>
            <w:vAlign w:val="center"/>
          </w:tcPr>
          <w:p>
            <w:pPr>
              <w:pStyle w:val="31"/>
              <w:spacing w:before="137"/>
              <w:ind w:left="108" w:leftChars="0" w:right="78" w:rightChars="0"/>
              <w:jc w:val="center"/>
              <w:rPr>
                <w:color w:val="auto"/>
                <w:szCs w:val="21"/>
                <w:highlight w:val="none"/>
              </w:rPr>
            </w:pPr>
            <w:r>
              <w:rPr>
                <w:color w:val="auto"/>
                <w:sz w:val="21"/>
                <w:highlight w:val="none"/>
              </w:rPr>
              <w:t>设计周期</w:t>
            </w:r>
          </w:p>
        </w:tc>
        <w:tc>
          <w:tcPr>
            <w:tcW w:w="6375" w:type="dxa"/>
            <w:noWrap w:val="0"/>
            <w:vAlign w:val="top"/>
          </w:tcPr>
          <w:p>
            <w:pPr>
              <w:pStyle w:val="31"/>
              <w:spacing w:before="137"/>
              <w:ind w:left="116" w:leftChars="0"/>
              <w:rPr>
                <w:rFonts w:hint="eastAsia"/>
                <w:color w:val="auto"/>
                <w:szCs w:val="21"/>
                <w:highlight w:val="none"/>
              </w:rPr>
            </w:pPr>
            <w:r>
              <w:rPr>
                <w:color w:val="auto"/>
                <w:sz w:val="21"/>
                <w:highlight w:val="none"/>
              </w:rPr>
              <w:t xml:space="preserve">详见专用合同条款第 </w:t>
            </w:r>
            <w:r>
              <w:rPr>
                <w:rFonts w:ascii="Arial" w:eastAsia="Arial"/>
                <w:color w:val="auto"/>
                <w:sz w:val="21"/>
                <w:highlight w:val="none"/>
              </w:rPr>
              <w:t>4.1</w:t>
            </w:r>
            <w:r>
              <w:rPr>
                <w:color w:val="auto"/>
                <w:sz w:val="21"/>
                <w:highlight w:val="none"/>
              </w:rPr>
              <w:t>款的规定。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1.4.1</w:t>
            </w:r>
          </w:p>
        </w:tc>
        <w:tc>
          <w:tcPr>
            <w:tcW w:w="2447" w:type="dxa"/>
            <w:noWrap w:val="0"/>
            <w:vAlign w:val="center"/>
          </w:tcPr>
          <w:p>
            <w:pPr>
              <w:spacing w:line="260" w:lineRule="exact"/>
              <w:jc w:val="center"/>
              <w:rPr>
                <w:color w:val="auto"/>
                <w:szCs w:val="21"/>
                <w:highlight w:val="none"/>
              </w:rPr>
            </w:pPr>
            <w:r>
              <w:rPr>
                <w:color w:val="auto"/>
                <w:szCs w:val="21"/>
                <w:highlight w:val="none"/>
              </w:rPr>
              <w:t>投标人资质条件、能力和信誉</w:t>
            </w:r>
          </w:p>
        </w:tc>
        <w:tc>
          <w:tcPr>
            <w:tcW w:w="6375" w:type="dxa"/>
            <w:noWrap w:val="0"/>
            <w:vAlign w:val="center"/>
          </w:tcPr>
          <w:p>
            <w:pPr>
              <w:spacing w:line="240" w:lineRule="exact"/>
              <w:ind w:left="147" w:leftChars="67"/>
              <w:rPr>
                <w:rFonts w:ascii="Times New Roman" w:hAnsi="Times New Roman" w:eastAsia="宋体" w:cs="Times New Roman"/>
                <w:color w:val="auto"/>
                <w:spacing w:val="-3"/>
                <w:sz w:val="21"/>
                <w:highlight w:val="none"/>
              </w:rPr>
            </w:pPr>
            <w:r>
              <w:rPr>
                <w:rFonts w:ascii="Times New Roman" w:hAnsi="Times New Roman" w:eastAsia="宋体" w:cs="Times New Roman"/>
                <w:color w:val="auto"/>
                <w:spacing w:val="-3"/>
                <w:sz w:val="21"/>
                <w:highlight w:val="none"/>
              </w:rPr>
              <w:t>资质条件：见附录1</w:t>
            </w:r>
          </w:p>
          <w:p>
            <w:pPr>
              <w:spacing w:line="240" w:lineRule="exact"/>
              <w:ind w:left="147" w:leftChars="67"/>
              <w:rPr>
                <w:rFonts w:ascii="Times New Roman" w:hAnsi="Times New Roman" w:eastAsia="宋体" w:cs="Times New Roman"/>
                <w:color w:val="auto"/>
                <w:spacing w:val="-3"/>
                <w:sz w:val="21"/>
                <w:highlight w:val="none"/>
              </w:rPr>
            </w:pPr>
            <w:r>
              <w:rPr>
                <w:rFonts w:ascii="Times New Roman" w:hAnsi="Times New Roman" w:eastAsia="宋体" w:cs="Times New Roman"/>
                <w:color w:val="auto"/>
                <w:spacing w:val="-3"/>
                <w:sz w:val="21"/>
                <w:highlight w:val="none"/>
              </w:rPr>
              <w:t>业绩要求：见附录2</w:t>
            </w:r>
          </w:p>
          <w:p>
            <w:pPr>
              <w:spacing w:line="240" w:lineRule="exact"/>
              <w:ind w:left="147" w:leftChars="67"/>
              <w:rPr>
                <w:rFonts w:ascii="Arial" w:eastAsia="Arial"/>
                <w:color w:val="auto"/>
                <w:spacing w:val="-17"/>
                <w:sz w:val="21"/>
                <w:highlight w:val="none"/>
              </w:rPr>
            </w:pPr>
            <w:r>
              <w:rPr>
                <w:rFonts w:ascii="Times New Roman" w:hAnsi="Times New Roman" w:eastAsia="宋体" w:cs="Times New Roman"/>
                <w:color w:val="auto"/>
                <w:spacing w:val="-3"/>
                <w:sz w:val="21"/>
                <w:highlight w:val="none"/>
              </w:rPr>
              <w:t>主要人员要求：见</w:t>
            </w:r>
            <w:r>
              <w:rPr>
                <w:color w:val="auto"/>
                <w:spacing w:val="-3"/>
                <w:sz w:val="21"/>
                <w:highlight w:val="none"/>
              </w:rPr>
              <w:t>附录</w:t>
            </w:r>
            <w:r>
              <w:rPr>
                <w:rFonts w:ascii="Arial" w:eastAsia="Arial"/>
                <w:color w:val="auto"/>
                <w:spacing w:val="-17"/>
                <w:sz w:val="21"/>
                <w:highlight w:val="none"/>
              </w:rPr>
              <w:t xml:space="preserve">3 </w:t>
            </w:r>
          </w:p>
          <w:p>
            <w:pPr>
              <w:spacing w:line="240" w:lineRule="exact"/>
              <w:ind w:left="147" w:leftChars="67"/>
              <w:rPr>
                <w:rFonts w:hint="eastAsia"/>
                <w:b/>
                <w:i/>
                <w:color w:val="auto"/>
                <w:szCs w:val="21"/>
                <w:highlight w:val="none"/>
              </w:rPr>
            </w:pPr>
            <w:r>
              <w:rPr>
                <w:color w:val="auto"/>
                <w:spacing w:val="-3"/>
                <w:sz w:val="21"/>
                <w:highlight w:val="none"/>
              </w:rPr>
              <w:t>信誉要求：见附录</w:t>
            </w:r>
            <w:r>
              <w:rPr>
                <w:rFonts w:ascii="Arial" w:eastAsia="Arial"/>
                <w:color w:val="auto"/>
                <w:sz w:val="21"/>
                <w:highlight w:val="none"/>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1.4.2</w:t>
            </w:r>
          </w:p>
        </w:tc>
        <w:tc>
          <w:tcPr>
            <w:tcW w:w="2447" w:type="dxa"/>
            <w:noWrap w:val="0"/>
            <w:vAlign w:val="center"/>
          </w:tcPr>
          <w:p>
            <w:pPr>
              <w:spacing w:line="260" w:lineRule="exact"/>
              <w:jc w:val="center"/>
              <w:rPr>
                <w:color w:val="auto"/>
                <w:szCs w:val="21"/>
                <w:highlight w:val="none"/>
              </w:rPr>
            </w:pPr>
            <w:r>
              <w:rPr>
                <w:color w:val="auto"/>
                <w:szCs w:val="21"/>
                <w:highlight w:val="none"/>
              </w:rPr>
              <w:t>是否接受联合体投标</w:t>
            </w:r>
          </w:p>
        </w:tc>
        <w:tc>
          <w:tcPr>
            <w:tcW w:w="6375" w:type="dxa"/>
            <w:noWrap w:val="0"/>
            <w:vAlign w:val="center"/>
          </w:tcPr>
          <w:p>
            <w:pPr>
              <w:spacing w:line="240" w:lineRule="exact"/>
              <w:ind w:left="147" w:leftChars="67"/>
              <w:rPr>
                <w:rFonts w:hint="eastAsia"/>
                <w:color w:val="auto"/>
                <w:szCs w:val="21"/>
                <w:highlight w:val="none"/>
              </w:rPr>
            </w:pPr>
            <w:r>
              <w:rPr>
                <w:color w:val="auto"/>
                <w:szCs w:val="21"/>
                <w:highlight w:val="none"/>
              </w:rPr>
              <w:t>不接受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1.9.1</w:t>
            </w:r>
          </w:p>
        </w:tc>
        <w:tc>
          <w:tcPr>
            <w:tcW w:w="2447" w:type="dxa"/>
            <w:noWrap w:val="0"/>
            <w:vAlign w:val="center"/>
          </w:tcPr>
          <w:p>
            <w:pPr>
              <w:spacing w:line="360" w:lineRule="exact"/>
              <w:jc w:val="center"/>
              <w:rPr>
                <w:color w:val="auto"/>
                <w:szCs w:val="21"/>
                <w:highlight w:val="none"/>
              </w:rPr>
            </w:pPr>
            <w:r>
              <w:rPr>
                <w:color w:val="auto"/>
                <w:szCs w:val="21"/>
                <w:highlight w:val="none"/>
              </w:rPr>
              <w:t>踏勘现场</w:t>
            </w:r>
          </w:p>
        </w:tc>
        <w:tc>
          <w:tcPr>
            <w:tcW w:w="6375" w:type="dxa"/>
            <w:noWrap w:val="0"/>
            <w:vAlign w:val="center"/>
          </w:tcPr>
          <w:p>
            <w:pPr>
              <w:spacing w:line="240" w:lineRule="exact"/>
              <w:ind w:left="147" w:leftChars="67"/>
              <w:rPr>
                <w:color w:val="auto"/>
                <w:szCs w:val="21"/>
                <w:highlight w:val="none"/>
              </w:rPr>
            </w:pPr>
            <w:r>
              <w:rPr>
                <w:color w:val="auto"/>
                <w:szCs w:val="21"/>
                <w:highlight w:val="none"/>
              </w:rPr>
              <w:t>不组织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1.10.1</w:t>
            </w:r>
          </w:p>
        </w:tc>
        <w:tc>
          <w:tcPr>
            <w:tcW w:w="2447" w:type="dxa"/>
            <w:noWrap w:val="0"/>
            <w:vAlign w:val="center"/>
          </w:tcPr>
          <w:p>
            <w:pPr>
              <w:spacing w:line="360" w:lineRule="exact"/>
              <w:jc w:val="center"/>
              <w:rPr>
                <w:color w:val="auto"/>
                <w:szCs w:val="21"/>
                <w:highlight w:val="none"/>
              </w:rPr>
            </w:pPr>
            <w:r>
              <w:rPr>
                <w:color w:val="auto"/>
                <w:szCs w:val="21"/>
                <w:highlight w:val="none"/>
              </w:rPr>
              <w:t>投标预备会</w:t>
            </w:r>
          </w:p>
        </w:tc>
        <w:tc>
          <w:tcPr>
            <w:tcW w:w="6375" w:type="dxa"/>
            <w:noWrap w:val="0"/>
            <w:vAlign w:val="center"/>
          </w:tcPr>
          <w:p>
            <w:pPr>
              <w:spacing w:line="240" w:lineRule="exact"/>
              <w:ind w:left="147" w:leftChars="67"/>
              <w:rPr>
                <w:color w:val="auto"/>
                <w:szCs w:val="21"/>
                <w:highlight w:val="none"/>
              </w:rPr>
            </w:pPr>
            <w:r>
              <w:rPr>
                <w:color w:val="auto"/>
                <w:szCs w:val="21"/>
                <w:highlight w:val="none"/>
              </w:rPr>
              <w:t>不召开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1.10.2</w:t>
            </w:r>
          </w:p>
        </w:tc>
        <w:tc>
          <w:tcPr>
            <w:tcW w:w="2447" w:type="dxa"/>
            <w:noWrap w:val="0"/>
            <w:vAlign w:val="center"/>
          </w:tcPr>
          <w:p>
            <w:pPr>
              <w:spacing w:line="240" w:lineRule="exact"/>
              <w:jc w:val="center"/>
              <w:rPr>
                <w:color w:val="auto"/>
                <w:szCs w:val="21"/>
                <w:highlight w:val="none"/>
              </w:rPr>
            </w:pPr>
            <w:r>
              <w:rPr>
                <w:color w:val="auto"/>
                <w:szCs w:val="21"/>
                <w:highlight w:val="none"/>
              </w:rPr>
              <w:t>投标人提出问题的截止时间</w:t>
            </w:r>
          </w:p>
        </w:tc>
        <w:tc>
          <w:tcPr>
            <w:tcW w:w="6375" w:type="dxa"/>
            <w:noWrap w:val="0"/>
            <w:vAlign w:val="center"/>
          </w:tcPr>
          <w:p>
            <w:pPr>
              <w:spacing w:line="240" w:lineRule="exact"/>
              <w:ind w:left="147" w:leftChars="67"/>
              <w:rPr>
                <w:color w:val="auto"/>
                <w:szCs w:val="21"/>
                <w:highlight w:val="none"/>
              </w:rPr>
            </w:pPr>
            <w:r>
              <w:rPr>
                <w:rFonts w:hint="eastAsia"/>
                <w:color w:val="auto"/>
                <w:szCs w:val="21"/>
                <w:highlight w:val="none"/>
              </w:rPr>
              <w:t>投标人对招标文件要求澄清的，应在递交投标文件截止之日1</w:t>
            </w:r>
            <w:r>
              <w:rPr>
                <w:color w:val="auto"/>
                <w:szCs w:val="21"/>
                <w:highlight w:val="none"/>
              </w:rPr>
              <w:t>6</w:t>
            </w:r>
            <w:r>
              <w:rPr>
                <w:rFonts w:hint="eastAsia"/>
                <w:color w:val="auto"/>
                <w:szCs w:val="21"/>
                <w:highlight w:val="none"/>
              </w:rPr>
              <w:t>天前（以收到日期为准）提出。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1.10.3</w:t>
            </w:r>
          </w:p>
        </w:tc>
        <w:tc>
          <w:tcPr>
            <w:tcW w:w="2447" w:type="dxa"/>
            <w:noWrap w:val="0"/>
            <w:vAlign w:val="center"/>
          </w:tcPr>
          <w:p>
            <w:pPr>
              <w:spacing w:line="240" w:lineRule="exact"/>
              <w:jc w:val="center"/>
              <w:rPr>
                <w:color w:val="auto"/>
                <w:szCs w:val="21"/>
                <w:highlight w:val="none"/>
              </w:rPr>
            </w:pPr>
            <w:r>
              <w:rPr>
                <w:color w:val="auto"/>
                <w:szCs w:val="21"/>
                <w:highlight w:val="none"/>
              </w:rPr>
              <w:t>招标人书面澄清的时间</w:t>
            </w:r>
          </w:p>
        </w:tc>
        <w:tc>
          <w:tcPr>
            <w:tcW w:w="6375" w:type="dxa"/>
            <w:noWrap w:val="0"/>
            <w:vAlign w:val="center"/>
          </w:tcPr>
          <w:p>
            <w:pPr>
              <w:spacing w:line="240" w:lineRule="exact"/>
              <w:ind w:left="147" w:leftChars="67"/>
              <w:rPr>
                <w:color w:val="auto"/>
                <w:szCs w:val="21"/>
                <w:highlight w:val="none"/>
              </w:rPr>
            </w:pPr>
            <w:r>
              <w:rPr>
                <w:color w:val="auto"/>
                <w:szCs w:val="21"/>
                <w:highlight w:val="none"/>
              </w:rPr>
              <w:t>递交投标文件截止之日15日前（以发出日期为准）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1.11</w:t>
            </w:r>
          </w:p>
        </w:tc>
        <w:tc>
          <w:tcPr>
            <w:tcW w:w="2447" w:type="dxa"/>
            <w:noWrap w:val="0"/>
            <w:vAlign w:val="center"/>
          </w:tcPr>
          <w:p>
            <w:pPr>
              <w:spacing w:line="240" w:lineRule="exact"/>
              <w:jc w:val="center"/>
              <w:rPr>
                <w:color w:val="auto"/>
                <w:szCs w:val="21"/>
                <w:highlight w:val="none"/>
              </w:rPr>
            </w:pPr>
            <w:r>
              <w:rPr>
                <w:color w:val="auto"/>
                <w:szCs w:val="21"/>
                <w:highlight w:val="none"/>
              </w:rPr>
              <w:t>分包</w:t>
            </w:r>
          </w:p>
        </w:tc>
        <w:tc>
          <w:tcPr>
            <w:tcW w:w="6375" w:type="dxa"/>
            <w:noWrap w:val="0"/>
            <w:vAlign w:val="center"/>
          </w:tcPr>
          <w:p>
            <w:pPr>
              <w:spacing w:line="240" w:lineRule="exact"/>
              <w:ind w:firstLine="101" w:firstLineChars="50"/>
              <w:rPr>
                <w:color w:val="auto"/>
                <w:szCs w:val="21"/>
                <w:highlight w:val="none"/>
              </w:rPr>
            </w:pPr>
            <w:r>
              <w:rPr>
                <w:color w:val="auto"/>
                <w:spacing w:val="-4"/>
                <w:sz w:val="21"/>
                <w:highlight w:val="none"/>
                <w:shd w:val="clear" w:color="auto"/>
              </w:rPr>
              <w:t>允许，若遇投标人设计资质承揽范围外的专业设计工作，投标人可</w:t>
            </w:r>
            <w:r>
              <w:rPr>
                <w:rFonts w:hint="eastAsia"/>
                <w:color w:val="auto"/>
                <w:spacing w:val="-4"/>
                <w:sz w:val="21"/>
                <w:highlight w:val="none"/>
                <w:shd w:val="clear" w:color="auto"/>
                <w:lang w:eastAsia="zh-CN"/>
              </w:rPr>
              <w:t>分包给</w:t>
            </w:r>
            <w:r>
              <w:rPr>
                <w:color w:val="auto"/>
                <w:spacing w:val="-3"/>
                <w:sz w:val="21"/>
                <w:highlight w:val="none"/>
                <w:shd w:val="clear" w:color="auto"/>
              </w:rPr>
              <w:t>具有相关设计资质的单位实施，分包前需将分包单位信息上报招标人审批通过后方可分包。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1.12</w:t>
            </w:r>
          </w:p>
        </w:tc>
        <w:tc>
          <w:tcPr>
            <w:tcW w:w="2447" w:type="dxa"/>
            <w:noWrap w:val="0"/>
            <w:vAlign w:val="center"/>
          </w:tcPr>
          <w:p>
            <w:pPr>
              <w:spacing w:line="240" w:lineRule="exact"/>
              <w:jc w:val="center"/>
              <w:rPr>
                <w:color w:val="auto"/>
                <w:szCs w:val="21"/>
                <w:highlight w:val="none"/>
              </w:rPr>
            </w:pPr>
            <w:r>
              <w:rPr>
                <w:color w:val="auto"/>
                <w:szCs w:val="21"/>
                <w:highlight w:val="none"/>
              </w:rPr>
              <w:t>偏离</w:t>
            </w:r>
          </w:p>
        </w:tc>
        <w:tc>
          <w:tcPr>
            <w:tcW w:w="6375" w:type="dxa"/>
            <w:noWrap w:val="0"/>
            <w:vAlign w:val="center"/>
          </w:tcPr>
          <w:p>
            <w:pPr>
              <w:spacing w:line="240" w:lineRule="exact"/>
              <w:ind w:left="147" w:leftChars="67"/>
              <w:rPr>
                <w:color w:val="auto"/>
                <w:szCs w:val="21"/>
                <w:highlight w:val="none"/>
              </w:rPr>
            </w:pPr>
            <w:r>
              <w:rPr>
                <w:color w:val="auto"/>
                <w:szCs w:val="21"/>
                <w:highlight w:val="none"/>
              </w:rPr>
              <w:t>允许细微偏差，不允许重大偏差</w:t>
            </w:r>
            <w:r>
              <w:rPr>
                <w:rFonts w:hint="eastAsia"/>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11" w:hRule="atLeast"/>
          <w:jc w:val="center"/>
        </w:trPr>
        <w:tc>
          <w:tcPr>
            <w:tcW w:w="1050" w:type="dxa"/>
            <w:noWrap w:val="0"/>
            <w:vAlign w:val="center"/>
          </w:tcPr>
          <w:p>
            <w:pPr>
              <w:jc w:val="center"/>
              <w:rPr>
                <w:rFonts w:hint="eastAsia" w:hAnsi="宋体"/>
                <w:color w:val="auto"/>
                <w:szCs w:val="21"/>
                <w:highlight w:val="none"/>
              </w:rPr>
            </w:pPr>
            <w:r>
              <w:rPr>
                <w:rFonts w:hint="eastAsia" w:hAnsi="宋体"/>
                <w:color w:val="auto"/>
                <w:szCs w:val="21"/>
                <w:highlight w:val="none"/>
              </w:rPr>
              <w:t>2.1</w:t>
            </w:r>
          </w:p>
        </w:tc>
        <w:tc>
          <w:tcPr>
            <w:tcW w:w="2447" w:type="dxa"/>
            <w:noWrap w:val="0"/>
            <w:vAlign w:val="center"/>
          </w:tcPr>
          <w:p>
            <w:pPr>
              <w:spacing w:line="240" w:lineRule="exact"/>
              <w:jc w:val="center"/>
              <w:rPr>
                <w:rFonts w:hint="eastAsia" w:ascii="宋体" w:hAnsi="宋体"/>
                <w:color w:val="auto"/>
                <w:szCs w:val="21"/>
                <w:highlight w:val="none"/>
              </w:rPr>
            </w:pPr>
            <w:r>
              <w:rPr>
                <w:rFonts w:hint="eastAsia"/>
                <w:color w:val="auto"/>
                <w:szCs w:val="21"/>
                <w:highlight w:val="none"/>
              </w:rPr>
              <w:t>构成招标文件的其他材料</w:t>
            </w:r>
          </w:p>
        </w:tc>
        <w:tc>
          <w:tcPr>
            <w:tcW w:w="6375" w:type="dxa"/>
            <w:noWrap w:val="0"/>
            <w:vAlign w:val="center"/>
          </w:tcPr>
          <w:p>
            <w:pPr>
              <w:spacing w:line="240" w:lineRule="exact"/>
              <w:ind w:left="147" w:leftChars="67"/>
              <w:rPr>
                <w:rFonts w:hint="eastAsia" w:ascii="宋体" w:hAnsi="宋体"/>
                <w:color w:val="auto"/>
                <w:szCs w:val="21"/>
                <w:highlight w:val="none"/>
              </w:rPr>
            </w:pPr>
            <w:r>
              <w:rPr>
                <w:rFonts w:hint="eastAsia"/>
                <w:color w:val="auto"/>
                <w:szCs w:val="21"/>
                <w:highlight w:val="none"/>
              </w:rPr>
              <w:t>招标人按规定报备后标有编号的补遗书（如有）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jc w:val="center"/>
              <w:rPr>
                <w:rFonts w:hint="eastAsia" w:hAnsi="宋体"/>
                <w:color w:val="auto"/>
                <w:szCs w:val="21"/>
                <w:highlight w:val="none"/>
              </w:rPr>
            </w:pPr>
            <w:r>
              <w:rPr>
                <w:rFonts w:hint="eastAsia" w:hAnsi="宋体"/>
                <w:color w:val="auto"/>
                <w:szCs w:val="21"/>
                <w:highlight w:val="none"/>
              </w:rPr>
              <w:t>2.2</w:t>
            </w:r>
            <w:r>
              <w:rPr>
                <w:rFonts w:hAnsi="宋体"/>
                <w:color w:val="auto"/>
                <w:szCs w:val="21"/>
                <w:highlight w:val="none"/>
              </w:rPr>
              <w:t>.1</w:t>
            </w:r>
          </w:p>
        </w:tc>
        <w:tc>
          <w:tcPr>
            <w:tcW w:w="2447" w:type="dxa"/>
            <w:noWrap w:val="0"/>
            <w:vAlign w:val="center"/>
          </w:tcPr>
          <w:p>
            <w:pPr>
              <w:spacing w:line="240" w:lineRule="exact"/>
              <w:jc w:val="center"/>
              <w:rPr>
                <w:rFonts w:hint="eastAsia" w:ascii="宋体" w:hAnsi="宋体"/>
                <w:color w:val="auto"/>
                <w:szCs w:val="21"/>
                <w:highlight w:val="none"/>
              </w:rPr>
            </w:pPr>
            <w:r>
              <w:rPr>
                <w:rFonts w:hint="eastAsia"/>
                <w:color w:val="auto"/>
                <w:szCs w:val="21"/>
                <w:highlight w:val="none"/>
              </w:rPr>
              <w:t>投标人要求澄清招标文件的截止时间</w:t>
            </w:r>
          </w:p>
        </w:tc>
        <w:tc>
          <w:tcPr>
            <w:tcW w:w="6375" w:type="dxa"/>
            <w:noWrap w:val="0"/>
            <w:vAlign w:val="center"/>
          </w:tcPr>
          <w:p>
            <w:pPr>
              <w:spacing w:line="240" w:lineRule="exact"/>
              <w:ind w:left="147" w:leftChars="67"/>
              <w:rPr>
                <w:rFonts w:hint="eastAsia" w:ascii="宋体" w:hAnsi="宋体"/>
                <w:color w:val="auto"/>
                <w:szCs w:val="21"/>
                <w:highlight w:val="none"/>
              </w:rPr>
            </w:pPr>
            <w:r>
              <w:rPr>
                <w:rFonts w:hint="eastAsia"/>
                <w:color w:val="auto"/>
                <w:szCs w:val="21"/>
                <w:highlight w:val="none"/>
              </w:rPr>
              <w:t>递交投标文件截止之日1</w:t>
            </w:r>
            <w:r>
              <w:rPr>
                <w:color w:val="auto"/>
                <w:szCs w:val="21"/>
                <w:highlight w:val="none"/>
              </w:rPr>
              <w:t>6</w:t>
            </w:r>
            <w:r>
              <w:rPr>
                <w:rFonts w:hint="eastAsia"/>
                <w:color w:val="auto"/>
                <w:szCs w:val="21"/>
                <w:highlight w:val="none"/>
              </w:rPr>
              <w:t>日前（以收到日期为准）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2.2.2</w:t>
            </w:r>
          </w:p>
        </w:tc>
        <w:tc>
          <w:tcPr>
            <w:tcW w:w="2447" w:type="dxa"/>
            <w:noWrap w:val="0"/>
            <w:vAlign w:val="center"/>
          </w:tcPr>
          <w:p>
            <w:pPr>
              <w:spacing w:line="240" w:lineRule="exact"/>
              <w:jc w:val="center"/>
              <w:rPr>
                <w:color w:val="auto"/>
                <w:szCs w:val="21"/>
                <w:highlight w:val="none"/>
              </w:rPr>
            </w:pPr>
            <w:r>
              <w:rPr>
                <w:color w:val="auto"/>
                <w:szCs w:val="21"/>
                <w:highlight w:val="none"/>
              </w:rPr>
              <w:t>投标截止时间</w:t>
            </w:r>
          </w:p>
        </w:tc>
        <w:tc>
          <w:tcPr>
            <w:tcW w:w="6375" w:type="dxa"/>
            <w:noWrap w:val="0"/>
            <w:vAlign w:val="center"/>
          </w:tcPr>
          <w:p>
            <w:pPr>
              <w:spacing w:line="240" w:lineRule="exact"/>
              <w:ind w:left="147" w:leftChars="67"/>
              <w:rPr>
                <w:rFonts w:hint="eastAsia"/>
                <w:color w:val="auto"/>
                <w:szCs w:val="21"/>
                <w:highlight w:val="none"/>
              </w:rPr>
            </w:pPr>
            <w:r>
              <w:rPr>
                <w:rFonts w:hint="eastAsia"/>
                <w:color w:val="auto"/>
                <w:szCs w:val="21"/>
                <w:highlight w:val="none"/>
              </w:rPr>
              <w:t>详见招标公告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rFonts w:hint="eastAsia"/>
                <w:color w:val="auto"/>
                <w:szCs w:val="21"/>
                <w:highlight w:val="none"/>
              </w:rPr>
            </w:pPr>
            <w:r>
              <w:rPr>
                <w:rFonts w:hint="eastAsia"/>
                <w:color w:val="auto"/>
                <w:szCs w:val="21"/>
                <w:highlight w:val="none"/>
              </w:rPr>
              <w:t>2.2.3</w:t>
            </w:r>
          </w:p>
        </w:tc>
        <w:tc>
          <w:tcPr>
            <w:tcW w:w="2447" w:type="dxa"/>
            <w:noWrap w:val="0"/>
            <w:vAlign w:val="center"/>
          </w:tcPr>
          <w:p>
            <w:pPr>
              <w:spacing w:line="240" w:lineRule="exact"/>
              <w:jc w:val="center"/>
              <w:rPr>
                <w:rFonts w:hint="eastAsia"/>
                <w:color w:val="auto"/>
                <w:szCs w:val="21"/>
                <w:highlight w:val="none"/>
              </w:rPr>
            </w:pPr>
            <w:r>
              <w:rPr>
                <w:rFonts w:hint="eastAsia"/>
                <w:color w:val="auto"/>
                <w:szCs w:val="21"/>
                <w:highlight w:val="none"/>
              </w:rPr>
              <w:t>投标人确认收到招标文件澄清的时间</w:t>
            </w:r>
          </w:p>
        </w:tc>
        <w:tc>
          <w:tcPr>
            <w:tcW w:w="6375" w:type="dxa"/>
            <w:noWrap w:val="0"/>
            <w:vAlign w:val="center"/>
          </w:tcPr>
          <w:p>
            <w:pPr>
              <w:spacing w:line="240" w:lineRule="exact"/>
              <w:ind w:left="147" w:leftChars="67"/>
              <w:rPr>
                <w:color w:val="auto"/>
                <w:szCs w:val="21"/>
                <w:highlight w:val="none"/>
              </w:rPr>
            </w:pPr>
            <w:r>
              <w:rPr>
                <w:rFonts w:hint="eastAsia"/>
                <w:color w:val="auto"/>
                <w:szCs w:val="21"/>
                <w:highlight w:val="none"/>
              </w:rPr>
              <w:t>投标人在下载补充、澄清、修改资料后，无需向招标人确认收悉。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rFonts w:hint="eastAsia"/>
                <w:color w:val="auto"/>
                <w:szCs w:val="21"/>
                <w:highlight w:val="none"/>
              </w:rPr>
            </w:pPr>
            <w:r>
              <w:rPr>
                <w:rFonts w:hint="eastAsia"/>
                <w:color w:val="auto"/>
                <w:szCs w:val="21"/>
                <w:highlight w:val="none"/>
              </w:rPr>
              <w:t>2.3.2</w:t>
            </w:r>
          </w:p>
        </w:tc>
        <w:tc>
          <w:tcPr>
            <w:tcW w:w="2447" w:type="dxa"/>
            <w:noWrap w:val="0"/>
            <w:vAlign w:val="center"/>
          </w:tcPr>
          <w:p>
            <w:pPr>
              <w:spacing w:line="240" w:lineRule="exact"/>
              <w:jc w:val="center"/>
              <w:rPr>
                <w:rFonts w:hint="eastAsia"/>
                <w:color w:val="auto"/>
                <w:szCs w:val="21"/>
                <w:highlight w:val="none"/>
              </w:rPr>
            </w:pPr>
            <w:r>
              <w:rPr>
                <w:rFonts w:hint="eastAsia"/>
                <w:color w:val="auto"/>
                <w:szCs w:val="21"/>
                <w:highlight w:val="none"/>
              </w:rPr>
              <w:t>投标人确认收到招标文件修改的时间</w:t>
            </w:r>
          </w:p>
        </w:tc>
        <w:tc>
          <w:tcPr>
            <w:tcW w:w="6375" w:type="dxa"/>
            <w:noWrap w:val="0"/>
            <w:vAlign w:val="center"/>
          </w:tcPr>
          <w:p>
            <w:pPr>
              <w:spacing w:line="240" w:lineRule="exact"/>
              <w:ind w:left="147" w:leftChars="67"/>
              <w:rPr>
                <w:color w:val="auto"/>
                <w:szCs w:val="21"/>
                <w:highlight w:val="none"/>
              </w:rPr>
            </w:pPr>
            <w:r>
              <w:rPr>
                <w:rFonts w:hint="eastAsia"/>
                <w:color w:val="auto"/>
                <w:szCs w:val="21"/>
                <w:highlight w:val="none"/>
              </w:rPr>
              <w:t>投标人在下载补充、澄清、修改资料后，无需向招标人确认收悉。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3.1.1</w:t>
            </w:r>
          </w:p>
        </w:tc>
        <w:tc>
          <w:tcPr>
            <w:tcW w:w="2447" w:type="dxa"/>
            <w:noWrap w:val="0"/>
            <w:vAlign w:val="center"/>
          </w:tcPr>
          <w:p>
            <w:pPr>
              <w:pStyle w:val="31"/>
              <w:spacing w:before="80"/>
              <w:ind w:left="405" w:leftChars="0" w:right="378" w:rightChars="0"/>
              <w:jc w:val="center"/>
              <w:rPr>
                <w:color w:val="auto"/>
                <w:szCs w:val="21"/>
                <w:highlight w:val="none"/>
              </w:rPr>
            </w:pPr>
            <w:r>
              <w:rPr>
                <w:color w:val="auto"/>
                <w:sz w:val="21"/>
                <w:highlight w:val="none"/>
              </w:rPr>
              <w:t>投标文件形式</w:t>
            </w:r>
          </w:p>
        </w:tc>
        <w:tc>
          <w:tcPr>
            <w:tcW w:w="6375" w:type="dxa"/>
            <w:noWrap w:val="0"/>
            <w:vAlign w:val="top"/>
          </w:tcPr>
          <w:p>
            <w:pPr>
              <w:pStyle w:val="31"/>
              <w:spacing w:before="80"/>
              <w:ind w:left="114" w:leftChars="0"/>
              <w:rPr>
                <w:i/>
                <w:color w:val="auto"/>
                <w:szCs w:val="21"/>
                <w:highlight w:val="none"/>
              </w:rPr>
            </w:pPr>
            <w:r>
              <w:rPr>
                <w:color w:val="auto"/>
                <w:sz w:val="21"/>
                <w:highlight w:val="none"/>
              </w:rPr>
              <w:t>双信封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pStyle w:val="31"/>
              <w:spacing w:before="93"/>
              <w:ind w:left="213" w:leftChars="0"/>
              <w:rPr>
                <w:color w:val="auto"/>
                <w:szCs w:val="21"/>
                <w:highlight w:val="none"/>
              </w:rPr>
            </w:pPr>
            <w:r>
              <w:rPr>
                <w:rFonts w:ascii="Arial"/>
                <w:color w:val="auto"/>
                <w:sz w:val="21"/>
                <w:highlight w:val="none"/>
              </w:rPr>
              <w:t>3.2.2</w:t>
            </w:r>
          </w:p>
        </w:tc>
        <w:tc>
          <w:tcPr>
            <w:tcW w:w="2447" w:type="dxa"/>
            <w:noWrap w:val="0"/>
            <w:vAlign w:val="center"/>
          </w:tcPr>
          <w:p>
            <w:pPr>
              <w:pStyle w:val="31"/>
              <w:spacing w:line="264" w:lineRule="exact"/>
              <w:jc w:val="center"/>
              <w:rPr>
                <w:color w:val="auto"/>
                <w:spacing w:val="-3"/>
                <w:sz w:val="21"/>
                <w:highlight w:val="none"/>
              </w:rPr>
            </w:pPr>
            <w:r>
              <w:rPr>
                <w:color w:val="auto"/>
                <w:spacing w:val="-3"/>
                <w:sz w:val="21"/>
                <w:highlight w:val="none"/>
              </w:rPr>
              <w:t>招标人是否设有最高</w:t>
            </w:r>
          </w:p>
          <w:p>
            <w:pPr>
              <w:pStyle w:val="31"/>
              <w:spacing w:line="264" w:lineRule="exact"/>
              <w:jc w:val="center"/>
              <w:rPr>
                <w:color w:val="auto"/>
                <w:szCs w:val="21"/>
                <w:highlight w:val="none"/>
              </w:rPr>
            </w:pPr>
            <w:r>
              <w:rPr>
                <w:color w:val="auto"/>
                <w:spacing w:val="-3"/>
                <w:sz w:val="21"/>
                <w:highlight w:val="none"/>
              </w:rPr>
              <w:t>投标限价</w:t>
            </w:r>
          </w:p>
        </w:tc>
        <w:tc>
          <w:tcPr>
            <w:tcW w:w="6375" w:type="dxa"/>
            <w:noWrap w:val="0"/>
            <w:vAlign w:val="center"/>
          </w:tcPr>
          <w:p>
            <w:pPr>
              <w:pStyle w:val="31"/>
              <w:spacing w:line="264" w:lineRule="exact"/>
              <w:ind w:left="215" w:leftChars="0"/>
              <w:jc w:val="both"/>
              <w:rPr>
                <w:color w:val="auto"/>
                <w:szCs w:val="21"/>
                <w:highlight w:val="none"/>
              </w:rPr>
            </w:pPr>
            <w:r>
              <w:rPr>
                <w:rFonts w:hint="eastAsia"/>
                <w:b/>
                <w:bCs/>
                <w:color w:val="auto"/>
                <w:spacing w:val="-3"/>
                <w:sz w:val="21"/>
                <w:highlight w:val="none"/>
                <w:lang w:eastAsia="zh-CN"/>
              </w:rPr>
              <w:t>本</w:t>
            </w:r>
            <w:r>
              <w:rPr>
                <w:rFonts w:hint="eastAsia"/>
                <w:b/>
                <w:bCs/>
                <w:color w:val="auto"/>
                <w:spacing w:val="-3"/>
                <w:sz w:val="21"/>
                <w:highlight w:val="none"/>
                <w:lang w:val="en-US" w:eastAsia="zh-CN"/>
              </w:rPr>
              <w:t>标段：</w:t>
            </w:r>
            <w:r>
              <w:rPr>
                <w:b/>
                <w:bCs/>
                <w:color w:val="auto"/>
                <w:spacing w:val="-3"/>
                <w:sz w:val="21"/>
                <w:highlight w:val="none"/>
              </w:rPr>
              <w:t>是，最高投标限价为</w:t>
            </w:r>
            <w:r>
              <w:rPr>
                <w:b/>
                <w:bCs/>
                <w:strike w:val="0"/>
                <w:dstrike w:val="0"/>
                <w:color w:val="auto"/>
                <w:spacing w:val="-3"/>
                <w:sz w:val="21"/>
                <w:highlight w:val="none"/>
              </w:rPr>
              <w:t>各项目</w:t>
            </w:r>
            <w:r>
              <w:rPr>
                <w:b/>
                <w:bCs/>
                <w:strike w:val="0"/>
                <w:color w:val="auto"/>
                <w:spacing w:val="-3"/>
                <w:sz w:val="21"/>
                <w:highlight w:val="none"/>
              </w:rPr>
              <w:t>上</w:t>
            </w:r>
            <w:r>
              <w:rPr>
                <w:b/>
                <w:bCs/>
                <w:color w:val="auto"/>
                <w:spacing w:val="-3"/>
                <w:sz w:val="21"/>
                <w:highlight w:val="none"/>
              </w:rPr>
              <w:t>级部门批复</w:t>
            </w:r>
            <w:r>
              <w:rPr>
                <w:rFonts w:hint="eastAsia"/>
                <w:b/>
                <w:bCs/>
                <w:color w:val="auto"/>
                <w:spacing w:val="-3"/>
                <w:sz w:val="21"/>
                <w:highlight w:val="none"/>
                <w:lang w:eastAsia="zh-CN"/>
              </w:rPr>
              <w:t>预算中的公路养护工程设计费与公路养护工程勘察、路况检测费之和</w:t>
            </w:r>
            <w:r>
              <w:rPr>
                <w:b/>
                <w:bCs/>
                <w:color w:val="auto"/>
                <w:spacing w:val="-3"/>
                <w:sz w:val="21"/>
                <w:highlight w:val="none"/>
              </w:rPr>
              <w:t>的</w:t>
            </w:r>
            <w:r>
              <w:rPr>
                <w:rFonts w:hint="eastAsia"/>
                <w:b/>
                <w:bCs/>
                <w:color w:val="auto"/>
                <w:spacing w:val="-3"/>
                <w:sz w:val="21"/>
                <w:highlight w:val="none"/>
                <w:lang w:val="en-US" w:eastAsia="zh-CN"/>
              </w:rPr>
              <w:t>9</w:t>
            </w:r>
            <w:r>
              <w:rPr>
                <w:b/>
                <w:bCs/>
                <w:color w:val="auto"/>
                <w:spacing w:val="-3"/>
                <w:sz w:val="21"/>
                <w:highlight w:val="none"/>
              </w:rPr>
              <w:t>0%</w:t>
            </w:r>
            <w:r>
              <w:rPr>
                <w:rFonts w:ascii="宋体" w:hAnsi="宋体" w:eastAsia="宋体" w:cs="宋体"/>
                <w:b/>
                <w:bCs/>
                <w:color w:val="auto"/>
                <w:spacing w:val="-3"/>
                <w:sz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3.2.5</w:t>
            </w:r>
          </w:p>
        </w:tc>
        <w:tc>
          <w:tcPr>
            <w:tcW w:w="2447" w:type="dxa"/>
            <w:noWrap w:val="0"/>
            <w:vAlign w:val="center"/>
          </w:tcPr>
          <w:p>
            <w:pPr>
              <w:spacing w:line="240" w:lineRule="exact"/>
              <w:jc w:val="center"/>
              <w:rPr>
                <w:color w:val="auto"/>
                <w:szCs w:val="21"/>
                <w:highlight w:val="none"/>
              </w:rPr>
            </w:pPr>
            <w:r>
              <w:rPr>
                <w:color w:val="auto"/>
                <w:szCs w:val="21"/>
                <w:highlight w:val="none"/>
              </w:rPr>
              <w:t>是否接受调价函</w:t>
            </w:r>
          </w:p>
        </w:tc>
        <w:tc>
          <w:tcPr>
            <w:tcW w:w="6375" w:type="dxa"/>
            <w:noWrap w:val="0"/>
            <w:vAlign w:val="center"/>
          </w:tcPr>
          <w:p>
            <w:pPr>
              <w:spacing w:line="240" w:lineRule="exact"/>
              <w:ind w:left="147" w:leftChars="67"/>
              <w:rPr>
                <w:color w:val="auto"/>
                <w:szCs w:val="21"/>
                <w:highlight w:val="none"/>
              </w:rPr>
            </w:pPr>
            <w:r>
              <w:rPr>
                <w:color w:val="auto"/>
                <w:szCs w:val="21"/>
                <w:highlight w:val="none"/>
              </w:rPr>
              <w:t>不接受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3.3.1</w:t>
            </w:r>
          </w:p>
        </w:tc>
        <w:tc>
          <w:tcPr>
            <w:tcW w:w="2447" w:type="dxa"/>
            <w:noWrap w:val="0"/>
            <w:vAlign w:val="center"/>
          </w:tcPr>
          <w:p>
            <w:pPr>
              <w:spacing w:line="240" w:lineRule="exact"/>
              <w:jc w:val="center"/>
              <w:rPr>
                <w:color w:val="auto"/>
                <w:szCs w:val="21"/>
                <w:highlight w:val="none"/>
              </w:rPr>
            </w:pPr>
            <w:r>
              <w:rPr>
                <w:color w:val="auto"/>
                <w:szCs w:val="21"/>
                <w:highlight w:val="none"/>
              </w:rPr>
              <w:t>投标有效期</w:t>
            </w:r>
          </w:p>
        </w:tc>
        <w:tc>
          <w:tcPr>
            <w:tcW w:w="6375" w:type="dxa"/>
            <w:noWrap w:val="0"/>
            <w:vAlign w:val="center"/>
          </w:tcPr>
          <w:p>
            <w:pPr>
              <w:spacing w:line="240" w:lineRule="exact"/>
              <w:ind w:left="147" w:leftChars="67"/>
              <w:rPr>
                <w:color w:val="auto"/>
                <w:szCs w:val="21"/>
                <w:highlight w:val="none"/>
              </w:rPr>
            </w:pPr>
            <w:r>
              <w:rPr>
                <w:color w:val="auto"/>
                <w:szCs w:val="21"/>
                <w:highlight w:val="none"/>
              </w:rPr>
              <w:t>自投标人提交投标文件截止之日起计算</w:t>
            </w:r>
            <w:r>
              <w:rPr>
                <w:b/>
                <w:i/>
                <w:color w:val="auto"/>
                <w:szCs w:val="21"/>
                <w:highlight w:val="none"/>
                <w:u w:val="single"/>
              </w:rPr>
              <w:t>90</w:t>
            </w:r>
            <w:r>
              <w:rPr>
                <w:color w:val="auto"/>
                <w:szCs w:val="21"/>
                <w:highlight w:val="none"/>
              </w:rPr>
              <w:t>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3.4.1</w:t>
            </w:r>
          </w:p>
        </w:tc>
        <w:tc>
          <w:tcPr>
            <w:tcW w:w="2447" w:type="dxa"/>
            <w:noWrap w:val="0"/>
            <w:vAlign w:val="center"/>
          </w:tcPr>
          <w:p>
            <w:pPr>
              <w:spacing w:line="360" w:lineRule="exact"/>
              <w:jc w:val="center"/>
              <w:rPr>
                <w:color w:val="auto"/>
                <w:spacing w:val="-11"/>
                <w:highlight w:val="none"/>
              </w:rPr>
            </w:pPr>
            <w:r>
              <w:rPr>
                <w:color w:val="auto"/>
                <w:szCs w:val="21"/>
                <w:highlight w:val="none"/>
              </w:rPr>
              <w:t>投标保证金</w:t>
            </w:r>
          </w:p>
        </w:tc>
        <w:tc>
          <w:tcPr>
            <w:tcW w:w="6375" w:type="dxa"/>
            <w:noWrap w:val="0"/>
            <w:vAlign w:val="center"/>
          </w:tcPr>
          <w:p>
            <w:pPr>
              <w:pStyle w:val="31"/>
              <w:numPr>
                <w:ilvl w:val="0"/>
                <w:numId w:val="4"/>
              </w:numPr>
              <w:tabs>
                <w:tab w:val="left" w:pos="671"/>
              </w:tabs>
              <w:spacing w:line="318" w:lineRule="exact"/>
              <w:rPr>
                <w:rFonts w:hint="eastAsia"/>
                <w:b/>
                <w:color w:val="auto"/>
                <w:w w:val="95"/>
                <w:sz w:val="21"/>
              </w:rPr>
            </w:pPr>
            <w:r>
              <w:rPr>
                <w:rFonts w:hint="eastAsia"/>
                <w:b/>
                <w:color w:val="auto"/>
                <w:w w:val="95"/>
                <w:sz w:val="21"/>
              </w:rPr>
              <w:t>要求递交投标保证金。</w:t>
            </w:r>
          </w:p>
          <w:p>
            <w:pPr>
              <w:pStyle w:val="31"/>
              <w:spacing w:before="9"/>
              <w:ind w:left="483"/>
              <w:rPr>
                <w:color w:val="auto"/>
                <w:w w:val="95"/>
                <w:sz w:val="21"/>
              </w:rPr>
            </w:pPr>
            <w:r>
              <w:rPr>
                <w:color w:val="auto"/>
                <w:w w:val="95"/>
                <w:sz w:val="21"/>
              </w:rPr>
              <w:t>1</w:t>
            </w:r>
            <w:r>
              <w:rPr>
                <w:rFonts w:hint="eastAsia"/>
                <w:color w:val="auto"/>
                <w:spacing w:val="1"/>
                <w:w w:val="95"/>
                <w:sz w:val="21"/>
              </w:rPr>
              <w:t>、</w:t>
            </w:r>
            <w:r>
              <w:rPr>
                <w:rFonts w:hint="eastAsia"/>
                <w:color w:val="auto"/>
                <w:sz w:val="21"/>
              </w:rPr>
              <w:t>担保金额：不低于</w:t>
            </w:r>
            <w:r>
              <w:rPr>
                <w:color w:val="auto"/>
                <w:sz w:val="21"/>
                <w:u w:val="single"/>
              </w:rPr>
              <w:t xml:space="preserve"> </w:t>
            </w:r>
            <w:r>
              <w:rPr>
                <w:rFonts w:hint="eastAsia"/>
                <w:color w:val="auto"/>
                <w:sz w:val="21"/>
                <w:u w:val="single"/>
                <w:lang w:val="en-US" w:eastAsia="zh-CN"/>
              </w:rPr>
              <w:t>1</w:t>
            </w:r>
            <w:r>
              <w:rPr>
                <w:color w:val="auto"/>
                <w:sz w:val="21"/>
                <w:u w:val="single"/>
              </w:rPr>
              <w:t xml:space="preserve"> </w:t>
            </w:r>
            <w:r>
              <w:rPr>
                <w:rFonts w:hint="eastAsia"/>
                <w:color w:val="auto"/>
                <w:sz w:val="21"/>
              </w:rPr>
              <w:t>万元。</w:t>
            </w:r>
          </w:p>
          <w:p>
            <w:pPr>
              <w:pStyle w:val="31"/>
              <w:spacing w:before="58" w:line="290" w:lineRule="auto"/>
              <w:ind w:left="106" w:right="96" w:firstLine="376"/>
              <w:rPr>
                <w:color w:val="auto"/>
                <w:w w:val="95"/>
                <w:sz w:val="21"/>
              </w:rPr>
            </w:pPr>
            <w:r>
              <w:rPr>
                <w:color w:val="auto"/>
                <w:w w:val="95"/>
                <w:sz w:val="21"/>
              </w:rPr>
              <w:t>2</w:t>
            </w:r>
            <w:r>
              <w:rPr>
                <w:rFonts w:hint="eastAsia"/>
                <w:color w:val="auto"/>
                <w:w w:val="95"/>
                <w:sz w:val="21"/>
              </w:rPr>
              <w:t>、</w:t>
            </w:r>
            <w:r>
              <w:rPr>
                <w:rFonts w:hint="eastAsia"/>
                <w:color w:val="auto"/>
                <w:sz w:val="21"/>
              </w:rPr>
              <w:t>投标保证金缴纳方式（任选一种</w:t>
            </w:r>
            <w:r>
              <w:rPr>
                <w:rFonts w:hint="eastAsia"/>
                <w:color w:val="auto"/>
                <w:w w:val="95"/>
                <w:sz w:val="21"/>
              </w:rPr>
              <w:t>）：</w:t>
            </w:r>
            <w:r>
              <w:rPr>
                <w:rFonts w:hint="eastAsia"/>
                <w:color w:val="auto"/>
                <w:sz w:val="21"/>
              </w:rPr>
              <w:t>现金、银行保函、保险机构保</w:t>
            </w:r>
            <w:r>
              <w:rPr>
                <w:color w:val="auto"/>
                <w:sz w:val="21"/>
              </w:rPr>
              <w:t xml:space="preserve"> </w:t>
            </w:r>
            <w:r>
              <w:rPr>
                <w:rFonts w:hint="eastAsia"/>
                <w:color w:val="auto"/>
                <w:sz w:val="21"/>
              </w:rPr>
              <w:t>证保险保单、融资担保公司保函。</w:t>
            </w:r>
          </w:p>
          <w:p>
            <w:pPr>
              <w:pStyle w:val="31"/>
              <w:numPr>
                <w:ilvl w:val="0"/>
                <w:numId w:val="5"/>
              </w:numPr>
              <w:tabs>
                <w:tab w:val="left" w:pos="906"/>
              </w:tabs>
              <w:spacing w:line="321" w:lineRule="exact"/>
              <w:ind w:hanging="529"/>
              <w:rPr>
                <w:rFonts w:hint="eastAsia"/>
                <w:b/>
                <w:color w:val="auto"/>
                <w:sz w:val="21"/>
              </w:rPr>
            </w:pPr>
            <w:r>
              <w:rPr>
                <w:rFonts w:hint="eastAsia"/>
                <w:b/>
                <w:color w:val="auto"/>
                <w:sz w:val="21"/>
              </w:rPr>
              <w:t>现金</w:t>
            </w:r>
          </w:p>
          <w:p>
            <w:pPr>
              <w:pStyle w:val="31"/>
              <w:spacing w:before="7" w:line="292" w:lineRule="auto"/>
              <w:ind w:left="106" w:right="94" w:firstLine="271"/>
              <w:jc w:val="both"/>
              <w:rPr>
                <w:rFonts w:hint="eastAsia"/>
                <w:color w:val="auto"/>
                <w:w w:val="95"/>
                <w:sz w:val="21"/>
              </w:rPr>
            </w:pPr>
            <w:r>
              <w:rPr>
                <w:rFonts w:hint="eastAsia"/>
                <w:color w:val="auto"/>
                <w:w w:val="95"/>
                <w:sz w:val="21"/>
              </w:rPr>
              <w:t>①</w:t>
            </w:r>
            <w:r>
              <w:rPr>
                <w:rFonts w:hint="eastAsia"/>
                <w:color w:val="auto"/>
                <w:sz w:val="21"/>
              </w:rPr>
              <w:t>电汇或网银转账（请不要使用“支付宝”等第三方支付平台），并通</w:t>
            </w:r>
            <w:r>
              <w:rPr>
                <w:color w:val="auto"/>
                <w:sz w:val="21"/>
              </w:rPr>
              <w:t xml:space="preserve"> </w:t>
            </w:r>
            <w:r>
              <w:rPr>
                <w:rFonts w:hint="eastAsia"/>
                <w:color w:val="auto"/>
                <w:sz w:val="21"/>
              </w:rPr>
              <w:t>过“三门县建设项目项目交易系统”取得相应的取得投标保证金收款账户信</w:t>
            </w:r>
            <w:r>
              <w:rPr>
                <w:color w:val="auto"/>
                <w:sz w:val="21"/>
              </w:rPr>
              <w:t xml:space="preserve"> </w:t>
            </w:r>
            <w:r>
              <w:rPr>
                <w:rFonts w:hint="eastAsia"/>
                <w:color w:val="auto"/>
                <w:sz w:val="21"/>
              </w:rPr>
              <w:t>息后支付，具体详见三门县公共资源交易中心网站“办事指南”栏目“三门</w:t>
            </w:r>
            <w:r>
              <w:rPr>
                <w:color w:val="auto"/>
                <w:sz w:val="21"/>
              </w:rPr>
              <w:t xml:space="preserve"> </w:t>
            </w:r>
            <w:r>
              <w:rPr>
                <w:rFonts w:hint="eastAsia"/>
                <w:color w:val="auto"/>
                <w:sz w:val="21"/>
              </w:rPr>
              <w:t>县投标保证金（虚拟账户）缴纳操作说明”；</w:t>
            </w:r>
          </w:p>
          <w:p>
            <w:pPr>
              <w:pStyle w:val="31"/>
              <w:spacing w:line="264" w:lineRule="exact"/>
              <w:ind w:left="377"/>
              <w:rPr>
                <w:rFonts w:hint="eastAsia"/>
                <w:color w:val="auto"/>
                <w:sz w:val="21"/>
              </w:rPr>
            </w:pPr>
            <w:r>
              <w:rPr>
                <w:rFonts w:hint="eastAsia"/>
                <w:color w:val="auto"/>
                <w:sz w:val="21"/>
              </w:rPr>
              <w:t>②投标保证金应在投标截止时间前到交易中心账户。</w:t>
            </w:r>
          </w:p>
          <w:p>
            <w:pPr>
              <w:pStyle w:val="31"/>
              <w:spacing w:before="20" w:line="216" w:lineRule="auto"/>
              <w:ind w:left="106" w:right="87"/>
              <w:jc w:val="both"/>
              <w:rPr>
                <w:rFonts w:hint="eastAsia"/>
                <w:b/>
                <w:color w:val="auto"/>
                <w:sz w:val="21"/>
              </w:rPr>
            </w:pPr>
            <w:r>
              <w:rPr>
                <w:rFonts w:hint="eastAsia"/>
                <w:b/>
                <w:color w:val="auto"/>
                <w:sz w:val="21"/>
              </w:rPr>
              <w:t>银行保函、保险机构保证保险保单、融资担保公司保函（以下合称</w:t>
            </w:r>
            <w:r>
              <w:rPr>
                <w:b/>
                <w:color w:val="auto"/>
                <w:sz w:val="21"/>
              </w:rPr>
              <w:t xml:space="preserve"> </w:t>
            </w:r>
            <w:r>
              <w:rPr>
                <w:rFonts w:hint="eastAsia"/>
                <w:b/>
                <w:color w:val="auto"/>
                <w:sz w:val="21"/>
              </w:rPr>
              <w:t>“项目保函”）</w:t>
            </w:r>
          </w:p>
          <w:p>
            <w:pPr>
              <w:pStyle w:val="31"/>
              <w:spacing w:before="23"/>
              <w:ind w:left="377"/>
              <w:rPr>
                <w:rFonts w:hint="eastAsia"/>
                <w:color w:val="auto"/>
                <w:sz w:val="21"/>
              </w:rPr>
            </w:pPr>
            <w:r>
              <w:rPr>
                <w:rFonts w:hint="eastAsia"/>
                <w:color w:val="auto"/>
                <w:sz w:val="21"/>
              </w:rPr>
              <w:t>①项目保函的受益人：</w:t>
            </w:r>
            <w:r>
              <w:rPr>
                <w:rFonts w:hint="eastAsia"/>
                <w:color w:val="auto"/>
                <w:sz w:val="21"/>
                <w:u w:val="single"/>
                <w:lang w:eastAsia="zh-CN"/>
              </w:rPr>
              <w:t>三门县公路与运输管理中心</w:t>
            </w:r>
            <w:r>
              <w:rPr>
                <w:rFonts w:hint="eastAsia"/>
                <w:color w:val="auto"/>
                <w:sz w:val="21"/>
              </w:rPr>
              <w:t>（招标人名称）；</w:t>
            </w:r>
          </w:p>
          <w:p>
            <w:pPr>
              <w:pStyle w:val="31"/>
              <w:spacing w:before="3"/>
              <w:ind w:left="377"/>
              <w:rPr>
                <w:rFonts w:hint="eastAsia"/>
                <w:color w:val="auto"/>
                <w:sz w:val="21"/>
              </w:rPr>
            </w:pPr>
            <w:r>
              <w:rPr>
                <w:rFonts w:hint="eastAsia"/>
                <w:color w:val="auto"/>
                <w:sz w:val="21"/>
              </w:rPr>
              <w:t>②</w:t>
            </w:r>
            <w:r>
              <w:rPr>
                <w:rFonts w:hint="eastAsia"/>
                <w:b/>
                <w:color w:val="auto"/>
                <w:spacing w:val="-1"/>
                <w:sz w:val="21"/>
              </w:rPr>
              <w:t>项目保函的有效期为</w:t>
            </w:r>
            <w:r>
              <w:rPr>
                <w:b/>
                <w:color w:val="auto"/>
                <w:spacing w:val="-1"/>
                <w:sz w:val="21"/>
              </w:rPr>
              <w:t xml:space="preserve"> </w:t>
            </w:r>
            <w:r>
              <w:rPr>
                <w:b/>
                <w:color w:val="auto"/>
                <w:sz w:val="21"/>
              </w:rPr>
              <w:t>1</w:t>
            </w:r>
            <w:r>
              <w:rPr>
                <w:b/>
                <w:color w:val="auto"/>
                <w:spacing w:val="4"/>
                <w:sz w:val="21"/>
              </w:rPr>
              <w:t xml:space="preserve"> </w:t>
            </w:r>
            <w:r>
              <w:rPr>
                <w:rFonts w:hint="eastAsia"/>
                <w:b/>
                <w:color w:val="auto"/>
                <w:sz w:val="21"/>
              </w:rPr>
              <w:t>年</w:t>
            </w:r>
            <w:r>
              <w:rPr>
                <w:rFonts w:hint="eastAsia"/>
                <w:color w:val="auto"/>
                <w:sz w:val="21"/>
              </w:rPr>
              <w:t>；</w:t>
            </w:r>
          </w:p>
          <w:p>
            <w:pPr>
              <w:pStyle w:val="31"/>
              <w:spacing w:before="9"/>
              <w:ind w:left="377"/>
              <w:rPr>
                <w:rFonts w:hint="eastAsia"/>
                <w:color w:val="auto"/>
                <w:sz w:val="21"/>
              </w:rPr>
            </w:pPr>
            <w:r>
              <w:rPr>
                <w:rFonts w:hint="eastAsia"/>
                <w:color w:val="auto"/>
                <w:sz w:val="21"/>
              </w:rPr>
              <w:t>③递交方式：</w:t>
            </w:r>
          </w:p>
          <w:p>
            <w:pPr>
              <w:pStyle w:val="31"/>
              <w:spacing w:before="20" w:line="216" w:lineRule="auto"/>
              <w:ind w:left="106" w:right="87"/>
              <w:jc w:val="both"/>
              <w:rPr>
                <w:rFonts w:hint="eastAsia"/>
                <w:b/>
                <w:color w:val="auto"/>
                <w:sz w:val="21"/>
              </w:rPr>
            </w:pPr>
            <w:r>
              <w:rPr>
                <w:rFonts w:hint="eastAsia"/>
                <w:b/>
                <w:color w:val="auto"/>
                <w:sz w:val="21"/>
              </w:rPr>
              <w:t>递交方式一（电子保函系统）：</w:t>
            </w:r>
          </w:p>
          <w:p>
            <w:pPr>
              <w:pStyle w:val="31"/>
              <w:spacing w:before="10" w:line="290" w:lineRule="auto"/>
              <w:ind w:left="106" w:right="96" w:firstLine="271"/>
              <w:rPr>
                <w:rFonts w:hint="eastAsia"/>
                <w:color w:val="auto"/>
                <w:sz w:val="21"/>
              </w:rPr>
            </w:pPr>
            <w:r>
              <w:rPr>
                <w:rFonts w:hint="eastAsia"/>
                <w:color w:val="auto"/>
                <w:sz w:val="21"/>
              </w:rPr>
              <w:t>通过三门县建设项目项目交易系统在“业务管理</w:t>
            </w:r>
            <w:r>
              <w:rPr>
                <w:color w:val="auto"/>
                <w:sz w:val="21"/>
              </w:rPr>
              <w:t>—</w:t>
            </w:r>
            <w:r>
              <w:rPr>
                <w:rFonts w:hint="eastAsia"/>
                <w:color w:val="auto"/>
                <w:sz w:val="21"/>
              </w:rPr>
              <w:t>费用管理”栏目选择</w:t>
            </w:r>
            <w:r>
              <w:rPr>
                <w:color w:val="auto"/>
                <w:sz w:val="21"/>
              </w:rPr>
              <w:t xml:space="preserve"> </w:t>
            </w:r>
            <w:r>
              <w:rPr>
                <w:rFonts w:hint="eastAsia"/>
                <w:color w:val="auto"/>
                <w:sz w:val="21"/>
              </w:rPr>
              <w:t>“电子保函”递交方式，并按系统流程进行操作、申购电子保函。</w:t>
            </w:r>
          </w:p>
          <w:p>
            <w:pPr>
              <w:pStyle w:val="31"/>
              <w:spacing w:before="10" w:line="290" w:lineRule="auto"/>
              <w:ind w:left="106" w:right="96" w:firstLine="271"/>
              <w:rPr>
                <w:rFonts w:hint="eastAsia"/>
                <w:color w:val="auto"/>
                <w:sz w:val="21"/>
              </w:rPr>
            </w:pPr>
            <w:r>
              <w:rPr>
                <w:rFonts w:hint="eastAsia"/>
                <w:color w:val="auto"/>
                <w:sz w:val="21"/>
              </w:rPr>
              <w:t>注：电子保单生效时间为投保第二天</w:t>
            </w:r>
            <w:r>
              <w:rPr>
                <w:color w:val="auto"/>
                <w:sz w:val="21"/>
              </w:rPr>
              <w:t>00:00,</w:t>
            </w:r>
            <w:r>
              <w:rPr>
                <w:rFonts w:hint="eastAsia"/>
                <w:color w:val="auto"/>
                <w:sz w:val="21"/>
              </w:rPr>
              <w:t>各投标人须在投标截止时间前</w:t>
            </w:r>
            <w:r>
              <w:rPr>
                <w:color w:val="auto"/>
                <w:sz w:val="21"/>
              </w:rPr>
              <w:t xml:space="preserve">1 </w:t>
            </w:r>
            <w:r>
              <w:rPr>
                <w:rFonts w:hint="eastAsia"/>
                <w:color w:val="auto"/>
                <w:sz w:val="21"/>
              </w:rPr>
              <w:t>天申购电子保函；付款后请确认已收到出单提醒短信，或者在系统中查看保单状态为“已出单”，因未确认保函出单情况导致递交投标保证金失败的，</w:t>
            </w:r>
            <w:r>
              <w:rPr>
                <w:color w:val="auto"/>
                <w:sz w:val="21"/>
              </w:rPr>
              <w:t xml:space="preserve"> </w:t>
            </w:r>
            <w:r>
              <w:rPr>
                <w:rFonts w:hint="eastAsia"/>
                <w:color w:val="auto"/>
                <w:sz w:val="21"/>
              </w:rPr>
              <w:t>所有后果由投标人自行承担。</w:t>
            </w:r>
          </w:p>
          <w:p>
            <w:pPr>
              <w:pStyle w:val="31"/>
              <w:spacing w:line="320" w:lineRule="exact"/>
              <w:ind w:left="377"/>
              <w:rPr>
                <w:rFonts w:hint="eastAsia"/>
                <w:b/>
                <w:color w:val="auto"/>
                <w:w w:val="95"/>
                <w:sz w:val="21"/>
              </w:rPr>
            </w:pPr>
            <w:r>
              <w:rPr>
                <w:rFonts w:hint="eastAsia"/>
                <w:b/>
                <w:color w:val="auto"/>
                <w:w w:val="95"/>
                <w:sz w:val="21"/>
              </w:rPr>
              <w:t>递交方式二（非电子保函系统）</w:t>
            </w:r>
            <w:r>
              <w:rPr>
                <w:rFonts w:hint="eastAsia"/>
                <w:color w:val="auto"/>
                <w:w w:val="95"/>
                <w:sz w:val="21"/>
              </w:rPr>
              <w:t>：</w:t>
            </w:r>
          </w:p>
          <w:p>
            <w:pPr>
              <w:pStyle w:val="31"/>
              <w:numPr>
                <w:ilvl w:val="0"/>
                <w:numId w:val="6"/>
              </w:numPr>
              <w:tabs>
                <w:tab w:val="left" w:pos="568"/>
              </w:tabs>
              <w:spacing w:before="9" w:line="292" w:lineRule="auto"/>
              <w:ind w:right="87" w:firstLine="271"/>
              <w:rPr>
                <w:rFonts w:hint="eastAsia"/>
                <w:color w:val="auto"/>
                <w:sz w:val="21"/>
              </w:rPr>
            </w:pPr>
            <w:r>
              <w:rPr>
                <w:rFonts w:hint="eastAsia"/>
                <w:color w:val="auto"/>
                <w:sz w:val="21"/>
              </w:rPr>
              <w:t>采用电子文件投标的项目，项目保函电子版本（纸质保函的扫描件</w:t>
            </w:r>
            <w:r>
              <w:rPr>
                <w:rFonts w:hint="eastAsia"/>
                <w:color w:val="auto"/>
                <w:w w:val="95"/>
                <w:sz w:val="21"/>
              </w:rPr>
              <w:t>、</w:t>
            </w:r>
            <w:r>
              <w:rPr>
                <w:color w:val="auto"/>
                <w:spacing w:val="117"/>
                <w:sz w:val="21"/>
              </w:rPr>
              <w:t xml:space="preserve"> </w:t>
            </w:r>
            <w:r>
              <w:rPr>
                <w:rFonts w:hint="eastAsia"/>
                <w:color w:val="auto"/>
                <w:sz w:val="21"/>
              </w:rPr>
              <w:t>以</w:t>
            </w:r>
            <w:r>
              <w:rPr>
                <w:color w:val="auto"/>
                <w:sz w:val="21"/>
              </w:rPr>
              <w:t xml:space="preserve"> PDF </w:t>
            </w:r>
            <w:r>
              <w:rPr>
                <w:rFonts w:hint="eastAsia"/>
                <w:color w:val="auto"/>
                <w:sz w:val="21"/>
              </w:rPr>
              <w:t>等格式签盖电子印章的电子保函）作为电子投标文件的资信标组成部分，在投标截止时间前随电子投标文件的资信标一起上传交易系统进行递交。</w:t>
            </w:r>
            <w:r>
              <w:rPr>
                <w:rFonts w:hint="eastAsia"/>
                <w:b/>
                <w:color w:val="auto"/>
                <w:spacing w:val="-2"/>
                <w:sz w:val="21"/>
              </w:rPr>
              <w:t>电</w:t>
            </w:r>
            <w:r>
              <w:rPr>
                <w:rFonts w:hint="eastAsia"/>
                <w:b/>
                <w:color w:val="auto"/>
                <w:sz w:val="21"/>
              </w:rPr>
              <w:t>子版本形式的项目保函须注明“本保函的电子版本（纸质保函的扫描件、以</w:t>
            </w:r>
            <w:r>
              <w:rPr>
                <w:b/>
                <w:color w:val="auto"/>
                <w:sz w:val="21"/>
              </w:rPr>
              <w:t xml:space="preserve"> PDF  </w:t>
            </w:r>
            <w:r>
              <w:rPr>
                <w:rFonts w:hint="eastAsia"/>
                <w:b/>
                <w:color w:val="auto"/>
                <w:sz w:val="21"/>
              </w:rPr>
              <w:t>等格式签盖电子印章的电子保函）不影响索赔、代偿，与原件具有同等效力。”（如无法在项目保函中载明此条款的，可通过另签协议等方式进行约定，相关文件随项目保函一并提交）。</w:t>
            </w:r>
          </w:p>
          <w:p>
            <w:pPr>
              <w:pStyle w:val="31"/>
              <w:spacing w:line="319" w:lineRule="exact"/>
              <w:ind w:left="377"/>
              <w:rPr>
                <w:rFonts w:hint="eastAsia"/>
                <w:color w:val="auto"/>
                <w:sz w:val="21"/>
              </w:rPr>
            </w:pPr>
            <w:r>
              <w:rPr>
                <w:rFonts w:hint="eastAsia"/>
                <w:color w:val="auto"/>
                <w:sz w:val="21"/>
              </w:rPr>
              <w:t>注</w:t>
            </w:r>
            <w:r>
              <w:rPr>
                <w:rFonts w:hint="eastAsia"/>
                <w:b/>
                <w:color w:val="auto"/>
                <w:spacing w:val="-6"/>
                <w:sz w:val="21"/>
              </w:rPr>
              <w:t>：项目保函的保险（保证）责</w:t>
            </w:r>
            <w:r>
              <w:rPr>
                <w:rFonts w:hint="eastAsia"/>
                <w:b/>
                <w:color w:val="auto"/>
                <w:sz w:val="21"/>
              </w:rPr>
              <w:t>任必须包括“投标人须知</w:t>
            </w:r>
            <w:r>
              <w:rPr>
                <w:b/>
                <w:color w:val="auto"/>
                <w:sz w:val="21"/>
              </w:rPr>
              <w:t xml:space="preserve"> 3.4.4  </w:t>
            </w:r>
            <w:r>
              <w:rPr>
                <w:rFonts w:hint="eastAsia"/>
                <w:b/>
                <w:color w:val="auto"/>
                <w:sz w:val="21"/>
              </w:rPr>
              <w:t>”所列</w:t>
            </w:r>
          </w:p>
          <w:p>
            <w:pPr>
              <w:pStyle w:val="31"/>
              <w:spacing w:line="319" w:lineRule="exact"/>
              <w:ind w:left="377"/>
              <w:rPr>
                <w:rFonts w:hint="eastAsia"/>
                <w:b/>
                <w:color w:val="auto"/>
                <w:sz w:val="21"/>
              </w:rPr>
            </w:pPr>
            <w:r>
              <w:rPr>
                <w:rFonts w:hint="eastAsia"/>
                <w:b/>
                <w:color w:val="auto"/>
                <w:sz w:val="21"/>
              </w:rPr>
              <w:t>条款。（温馨提示：请各投标单位仔细核对项目保函的保险责任所列条款。）</w:t>
            </w:r>
          </w:p>
          <w:p>
            <w:pPr>
              <w:pStyle w:val="31"/>
              <w:spacing w:before="9"/>
              <w:ind w:left="377"/>
              <w:rPr>
                <w:color w:val="auto"/>
                <w:sz w:val="21"/>
              </w:rPr>
            </w:pPr>
            <w:r>
              <w:rPr>
                <w:color w:val="auto"/>
                <w:sz w:val="21"/>
              </w:rPr>
              <w:t>3</w:t>
            </w:r>
            <w:r>
              <w:rPr>
                <w:rFonts w:hint="eastAsia"/>
                <w:color w:val="auto"/>
                <w:sz w:val="21"/>
              </w:rPr>
              <w:t>、注意事项</w:t>
            </w:r>
          </w:p>
          <w:p>
            <w:pPr>
              <w:pStyle w:val="31"/>
              <w:spacing w:before="58" w:line="292" w:lineRule="auto"/>
              <w:ind w:left="106" w:right="96" w:firstLine="271"/>
              <w:rPr>
                <w:rFonts w:hint="eastAsia"/>
                <w:color w:val="auto"/>
                <w:w w:val="95"/>
                <w:sz w:val="21"/>
              </w:rPr>
            </w:pPr>
            <w:r>
              <w:rPr>
                <w:rFonts w:hint="eastAsia"/>
                <w:color w:val="auto"/>
                <w:w w:val="95"/>
                <w:sz w:val="21"/>
              </w:rPr>
              <w:t>①</w:t>
            </w:r>
            <w:r>
              <w:rPr>
                <w:rFonts w:hint="eastAsia"/>
                <w:color w:val="auto"/>
                <w:sz w:val="21"/>
              </w:rPr>
              <w:t>若招标文件允许联合体投标且投标人以联合体身份投标的，由联合体</w:t>
            </w:r>
            <w:r>
              <w:rPr>
                <w:color w:val="auto"/>
                <w:sz w:val="21"/>
              </w:rPr>
              <w:t xml:space="preserve"> </w:t>
            </w:r>
            <w:r>
              <w:rPr>
                <w:rFonts w:hint="eastAsia"/>
                <w:color w:val="auto"/>
                <w:sz w:val="21"/>
              </w:rPr>
              <w:t>牵头人提交投标保证金；</w:t>
            </w:r>
          </w:p>
          <w:p>
            <w:pPr>
              <w:pStyle w:val="31"/>
              <w:spacing w:line="290" w:lineRule="auto"/>
              <w:ind w:left="106" w:right="99" w:firstLine="271"/>
              <w:rPr>
                <w:rFonts w:hint="eastAsia"/>
                <w:color w:val="auto"/>
                <w:w w:val="95"/>
                <w:sz w:val="21"/>
              </w:rPr>
            </w:pPr>
            <w:r>
              <w:rPr>
                <w:rFonts w:hint="eastAsia"/>
                <w:color w:val="auto"/>
                <w:w w:val="95"/>
                <w:sz w:val="21"/>
              </w:rPr>
              <w:t>②</w:t>
            </w:r>
            <w:r>
              <w:rPr>
                <w:rFonts w:hint="eastAsia"/>
                <w:color w:val="auto"/>
                <w:sz w:val="21"/>
              </w:rPr>
              <w:t>投标保证金收款账号根据不同项目（标段）由系统随机生成，此账号</w:t>
            </w:r>
            <w:r>
              <w:rPr>
                <w:color w:val="auto"/>
                <w:sz w:val="21"/>
              </w:rPr>
              <w:t xml:space="preserve"> </w:t>
            </w:r>
            <w:r>
              <w:rPr>
                <w:rFonts w:hint="eastAsia"/>
                <w:color w:val="auto"/>
                <w:sz w:val="21"/>
              </w:rPr>
              <w:t>只在本项目（标段）中使用有效，请注意核对；</w:t>
            </w:r>
          </w:p>
          <w:p>
            <w:pPr>
              <w:pStyle w:val="31"/>
              <w:spacing w:line="290" w:lineRule="auto"/>
              <w:ind w:left="106" w:right="96" w:firstLine="271"/>
              <w:rPr>
                <w:rFonts w:hint="eastAsia"/>
                <w:color w:val="auto"/>
                <w:w w:val="95"/>
                <w:sz w:val="21"/>
              </w:rPr>
            </w:pPr>
            <w:r>
              <w:rPr>
                <w:rFonts w:hint="eastAsia"/>
                <w:color w:val="auto"/>
                <w:w w:val="95"/>
                <w:sz w:val="21"/>
              </w:rPr>
              <w:t>③</w:t>
            </w:r>
            <w:r>
              <w:rPr>
                <w:rFonts w:hint="eastAsia"/>
                <w:color w:val="auto"/>
                <w:sz w:val="21"/>
              </w:rPr>
              <w:t>因各银行系统到账时间不同，采用现金方式缴纳投标保证金的，请尽</w:t>
            </w:r>
            <w:r>
              <w:rPr>
                <w:color w:val="auto"/>
                <w:spacing w:val="93"/>
                <w:w w:val="95"/>
                <w:sz w:val="21"/>
              </w:rPr>
              <w:t xml:space="preserve"> </w:t>
            </w:r>
            <w:r>
              <w:rPr>
                <w:rFonts w:hint="eastAsia"/>
                <w:color w:val="auto"/>
                <w:sz w:val="21"/>
              </w:rPr>
              <w:t>量提前缴纳，以实际到账时间为准；</w:t>
            </w:r>
          </w:p>
          <w:p>
            <w:pPr>
              <w:pStyle w:val="31"/>
              <w:spacing w:line="319" w:lineRule="exact"/>
              <w:ind w:left="377"/>
              <w:rPr>
                <w:rFonts w:hint="eastAsia"/>
                <w:b/>
                <w:color w:val="auto"/>
                <w:sz w:val="21"/>
              </w:rPr>
            </w:pPr>
            <w:r>
              <w:rPr>
                <w:rFonts w:hint="eastAsia"/>
                <w:b/>
                <w:color w:val="auto"/>
                <w:sz w:val="21"/>
              </w:rPr>
              <w:t>④以现金形式提交的投标保证金应当从投标人基本账户转出；</w:t>
            </w:r>
          </w:p>
          <w:p>
            <w:pPr>
              <w:pStyle w:val="31"/>
              <w:spacing w:before="12" w:line="242" w:lineRule="exact"/>
              <w:ind w:left="372"/>
              <w:rPr>
                <w:rFonts w:hint="eastAsia"/>
                <w:color w:val="auto"/>
                <w:sz w:val="21"/>
              </w:rPr>
            </w:pPr>
            <w:r>
              <w:rPr>
                <w:rFonts w:hint="eastAsia"/>
                <w:color w:val="auto"/>
                <w:sz w:val="21"/>
              </w:rPr>
              <w:t>⑤若有疑问，请咨询技术服务热线：</w:t>
            </w:r>
            <w:r>
              <w:rPr>
                <w:color w:val="auto"/>
                <w:sz w:val="21"/>
              </w:rPr>
              <w:t>13968512856</w:t>
            </w:r>
            <w:r>
              <w:rPr>
                <w:rFonts w:hint="eastAsia"/>
                <w:color w:val="auto"/>
                <w:sz w:val="21"/>
              </w:rPr>
              <w:t>。</w:t>
            </w:r>
          </w:p>
          <w:p>
            <w:pPr>
              <w:pStyle w:val="31"/>
              <w:ind w:left="106"/>
              <w:rPr>
                <w:rFonts w:hint="eastAsia"/>
                <w:b/>
                <w:color w:val="auto"/>
                <w:spacing w:val="-6"/>
                <w:sz w:val="21"/>
              </w:rPr>
            </w:pPr>
            <w:r>
              <w:rPr>
                <w:rFonts w:hint="eastAsia"/>
                <w:b/>
                <w:color w:val="auto"/>
                <w:spacing w:val="-6"/>
                <w:sz w:val="21"/>
              </w:rPr>
              <w:t>⑥</w:t>
            </w:r>
            <w:r>
              <w:rPr>
                <w:rFonts w:hint="eastAsia"/>
                <w:b/>
                <w:color w:val="auto"/>
                <w:sz w:val="21"/>
              </w:rPr>
              <w:t>以上未按要求提供或提供不清晰的，评标委员会可能做出不利于投标人的</w:t>
            </w:r>
          </w:p>
          <w:p>
            <w:pPr>
              <w:autoSpaceDE w:val="0"/>
              <w:autoSpaceDN w:val="0"/>
              <w:snapToGrid w:val="0"/>
              <w:spacing w:before="3" w:line="240" w:lineRule="exact"/>
              <w:ind w:left="112" w:leftChars="51" w:right="104"/>
              <w:rPr>
                <w:rFonts w:hint="eastAsia"/>
                <w:b/>
                <w:color w:val="auto"/>
                <w:szCs w:val="21"/>
                <w:highlight w:val="none"/>
              </w:rPr>
            </w:pPr>
            <w:r>
              <w:rPr>
                <w:rFonts w:hint="eastAsia"/>
                <w:b/>
                <w:color w:val="auto"/>
                <w:sz w:val="21"/>
              </w:rPr>
              <w:t>评审结果，由此造成的风险由投标人自行承担。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3.5.2</w:t>
            </w:r>
          </w:p>
        </w:tc>
        <w:tc>
          <w:tcPr>
            <w:tcW w:w="2447" w:type="dxa"/>
            <w:noWrap w:val="0"/>
            <w:vAlign w:val="center"/>
          </w:tcPr>
          <w:p>
            <w:pPr>
              <w:spacing w:line="240" w:lineRule="exact"/>
              <w:jc w:val="center"/>
              <w:rPr>
                <w:color w:val="auto"/>
                <w:szCs w:val="21"/>
                <w:highlight w:val="none"/>
              </w:rPr>
            </w:pPr>
            <w:r>
              <w:rPr>
                <w:color w:val="auto"/>
                <w:szCs w:val="21"/>
                <w:highlight w:val="none"/>
              </w:rPr>
              <w:t>近年财务状况的年份要求</w:t>
            </w:r>
          </w:p>
        </w:tc>
        <w:tc>
          <w:tcPr>
            <w:tcW w:w="6375" w:type="dxa"/>
            <w:noWrap w:val="0"/>
            <w:vAlign w:val="center"/>
          </w:tcPr>
          <w:p>
            <w:pPr>
              <w:spacing w:line="240" w:lineRule="exact"/>
              <w:ind w:left="147" w:leftChars="67"/>
              <w:rPr>
                <w:rFonts w:hint="eastAsia"/>
                <w:color w:val="auto"/>
                <w:szCs w:val="21"/>
                <w:highlight w:val="none"/>
              </w:rPr>
            </w:pPr>
            <w:r>
              <w:rPr>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3.5.3</w:t>
            </w:r>
          </w:p>
        </w:tc>
        <w:tc>
          <w:tcPr>
            <w:tcW w:w="2447" w:type="dxa"/>
            <w:noWrap w:val="0"/>
            <w:vAlign w:val="center"/>
          </w:tcPr>
          <w:p>
            <w:pPr>
              <w:spacing w:line="240" w:lineRule="exact"/>
              <w:jc w:val="center"/>
              <w:rPr>
                <w:color w:val="auto"/>
                <w:szCs w:val="21"/>
                <w:highlight w:val="none"/>
              </w:rPr>
            </w:pPr>
            <w:r>
              <w:rPr>
                <w:color w:val="auto"/>
                <w:szCs w:val="21"/>
                <w:highlight w:val="none"/>
              </w:rPr>
              <w:t>近年完成的类似项目的</w:t>
            </w:r>
          </w:p>
          <w:p>
            <w:pPr>
              <w:spacing w:line="240" w:lineRule="exact"/>
              <w:jc w:val="center"/>
              <w:rPr>
                <w:color w:val="auto"/>
                <w:szCs w:val="21"/>
                <w:highlight w:val="none"/>
              </w:rPr>
            </w:pPr>
            <w:r>
              <w:rPr>
                <w:color w:val="auto"/>
                <w:szCs w:val="21"/>
                <w:highlight w:val="none"/>
              </w:rPr>
              <w:t>年份要求</w:t>
            </w:r>
          </w:p>
        </w:tc>
        <w:tc>
          <w:tcPr>
            <w:tcW w:w="6375" w:type="dxa"/>
            <w:noWrap w:val="0"/>
            <w:vAlign w:val="center"/>
          </w:tcPr>
          <w:p>
            <w:pPr>
              <w:spacing w:line="240" w:lineRule="exact"/>
              <w:ind w:left="147" w:leftChars="67"/>
              <w:rPr>
                <w:color w:val="auto"/>
                <w:szCs w:val="21"/>
                <w:highlight w:val="none"/>
              </w:rPr>
            </w:pPr>
            <w:r>
              <w:rPr>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240" w:lineRule="exact"/>
              <w:jc w:val="center"/>
              <w:rPr>
                <w:color w:val="auto"/>
                <w:szCs w:val="20"/>
                <w:highlight w:val="none"/>
              </w:rPr>
            </w:pPr>
            <w:r>
              <w:rPr>
                <w:color w:val="auto"/>
                <w:szCs w:val="20"/>
                <w:highlight w:val="none"/>
              </w:rPr>
              <w:t>3.5.4</w:t>
            </w:r>
          </w:p>
        </w:tc>
        <w:tc>
          <w:tcPr>
            <w:tcW w:w="2447" w:type="dxa"/>
            <w:noWrap w:val="0"/>
            <w:vAlign w:val="center"/>
          </w:tcPr>
          <w:p>
            <w:pPr>
              <w:spacing w:line="240" w:lineRule="exact"/>
              <w:jc w:val="center"/>
              <w:rPr>
                <w:color w:val="auto"/>
                <w:szCs w:val="21"/>
                <w:highlight w:val="none"/>
              </w:rPr>
            </w:pPr>
            <w:r>
              <w:rPr>
                <w:color w:val="auto"/>
                <w:szCs w:val="21"/>
                <w:highlight w:val="none"/>
              </w:rPr>
              <w:t>正在施工和新承接的项目情况表</w:t>
            </w:r>
          </w:p>
        </w:tc>
        <w:tc>
          <w:tcPr>
            <w:tcW w:w="6375" w:type="dxa"/>
            <w:noWrap w:val="0"/>
            <w:vAlign w:val="center"/>
          </w:tcPr>
          <w:p>
            <w:pPr>
              <w:spacing w:line="240" w:lineRule="exact"/>
              <w:ind w:left="147" w:leftChars="67"/>
              <w:rPr>
                <w:rFonts w:hint="eastAsia"/>
                <w:color w:val="auto"/>
                <w:szCs w:val="21"/>
                <w:highlight w:val="none"/>
              </w:rPr>
            </w:pPr>
            <w:r>
              <w:rPr>
                <w:rFonts w:hint="eastAsia"/>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240" w:lineRule="exact"/>
              <w:jc w:val="center"/>
              <w:rPr>
                <w:color w:val="auto"/>
                <w:szCs w:val="20"/>
                <w:highlight w:val="none"/>
              </w:rPr>
            </w:pPr>
            <w:r>
              <w:rPr>
                <w:color w:val="auto"/>
                <w:szCs w:val="20"/>
                <w:highlight w:val="none"/>
              </w:rPr>
              <w:t>3.5.5</w:t>
            </w:r>
          </w:p>
        </w:tc>
        <w:tc>
          <w:tcPr>
            <w:tcW w:w="2447" w:type="dxa"/>
            <w:noWrap w:val="0"/>
            <w:vAlign w:val="center"/>
          </w:tcPr>
          <w:p>
            <w:pPr>
              <w:spacing w:line="240" w:lineRule="exact"/>
              <w:jc w:val="center"/>
              <w:rPr>
                <w:color w:val="auto"/>
                <w:szCs w:val="21"/>
                <w:highlight w:val="none"/>
              </w:rPr>
            </w:pPr>
            <w:r>
              <w:rPr>
                <w:color w:val="auto"/>
                <w:szCs w:val="21"/>
                <w:highlight w:val="none"/>
              </w:rPr>
              <w:t>近年发生的诉讼及仲裁情况的年份要求</w:t>
            </w:r>
          </w:p>
        </w:tc>
        <w:tc>
          <w:tcPr>
            <w:tcW w:w="6375" w:type="dxa"/>
            <w:noWrap w:val="0"/>
            <w:vAlign w:val="center"/>
          </w:tcPr>
          <w:p>
            <w:pPr>
              <w:spacing w:line="240" w:lineRule="exact"/>
              <w:ind w:left="147" w:leftChars="67"/>
              <w:rPr>
                <w:rFonts w:hint="eastAsia"/>
                <w:color w:val="auto"/>
                <w:szCs w:val="20"/>
                <w:highlight w:val="none"/>
              </w:rPr>
            </w:pPr>
            <w:r>
              <w:rPr>
                <w:rFonts w:hint="eastAsia"/>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3.6</w:t>
            </w:r>
          </w:p>
        </w:tc>
        <w:tc>
          <w:tcPr>
            <w:tcW w:w="2447" w:type="dxa"/>
            <w:noWrap w:val="0"/>
            <w:vAlign w:val="center"/>
          </w:tcPr>
          <w:p>
            <w:pPr>
              <w:spacing w:line="240" w:lineRule="exact"/>
              <w:jc w:val="center"/>
              <w:rPr>
                <w:color w:val="auto"/>
                <w:szCs w:val="21"/>
                <w:highlight w:val="none"/>
              </w:rPr>
            </w:pPr>
            <w:r>
              <w:rPr>
                <w:color w:val="auto"/>
                <w:szCs w:val="21"/>
                <w:highlight w:val="none"/>
              </w:rPr>
              <w:t>是否允许递交备选投标</w:t>
            </w:r>
          </w:p>
          <w:p>
            <w:pPr>
              <w:spacing w:line="240" w:lineRule="exact"/>
              <w:jc w:val="center"/>
              <w:rPr>
                <w:color w:val="auto"/>
                <w:szCs w:val="21"/>
                <w:highlight w:val="none"/>
              </w:rPr>
            </w:pPr>
            <w:r>
              <w:rPr>
                <w:color w:val="auto"/>
                <w:szCs w:val="21"/>
                <w:highlight w:val="none"/>
              </w:rPr>
              <w:t>方案</w:t>
            </w:r>
          </w:p>
        </w:tc>
        <w:tc>
          <w:tcPr>
            <w:tcW w:w="6375" w:type="dxa"/>
            <w:noWrap w:val="0"/>
            <w:vAlign w:val="center"/>
          </w:tcPr>
          <w:p>
            <w:pPr>
              <w:spacing w:line="240" w:lineRule="exact"/>
              <w:ind w:left="147" w:leftChars="67"/>
              <w:rPr>
                <w:color w:val="auto"/>
                <w:szCs w:val="21"/>
                <w:highlight w:val="none"/>
              </w:rPr>
            </w:pPr>
            <w:r>
              <w:rPr>
                <w:color w:val="auto"/>
                <w:szCs w:val="21"/>
                <w:highlight w:val="none"/>
              </w:rPr>
              <w:t>不允许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3.7.3</w:t>
            </w:r>
          </w:p>
        </w:tc>
        <w:tc>
          <w:tcPr>
            <w:tcW w:w="2447" w:type="dxa"/>
            <w:noWrap w:val="0"/>
            <w:vAlign w:val="center"/>
          </w:tcPr>
          <w:p>
            <w:pPr>
              <w:spacing w:line="360" w:lineRule="exact"/>
              <w:jc w:val="center"/>
              <w:rPr>
                <w:color w:val="auto"/>
                <w:szCs w:val="21"/>
                <w:highlight w:val="none"/>
              </w:rPr>
            </w:pPr>
            <w:r>
              <w:rPr>
                <w:color w:val="auto"/>
                <w:szCs w:val="21"/>
                <w:highlight w:val="none"/>
              </w:rPr>
              <w:t>签字或盖章要求</w:t>
            </w:r>
          </w:p>
        </w:tc>
        <w:tc>
          <w:tcPr>
            <w:tcW w:w="6375" w:type="dxa"/>
            <w:noWrap w:val="0"/>
            <w:vAlign w:val="center"/>
          </w:tcPr>
          <w:p>
            <w:pPr>
              <w:spacing w:line="240" w:lineRule="exact"/>
              <w:ind w:firstLine="221" w:firstLineChars="100"/>
              <w:rPr>
                <w:rFonts w:hint="eastAsia" w:ascii="宋体" w:hAnsi="宋体" w:cs="宋体"/>
                <w:b/>
                <w:i/>
                <w:color w:val="auto"/>
                <w:szCs w:val="21"/>
                <w:highlight w:val="none"/>
              </w:rPr>
            </w:pPr>
            <w:r>
              <w:rPr>
                <w:rFonts w:hint="eastAsia" w:ascii="宋体" w:hAnsi="宋体" w:cs="宋体"/>
                <w:b/>
                <w:i/>
                <w:color w:val="auto"/>
                <w:szCs w:val="21"/>
                <w:highlight w:val="none"/>
              </w:rPr>
              <w:t>1、电子投标文件签字或盖章要求：详见评标办法须知前附表。</w:t>
            </w:r>
          </w:p>
          <w:p>
            <w:pPr>
              <w:spacing w:line="240" w:lineRule="exact"/>
              <w:ind w:firstLine="221" w:firstLineChars="100"/>
              <w:rPr>
                <w:rFonts w:hint="eastAsia"/>
                <w:b/>
                <w:i/>
                <w:color w:val="auto"/>
                <w:szCs w:val="21"/>
                <w:highlight w:val="none"/>
              </w:rPr>
            </w:pPr>
            <w:r>
              <w:rPr>
                <w:rFonts w:hint="eastAsia" w:ascii="宋体" w:hAnsi="宋体" w:cs="宋体"/>
                <w:b/>
                <w:i/>
                <w:color w:val="auto"/>
                <w:szCs w:val="21"/>
                <w:highlight w:val="none"/>
              </w:rPr>
              <w:t>2、</w:t>
            </w:r>
            <w:r>
              <w:rPr>
                <w:rFonts w:ascii="宋体" w:hAnsi="宋体" w:cs="宋体"/>
                <w:b/>
                <w:i/>
                <w:color w:val="auto"/>
                <w:szCs w:val="21"/>
                <w:highlight w:val="none"/>
              </w:rPr>
              <w:t>签字或盖章其他要求：</w:t>
            </w:r>
            <w:r>
              <w:rPr>
                <w:rFonts w:hint="eastAsia" w:ascii="宋体" w:hAnsi="宋体" w:cs="宋体"/>
                <w:b/>
                <w:i/>
                <w:color w:val="auto"/>
                <w:szCs w:val="21"/>
                <w:highlight w:val="none"/>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3.7.4</w:t>
            </w:r>
          </w:p>
        </w:tc>
        <w:tc>
          <w:tcPr>
            <w:tcW w:w="2447" w:type="dxa"/>
            <w:noWrap w:val="0"/>
            <w:vAlign w:val="center"/>
          </w:tcPr>
          <w:p>
            <w:pPr>
              <w:spacing w:line="360" w:lineRule="exact"/>
              <w:jc w:val="center"/>
              <w:rPr>
                <w:color w:val="auto"/>
                <w:szCs w:val="21"/>
                <w:highlight w:val="none"/>
              </w:rPr>
            </w:pPr>
            <w:r>
              <w:rPr>
                <w:color w:val="auto"/>
                <w:szCs w:val="21"/>
                <w:highlight w:val="none"/>
              </w:rPr>
              <w:t>投标文件份数</w:t>
            </w:r>
          </w:p>
        </w:tc>
        <w:tc>
          <w:tcPr>
            <w:tcW w:w="6375" w:type="dxa"/>
            <w:noWrap w:val="0"/>
            <w:vAlign w:val="center"/>
          </w:tcPr>
          <w:p>
            <w:pPr>
              <w:spacing w:line="240" w:lineRule="exact"/>
              <w:ind w:left="147" w:leftChars="67"/>
              <w:rPr>
                <w:rFonts w:hint="eastAsia" w:ascii="黑体" w:hAnsi="宋体" w:eastAsia="黑体"/>
                <w:color w:val="auto"/>
                <w:szCs w:val="21"/>
                <w:highlight w:val="none"/>
              </w:rPr>
            </w:pPr>
            <w:r>
              <w:rPr>
                <w:rFonts w:hint="eastAsia" w:ascii="黑体" w:hAnsi="宋体" w:eastAsia="黑体"/>
                <w:color w:val="auto"/>
                <w:szCs w:val="21"/>
                <w:highlight w:val="none"/>
              </w:rPr>
              <w:t>一、投标文件份数：</w:t>
            </w:r>
          </w:p>
          <w:p>
            <w:pPr>
              <w:spacing w:line="240" w:lineRule="exact"/>
              <w:ind w:left="147" w:leftChars="67"/>
              <w:rPr>
                <w:rFonts w:hint="eastAsia" w:ascii="黑体" w:hAnsi="宋体" w:eastAsia="黑体"/>
                <w:color w:val="auto"/>
                <w:szCs w:val="21"/>
                <w:highlight w:val="none"/>
              </w:rPr>
            </w:pPr>
            <w:r>
              <w:rPr>
                <w:rFonts w:hint="eastAsia" w:ascii="黑体" w:hAnsi="宋体" w:eastAsia="黑体"/>
                <w:color w:val="auto"/>
                <w:szCs w:val="21"/>
                <w:highlight w:val="none"/>
              </w:rPr>
              <w:t>（1）、加密电子投标文件一份（上传至交易平台），作为投标文件正本。</w:t>
            </w:r>
          </w:p>
          <w:p>
            <w:pPr>
              <w:spacing w:line="240" w:lineRule="exact"/>
              <w:ind w:left="147" w:leftChars="67"/>
              <w:rPr>
                <w:rFonts w:hint="eastAsia" w:ascii="黑体" w:hAnsi="宋体" w:eastAsia="黑体"/>
                <w:color w:val="auto"/>
                <w:szCs w:val="21"/>
                <w:highlight w:val="none"/>
              </w:rPr>
            </w:pPr>
            <w:r>
              <w:rPr>
                <w:rFonts w:hint="eastAsia" w:ascii="黑体" w:hAnsi="宋体" w:eastAsia="黑体"/>
                <w:color w:val="auto"/>
                <w:szCs w:val="21"/>
                <w:highlight w:val="none"/>
              </w:rPr>
              <w:t>二、纸质投标文件说明：</w:t>
            </w:r>
          </w:p>
          <w:p>
            <w:pPr>
              <w:spacing w:line="240" w:lineRule="exact"/>
              <w:ind w:left="147" w:leftChars="67"/>
              <w:rPr>
                <w:rFonts w:hint="eastAsia" w:ascii="黑体" w:hAnsi="宋体" w:eastAsia="黑体"/>
                <w:color w:val="auto"/>
                <w:szCs w:val="21"/>
                <w:highlight w:val="none"/>
              </w:rPr>
            </w:pPr>
            <w:r>
              <w:rPr>
                <w:rFonts w:hint="eastAsia" w:ascii="黑体" w:hAnsi="宋体" w:eastAsia="黑体"/>
                <w:color w:val="auto"/>
                <w:szCs w:val="21"/>
                <w:highlight w:val="none"/>
              </w:rPr>
              <w:t>（1）、本项目不要求递交纸质投标文件。</w:t>
            </w:r>
          </w:p>
          <w:p>
            <w:pPr>
              <w:spacing w:line="240" w:lineRule="exact"/>
              <w:ind w:left="147" w:leftChars="67"/>
              <w:rPr>
                <w:rFonts w:ascii="黑体" w:hAnsi="宋体" w:eastAsia="黑体"/>
                <w:color w:val="auto"/>
                <w:szCs w:val="21"/>
                <w:highlight w:val="none"/>
              </w:rPr>
            </w:pPr>
            <w:r>
              <w:rPr>
                <w:rFonts w:hint="eastAsia" w:ascii="黑体" w:hAnsi="宋体" w:eastAsia="黑体"/>
                <w:color w:val="auto"/>
                <w:szCs w:val="21"/>
                <w:highlight w:val="none"/>
              </w:rPr>
              <w:t>三、中标人在领取中标通知书时补交</w:t>
            </w:r>
            <w:r>
              <w:rPr>
                <w:rFonts w:hint="eastAsia" w:ascii="黑体" w:hAnsi="宋体" w:eastAsia="黑体"/>
                <w:color w:val="auto"/>
                <w:szCs w:val="21"/>
                <w:highlight w:val="none"/>
                <w:lang w:val="en-US" w:eastAsia="zh-CN"/>
              </w:rPr>
              <w:t>5</w:t>
            </w:r>
            <w:r>
              <w:rPr>
                <w:rFonts w:hint="eastAsia" w:ascii="黑体" w:hAnsi="宋体" w:eastAsia="黑体"/>
                <w:color w:val="auto"/>
                <w:szCs w:val="21"/>
                <w:highlight w:val="none"/>
              </w:rPr>
              <w:t>份纸质投标文件。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9" w:hRule="atLeast"/>
          <w:jc w:val="center"/>
        </w:trPr>
        <w:tc>
          <w:tcPr>
            <w:tcW w:w="1050" w:type="dxa"/>
            <w:noWrap w:val="0"/>
            <w:vAlign w:val="center"/>
          </w:tcPr>
          <w:p>
            <w:pPr>
              <w:spacing w:line="360" w:lineRule="exact"/>
              <w:jc w:val="center"/>
              <w:rPr>
                <w:color w:val="auto"/>
                <w:szCs w:val="21"/>
                <w:highlight w:val="none"/>
              </w:rPr>
            </w:pPr>
            <w:r>
              <w:rPr>
                <w:color w:val="auto"/>
                <w:szCs w:val="21"/>
                <w:highlight w:val="none"/>
              </w:rPr>
              <w:t>3.7.5</w:t>
            </w:r>
          </w:p>
        </w:tc>
        <w:tc>
          <w:tcPr>
            <w:tcW w:w="2447" w:type="dxa"/>
            <w:noWrap w:val="0"/>
            <w:vAlign w:val="center"/>
          </w:tcPr>
          <w:p>
            <w:pPr>
              <w:spacing w:line="360" w:lineRule="exact"/>
              <w:jc w:val="center"/>
              <w:rPr>
                <w:color w:val="auto"/>
                <w:szCs w:val="21"/>
                <w:highlight w:val="none"/>
              </w:rPr>
            </w:pPr>
            <w:r>
              <w:rPr>
                <w:color w:val="auto"/>
                <w:szCs w:val="21"/>
                <w:highlight w:val="none"/>
              </w:rPr>
              <w:t>装订要求</w:t>
            </w:r>
          </w:p>
        </w:tc>
        <w:tc>
          <w:tcPr>
            <w:tcW w:w="6375" w:type="dxa"/>
            <w:noWrap w:val="0"/>
            <w:vAlign w:val="center"/>
          </w:tcPr>
          <w:p>
            <w:pPr>
              <w:spacing w:line="240" w:lineRule="exact"/>
              <w:ind w:left="147" w:leftChars="67" w:right="79" w:rightChars="36"/>
              <w:rPr>
                <w:rFonts w:hint="eastAsia"/>
                <w:b/>
                <w:i/>
                <w:color w:val="auto"/>
                <w:szCs w:val="21"/>
                <w:highlight w:val="none"/>
              </w:rPr>
            </w:pPr>
            <w:r>
              <w:rPr>
                <w:rFonts w:hint="eastAsia"/>
                <w:color w:val="auto"/>
                <w:szCs w:val="20"/>
                <w:highlight w:val="none"/>
              </w:rPr>
              <w:t>本项目不要求递交纸质投标文件。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5" w:hRule="atLeast"/>
          <w:jc w:val="center"/>
        </w:trPr>
        <w:tc>
          <w:tcPr>
            <w:tcW w:w="1050" w:type="dxa"/>
            <w:noWrap w:val="0"/>
            <w:vAlign w:val="center"/>
          </w:tcPr>
          <w:p>
            <w:pPr>
              <w:spacing w:line="360" w:lineRule="exact"/>
              <w:jc w:val="center"/>
              <w:rPr>
                <w:color w:val="auto"/>
                <w:szCs w:val="21"/>
                <w:highlight w:val="none"/>
              </w:rPr>
            </w:pPr>
            <w:r>
              <w:rPr>
                <w:rFonts w:hint="eastAsia"/>
                <w:color w:val="auto"/>
                <w:szCs w:val="21"/>
                <w:highlight w:val="none"/>
              </w:rPr>
              <w:t>4.1.2</w:t>
            </w:r>
          </w:p>
        </w:tc>
        <w:tc>
          <w:tcPr>
            <w:tcW w:w="2447" w:type="dxa"/>
            <w:noWrap w:val="0"/>
            <w:vAlign w:val="center"/>
          </w:tcPr>
          <w:p>
            <w:pPr>
              <w:spacing w:line="240" w:lineRule="exact"/>
              <w:jc w:val="center"/>
              <w:rPr>
                <w:color w:val="auto"/>
                <w:szCs w:val="20"/>
                <w:highlight w:val="none"/>
              </w:rPr>
            </w:pPr>
            <w:r>
              <w:rPr>
                <w:rFonts w:hint="eastAsia"/>
                <w:color w:val="auto"/>
                <w:szCs w:val="21"/>
                <w:highlight w:val="none"/>
              </w:rPr>
              <w:t>纸质投标文件</w:t>
            </w:r>
            <w:r>
              <w:rPr>
                <w:color w:val="auto"/>
                <w:szCs w:val="21"/>
                <w:highlight w:val="none"/>
              </w:rPr>
              <w:t>封套上写明</w:t>
            </w:r>
          </w:p>
        </w:tc>
        <w:tc>
          <w:tcPr>
            <w:tcW w:w="6375" w:type="dxa"/>
            <w:noWrap w:val="0"/>
            <w:vAlign w:val="center"/>
          </w:tcPr>
          <w:p>
            <w:pPr>
              <w:spacing w:line="240" w:lineRule="exact"/>
              <w:ind w:left="147" w:leftChars="67" w:right="79" w:rightChars="36"/>
              <w:rPr>
                <w:rFonts w:hint="eastAsia"/>
                <w:color w:val="auto"/>
                <w:kern w:val="0"/>
                <w:szCs w:val="21"/>
                <w:highlight w:val="none"/>
              </w:rPr>
            </w:pPr>
            <w:r>
              <w:rPr>
                <w:rFonts w:hint="eastAsia"/>
                <w:color w:val="auto"/>
                <w:szCs w:val="20"/>
                <w:highlight w:val="none"/>
              </w:rPr>
              <w:t>本项目不要求递交纸质投标文件。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5" w:hRule="atLeast"/>
          <w:jc w:val="center"/>
        </w:trPr>
        <w:tc>
          <w:tcPr>
            <w:tcW w:w="1050" w:type="dxa"/>
            <w:noWrap w:val="0"/>
            <w:vAlign w:val="center"/>
          </w:tcPr>
          <w:p>
            <w:pPr>
              <w:spacing w:line="360" w:lineRule="exact"/>
              <w:jc w:val="center"/>
              <w:rPr>
                <w:color w:val="auto"/>
                <w:szCs w:val="21"/>
                <w:highlight w:val="none"/>
              </w:rPr>
            </w:pPr>
            <w:r>
              <w:rPr>
                <w:color w:val="auto"/>
                <w:szCs w:val="21"/>
                <w:highlight w:val="none"/>
              </w:rPr>
              <w:t>4.2.2</w:t>
            </w:r>
          </w:p>
        </w:tc>
        <w:tc>
          <w:tcPr>
            <w:tcW w:w="2447" w:type="dxa"/>
            <w:noWrap w:val="0"/>
            <w:vAlign w:val="center"/>
          </w:tcPr>
          <w:p>
            <w:pPr>
              <w:spacing w:line="360" w:lineRule="exact"/>
              <w:jc w:val="center"/>
              <w:rPr>
                <w:color w:val="auto"/>
                <w:szCs w:val="21"/>
                <w:highlight w:val="none"/>
              </w:rPr>
            </w:pPr>
            <w:r>
              <w:rPr>
                <w:rFonts w:hint="eastAsia"/>
                <w:color w:val="auto"/>
                <w:szCs w:val="21"/>
                <w:highlight w:val="none"/>
              </w:rPr>
              <w:t>递交</w:t>
            </w:r>
            <w:r>
              <w:rPr>
                <w:color w:val="auto"/>
                <w:szCs w:val="21"/>
                <w:highlight w:val="none"/>
              </w:rPr>
              <w:t>投标文件</w:t>
            </w:r>
            <w:r>
              <w:rPr>
                <w:rFonts w:hint="eastAsia"/>
                <w:color w:val="auto"/>
                <w:szCs w:val="21"/>
                <w:highlight w:val="none"/>
              </w:rPr>
              <w:t>地点</w:t>
            </w:r>
          </w:p>
        </w:tc>
        <w:tc>
          <w:tcPr>
            <w:tcW w:w="6375" w:type="dxa"/>
            <w:noWrap w:val="0"/>
            <w:vAlign w:val="center"/>
          </w:tcPr>
          <w:p>
            <w:pPr>
              <w:spacing w:line="240" w:lineRule="exact"/>
              <w:ind w:firstLine="221" w:firstLineChars="100"/>
              <w:rPr>
                <w:b/>
                <w:i/>
                <w:color w:val="auto"/>
                <w:szCs w:val="21"/>
                <w:highlight w:val="none"/>
              </w:rPr>
            </w:pPr>
            <w:r>
              <w:rPr>
                <w:rFonts w:hint="eastAsia" w:ascii="宋体" w:hAnsi="宋体"/>
                <w:b/>
                <w:color w:val="auto"/>
                <w:szCs w:val="21"/>
                <w:highlight w:val="none"/>
              </w:rPr>
              <w:t>投标人无需到开标现场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10" w:hRule="atLeast"/>
          <w:jc w:val="center"/>
        </w:trPr>
        <w:tc>
          <w:tcPr>
            <w:tcW w:w="1050" w:type="dxa"/>
            <w:noWrap w:val="0"/>
            <w:vAlign w:val="center"/>
          </w:tcPr>
          <w:p>
            <w:pPr>
              <w:spacing w:line="360" w:lineRule="exact"/>
              <w:jc w:val="center"/>
              <w:rPr>
                <w:color w:val="auto"/>
                <w:szCs w:val="21"/>
                <w:highlight w:val="none"/>
              </w:rPr>
            </w:pPr>
            <w:r>
              <w:rPr>
                <w:color w:val="auto"/>
                <w:szCs w:val="21"/>
                <w:highlight w:val="none"/>
              </w:rPr>
              <w:t>4.2.3</w:t>
            </w:r>
          </w:p>
        </w:tc>
        <w:tc>
          <w:tcPr>
            <w:tcW w:w="2447" w:type="dxa"/>
            <w:noWrap w:val="0"/>
            <w:vAlign w:val="center"/>
          </w:tcPr>
          <w:p>
            <w:pPr>
              <w:spacing w:line="360" w:lineRule="exact"/>
              <w:jc w:val="center"/>
              <w:rPr>
                <w:color w:val="auto"/>
                <w:szCs w:val="21"/>
                <w:highlight w:val="none"/>
              </w:rPr>
            </w:pPr>
            <w:r>
              <w:rPr>
                <w:color w:val="auto"/>
                <w:szCs w:val="21"/>
                <w:highlight w:val="none"/>
              </w:rPr>
              <w:t>是否退还投标文件</w:t>
            </w:r>
          </w:p>
        </w:tc>
        <w:tc>
          <w:tcPr>
            <w:tcW w:w="6375" w:type="dxa"/>
            <w:noWrap w:val="0"/>
            <w:vAlign w:val="center"/>
          </w:tcPr>
          <w:p>
            <w:pPr>
              <w:spacing w:line="240" w:lineRule="exact"/>
              <w:ind w:left="147" w:leftChars="67"/>
              <w:rPr>
                <w:color w:val="auto"/>
                <w:szCs w:val="21"/>
                <w:highlight w:val="none"/>
              </w:rPr>
            </w:pPr>
            <w:r>
              <w:rPr>
                <w:color w:val="auto"/>
                <w:szCs w:val="21"/>
                <w:highlight w:val="none"/>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4.2.6</w:t>
            </w:r>
          </w:p>
        </w:tc>
        <w:tc>
          <w:tcPr>
            <w:tcW w:w="2447" w:type="dxa"/>
            <w:noWrap w:val="0"/>
            <w:vAlign w:val="center"/>
          </w:tcPr>
          <w:p>
            <w:pPr>
              <w:spacing w:line="240" w:lineRule="exact"/>
              <w:jc w:val="center"/>
              <w:rPr>
                <w:color w:val="auto"/>
                <w:szCs w:val="21"/>
                <w:highlight w:val="none"/>
              </w:rPr>
            </w:pPr>
            <w:r>
              <w:rPr>
                <w:color w:val="auto"/>
                <w:szCs w:val="21"/>
                <w:highlight w:val="none"/>
              </w:rPr>
              <w:t>招标人通知延后投标</w:t>
            </w:r>
          </w:p>
          <w:p>
            <w:pPr>
              <w:spacing w:line="240" w:lineRule="exact"/>
              <w:jc w:val="center"/>
              <w:rPr>
                <w:color w:val="auto"/>
                <w:szCs w:val="21"/>
                <w:highlight w:val="none"/>
              </w:rPr>
            </w:pPr>
            <w:r>
              <w:rPr>
                <w:color w:val="auto"/>
                <w:szCs w:val="21"/>
                <w:highlight w:val="none"/>
              </w:rPr>
              <w:t>截止时间的时间</w:t>
            </w:r>
          </w:p>
        </w:tc>
        <w:tc>
          <w:tcPr>
            <w:tcW w:w="6375" w:type="dxa"/>
            <w:noWrap w:val="0"/>
            <w:vAlign w:val="center"/>
          </w:tcPr>
          <w:p>
            <w:pPr>
              <w:spacing w:line="240" w:lineRule="exact"/>
              <w:ind w:left="147" w:leftChars="67"/>
              <w:rPr>
                <w:color w:val="auto"/>
                <w:szCs w:val="21"/>
                <w:highlight w:val="none"/>
              </w:rPr>
            </w:pPr>
            <w:r>
              <w:rPr>
                <w:color w:val="auto"/>
                <w:szCs w:val="21"/>
                <w:highlight w:val="none"/>
              </w:rPr>
              <w:t>原定投标截止时间</w:t>
            </w:r>
            <w:r>
              <w:rPr>
                <w:b/>
                <w:i/>
                <w:color w:val="auto"/>
                <w:szCs w:val="21"/>
                <w:highlight w:val="none"/>
                <w:u w:val="single"/>
              </w:rPr>
              <w:t xml:space="preserve"> </w:t>
            </w:r>
            <w:r>
              <w:rPr>
                <w:rFonts w:hint="eastAsia"/>
                <w:b/>
                <w:i/>
                <w:color w:val="auto"/>
                <w:szCs w:val="21"/>
                <w:highlight w:val="none"/>
                <w:u w:val="single"/>
              </w:rPr>
              <w:t>7</w:t>
            </w:r>
            <w:r>
              <w:rPr>
                <w:b/>
                <w:i/>
                <w:color w:val="auto"/>
                <w:szCs w:val="21"/>
                <w:highlight w:val="none"/>
                <w:u w:val="single"/>
              </w:rPr>
              <w:t xml:space="preserve"> </w:t>
            </w:r>
            <w:r>
              <w:rPr>
                <w:color w:val="auto"/>
                <w:szCs w:val="21"/>
                <w:highlight w:val="none"/>
              </w:rPr>
              <w:t>天前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5.1</w:t>
            </w:r>
          </w:p>
        </w:tc>
        <w:tc>
          <w:tcPr>
            <w:tcW w:w="2447" w:type="dxa"/>
            <w:noWrap w:val="0"/>
            <w:vAlign w:val="center"/>
          </w:tcPr>
          <w:p>
            <w:pPr>
              <w:spacing w:line="360" w:lineRule="exact"/>
              <w:jc w:val="center"/>
              <w:rPr>
                <w:color w:val="auto"/>
                <w:szCs w:val="21"/>
                <w:highlight w:val="none"/>
              </w:rPr>
            </w:pPr>
            <w:r>
              <w:rPr>
                <w:color w:val="auto"/>
                <w:szCs w:val="21"/>
                <w:highlight w:val="none"/>
              </w:rPr>
              <w:t>开标时间和地点</w:t>
            </w:r>
          </w:p>
        </w:tc>
        <w:tc>
          <w:tcPr>
            <w:tcW w:w="6375" w:type="dxa"/>
            <w:noWrap w:val="0"/>
            <w:vAlign w:val="center"/>
          </w:tcPr>
          <w:p>
            <w:pPr>
              <w:spacing w:line="240" w:lineRule="exact"/>
              <w:ind w:left="147" w:leftChars="67"/>
              <w:rPr>
                <w:color w:val="auto"/>
                <w:szCs w:val="21"/>
                <w:highlight w:val="none"/>
              </w:rPr>
            </w:pPr>
            <w:r>
              <w:rPr>
                <w:color w:val="auto"/>
                <w:szCs w:val="21"/>
                <w:highlight w:val="none"/>
              </w:rPr>
              <w:t>投标文件第一信封（商务及技术文件）开标时间：同投标截止时间</w:t>
            </w:r>
          </w:p>
          <w:p>
            <w:pPr>
              <w:spacing w:line="240" w:lineRule="exact"/>
              <w:ind w:left="147" w:leftChars="67"/>
              <w:rPr>
                <w:color w:val="auto"/>
                <w:szCs w:val="21"/>
                <w:highlight w:val="none"/>
              </w:rPr>
            </w:pPr>
            <w:r>
              <w:rPr>
                <w:color w:val="auto"/>
                <w:szCs w:val="21"/>
                <w:highlight w:val="none"/>
              </w:rPr>
              <w:t>投标文件第一信封（商务及技术文件）开标地点：</w:t>
            </w:r>
            <w:r>
              <w:rPr>
                <w:rFonts w:hint="eastAsia"/>
                <w:b/>
                <w:i/>
                <w:color w:val="auto"/>
                <w:szCs w:val="21"/>
                <w:highlight w:val="none"/>
                <w:u w:val="single"/>
              </w:rPr>
              <w:t>详见招标公告</w:t>
            </w:r>
          </w:p>
          <w:p>
            <w:pPr>
              <w:spacing w:line="240" w:lineRule="exact"/>
              <w:ind w:left="147" w:leftChars="67"/>
              <w:rPr>
                <w:color w:val="auto"/>
                <w:szCs w:val="21"/>
                <w:highlight w:val="none"/>
              </w:rPr>
            </w:pPr>
            <w:r>
              <w:rPr>
                <w:color w:val="auto"/>
                <w:szCs w:val="21"/>
                <w:highlight w:val="none"/>
              </w:rPr>
              <w:t>投标文件第二信封（报价</w:t>
            </w:r>
            <w:r>
              <w:rPr>
                <w:rFonts w:hint="eastAsia"/>
                <w:color w:val="auto"/>
                <w:szCs w:val="21"/>
                <w:highlight w:val="none"/>
                <w:lang w:eastAsia="zh-CN"/>
              </w:rPr>
              <w:t>文件</w:t>
            </w:r>
            <w:r>
              <w:rPr>
                <w:color w:val="auto"/>
                <w:szCs w:val="21"/>
                <w:highlight w:val="none"/>
              </w:rPr>
              <w:t>）开标时间：投标文件第一信封开标时通知</w:t>
            </w:r>
          </w:p>
          <w:p>
            <w:pPr>
              <w:spacing w:line="240" w:lineRule="exact"/>
              <w:ind w:left="147" w:leftChars="67"/>
              <w:rPr>
                <w:color w:val="auto"/>
                <w:szCs w:val="21"/>
                <w:highlight w:val="none"/>
              </w:rPr>
            </w:pPr>
            <w:r>
              <w:rPr>
                <w:color w:val="auto"/>
                <w:szCs w:val="21"/>
                <w:highlight w:val="none"/>
              </w:rPr>
              <w:t>投标文件第二信封（报价</w:t>
            </w:r>
            <w:r>
              <w:rPr>
                <w:rFonts w:hint="eastAsia"/>
                <w:color w:val="auto"/>
                <w:szCs w:val="21"/>
                <w:highlight w:val="none"/>
                <w:lang w:eastAsia="zh-CN"/>
              </w:rPr>
              <w:t>文件</w:t>
            </w:r>
            <w:r>
              <w:rPr>
                <w:color w:val="auto"/>
                <w:szCs w:val="21"/>
                <w:highlight w:val="none"/>
              </w:rPr>
              <w:t>）开标地点：</w:t>
            </w:r>
            <w:r>
              <w:rPr>
                <w:rFonts w:hint="eastAsia"/>
                <w:b/>
                <w:i/>
                <w:color w:val="auto"/>
                <w:szCs w:val="21"/>
                <w:highlight w:val="none"/>
                <w:u w:val="single"/>
              </w:rPr>
              <w:t>详见招标公告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5.2.1</w:t>
            </w:r>
          </w:p>
        </w:tc>
        <w:tc>
          <w:tcPr>
            <w:tcW w:w="2447" w:type="dxa"/>
            <w:noWrap w:val="0"/>
            <w:vAlign w:val="center"/>
          </w:tcPr>
          <w:p>
            <w:pPr>
              <w:spacing w:line="360" w:lineRule="exact"/>
              <w:jc w:val="center"/>
              <w:rPr>
                <w:color w:val="auto"/>
                <w:szCs w:val="21"/>
                <w:highlight w:val="none"/>
              </w:rPr>
            </w:pPr>
            <w:r>
              <w:rPr>
                <w:color w:val="auto"/>
                <w:szCs w:val="21"/>
                <w:highlight w:val="none"/>
              </w:rPr>
              <w:t>开标程序</w:t>
            </w:r>
          </w:p>
        </w:tc>
        <w:tc>
          <w:tcPr>
            <w:tcW w:w="6375" w:type="dxa"/>
            <w:noWrap w:val="0"/>
            <w:vAlign w:val="center"/>
          </w:tcPr>
          <w:p>
            <w:pPr>
              <w:spacing w:line="240" w:lineRule="exact"/>
              <w:ind w:left="147" w:leftChars="67"/>
              <w:rPr>
                <w:rFonts w:ascii="宋体" w:hAnsi="宋体" w:cs="宋体"/>
                <w:color w:val="auto"/>
                <w:szCs w:val="21"/>
                <w:highlight w:val="none"/>
              </w:rPr>
            </w:pPr>
            <w:r>
              <w:rPr>
                <w:rFonts w:hint="eastAsia" w:ascii="宋体" w:hAnsi="宋体" w:cs="宋体"/>
                <w:color w:val="auto"/>
                <w:szCs w:val="21"/>
                <w:highlight w:val="none"/>
              </w:rPr>
              <w:t>1、本项目采用</w:t>
            </w:r>
            <w:r>
              <w:rPr>
                <w:rFonts w:hint="eastAsia" w:ascii="宋体" w:hAnsi="宋体" w:cs="宋体"/>
                <w:b/>
                <w:bCs/>
                <w:color w:val="auto"/>
                <w:szCs w:val="21"/>
                <w:highlight w:val="none"/>
              </w:rPr>
              <w:t>不见面开标形式</w:t>
            </w:r>
            <w:r>
              <w:rPr>
                <w:rFonts w:hint="eastAsia" w:ascii="宋体" w:hAnsi="宋体" w:cs="宋体"/>
                <w:color w:val="auto"/>
                <w:szCs w:val="21"/>
                <w:highlight w:val="none"/>
              </w:rPr>
              <w:t>，所有投标人的法定代表人或委托代理人在</w:t>
            </w:r>
            <w:r>
              <w:rPr>
                <w:rFonts w:hint="eastAsia" w:ascii="宋体" w:hAnsi="宋体" w:cs="宋体"/>
                <w:b/>
                <w:bCs/>
                <w:color w:val="auto"/>
                <w:szCs w:val="21"/>
                <w:highlight w:val="none"/>
              </w:rPr>
              <w:t>开标当日（投标截止时间前）</w:t>
            </w:r>
            <w:r>
              <w:rPr>
                <w:rFonts w:hint="eastAsia" w:ascii="宋体" w:hAnsi="宋体" w:cs="宋体"/>
                <w:color w:val="auto"/>
                <w:szCs w:val="21"/>
                <w:highlight w:val="none"/>
              </w:rPr>
              <w:t>登录三门县公共资源交易不见面开标大厅并</w:t>
            </w:r>
            <w:r>
              <w:rPr>
                <w:rFonts w:hint="eastAsia" w:ascii="宋体" w:hAnsi="宋体" w:cs="宋体"/>
                <w:bCs/>
                <w:color w:val="auto"/>
                <w:szCs w:val="21"/>
                <w:highlight w:val="none"/>
              </w:rPr>
              <w:t>签到</w:t>
            </w:r>
            <w:r>
              <w:rPr>
                <w:rFonts w:hint="eastAsia" w:ascii="宋体" w:hAnsi="宋体" w:cs="宋体"/>
                <w:color w:val="auto"/>
                <w:szCs w:val="21"/>
                <w:highlight w:val="none"/>
              </w:rPr>
              <w:t>，</w:t>
            </w:r>
            <w:r>
              <w:rPr>
                <w:rFonts w:hint="eastAsia" w:ascii="宋体" w:hAnsi="宋体" w:cs="宋体"/>
                <w:b/>
                <w:bCs/>
                <w:color w:val="auto"/>
                <w:szCs w:val="21"/>
                <w:highlight w:val="none"/>
              </w:rPr>
              <w:t>未完成签到的，将无法解密投标文件，并视为放弃投标。</w:t>
            </w:r>
            <w:r>
              <w:rPr>
                <w:rFonts w:hint="eastAsia" w:ascii="宋体" w:hAnsi="宋体" w:cs="宋体"/>
                <w:color w:val="auto"/>
                <w:szCs w:val="21"/>
                <w:highlight w:val="none"/>
              </w:rPr>
              <w:t>不见面开标大厅系统登录：插入CA锁并登录交易系统—业务办理—开评标—进入不见面开标系统。</w:t>
            </w:r>
          </w:p>
          <w:p>
            <w:pPr>
              <w:spacing w:line="240" w:lineRule="exact"/>
              <w:ind w:left="147" w:leftChars="67"/>
              <w:rPr>
                <w:rFonts w:ascii="宋体" w:hAnsi="宋体" w:cs="宋体"/>
                <w:color w:val="auto"/>
                <w:szCs w:val="21"/>
                <w:highlight w:val="none"/>
              </w:rPr>
            </w:pPr>
            <w:r>
              <w:rPr>
                <w:rFonts w:hint="eastAsia" w:ascii="宋体" w:hAnsi="宋体" w:cs="宋体"/>
                <w:color w:val="auto"/>
                <w:szCs w:val="21"/>
                <w:highlight w:val="none"/>
              </w:rPr>
              <w:t>2、招标代理开启不见面开标系统视频直播，开标全过程录像由三门县公共资源交易中心录制保存备查。</w:t>
            </w:r>
          </w:p>
          <w:p>
            <w:pPr>
              <w:spacing w:line="240" w:lineRule="exact"/>
              <w:ind w:left="147" w:leftChars="67"/>
              <w:rPr>
                <w:rFonts w:ascii="宋体" w:hAnsi="宋体" w:cs="宋体"/>
                <w:color w:val="auto"/>
                <w:szCs w:val="21"/>
                <w:highlight w:val="none"/>
              </w:rPr>
            </w:pPr>
            <w:r>
              <w:rPr>
                <w:rFonts w:hint="eastAsia" w:ascii="宋体" w:hAnsi="宋体" w:cs="宋体"/>
                <w:color w:val="auto"/>
                <w:szCs w:val="21"/>
                <w:highlight w:val="none"/>
              </w:rPr>
              <w:t>3、投标截止时间到达后，各投标人自行在不见面开标系统对电子投标文件进行解密，投标文件解密时间为</w:t>
            </w:r>
            <w:r>
              <w:rPr>
                <w:rFonts w:hint="eastAsia" w:ascii="宋体" w:hAnsi="宋体" w:cs="宋体"/>
                <w:b/>
                <w:bCs/>
                <w:color w:val="auto"/>
                <w:szCs w:val="21"/>
                <w:highlight w:val="none"/>
              </w:rPr>
              <w:t>40分钟</w:t>
            </w:r>
            <w:r>
              <w:rPr>
                <w:rFonts w:hint="eastAsia" w:ascii="宋体" w:hAnsi="宋体" w:cs="宋体"/>
                <w:color w:val="auto"/>
                <w:szCs w:val="21"/>
                <w:highlight w:val="none"/>
              </w:rPr>
              <w:t>（时间以招标人或招标代理机构确定“开始解密”时开始计算），逾期未解密的视为投标人放弃投标。</w:t>
            </w:r>
          </w:p>
          <w:p>
            <w:pPr>
              <w:spacing w:line="240" w:lineRule="exact"/>
              <w:ind w:left="147" w:leftChars="67"/>
              <w:rPr>
                <w:rFonts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招标解密完成后，开标系统公布投标人名单、投标保证金的递交情况、质量目标、工期及其他内容，同时招标人宣布第二个信封预计开标时间。</w:t>
            </w:r>
          </w:p>
          <w:p>
            <w:pPr>
              <w:spacing w:line="240" w:lineRule="exact"/>
              <w:ind w:left="147" w:leftChars="67"/>
              <w:rPr>
                <w:rFonts w:ascii="宋体" w:hAnsi="宋体" w:cs="宋体"/>
                <w:color w:val="auto"/>
                <w:szCs w:val="21"/>
                <w:highlight w:val="none"/>
              </w:rPr>
            </w:pPr>
            <w:r>
              <w:rPr>
                <w:rFonts w:ascii="宋体" w:hAnsi="宋体" w:cs="宋体"/>
                <w:color w:val="auto"/>
                <w:szCs w:val="21"/>
                <w:highlight w:val="none"/>
              </w:rPr>
              <w:t>5、第一个信封评审结束后，宣布通过投标文件第一个信封（商务及技术文件）评审的投标人名单。</w:t>
            </w:r>
          </w:p>
          <w:p>
            <w:pPr>
              <w:spacing w:line="240" w:lineRule="exact"/>
              <w:ind w:left="147" w:leftChars="67"/>
              <w:rPr>
                <w:rFonts w:ascii="宋体" w:hAnsi="宋体" w:cs="宋体"/>
                <w:color w:val="auto"/>
                <w:szCs w:val="21"/>
                <w:highlight w:val="none"/>
              </w:rPr>
            </w:pPr>
            <w:r>
              <w:rPr>
                <w:rFonts w:ascii="宋体" w:hAnsi="宋体" w:cs="宋体"/>
                <w:color w:val="auto"/>
                <w:szCs w:val="21"/>
                <w:highlight w:val="none"/>
              </w:rPr>
              <w:t>6、公布所有投标文件第二个信封（报价文件）的投标人名称、投标报价及其他内容；</w:t>
            </w:r>
          </w:p>
          <w:p>
            <w:pPr>
              <w:spacing w:line="240" w:lineRule="exact"/>
              <w:ind w:left="147" w:leftChars="67"/>
              <w:rPr>
                <w:rFonts w:ascii="宋体" w:hAnsi="宋体" w:cs="宋体"/>
                <w:color w:val="auto"/>
                <w:szCs w:val="21"/>
                <w:highlight w:val="none"/>
              </w:rPr>
            </w:pPr>
            <w:r>
              <w:rPr>
                <w:rFonts w:hint="eastAsia" w:cs="宋体"/>
                <w:color w:val="auto"/>
                <w:szCs w:val="21"/>
                <w:highlight w:val="none"/>
                <w:lang w:val="en-US" w:eastAsia="zh-CN"/>
              </w:rPr>
              <w:t>7</w:t>
            </w:r>
            <w:r>
              <w:rPr>
                <w:rFonts w:ascii="宋体" w:hAnsi="宋体" w:cs="宋体"/>
                <w:color w:val="auto"/>
                <w:szCs w:val="21"/>
                <w:highlight w:val="none"/>
              </w:rPr>
              <w:t>、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PDF形式并签章后通过不见面开标系统传输。</w:t>
            </w:r>
          </w:p>
          <w:p>
            <w:pPr>
              <w:spacing w:line="240" w:lineRule="exact"/>
              <w:ind w:left="147" w:leftChars="67"/>
              <w:rPr>
                <w:rFonts w:hint="eastAsia" w:ascii="宋体" w:hAnsi="宋体" w:cs="宋体"/>
                <w:b/>
                <w:bCs/>
                <w:color w:val="auto"/>
                <w:szCs w:val="21"/>
                <w:highlight w:val="none"/>
              </w:rPr>
            </w:pPr>
            <w:r>
              <w:rPr>
                <w:rFonts w:ascii="宋体" w:hAnsi="宋体" w:cs="宋体"/>
                <w:b/>
                <w:color w:val="auto"/>
                <w:szCs w:val="21"/>
                <w:highlight w:val="none"/>
              </w:rPr>
              <w:t>注：若有异常情况或疑问的，可通过不见面开标系统音视频交互跟开标人联系，或及时咨询品茗公司，技术服务电话：</w:t>
            </w:r>
            <w:r>
              <w:rPr>
                <w:rFonts w:hint="eastAsia" w:ascii="宋体" w:hAnsi="宋体" w:cs="宋体"/>
                <w:b/>
                <w:color w:val="auto"/>
                <w:szCs w:val="21"/>
                <w:highlight w:val="none"/>
              </w:rPr>
              <w:t>章宏涛，</w:t>
            </w:r>
            <w:r>
              <w:rPr>
                <w:rFonts w:ascii="宋体" w:hAnsi="宋体" w:cs="宋体"/>
                <w:b/>
                <w:color w:val="auto"/>
                <w:szCs w:val="21"/>
                <w:highlight w:val="none"/>
              </w:rPr>
              <w:t>13968512856</w:t>
            </w:r>
            <w:r>
              <w:rPr>
                <w:rFonts w:ascii="宋体" w:hAnsi="宋体" w:cs="宋体"/>
                <w:b/>
                <w:color w:val="auto"/>
                <w:szCs w:val="21"/>
                <w:highlight w:val="none"/>
              </w:rPr>
              <w:t>，也可加入QQ“三门交易平台交流群”（群号：146117595）进行业务咨询。</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6.1.1</w:t>
            </w:r>
          </w:p>
        </w:tc>
        <w:tc>
          <w:tcPr>
            <w:tcW w:w="2447" w:type="dxa"/>
            <w:noWrap w:val="0"/>
            <w:vAlign w:val="center"/>
          </w:tcPr>
          <w:p>
            <w:pPr>
              <w:spacing w:line="360" w:lineRule="exact"/>
              <w:jc w:val="center"/>
              <w:rPr>
                <w:color w:val="auto"/>
                <w:szCs w:val="21"/>
                <w:highlight w:val="none"/>
              </w:rPr>
            </w:pPr>
            <w:r>
              <w:rPr>
                <w:color w:val="auto"/>
                <w:szCs w:val="21"/>
                <w:highlight w:val="none"/>
              </w:rPr>
              <w:t>评标委员会的组建</w:t>
            </w:r>
          </w:p>
        </w:tc>
        <w:tc>
          <w:tcPr>
            <w:tcW w:w="6375" w:type="dxa"/>
            <w:noWrap w:val="0"/>
            <w:vAlign w:val="center"/>
          </w:tcPr>
          <w:p>
            <w:pPr>
              <w:spacing w:line="240" w:lineRule="exact"/>
              <w:ind w:left="147" w:leftChars="67"/>
              <w:rPr>
                <w:color w:val="auto"/>
                <w:szCs w:val="21"/>
                <w:highlight w:val="none"/>
              </w:rPr>
            </w:pPr>
            <w:r>
              <w:rPr>
                <w:color w:val="auto"/>
                <w:szCs w:val="21"/>
                <w:highlight w:val="none"/>
              </w:rPr>
              <w:t>评标委员会构成：</w:t>
            </w:r>
            <w:r>
              <w:rPr>
                <w:color w:val="auto"/>
                <w:szCs w:val="21"/>
                <w:highlight w:val="none"/>
                <w:u w:val="single"/>
              </w:rPr>
              <w:t>5</w:t>
            </w:r>
            <w:r>
              <w:rPr>
                <w:color w:val="auto"/>
                <w:szCs w:val="21"/>
                <w:highlight w:val="none"/>
              </w:rPr>
              <w:t>人，其中招标人代表</w:t>
            </w:r>
            <w:r>
              <w:rPr>
                <w:rFonts w:hint="eastAsia"/>
                <w:color w:val="auto"/>
                <w:szCs w:val="21"/>
                <w:highlight w:val="none"/>
                <w:u w:val="single"/>
              </w:rPr>
              <w:t xml:space="preserve"> </w:t>
            </w:r>
            <w:r>
              <w:rPr>
                <w:color w:val="auto"/>
                <w:szCs w:val="21"/>
                <w:highlight w:val="none"/>
                <w:u w:val="single"/>
              </w:rPr>
              <w:t>0</w:t>
            </w:r>
            <w:r>
              <w:rPr>
                <w:rFonts w:hint="eastAsia"/>
                <w:color w:val="auto"/>
                <w:szCs w:val="21"/>
                <w:highlight w:val="none"/>
                <w:u w:val="single"/>
              </w:rPr>
              <w:t xml:space="preserve"> </w:t>
            </w:r>
            <w:r>
              <w:rPr>
                <w:color w:val="auto"/>
                <w:szCs w:val="21"/>
                <w:highlight w:val="none"/>
              </w:rPr>
              <w:t>人，专家</w:t>
            </w:r>
            <w:r>
              <w:rPr>
                <w:rFonts w:hint="eastAsia"/>
                <w:color w:val="auto"/>
                <w:szCs w:val="21"/>
                <w:highlight w:val="none"/>
                <w:u w:val="single"/>
              </w:rPr>
              <w:t>5</w:t>
            </w:r>
            <w:r>
              <w:rPr>
                <w:color w:val="auto"/>
                <w:szCs w:val="21"/>
                <w:highlight w:val="none"/>
              </w:rPr>
              <w:t>人：</w:t>
            </w:r>
          </w:p>
          <w:p>
            <w:pPr>
              <w:spacing w:line="240" w:lineRule="exact"/>
              <w:ind w:left="147" w:leftChars="67"/>
              <w:rPr>
                <w:color w:val="auto"/>
                <w:szCs w:val="21"/>
                <w:highlight w:val="none"/>
              </w:rPr>
            </w:pPr>
            <w:r>
              <w:rPr>
                <w:color w:val="auto"/>
                <w:szCs w:val="21"/>
                <w:highlight w:val="none"/>
              </w:rPr>
              <w:t>评标专家确定方式：从浙江省综合评标专家库相应专业专家库中随机抽取，评标委员会主任在库选评标委员中推荐或随机抽取产生。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7.1</w:t>
            </w:r>
          </w:p>
        </w:tc>
        <w:tc>
          <w:tcPr>
            <w:tcW w:w="2447" w:type="dxa"/>
            <w:noWrap w:val="0"/>
            <w:vAlign w:val="center"/>
          </w:tcPr>
          <w:p>
            <w:pPr>
              <w:spacing w:line="260" w:lineRule="exact"/>
              <w:jc w:val="center"/>
              <w:rPr>
                <w:color w:val="auto"/>
                <w:szCs w:val="21"/>
                <w:highlight w:val="none"/>
              </w:rPr>
            </w:pPr>
            <w:r>
              <w:rPr>
                <w:color w:val="auto"/>
                <w:szCs w:val="21"/>
                <w:highlight w:val="none"/>
              </w:rPr>
              <w:t>是否授权评标委员会确</w:t>
            </w:r>
          </w:p>
          <w:p>
            <w:pPr>
              <w:spacing w:line="260" w:lineRule="exact"/>
              <w:jc w:val="center"/>
              <w:rPr>
                <w:color w:val="auto"/>
                <w:szCs w:val="21"/>
                <w:highlight w:val="none"/>
              </w:rPr>
            </w:pPr>
            <w:r>
              <w:rPr>
                <w:color w:val="auto"/>
                <w:szCs w:val="21"/>
                <w:highlight w:val="none"/>
              </w:rPr>
              <w:t>定中标人</w:t>
            </w:r>
          </w:p>
        </w:tc>
        <w:tc>
          <w:tcPr>
            <w:tcW w:w="6375" w:type="dxa"/>
            <w:noWrap w:val="0"/>
            <w:vAlign w:val="center"/>
          </w:tcPr>
          <w:p>
            <w:pPr>
              <w:spacing w:line="240" w:lineRule="exact"/>
              <w:ind w:left="147" w:leftChars="67"/>
              <w:rPr>
                <w:rFonts w:hint="eastAsia"/>
                <w:color w:val="auto"/>
                <w:szCs w:val="21"/>
                <w:highlight w:val="none"/>
              </w:rPr>
            </w:pPr>
            <w:r>
              <w:rPr>
                <w:color w:val="auto"/>
                <w:szCs w:val="21"/>
                <w:highlight w:val="none"/>
              </w:rPr>
              <w:t>否，推荐的中标候选人的人数为 1 人</w:t>
            </w:r>
            <w:r>
              <w:rPr>
                <w:rFonts w:hint="eastAsia"/>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7.3.1</w:t>
            </w:r>
          </w:p>
        </w:tc>
        <w:tc>
          <w:tcPr>
            <w:tcW w:w="2447" w:type="dxa"/>
            <w:noWrap w:val="0"/>
            <w:vAlign w:val="center"/>
          </w:tcPr>
          <w:p>
            <w:pPr>
              <w:spacing w:line="360" w:lineRule="exact"/>
              <w:jc w:val="center"/>
              <w:rPr>
                <w:color w:val="auto"/>
                <w:szCs w:val="21"/>
                <w:highlight w:val="none"/>
              </w:rPr>
            </w:pPr>
            <w:r>
              <w:rPr>
                <w:color w:val="auto"/>
                <w:szCs w:val="21"/>
                <w:highlight w:val="none"/>
              </w:rPr>
              <w:t>履约担保</w:t>
            </w:r>
          </w:p>
        </w:tc>
        <w:tc>
          <w:tcPr>
            <w:tcW w:w="6375" w:type="dxa"/>
            <w:noWrap w:val="0"/>
            <w:vAlign w:val="center"/>
          </w:tcPr>
          <w:p>
            <w:pPr>
              <w:spacing w:line="240" w:lineRule="exact"/>
              <w:ind w:left="110" w:leftChars="50" w:right="113" w:firstLine="440" w:firstLineChars="200"/>
              <w:rPr>
                <w:rFonts w:hint="eastAsia" w:hAnsi="宋体"/>
                <w:color w:val="auto"/>
                <w:szCs w:val="21"/>
                <w:highlight w:val="none"/>
              </w:rPr>
            </w:pPr>
            <w:r>
              <w:rPr>
                <w:rFonts w:hint="eastAsia" w:hAnsi="宋体"/>
                <w:color w:val="auto"/>
                <w:szCs w:val="21"/>
                <w:highlight w:val="none"/>
              </w:rPr>
              <w:t>履约担保的金额：</w:t>
            </w:r>
            <w:r>
              <w:rPr>
                <w:rFonts w:hint="eastAsia" w:hAnsi="宋体"/>
                <w:color w:val="auto"/>
                <w:szCs w:val="21"/>
                <w:highlight w:val="none"/>
                <w:lang w:eastAsia="zh-CN"/>
              </w:rPr>
              <w:t>壹万元</w:t>
            </w:r>
            <w:r>
              <w:rPr>
                <w:rFonts w:hint="eastAsia" w:hAnsi="宋体"/>
                <w:color w:val="auto"/>
                <w:szCs w:val="21"/>
                <w:highlight w:val="none"/>
              </w:rPr>
              <w:t>。</w:t>
            </w:r>
          </w:p>
          <w:p>
            <w:pPr>
              <w:spacing w:line="240" w:lineRule="exact"/>
              <w:ind w:left="147" w:leftChars="67" w:firstLine="442" w:firstLineChars="200"/>
              <w:rPr>
                <w:rFonts w:hAnsi="宋体"/>
                <w:color w:val="auto"/>
                <w:szCs w:val="21"/>
                <w:highlight w:val="none"/>
              </w:rPr>
            </w:pPr>
            <w:r>
              <w:rPr>
                <w:rFonts w:hint="eastAsia" w:hAnsi="宋体"/>
                <w:b/>
                <w:color w:val="auto"/>
                <w:szCs w:val="21"/>
                <w:highlight w:val="none"/>
              </w:rPr>
              <w:t>履约担保形式：现金（电汇或银行汇票形式）或</w:t>
            </w:r>
            <w:r>
              <w:rPr>
                <w:rFonts w:hAnsi="宋体"/>
                <w:b/>
                <w:color w:val="auto"/>
                <w:szCs w:val="21"/>
                <w:highlight w:val="none"/>
              </w:rPr>
              <w:t>银行保函</w:t>
            </w:r>
            <w:r>
              <w:rPr>
                <w:rFonts w:hint="eastAsia" w:hAnsi="宋体"/>
                <w:b/>
                <w:color w:val="auto"/>
                <w:szCs w:val="21"/>
                <w:highlight w:val="none"/>
              </w:rPr>
              <w:t>或保险公司保函</w:t>
            </w:r>
            <w:r>
              <w:rPr>
                <w:rFonts w:hint="eastAsia" w:hAnsi="宋体"/>
                <w:color w:val="auto"/>
                <w:szCs w:val="21"/>
                <w:highlight w:val="none"/>
              </w:rPr>
              <w:t>（在签订合同之前提供）。</w:t>
            </w:r>
          </w:p>
          <w:p>
            <w:pPr>
              <w:spacing w:line="240" w:lineRule="exact"/>
              <w:ind w:left="147" w:leftChars="67" w:firstLine="440" w:firstLineChars="200"/>
              <w:rPr>
                <w:rFonts w:hint="eastAsia" w:hAnsi="宋体"/>
                <w:color w:val="auto"/>
                <w:szCs w:val="21"/>
                <w:highlight w:val="none"/>
              </w:rPr>
            </w:pPr>
            <w:r>
              <w:rPr>
                <w:rFonts w:hint="eastAsia" w:hAnsi="宋体"/>
                <w:color w:val="auto"/>
                <w:szCs w:val="21"/>
                <w:highlight w:val="none"/>
              </w:rPr>
              <w:t>采用银行保函时</w:t>
            </w:r>
            <w:r>
              <w:rPr>
                <w:rFonts w:hAnsi="宋体"/>
                <w:color w:val="auto"/>
                <w:szCs w:val="21"/>
                <w:highlight w:val="none"/>
              </w:rPr>
              <w:t>，出具履约担保的银行级别：国有或股份制商业银行县（区、市）级及以上银行</w:t>
            </w:r>
            <w:r>
              <w:rPr>
                <w:rFonts w:hint="eastAsia" w:hAnsi="宋体"/>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11" w:hRule="atLeast"/>
          <w:jc w:val="center"/>
        </w:trPr>
        <w:tc>
          <w:tcPr>
            <w:tcW w:w="9872" w:type="dxa"/>
            <w:gridSpan w:val="3"/>
            <w:noWrap w:val="0"/>
            <w:vAlign w:val="center"/>
          </w:tcPr>
          <w:p>
            <w:pPr>
              <w:spacing w:line="360" w:lineRule="exact"/>
              <w:ind w:left="147" w:leftChars="67"/>
              <w:rPr>
                <w:rFonts w:eastAsia="黑体"/>
                <w:color w:val="auto"/>
                <w:sz w:val="24"/>
                <w:highlight w:val="none"/>
              </w:rPr>
            </w:pPr>
            <w:r>
              <w:rPr>
                <w:rFonts w:eastAsia="黑体"/>
                <w:color w:val="auto"/>
                <w:sz w:val="24"/>
                <w:highlight w:val="none"/>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3" w:hRule="atLeast"/>
          <w:jc w:val="center"/>
        </w:trPr>
        <w:tc>
          <w:tcPr>
            <w:tcW w:w="1050" w:type="dxa"/>
            <w:noWrap w:val="0"/>
            <w:vAlign w:val="center"/>
          </w:tcPr>
          <w:p>
            <w:pPr>
              <w:spacing w:line="360" w:lineRule="exact"/>
              <w:jc w:val="center"/>
              <w:rPr>
                <w:b/>
                <w:color w:val="auto"/>
                <w:szCs w:val="21"/>
                <w:highlight w:val="none"/>
              </w:rPr>
            </w:pPr>
            <w:r>
              <w:rPr>
                <w:b/>
                <w:color w:val="auto"/>
                <w:szCs w:val="21"/>
                <w:highlight w:val="none"/>
              </w:rPr>
              <w:t>条款号</w:t>
            </w:r>
          </w:p>
        </w:tc>
        <w:tc>
          <w:tcPr>
            <w:tcW w:w="2447" w:type="dxa"/>
            <w:noWrap w:val="0"/>
            <w:vAlign w:val="center"/>
          </w:tcPr>
          <w:p>
            <w:pPr>
              <w:spacing w:line="360" w:lineRule="exact"/>
              <w:jc w:val="center"/>
              <w:rPr>
                <w:b/>
                <w:color w:val="auto"/>
                <w:szCs w:val="21"/>
                <w:highlight w:val="none"/>
              </w:rPr>
            </w:pPr>
            <w:r>
              <w:rPr>
                <w:b/>
                <w:color w:val="auto"/>
                <w:szCs w:val="21"/>
                <w:highlight w:val="none"/>
              </w:rPr>
              <w:t>条 款 名 称</w:t>
            </w:r>
          </w:p>
        </w:tc>
        <w:tc>
          <w:tcPr>
            <w:tcW w:w="6375" w:type="dxa"/>
            <w:noWrap w:val="0"/>
            <w:vAlign w:val="center"/>
          </w:tcPr>
          <w:p>
            <w:pPr>
              <w:spacing w:line="360" w:lineRule="exact"/>
              <w:ind w:left="147" w:leftChars="67"/>
              <w:jc w:val="center"/>
              <w:rPr>
                <w:b/>
                <w:color w:val="auto"/>
                <w:szCs w:val="21"/>
                <w:highlight w:val="none"/>
              </w:rPr>
            </w:pPr>
            <w:r>
              <w:rPr>
                <w:b/>
                <w:color w:val="auto"/>
                <w:szCs w:val="21"/>
                <w:highlight w:val="none"/>
              </w:rPr>
              <w:t>编 列 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050" w:type="dxa"/>
            <w:noWrap w:val="0"/>
            <w:vAlign w:val="center"/>
          </w:tcPr>
          <w:p>
            <w:pPr>
              <w:spacing w:line="360" w:lineRule="exact"/>
              <w:jc w:val="center"/>
              <w:rPr>
                <w:color w:val="auto"/>
                <w:szCs w:val="21"/>
                <w:highlight w:val="none"/>
              </w:rPr>
            </w:pPr>
            <w:r>
              <w:rPr>
                <w:color w:val="auto"/>
                <w:szCs w:val="21"/>
                <w:highlight w:val="none"/>
              </w:rPr>
              <w:t>1.4</w:t>
            </w:r>
          </w:p>
        </w:tc>
        <w:tc>
          <w:tcPr>
            <w:tcW w:w="2447" w:type="dxa"/>
            <w:noWrap w:val="0"/>
            <w:vAlign w:val="center"/>
          </w:tcPr>
          <w:p>
            <w:pPr>
              <w:spacing w:line="360" w:lineRule="exact"/>
              <w:jc w:val="center"/>
              <w:rPr>
                <w:color w:val="auto"/>
                <w:szCs w:val="21"/>
                <w:highlight w:val="none"/>
              </w:rPr>
            </w:pPr>
            <w:r>
              <w:rPr>
                <w:color w:val="auto"/>
                <w:szCs w:val="21"/>
                <w:highlight w:val="none"/>
              </w:rPr>
              <w:t>投标人资格要求</w:t>
            </w:r>
          </w:p>
        </w:tc>
        <w:tc>
          <w:tcPr>
            <w:tcW w:w="6375" w:type="dxa"/>
            <w:noWrap w:val="0"/>
            <w:vAlign w:val="center"/>
          </w:tcPr>
          <w:p>
            <w:pPr>
              <w:spacing w:line="240" w:lineRule="exact"/>
              <w:ind w:firstLine="110" w:firstLineChars="50"/>
              <w:rPr>
                <w:color w:val="auto"/>
                <w:szCs w:val="21"/>
                <w:highlight w:val="none"/>
              </w:rPr>
            </w:pPr>
            <w:r>
              <w:rPr>
                <w:color w:val="auto"/>
                <w:szCs w:val="21"/>
                <w:highlight w:val="none"/>
              </w:rPr>
              <w:t>1.4.3(12)、(14)目细化为：</w:t>
            </w:r>
          </w:p>
          <w:p>
            <w:pPr>
              <w:spacing w:line="240" w:lineRule="exact"/>
              <w:ind w:left="147" w:leftChars="67" w:firstLine="440" w:firstLineChars="200"/>
              <w:rPr>
                <w:color w:val="auto"/>
                <w:szCs w:val="21"/>
                <w:highlight w:val="none"/>
              </w:rPr>
            </w:pPr>
            <w:r>
              <w:rPr>
                <w:color w:val="auto"/>
                <w:szCs w:val="21"/>
                <w:highlight w:val="none"/>
              </w:rPr>
              <w:t>(12)</w:t>
            </w:r>
            <w:r>
              <w:rPr>
                <w:b/>
                <w:i/>
                <w:color w:val="auto"/>
                <w:szCs w:val="21"/>
                <w:highlight w:val="none"/>
                <w:u w:val="single"/>
              </w:rPr>
              <w:t>20</w:t>
            </w:r>
            <w:r>
              <w:rPr>
                <w:rFonts w:hint="eastAsia"/>
                <w:b/>
                <w:i/>
                <w:color w:val="auto"/>
                <w:szCs w:val="21"/>
                <w:highlight w:val="none"/>
                <w:u w:val="single"/>
                <w:lang w:val="en-US" w:eastAsia="zh-CN"/>
              </w:rPr>
              <w:t>20</w:t>
            </w:r>
            <w:r>
              <w:rPr>
                <w:color w:val="auto"/>
                <w:szCs w:val="21"/>
                <w:highlight w:val="none"/>
              </w:rPr>
              <w:t>年</w:t>
            </w:r>
            <w:r>
              <w:rPr>
                <w:rFonts w:hint="eastAsia"/>
                <w:b/>
                <w:i/>
                <w:color w:val="auto"/>
                <w:szCs w:val="21"/>
                <w:highlight w:val="none"/>
                <w:u w:val="single"/>
                <w:lang w:eastAsia="zh-CN"/>
              </w:rPr>
              <w:t>7月1日</w:t>
            </w:r>
            <w:r>
              <w:rPr>
                <w:color w:val="auto"/>
                <w:szCs w:val="21"/>
                <w:highlight w:val="none"/>
              </w:rPr>
              <w:t>以来有弄虚作假骗取中标或严重违约或重大工程质量问题的（以省级及以上交通主管部门的书面通报或司法机关出具的有关法律文书为准）；</w:t>
            </w:r>
          </w:p>
          <w:p>
            <w:pPr>
              <w:spacing w:line="240" w:lineRule="exact"/>
              <w:ind w:left="147" w:leftChars="67" w:firstLine="440" w:firstLineChars="200"/>
              <w:rPr>
                <w:color w:val="auto"/>
                <w:szCs w:val="21"/>
                <w:highlight w:val="none"/>
              </w:rPr>
            </w:pPr>
            <w:r>
              <w:rPr>
                <w:color w:val="auto"/>
                <w:szCs w:val="21"/>
                <w:highlight w:val="none"/>
              </w:rPr>
              <w:t xml:space="preserve"> (14)被交通运输部、浙江省交通运输厅、浙江省发改委取消投标资格或禁止进入浙江省建设市场且处于有效期内；</w:t>
            </w:r>
          </w:p>
          <w:p>
            <w:pPr>
              <w:spacing w:line="240" w:lineRule="exact"/>
              <w:ind w:firstLine="110" w:firstLineChars="50"/>
              <w:rPr>
                <w:color w:val="auto"/>
                <w:szCs w:val="21"/>
                <w:highlight w:val="none"/>
              </w:rPr>
            </w:pPr>
            <w:r>
              <w:rPr>
                <w:color w:val="auto"/>
                <w:szCs w:val="21"/>
                <w:highlight w:val="none"/>
              </w:rPr>
              <w:t>补充第 1.4.3(16)目：</w:t>
            </w:r>
          </w:p>
          <w:p>
            <w:pPr>
              <w:spacing w:line="240" w:lineRule="exact"/>
              <w:ind w:left="147" w:leftChars="67" w:firstLine="440" w:firstLineChars="200"/>
              <w:rPr>
                <w:color w:val="auto"/>
                <w:szCs w:val="21"/>
                <w:highlight w:val="none"/>
              </w:rPr>
            </w:pPr>
            <w:r>
              <w:rPr>
                <w:color w:val="auto"/>
                <w:szCs w:val="21"/>
                <w:highlight w:val="none"/>
              </w:rPr>
              <w:t>(16)与招标人存在利害关系可能影响招标公正性的法人、其他组织或者个人参加投标；单位负责人为同一人或者存在控股（含法定代表人控股）、管理关系的不同单位，参加同一标段投标。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1.12</w:t>
            </w:r>
          </w:p>
        </w:tc>
        <w:tc>
          <w:tcPr>
            <w:tcW w:w="2447" w:type="dxa"/>
            <w:noWrap w:val="0"/>
            <w:vAlign w:val="center"/>
          </w:tcPr>
          <w:p>
            <w:pPr>
              <w:spacing w:line="360" w:lineRule="exact"/>
              <w:jc w:val="center"/>
              <w:rPr>
                <w:color w:val="auto"/>
                <w:szCs w:val="21"/>
                <w:highlight w:val="none"/>
              </w:rPr>
            </w:pPr>
            <w:r>
              <w:rPr>
                <w:color w:val="auto"/>
                <w:szCs w:val="21"/>
                <w:highlight w:val="none"/>
              </w:rPr>
              <w:t>偏离</w:t>
            </w:r>
          </w:p>
        </w:tc>
        <w:tc>
          <w:tcPr>
            <w:tcW w:w="6375" w:type="dxa"/>
            <w:noWrap w:val="0"/>
            <w:vAlign w:val="center"/>
          </w:tcPr>
          <w:p>
            <w:pPr>
              <w:spacing w:line="240" w:lineRule="exact"/>
              <w:ind w:firstLine="110" w:firstLineChars="50"/>
              <w:rPr>
                <w:color w:val="auto"/>
                <w:szCs w:val="21"/>
                <w:highlight w:val="none"/>
              </w:rPr>
            </w:pPr>
            <w:r>
              <w:rPr>
                <w:color w:val="auto"/>
                <w:szCs w:val="21"/>
                <w:highlight w:val="none"/>
              </w:rPr>
              <w:t>1.12.3(2)目细化为：</w:t>
            </w:r>
          </w:p>
          <w:p>
            <w:pPr>
              <w:spacing w:line="240" w:lineRule="exact"/>
              <w:ind w:left="147" w:leftChars="67" w:firstLine="440" w:firstLineChars="200"/>
              <w:rPr>
                <w:color w:val="auto"/>
                <w:szCs w:val="21"/>
                <w:highlight w:val="none"/>
              </w:rPr>
            </w:pPr>
            <w:r>
              <w:rPr>
                <w:color w:val="auto"/>
                <w:szCs w:val="21"/>
                <w:highlight w:val="none"/>
              </w:rPr>
              <w:t>(2)对于本章第 1.12.2 项(2)目所述的细微偏差，应要求投标人对细微偏差进行澄清，只有投标人的澄清文件被三分之二及以上评标委员接受，投标人才能参加详细评审。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napToGrid w:val="0"/>
              <w:spacing w:line="240" w:lineRule="exact"/>
              <w:jc w:val="center"/>
              <w:rPr>
                <w:color w:val="auto"/>
                <w:szCs w:val="20"/>
                <w:highlight w:val="none"/>
              </w:rPr>
            </w:pPr>
            <w:r>
              <w:rPr>
                <w:color w:val="auto"/>
                <w:szCs w:val="20"/>
                <w:highlight w:val="none"/>
              </w:rPr>
              <w:t>2.1</w:t>
            </w:r>
          </w:p>
        </w:tc>
        <w:tc>
          <w:tcPr>
            <w:tcW w:w="2447" w:type="dxa"/>
            <w:noWrap w:val="0"/>
            <w:vAlign w:val="center"/>
          </w:tcPr>
          <w:p>
            <w:pPr>
              <w:snapToGrid w:val="0"/>
              <w:spacing w:line="240" w:lineRule="exact"/>
              <w:jc w:val="center"/>
              <w:rPr>
                <w:color w:val="auto"/>
                <w:szCs w:val="20"/>
                <w:highlight w:val="none"/>
              </w:rPr>
            </w:pPr>
            <w:r>
              <w:rPr>
                <w:color w:val="auto"/>
                <w:szCs w:val="20"/>
                <w:highlight w:val="none"/>
              </w:rPr>
              <w:t>招标文件的组成</w:t>
            </w:r>
          </w:p>
        </w:tc>
        <w:tc>
          <w:tcPr>
            <w:tcW w:w="6375" w:type="dxa"/>
            <w:noWrap w:val="0"/>
            <w:vAlign w:val="center"/>
          </w:tcPr>
          <w:p>
            <w:pPr>
              <w:spacing w:line="240" w:lineRule="exact"/>
              <w:ind w:firstLine="110" w:firstLineChars="50"/>
              <w:rPr>
                <w:color w:val="auto"/>
                <w:szCs w:val="21"/>
                <w:highlight w:val="none"/>
              </w:rPr>
            </w:pPr>
            <w:r>
              <w:rPr>
                <w:color w:val="auto"/>
                <w:szCs w:val="21"/>
                <w:highlight w:val="none"/>
              </w:rPr>
              <w:t>2.1款最后一段细化为：</w:t>
            </w:r>
          </w:p>
          <w:p>
            <w:pPr>
              <w:spacing w:line="240" w:lineRule="exact"/>
              <w:ind w:left="147" w:leftChars="67" w:firstLine="440" w:firstLineChars="200"/>
              <w:rPr>
                <w:color w:val="auto"/>
                <w:szCs w:val="20"/>
                <w:highlight w:val="none"/>
              </w:rPr>
            </w:pPr>
            <w:r>
              <w:rPr>
                <w:color w:val="auto"/>
                <w:szCs w:val="21"/>
                <w:highlight w:val="none"/>
              </w:rPr>
              <w:t>本项目招标文件采用网上下载，内容均以网上下载电子版为准；当招标文件、补遗书（补充、澄清、修改文件）在同一内容的表述上不一致时，以在</w:t>
            </w:r>
            <w:r>
              <w:rPr>
                <w:rFonts w:hint="eastAsia"/>
                <w:color w:val="auto"/>
                <w:szCs w:val="21"/>
                <w:highlight w:val="none"/>
              </w:rPr>
              <w:t>三门县公共资源交易</w:t>
            </w:r>
            <w:r>
              <w:rPr>
                <w:color w:val="auto"/>
                <w:szCs w:val="21"/>
                <w:highlight w:val="none"/>
              </w:rPr>
              <w:t>网在后发出的电子文件为准。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vMerge w:val="restart"/>
            <w:noWrap w:val="0"/>
            <w:vAlign w:val="center"/>
          </w:tcPr>
          <w:p>
            <w:pPr>
              <w:spacing w:line="240" w:lineRule="exact"/>
              <w:jc w:val="center"/>
              <w:rPr>
                <w:color w:val="auto"/>
                <w:szCs w:val="20"/>
                <w:highlight w:val="none"/>
              </w:rPr>
            </w:pPr>
            <w:r>
              <w:rPr>
                <w:color w:val="auto"/>
                <w:szCs w:val="20"/>
                <w:highlight w:val="none"/>
              </w:rPr>
              <w:t>2.2</w:t>
            </w:r>
          </w:p>
          <w:p>
            <w:pPr>
              <w:spacing w:line="240" w:lineRule="exact"/>
              <w:jc w:val="center"/>
              <w:rPr>
                <w:color w:val="auto"/>
                <w:szCs w:val="20"/>
                <w:highlight w:val="none"/>
              </w:rPr>
            </w:pPr>
            <w:r>
              <w:rPr>
                <w:color w:val="auto"/>
                <w:szCs w:val="20"/>
                <w:highlight w:val="none"/>
              </w:rPr>
              <w:t>2.3</w:t>
            </w:r>
          </w:p>
        </w:tc>
        <w:tc>
          <w:tcPr>
            <w:tcW w:w="2447" w:type="dxa"/>
            <w:noWrap w:val="0"/>
            <w:vAlign w:val="center"/>
          </w:tcPr>
          <w:p>
            <w:pPr>
              <w:spacing w:line="240" w:lineRule="exact"/>
              <w:jc w:val="center"/>
              <w:rPr>
                <w:rFonts w:hint="eastAsia"/>
                <w:color w:val="auto"/>
                <w:szCs w:val="20"/>
                <w:highlight w:val="none"/>
              </w:rPr>
            </w:pPr>
            <w:r>
              <w:rPr>
                <w:rFonts w:hint="eastAsia"/>
                <w:color w:val="auto"/>
                <w:szCs w:val="20"/>
                <w:highlight w:val="none"/>
              </w:rPr>
              <w:t>招标文件的澄清、补充、修改的时间</w:t>
            </w:r>
          </w:p>
        </w:tc>
        <w:tc>
          <w:tcPr>
            <w:tcW w:w="6375" w:type="dxa"/>
            <w:noWrap w:val="0"/>
            <w:vAlign w:val="center"/>
          </w:tcPr>
          <w:p>
            <w:pPr>
              <w:spacing w:line="240" w:lineRule="exact"/>
              <w:ind w:firstLine="409" w:firstLineChars="186"/>
              <w:rPr>
                <w:rFonts w:hint="eastAsia"/>
                <w:color w:val="auto"/>
                <w:szCs w:val="20"/>
                <w:highlight w:val="none"/>
              </w:rPr>
            </w:pPr>
            <w:r>
              <w:rPr>
                <w:rFonts w:hint="eastAsia"/>
                <w:color w:val="auto"/>
                <w:szCs w:val="20"/>
                <w:highlight w:val="none"/>
              </w:rPr>
              <w:t>澄清、补充、修改的内容影响投标文件编制的，招标人将在投标截止时间15 日前，以电子文件形式上传“三门县公共资源交易网”供潜在投标人自己下载，不足15 天的，招标人将顺延递交投标文件的截止时间。</w:t>
            </w:r>
          </w:p>
          <w:p>
            <w:pPr>
              <w:spacing w:line="240" w:lineRule="exact"/>
              <w:ind w:firstLine="409" w:firstLineChars="186"/>
              <w:rPr>
                <w:rFonts w:hint="eastAsia"/>
                <w:color w:val="auto"/>
                <w:szCs w:val="20"/>
                <w:highlight w:val="none"/>
              </w:rPr>
            </w:pPr>
            <w:r>
              <w:rPr>
                <w:rFonts w:hint="eastAsia"/>
                <w:color w:val="auto"/>
                <w:szCs w:val="20"/>
                <w:highlight w:val="none"/>
              </w:rPr>
              <w:t>澄清、补充、修改的内容不影响投标文件编制的，将在投标文件递交截止时间7 天前，以上款相同的形式发布。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vMerge w:val="continue"/>
            <w:noWrap w:val="0"/>
            <w:vAlign w:val="center"/>
          </w:tcPr>
          <w:p>
            <w:pPr>
              <w:spacing w:line="240" w:lineRule="exact"/>
              <w:jc w:val="center"/>
              <w:rPr>
                <w:color w:val="auto"/>
                <w:szCs w:val="20"/>
                <w:highlight w:val="none"/>
              </w:rPr>
            </w:pPr>
          </w:p>
        </w:tc>
        <w:tc>
          <w:tcPr>
            <w:tcW w:w="2447" w:type="dxa"/>
            <w:noWrap w:val="0"/>
            <w:vAlign w:val="center"/>
          </w:tcPr>
          <w:p>
            <w:pPr>
              <w:snapToGrid w:val="0"/>
              <w:spacing w:line="240" w:lineRule="exact"/>
              <w:jc w:val="center"/>
              <w:rPr>
                <w:color w:val="auto"/>
                <w:szCs w:val="20"/>
                <w:highlight w:val="none"/>
              </w:rPr>
            </w:pPr>
            <w:r>
              <w:rPr>
                <w:rFonts w:hint="eastAsia"/>
                <w:color w:val="auto"/>
                <w:szCs w:val="20"/>
                <w:highlight w:val="none"/>
              </w:rPr>
              <w:t>下载澄清、修改、补充文件网址</w:t>
            </w:r>
          </w:p>
        </w:tc>
        <w:tc>
          <w:tcPr>
            <w:tcW w:w="6375" w:type="dxa"/>
            <w:noWrap w:val="0"/>
            <w:vAlign w:val="center"/>
          </w:tcPr>
          <w:p>
            <w:pPr>
              <w:spacing w:line="240" w:lineRule="exact"/>
              <w:ind w:firstLine="110" w:firstLineChars="50"/>
              <w:rPr>
                <w:color w:val="auto"/>
                <w:szCs w:val="21"/>
                <w:highlight w:val="none"/>
              </w:rPr>
            </w:pPr>
            <w:r>
              <w:rPr>
                <w:rFonts w:hint="eastAsia"/>
                <w:color w:val="auto"/>
                <w:szCs w:val="20"/>
                <w:highlight w:val="none"/>
              </w:rPr>
              <w:t>三门县公共资源交易网</w:t>
            </w:r>
            <w:r>
              <w:rPr>
                <w:color w:val="auto"/>
                <w:szCs w:val="20"/>
                <w:highlight w:val="none"/>
              </w:rPr>
              <w:t>http://www.sanmen.gov.cn/col/col1229610743/index.html</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vMerge w:val="continue"/>
            <w:tcBorders>
              <w:bottom w:val="single" w:color="auto" w:sz="4" w:space="0"/>
            </w:tcBorders>
            <w:noWrap w:val="0"/>
            <w:vAlign w:val="center"/>
          </w:tcPr>
          <w:p>
            <w:pPr>
              <w:spacing w:line="240" w:lineRule="exact"/>
              <w:jc w:val="center"/>
              <w:rPr>
                <w:color w:val="auto"/>
                <w:szCs w:val="20"/>
                <w:highlight w:val="none"/>
              </w:rPr>
            </w:pPr>
          </w:p>
        </w:tc>
        <w:tc>
          <w:tcPr>
            <w:tcW w:w="2447" w:type="dxa"/>
            <w:tcBorders>
              <w:bottom w:val="single" w:color="auto" w:sz="4" w:space="0"/>
            </w:tcBorders>
            <w:noWrap w:val="0"/>
            <w:vAlign w:val="center"/>
          </w:tcPr>
          <w:p>
            <w:pPr>
              <w:snapToGrid w:val="0"/>
              <w:spacing w:line="240" w:lineRule="exact"/>
              <w:jc w:val="center"/>
              <w:rPr>
                <w:color w:val="auto"/>
                <w:szCs w:val="20"/>
                <w:highlight w:val="none"/>
              </w:rPr>
            </w:pPr>
            <w:r>
              <w:rPr>
                <w:rFonts w:hint="eastAsia"/>
                <w:color w:val="auto"/>
                <w:szCs w:val="20"/>
                <w:highlight w:val="none"/>
              </w:rPr>
              <w:t>投标人确认收到招标文件澄清、修改的时间</w:t>
            </w:r>
          </w:p>
        </w:tc>
        <w:tc>
          <w:tcPr>
            <w:tcW w:w="6375" w:type="dxa"/>
            <w:noWrap w:val="0"/>
            <w:vAlign w:val="center"/>
          </w:tcPr>
          <w:p>
            <w:pPr>
              <w:spacing w:line="240" w:lineRule="exact"/>
              <w:ind w:firstLine="110" w:firstLineChars="50"/>
              <w:rPr>
                <w:color w:val="auto"/>
                <w:szCs w:val="21"/>
                <w:highlight w:val="none"/>
              </w:rPr>
            </w:pPr>
            <w:r>
              <w:rPr>
                <w:rFonts w:hint="eastAsia"/>
                <w:color w:val="auto"/>
                <w:szCs w:val="20"/>
                <w:highlight w:val="none"/>
              </w:rPr>
              <w:t>无需确认。潜在投标人应自行关注网站公告，招标人不再一一通知。投标人因自身贻误行为导致投标失败的，责任自负。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3.4</w:t>
            </w:r>
          </w:p>
        </w:tc>
        <w:tc>
          <w:tcPr>
            <w:tcW w:w="2447" w:type="dxa"/>
            <w:noWrap w:val="0"/>
            <w:vAlign w:val="center"/>
          </w:tcPr>
          <w:p>
            <w:pPr>
              <w:spacing w:line="360" w:lineRule="exact"/>
              <w:jc w:val="center"/>
              <w:rPr>
                <w:color w:val="auto"/>
                <w:szCs w:val="21"/>
                <w:highlight w:val="none"/>
              </w:rPr>
            </w:pPr>
            <w:r>
              <w:rPr>
                <w:color w:val="auto"/>
                <w:szCs w:val="21"/>
                <w:highlight w:val="none"/>
              </w:rPr>
              <w:t>投标保证金</w:t>
            </w:r>
          </w:p>
        </w:tc>
        <w:tc>
          <w:tcPr>
            <w:tcW w:w="6375" w:type="dxa"/>
            <w:noWrap w:val="0"/>
            <w:vAlign w:val="center"/>
          </w:tcPr>
          <w:p>
            <w:pPr>
              <w:spacing w:line="240" w:lineRule="exact"/>
              <w:ind w:firstLine="110" w:firstLineChars="50"/>
              <w:rPr>
                <w:color w:val="auto"/>
                <w:szCs w:val="21"/>
                <w:highlight w:val="none"/>
              </w:rPr>
            </w:pPr>
            <w:r>
              <w:rPr>
                <w:color w:val="auto"/>
                <w:szCs w:val="21"/>
                <w:highlight w:val="none"/>
              </w:rPr>
              <w:t>第 3.4.4</w:t>
            </w:r>
            <w:r>
              <w:rPr>
                <w:rFonts w:hint="eastAsia"/>
                <w:color w:val="auto"/>
                <w:szCs w:val="21"/>
                <w:highlight w:val="none"/>
              </w:rPr>
              <w:t>（2）</w:t>
            </w:r>
            <w:r>
              <w:rPr>
                <w:color w:val="auto"/>
                <w:szCs w:val="21"/>
                <w:highlight w:val="none"/>
              </w:rPr>
              <w:t>项细化为：</w:t>
            </w:r>
          </w:p>
          <w:p>
            <w:pPr>
              <w:spacing w:line="240" w:lineRule="exact"/>
              <w:ind w:left="147" w:leftChars="67" w:firstLine="440" w:firstLineChars="200"/>
              <w:rPr>
                <w:rFonts w:hint="eastAsia"/>
                <w:color w:val="auto"/>
                <w:szCs w:val="21"/>
                <w:highlight w:val="none"/>
              </w:rPr>
            </w:pPr>
            <w:r>
              <w:rPr>
                <w:color w:val="auto"/>
                <w:szCs w:val="21"/>
                <w:highlight w:val="none"/>
              </w:rPr>
              <w:t xml:space="preserve"> (2)中标人在收到中标通知书后，无正当理由拒签合同协议书、廉政合同、安全生产合同、工程质量责任合同或未按招标文件规定提交履约担保；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top"/>
          </w:tcPr>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spacing w:before="11"/>
              <w:rPr>
                <w:color w:val="auto"/>
                <w:sz w:val="19"/>
                <w:highlight w:val="none"/>
              </w:rPr>
            </w:pPr>
          </w:p>
          <w:p>
            <w:pPr>
              <w:pStyle w:val="31"/>
              <w:spacing w:before="1"/>
              <w:ind w:left="173" w:leftChars="0" w:right="155" w:rightChars="0"/>
              <w:jc w:val="center"/>
              <w:rPr>
                <w:color w:val="auto"/>
                <w:szCs w:val="21"/>
                <w:highlight w:val="none"/>
              </w:rPr>
            </w:pPr>
            <w:r>
              <w:rPr>
                <w:rFonts w:ascii="Arial"/>
                <w:color w:val="auto"/>
                <w:sz w:val="21"/>
                <w:highlight w:val="none"/>
              </w:rPr>
              <w:t>3.6</w:t>
            </w:r>
          </w:p>
        </w:tc>
        <w:tc>
          <w:tcPr>
            <w:tcW w:w="2447" w:type="dxa"/>
            <w:noWrap w:val="0"/>
            <w:vAlign w:val="top"/>
          </w:tcPr>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spacing w:before="142"/>
              <w:ind w:left="130" w:leftChars="0" w:right="96" w:rightChars="0"/>
              <w:jc w:val="center"/>
              <w:rPr>
                <w:color w:val="auto"/>
                <w:szCs w:val="21"/>
                <w:highlight w:val="none"/>
              </w:rPr>
            </w:pPr>
            <w:r>
              <w:rPr>
                <w:color w:val="auto"/>
                <w:sz w:val="21"/>
                <w:highlight w:val="none"/>
              </w:rPr>
              <w:t>投标人信息的核查</w:t>
            </w:r>
          </w:p>
        </w:tc>
        <w:tc>
          <w:tcPr>
            <w:tcW w:w="6375" w:type="dxa"/>
            <w:noWrap w:val="0"/>
            <w:vAlign w:val="top"/>
          </w:tcPr>
          <w:p>
            <w:pPr>
              <w:pStyle w:val="31"/>
              <w:spacing w:line="264" w:lineRule="exact"/>
              <w:ind w:left="434"/>
              <w:rPr>
                <w:color w:val="auto"/>
                <w:sz w:val="21"/>
                <w:highlight w:val="none"/>
              </w:rPr>
            </w:pPr>
            <w:r>
              <w:rPr>
                <w:rFonts w:ascii="Arial" w:eastAsia="Arial"/>
                <w:color w:val="auto"/>
                <w:sz w:val="21"/>
                <w:highlight w:val="none"/>
              </w:rPr>
              <w:t>3.6</w:t>
            </w:r>
            <w:r>
              <w:rPr>
                <w:color w:val="auto"/>
                <w:sz w:val="21"/>
                <w:highlight w:val="none"/>
              </w:rPr>
              <w:t>款细化为：</w:t>
            </w:r>
          </w:p>
          <w:p>
            <w:pPr>
              <w:pStyle w:val="31"/>
              <w:spacing w:before="2" w:line="232" w:lineRule="auto"/>
              <w:ind w:left="120" w:right="71" w:firstLine="314"/>
              <w:jc w:val="both"/>
              <w:rPr>
                <w:rFonts w:hint="eastAsia" w:ascii="宋体" w:hAnsi="宋体"/>
                <w:color w:val="auto"/>
                <w:kern w:val="0"/>
                <w:szCs w:val="21"/>
                <w:highlight w:val="none"/>
              </w:rPr>
            </w:pPr>
            <w:r>
              <w:rPr>
                <w:color w:val="auto"/>
                <w:spacing w:val="-4"/>
                <w:sz w:val="21"/>
                <w:highlight w:val="none"/>
              </w:rPr>
              <w:t>招标人有权核查投标人在投标文件中提供的材料，若在评标期</w:t>
            </w:r>
            <w:r>
              <w:rPr>
                <w:color w:val="auto"/>
                <w:spacing w:val="-10"/>
                <w:sz w:val="21"/>
                <w:highlight w:val="none"/>
              </w:rPr>
              <w:t>间发现投标人提供了虚假资料，招标人有权对投标人的投标文件作</w:t>
            </w:r>
            <w:r>
              <w:rPr>
                <w:color w:val="auto"/>
                <w:spacing w:val="-13"/>
                <w:sz w:val="21"/>
                <w:highlight w:val="none"/>
              </w:rPr>
              <w:t>否决投标处理，并没收其投标保证金；若在评标结果公示期间发现</w:t>
            </w:r>
            <w:r>
              <w:rPr>
                <w:color w:val="auto"/>
                <w:spacing w:val="-11"/>
                <w:sz w:val="21"/>
                <w:highlight w:val="none"/>
              </w:rPr>
              <w:t>作为中标候选人的投标人提供了虚假资料，招标人有权取消其中标</w:t>
            </w:r>
            <w:r>
              <w:rPr>
                <w:color w:val="auto"/>
                <w:spacing w:val="-13"/>
                <w:sz w:val="21"/>
                <w:highlight w:val="none"/>
              </w:rPr>
              <w:t>资格并没收其投标保证金；若在合同实施期间发现投标人提供了虚</w:t>
            </w:r>
            <w:r>
              <w:rPr>
                <w:color w:val="auto"/>
                <w:spacing w:val="-12"/>
                <w:sz w:val="21"/>
                <w:highlight w:val="none"/>
              </w:rPr>
              <w:t>假资料，招标人有权从合同价款或履约担保中扣除不超过</w:t>
            </w:r>
            <w:r>
              <w:rPr>
                <w:rFonts w:ascii="Arial" w:eastAsia="Arial"/>
                <w:color w:val="auto"/>
                <w:sz w:val="21"/>
                <w:highlight w:val="none"/>
              </w:rPr>
              <w:t>5%</w:t>
            </w:r>
            <w:r>
              <w:rPr>
                <w:color w:val="auto"/>
                <w:spacing w:val="-6"/>
                <w:sz w:val="21"/>
                <w:highlight w:val="none"/>
              </w:rPr>
              <w:t>签约</w:t>
            </w:r>
            <w:r>
              <w:rPr>
                <w:color w:val="auto"/>
                <w:spacing w:val="-11"/>
                <w:sz w:val="21"/>
                <w:highlight w:val="none"/>
              </w:rPr>
              <w:t>合同价的金额作为违约金。同时招标人将投标人以上弄虚作假行为</w:t>
            </w:r>
            <w:r>
              <w:rPr>
                <w:color w:val="auto"/>
                <w:spacing w:val="-13"/>
                <w:sz w:val="21"/>
                <w:highlight w:val="none"/>
              </w:rPr>
              <w:t>上报省级交通运输主管部门，作为不良记录纳入浙江省交通建设市</w:t>
            </w:r>
            <w:r>
              <w:rPr>
                <w:color w:val="auto"/>
                <w:sz w:val="21"/>
                <w:highlight w:val="none"/>
              </w:rPr>
              <w:t>场诚信信息系统和信用评价管理系统。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3.7</w:t>
            </w:r>
          </w:p>
        </w:tc>
        <w:tc>
          <w:tcPr>
            <w:tcW w:w="2447" w:type="dxa"/>
            <w:noWrap w:val="0"/>
            <w:vAlign w:val="center"/>
          </w:tcPr>
          <w:p>
            <w:pPr>
              <w:spacing w:line="360" w:lineRule="exact"/>
              <w:jc w:val="center"/>
              <w:rPr>
                <w:color w:val="auto"/>
                <w:szCs w:val="21"/>
                <w:highlight w:val="none"/>
              </w:rPr>
            </w:pPr>
            <w:r>
              <w:rPr>
                <w:color w:val="auto"/>
                <w:szCs w:val="21"/>
                <w:highlight w:val="none"/>
              </w:rPr>
              <w:t>投标文件的编制</w:t>
            </w:r>
          </w:p>
        </w:tc>
        <w:tc>
          <w:tcPr>
            <w:tcW w:w="6375" w:type="dxa"/>
            <w:noWrap w:val="0"/>
            <w:vAlign w:val="center"/>
          </w:tcPr>
          <w:p>
            <w:pPr>
              <w:pStyle w:val="34"/>
              <w:spacing w:line="240" w:lineRule="exact"/>
              <w:jc w:val="both"/>
              <w:rPr>
                <w:rFonts w:hint="eastAsia" w:ascii="宋体" w:hAnsi="宋体"/>
                <w:b/>
                <w:color w:val="auto"/>
                <w:highlight w:val="none"/>
              </w:rPr>
            </w:pPr>
            <w:r>
              <w:rPr>
                <w:rFonts w:hint="eastAsia" w:ascii="宋体" w:hAnsi="宋体"/>
                <w:b/>
                <w:color w:val="auto"/>
                <w:highlight w:val="none"/>
              </w:rPr>
              <w:t>补充3.7.6项：</w:t>
            </w:r>
          </w:p>
          <w:p>
            <w:pPr>
              <w:spacing w:line="240" w:lineRule="exact"/>
              <w:ind w:firstLine="442" w:firstLineChars="200"/>
              <w:rPr>
                <w:rFonts w:ascii="宋体" w:hAnsi="宋体"/>
                <w:b/>
                <w:color w:val="auto"/>
                <w:highlight w:val="none"/>
              </w:rPr>
            </w:pPr>
            <w:r>
              <w:rPr>
                <w:rFonts w:hint="eastAsia" w:ascii="宋体" w:hAnsi="宋体"/>
                <w:b/>
                <w:color w:val="auto"/>
                <w:highlight w:val="none"/>
              </w:rPr>
              <w:t>3.7.6</w:t>
            </w:r>
            <w:r>
              <w:rPr>
                <w:rFonts w:ascii="宋体" w:hAnsi="宋体"/>
                <w:b/>
                <w:color w:val="auto"/>
                <w:highlight w:val="none"/>
              </w:rPr>
              <w:t>本工程的投标文件必须使用</w:t>
            </w:r>
            <w:r>
              <w:rPr>
                <w:rFonts w:hint="eastAsia" w:ascii="宋体" w:hAnsi="宋体"/>
                <w:b/>
                <w:color w:val="auto"/>
                <w:highlight w:val="none"/>
              </w:rPr>
              <w:t>三门交通投标制作4.5版本编制，</w:t>
            </w:r>
            <w:r>
              <w:rPr>
                <w:rFonts w:ascii="宋体" w:hAnsi="宋体"/>
                <w:b/>
                <w:color w:val="auto"/>
                <w:highlight w:val="none"/>
              </w:rPr>
              <w:t>投标工具下载地址见三门县公共资源交易中心—下载中心。投标文件的编制和递交，应依照招标文件的规定进行。如未按招标文件要求编制、递交电子投标文件，将可能导致否决投标，其后果由投标人自负。投标工具的开发商可根据投标人的要求，提供必要的培训和技术指导。</w:t>
            </w:r>
          </w:p>
          <w:p>
            <w:pPr>
              <w:spacing w:line="240" w:lineRule="exact"/>
              <w:ind w:firstLine="442" w:firstLineChars="200"/>
              <w:rPr>
                <w:rFonts w:ascii="宋体" w:hAnsi="宋体"/>
                <w:b/>
                <w:color w:val="auto"/>
                <w:highlight w:val="none"/>
              </w:rPr>
            </w:pPr>
            <w:r>
              <w:rPr>
                <w:rFonts w:ascii="宋体" w:hAnsi="宋体"/>
                <w:b/>
                <w:color w:val="auto"/>
                <w:highlight w:val="none"/>
              </w:rPr>
              <w:t>投标工具开发商：杭州品茗信息技术有限公司</w:t>
            </w:r>
          </w:p>
          <w:p>
            <w:pPr>
              <w:spacing w:line="240" w:lineRule="exact"/>
              <w:ind w:firstLine="442" w:firstLineChars="200"/>
              <w:rPr>
                <w:color w:val="auto"/>
                <w:szCs w:val="21"/>
                <w:highlight w:val="none"/>
              </w:rPr>
            </w:pPr>
            <w:r>
              <w:rPr>
                <w:rFonts w:ascii="宋体" w:hAnsi="宋体"/>
                <w:b/>
                <w:color w:val="auto"/>
                <w:highlight w:val="none"/>
              </w:rPr>
              <w:t>联系人</w:t>
            </w:r>
            <w:r>
              <w:rPr>
                <w:rFonts w:hint="eastAsia" w:ascii="宋体" w:hAnsi="宋体"/>
                <w:b/>
                <w:color w:val="auto"/>
                <w:highlight w:val="none"/>
              </w:rPr>
              <w:t>/电话</w:t>
            </w:r>
            <w:r>
              <w:rPr>
                <w:rFonts w:ascii="宋体" w:hAnsi="宋体"/>
                <w:b/>
                <w:color w:val="auto"/>
                <w:highlight w:val="none"/>
              </w:rPr>
              <w:t>：</w:t>
            </w:r>
            <w:r>
              <w:rPr>
                <w:rFonts w:hint="eastAsia" w:ascii="宋体" w:hAnsi="宋体"/>
                <w:b/>
                <w:color w:val="auto"/>
                <w:highlight w:val="none"/>
              </w:rPr>
              <w:t>章宏涛，</w:t>
            </w:r>
            <w:r>
              <w:rPr>
                <w:rFonts w:ascii="宋体" w:hAnsi="宋体"/>
                <w:b/>
                <w:color w:val="auto"/>
                <w:highlight w:val="none"/>
              </w:rPr>
              <w:t>13968512856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atLeast"/>
          <w:jc w:val="center"/>
        </w:trPr>
        <w:tc>
          <w:tcPr>
            <w:tcW w:w="1050" w:type="dxa"/>
            <w:noWrap w:val="0"/>
            <w:vAlign w:val="center"/>
          </w:tcPr>
          <w:p>
            <w:pPr>
              <w:spacing w:line="240" w:lineRule="exact"/>
              <w:jc w:val="center"/>
              <w:rPr>
                <w:color w:val="auto"/>
                <w:szCs w:val="20"/>
                <w:highlight w:val="none"/>
              </w:rPr>
            </w:pPr>
            <w:r>
              <w:rPr>
                <w:rFonts w:hint="eastAsia"/>
                <w:color w:val="auto"/>
                <w:szCs w:val="20"/>
                <w:highlight w:val="none"/>
              </w:rPr>
              <w:t>4.1</w:t>
            </w:r>
          </w:p>
        </w:tc>
        <w:tc>
          <w:tcPr>
            <w:tcW w:w="2447" w:type="dxa"/>
            <w:noWrap w:val="0"/>
            <w:vAlign w:val="center"/>
          </w:tcPr>
          <w:p>
            <w:pPr>
              <w:spacing w:line="240" w:lineRule="exact"/>
              <w:jc w:val="center"/>
              <w:rPr>
                <w:color w:val="auto"/>
                <w:szCs w:val="20"/>
                <w:highlight w:val="none"/>
              </w:rPr>
            </w:pPr>
            <w:r>
              <w:rPr>
                <w:rFonts w:hint="eastAsia"/>
                <w:color w:val="auto"/>
                <w:szCs w:val="20"/>
                <w:highlight w:val="none"/>
              </w:rPr>
              <w:t>投标文件的密封和标识</w:t>
            </w:r>
          </w:p>
        </w:tc>
        <w:tc>
          <w:tcPr>
            <w:tcW w:w="6375" w:type="dxa"/>
            <w:noWrap w:val="0"/>
            <w:vAlign w:val="center"/>
          </w:tcPr>
          <w:p>
            <w:pPr>
              <w:snapToGrid w:val="0"/>
              <w:spacing w:line="240" w:lineRule="exact"/>
              <w:ind w:firstLine="420"/>
              <w:rPr>
                <w:color w:val="auto"/>
                <w:szCs w:val="20"/>
                <w:highlight w:val="none"/>
              </w:rPr>
            </w:pPr>
            <w:r>
              <w:rPr>
                <w:rFonts w:hint="eastAsia" w:ascii="Arial" w:hAnsi="宋体" w:cs="Arial"/>
                <w:color w:val="auto"/>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5.1</w:t>
            </w:r>
          </w:p>
        </w:tc>
        <w:tc>
          <w:tcPr>
            <w:tcW w:w="2447" w:type="dxa"/>
            <w:noWrap w:val="0"/>
            <w:vAlign w:val="center"/>
          </w:tcPr>
          <w:p>
            <w:pPr>
              <w:spacing w:line="360" w:lineRule="exact"/>
              <w:jc w:val="center"/>
              <w:rPr>
                <w:color w:val="auto"/>
                <w:szCs w:val="21"/>
                <w:highlight w:val="none"/>
              </w:rPr>
            </w:pPr>
            <w:r>
              <w:rPr>
                <w:color w:val="auto"/>
                <w:szCs w:val="21"/>
                <w:highlight w:val="none"/>
              </w:rPr>
              <w:t>开标时间和地点</w:t>
            </w:r>
          </w:p>
        </w:tc>
        <w:tc>
          <w:tcPr>
            <w:tcW w:w="6375" w:type="dxa"/>
            <w:noWrap w:val="0"/>
            <w:vAlign w:val="center"/>
          </w:tcPr>
          <w:p>
            <w:pPr>
              <w:pStyle w:val="15"/>
              <w:adjustRightInd w:val="0"/>
              <w:snapToGrid w:val="0"/>
              <w:spacing w:line="240" w:lineRule="exact"/>
              <w:ind w:firstLine="0" w:firstLineChars="0"/>
              <w:jc w:val="left"/>
              <w:rPr>
                <w:rFonts w:hint="eastAsia"/>
                <w:bCs/>
                <w:color w:val="auto"/>
                <w:szCs w:val="21"/>
                <w:highlight w:val="none"/>
                <w:lang w:val="en-US" w:eastAsia="zh-CN"/>
              </w:rPr>
            </w:pPr>
            <w:r>
              <w:rPr>
                <w:rFonts w:hint="eastAsia"/>
                <w:bCs/>
                <w:color w:val="auto"/>
                <w:szCs w:val="21"/>
                <w:highlight w:val="none"/>
                <w:lang w:val="en-US" w:eastAsia="zh-CN"/>
              </w:rPr>
              <w:t>第5.1款细化为：</w:t>
            </w:r>
          </w:p>
          <w:p>
            <w:pPr>
              <w:pStyle w:val="15"/>
              <w:adjustRightInd w:val="0"/>
              <w:snapToGrid w:val="0"/>
              <w:spacing w:line="240" w:lineRule="exact"/>
              <w:jc w:val="left"/>
              <w:rPr>
                <w:bCs/>
                <w:color w:val="auto"/>
                <w:szCs w:val="21"/>
                <w:highlight w:val="none"/>
                <w:lang w:val="en-US" w:eastAsia="zh-CN"/>
              </w:rPr>
            </w:pPr>
            <w:r>
              <w:rPr>
                <w:bCs/>
                <w:color w:val="auto"/>
                <w:szCs w:val="21"/>
                <w:highlight w:val="none"/>
                <w:lang w:val="en-US" w:eastAsia="zh-CN"/>
              </w:rPr>
              <w:t>招标人在投标人须知前附表规定的时间和地点对收到的投标文件第一信封（商务及技术文件）公开开标。</w:t>
            </w:r>
          </w:p>
          <w:p>
            <w:pPr>
              <w:pStyle w:val="15"/>
              <w:adjustRightInd w:val="0"/>
              <w:snapToGrid w:val="0"/>
              <w:spacing w:line="240" w:lineRule="exact"/>
              <w:jc w:val="left"/>
              <w:rPr>
                <w:rFonts w:hint="eastAsia"/>
                <w:bCs/>
                <w:color w:val="auto"/>
                <w:szCs w:val="21"/>
                <w:highlight w:val="none"/>
                <w:lang w:val="en-US" w:eastAsia="zh-CN"/>
              </w:rPr>
            </w:pPr>
            <w:r>
              <w:rPr>
                <w:bCs/>
                <w:color w:val="auto"/>
                <w:szCs w:val="21"/>
                <w:highlight w:val="none"/>
                <w:lang w:val="en-US" w:eastAsia="zh-CN"/>
              </w:rPr>
              <w:t>招标人在投标人须知前附表规定的时间和地点对收到的投标文件第二信封（</w:t>
            </w:r>
            <w:r>
              <w:rPr>
                <w:rFonts w:hint="eastAsia"/>
                <w:bCs/>
                <w:color w:val="auto"/>
                <w:szCs w:val="21"/>
                <w:highlight w:val="none"/>
                <w:lang w:val="en-US" w:eastAsia="zh-CN"/>
              </w:rPr>
              <w:t>报价文件</w:t>
            </w:r>
            <w:r>
              <w:rPr>
                <w:bCs/>
                <w:color w:val="auto"/>
                <w:szCs w:val="21"/>
                <w:highlight w:val="none"/>
                <w:lang w:val="en-US" w:eastAsia="zh-CN"/>
              </w:rPr>
              <w:t>）进行开标。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6.3</w:t>
            </w:r>
          </w:p>
        </w:tc>
        <w:tc>
          <w:tcPr>
            <w:tcW w:w="2447" w:type="dxa"/>
            <w:noWrap w:val="0"/>
            <w:vAlign w:val="center"/>
          </w:tcPr>
          <w:p>
            <w:pPr>
              <w:spacing w:line="360" w:lineRule="exact"/>
              <w:jc w:val="center"/>
              <w:rPr>
                <w:color w:val="auto"/>
                <w:szCs w:val="21"/>
                <w:highlight w:val="none"/>
              </w:rPr>
            </w:pPr>
            <w:r>
              <w:rPr>
                <w:color w:val="auto"/>
                <w:szCs w:val="21"/>
                <w:highlight w:val="none"/>
              </w:rPr>
              <w:t>评标</w:t>
            </w:r>
          </w:p>
        </w:tc>
        <w:tc>
          <w:tcPr>
            <w:tcW w:w="6375" w:type="dxa"/>
            <w:noWrap w:val="0"/>
            <w:vAlign w:val="center"/>
          </w:tcPr>
          <w:p>
            <w:pPr>
              <w:spacing w:line="240" w:lineRule="exact"/>
              <w:ind w:firstLine="110" w:firstLineChars="50"/>
              <w:rPr>
                <w:color w:val="auto"/>
                <w:szCs w:val="21"/>
                <w:highlight w:val="none"/>
              </w:rPr>
            </w:pPr>
            <w:r>
              <w:rPr>
                <w:color w:val="auto"/>
                <w:szCs w:val="21"/>
                <w:highlight w:val="none"/>
              </w:rPr>
              <w:t>本款补充：</w:t>
            </w:r>
          </w:p>
          <w:p>
            <w:pPr>
              <w:spacing w:line="240" w:lineRule="exact"/>
              <w:ind w:left="147" w:leftChars="67" w:firstLine="440" w:firstLineChars="200"/>
              <w:rPr>
                <w:color w:val="auto"/>
                <w:szCs w:val="21"/>
                <w:highlight w:val="none"/>
              </w:rPr>
            </w:pPr>
            <w:r>
              <w:rPr>
                <w:color w:val="auto"/>
                <w:szCs w:val="21"/>
                <w:highlight w:val="none"/>
              </w:rPr>
              <w:t>凡评标委员会拟作出否决投标决定的，应先向投标人进行询问核实。未进行询问核实程序的，不得做出否决投标决定（投标人所留联系方式无法联系上、在</w:t>
            </w:r>
            <w:r>
              <w:rPr>
                <w:rFonts w:hint="eastAsia"/>
                <w:color w:val="auto"/>
                <w:szCs w:val="21"/>
                <w:highlight w:val="none"/>
              </w:rPr>
              <w:t>60分钟</w:t>
            </w:r>
            <w:r>
              <w:rPr>
                <w:color w:val="auto"/>
                <w:szCs w:val="21"/>
                <w:highlight w:val="none"/>
              </w:rPr>
              <w:t>内投标人不参加询问核实或未出具答复意见的除外）。</w:t>
            </w:r>
          </w:p>
          <w:p>
            <w:pPr>
              <w:spacing w:line="240" w:lineRule="exact"/>
              <w:ind w:left="147" w:leftChars="67" w:firstLine="440" w:firstLineChars="200"/>
              <w:rPr>
                <w:color w:val="auto"/>
                <w:szCs w:val="21"/>
                <w:highlight w:val="none"/>
              </w:rPr>
            </w:pPr>
            <w:r>
              <w:rPr>
                <w:color w:val="auto"/>
                <w:szCs w:val="21"/>
                <w:highlight w:val="none"/>
              </w:rPr>
              <w:t>第三章“评标办法”中规定的否决投标情形，由评标委员会审核并经过询标程序，</w:t>
            </w:r>
            <w:r>
              <w:rPr>
                <w:rFonts w:hint="eastAsia"/>
                <w:color w:val="auto"/>
                <w:szCs w:val="21"/>
                <w:highlight w:val="none"/>
              </w:rPr>
              <w:t>且经三分之二以上评委认定，</w:t>
            </w:r>
            <w:r>
              <w:rPr>
                <w:color w:val="auto"/>
                <w:szCs w:val="21"/>
                <w:highlight w:val="none"/>
              </w:rPr>
              <w:t>其投标文件作否决</w:t>
            </w:r>
            <w:r>
              <w:rPr>
                <w:rFonts w:hint="eastAsia"/>
                <w:color w:val="auto"/>
                <w:szCs w:val="21"/>
                <w:highlight w:val="none"/>
              </w:rPr>
              <w:t>投标</w:t>
            </w:r>
            <w:r>
              <w:rPr>
                <w:color w:val="auto"/>
                <w:szCs w:val="21"/>
                <w:highlight w:val="none"/>
              </w:rPr>
              <w:t>处理。</w:t>
            </w:r>
            <w:r>
              <w:rPr>
                <w:rFonts w:hint="eastAsia"/>
                <w:color w:val="auto"/>
                <w:szCs w:val="21"/>
                <w:highlight w:val="none"/>
              </w:rPr>
              <w:t>除此之外招标文件其他条款均不得作为否决投标的依据。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7.1</w:t>
            </w:r>
          </w:p>
        </w:tc>
        <w:tc>
          <w:tcPr>
            <w:tcW w:w="2447" w:type="dxa"/>
            <w:noWrap w:val="0"/>
            <w:vAlign w:val="center"/>
          </w:tcPr>
          <w:p>
            <w:pPr>
              <w:spacing w:line="360" w:lineRule="exact"/>
              <w:jc w:val="center"/>
              <w:rPr>
                <w:color w:val="auto"/>
                <w:szCs w:val="21"/>
                <w:highlight w:val="none"/>
              </w:rPr>
            </w:pPr>
            <w:r>
              <w:rPr>
                <w:color w:val="auto"/>
                <w:szCs w:val="21"/>
                <w:highlight w:val="none"/>
              </w:rPr>
              <w:t>定标方式</w:t>
            </w:r>
          </w:p>
        </w:tc>
        <w:tc>
          <w:tcPr>
            <w:tcW w:w="6375" w:type="dxa"/>
            <w:noWrap w:val="0"/>
            <w:vAlign w:val="center"/>
          </w:tcPr>
          <w:p>
            <w:pPr>
              <w:spacing w:line="240" w:lineRule="exact"/>
              <w:ind w:firstLine="110" w:firstLineChars="50"/>
              <w:rPr>
                <w:color w:val="auto"/>
                <w:szCs w:val="21"/>
                <w:highlight w:val="none"/>
              </w:rPr>
            </w:pPr>
            <w:r>
              <w:rPr>
                <w:color w:val="auto"/>
                <w:szCs w:val="21"/>
                <w:highlight w:val="none"/>
              </w:rPr>
              <w:t>第 7.1 款细化为：</w:t>
            </w:r>
          </w:p>
          <w:p>
            <w:pPr>
              <w:spacing w:line="240" w:lineRule="exact"/>
              <w:ind w:left="147" w:leftChars="67" w:firstLine="440" w:firstLineChars="200"/>
              <w:rPr>
                <w:color w:val="auto"/>
                <w:szCs w:val="21"/>
                <w:highlight w:val="none"/>
              </w:rPr>
            </w:pPr>
            <w:r>
              <w:rPr>
                <w:color w:val="auto"/>
                <w:szCs w:val="21"/>
                <w:highlight w:val="none"/>
              </w:rPr>
              <w:t>招标人依据评标委员会推荐的中标候选人经公示后确定中标人，并报经交通主管部门备案；评标委员会推荐中标候选人的人数见投标人须知前附表。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jc w:val="center"/>
              <w:rPr>
                <w:rFonts w:hint="eastAsia" w:hAnsi="宋体"/>
                <w:color w:val="auto"/>
                <w:szCs w:val="21"/>
                <w:highlight w:val="none"/>
              </w:rPr>
            </w:pPr>
            <w:r>
              <w:rPr>
                <w:rFonts w:hint="eastAsia" w:hAnsi="宋体"/>
                <w:color w:val="auto"/>
                <w:szCs w:val="21"/>
                <w:highlight w:val="none"/>
              </w:rPr>
              <w:t>7.2</w:t>
            </w:r>
          </w:p>
        </w:tc>
        <w:tc>
          <w:tcPr>
            <w:tcW w:w="2447" w:type="dxa"/>
            <w:noWrap w:val="0"/>
            <w:vAlign w:val="center"/>
          </w:tcPr>
          <w:p>
            <w:pPr>
              <w:spacing w:line="400" w:lineRule="exact"/>
              <w:jc w:val="center"/>
              <w:rPr>
                <w:rFonts w:hint="eastAsia"/>
                <w:color w:val="auto"/>
                <w:szCs w:val="21"/>
                <w:highlight w:val="none"/>
              </w:rPr>
            </w:pPr>
            <w:r>
              <w:rPr>
                <w:rFonts w:hint="eastAsia" w:hAnsi="宋体"/>
                <w:color w:val="auto"/>
                <w:szCs w:val="21"/>
                <w:highlight w:val="none"/>
              </w:rPr>
              <w:t>中标通知</w:t>
            </w:r>
          </w:p>
        </w:tc>
        <w:tc>
          <w:tcPr>
            <w:tcW w:w="6375" w:type="dxa"/>
            <w:noWrap w:val="0"/>
            <w:vAlign w:val="center"/>
          </w:tcPr>
          <w:p>
            <w:pPr>
              <w:spacing w:line="240" w:lineRule="exact"/>
              <w:rPr>
                <w:rFonts w:hint="eastAsia" w:hAnsi="宋体"/>
                <w:color w:val="auto"/>
                <w:szCs w:val="21"/>
                <w:highlight w:val="none"/>
              </w:rPr>
            </w:pPr>
            <w:r>
              <w:rPr>
                <w:rFonts w:hint="eastAsia" w:hAnsi="宋体"/>
                <w:color w:val="auto"/>
                <w:szCs w:val="21"/>
                <w:highlight w:val="none"/>
              </w:rPr>
              <w:t>第7.2款细化为：</w:t>
            </w:r>
          </w:p>
          <w:p>
            <w:pPr>
              <w:spacing w:line="240" w:lineRule="exact"/>
              <w:rPr>
                <w:rFonts w:hAnsi="宋体"/>
                <w:color w:val="auto"/>
                <w:szCs w:val="21"/>
                <w:highlight w:val="none"/>
              </w:rPr>
            </w:pPr>
            <w:r>
              <w:rPr>
                <w:rFonts w:hint="eastAsia" w:hAnsi="宋体"/>
                <w:color w:val="auto"/>
                <w:szCs w:val="21"/>
                <w:highlight w:val="none"/>
              </w:rPr>
              <w:t>　　在本章第3.3款规定的投标有效期内，并报经相关主管部门备案后，招标人以书面形式向中标人发出中标通知书，</w:t>
            </w:r>
            <w:r>
              <w:rPr>
                <w:rFonts w:hint="eastAsia" w:hAnsi="宋体"/>
                <w:color w:val="auto"/>
                <w:szCs w:val="21"/>
                <w:highlight w:val="none"/>
                <w:lang w:val="zh-CN"/>
              </w:rPr>
              <w:t>同时将中标结果在三门县公共资源交易中心网站上发布，不再另行书面通知未中标的投标人</w:t>
            </w:r>
            <w:r>
              <w:rPr>
                <w:rFonts w:hint="eastAsia" w:hAnsi="宋体"/>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7.3</w:t>
            </w:r>
          </w:p>
        </w:tc>
        <w:tc>
          <w:tcPr>
            <w:tcW w:w="2447" w:type="dxa"/>
            <w:noWrap w:val="0"/>
            <w:vAlign w:val="center"/>
          </w:tcPr>
          <w:p>
            <w:pPr>
              <w:spacing w:line="360" w:lineRule="exact"/>
              <w:jc w:val="center"/>
              <w:rPr>
                <w:color w:val="auto"/>
                <w:szCs w:val="21"/>
                <w:highlight w:val="none"/>
              </w:rPr>
            </w:pPr>
            <w:r>
              <w:rPr>
                <w:color w:val="auto"/>
                <w:szCs w:val="21"/>
                <w:highlight w:val="none"/>
              </w:rPr>
              <w:t>履约担保</w:t>
            </w:r>
          </w:p>
        </w:tc>
        <w:tc>
          <w:tcPr>
            <w:tcW w:w="6375" w:type="dxa"/>
            <w:noWrap w:val="0"/>
            <w:vAlign w:val="center"/>
          </w:tcPr>
          <w:p>
            <w:pPr>
              <w:spacing w:line="240" w:lineRule="exact"/>
              <w:ind w:firstLine="110" w:firstLineChars="50"/>
              <w:rPr>
                <w:color w:val="auto"/>
                <w:szCs w:val="21"/>
                <w:highlight w:val="none"/>
              </w:rPr>
            </w:pPr>
            <w:r>
              <w:rPr>
                <w:color w:val="auto"/>
                <w:szCs w:val="21"/>
                <w:highlight w:val="none"/>
              </w:rPr>
              <w:t>第 7.3.1 项细化为：</w:t>
            </w:r>
          </w:p>
          <w:p>
            <w:pPr>
              <w:spacing w:line="240" w:lineRule="exact"/>
              <w:ind w:left="147" w:leftChars="67" w:firstLine="440" w:firstLineChars="200"/>
              <w:rPr>
                <w:color w:val="auto"/>
                <w:szCs w:val="21"/>
                <w:highlight w:val="none"/>
              </w:rPr>
            </w:pPr>
            <w:r>
              <w:rPr>
                <w:color w:val="auto"/>
                <w:szCs w:val="21"/>
                <w:highlight w:val="none"/>
              </w:rPr>
              <w:t>7.3.1 在签订合同协议书、廉政合同、安全生产合同、工程质量责任合同前，中标人应按投标人须知前附表规定的金额、担保形式和招标文件第四章“合同条款及格式”规定的履约担保格式向招标人提交履约担保。</w:t>
            </w:r>
          </w:p>
          <w:p>
            <w:pPr>
              <w:spacing w:line="240" w:lineRule="exact"/>
              <w:ind w:left="147" w:leftChars="67" w:firstLine="440" w:firstLineChars="200"/>
              <w:rPr>
                <w:rFonts w:hint="eastAsia"/>
                <w:color w:val="auto"/>
                <w:szCs w:val="21"/>
                <w:highlight w:val="none"/>
              </w:rPr>
            </w:pPr>
            <w:r>
              <w:rPr>
                <w:color w:val="auto"/>
                <w:szCs w:val="21"/>
                <w:highlight w:val="none"/>
              </w:rPr>
              <w:t>采用银行保函时，出具银行保函的级别在投标人须知前附表中说明，所需的费用由中标人承担，中标人应保证银行保函有效。</w:t>
            </w:r>
          </w:p>
          <w:p>
            <w:pPr>
              <w:spacing w:line="240" w:lineRule="exact"/>
              <w:ind w:firstLine="110" w:firstLineChars="50"/>
              <w:rPr>
                <w:color w:val="auto"/>
                <w:szCs w:val="21"/>
                <w:highlight w:val="none"/>
              </w:rPr>
            </w:pPr>
            <w:r>
              <w:rPr>
                <w:color w:val="auto"/>
                <w:szCs w:val="21"/>
                <w:highlight w:val="none"/>
              </w:rPr>
              <w:t>第 7.3.2 项细化为：</w:t>
            </w:r>
          </w:p>
          <w:p>
            <w:pPr>
              <w:spacing w:line="240" w:lineRule="exact"/>
              <w:ind w:left="147" w:leftChars="67" w:firstLine="440" w:firstLineChars="200"/>
              <w:rPr>
                <w:color w:val="auto"/>
                <w:szCs w:val="21"/>
                <w:highlight w:val="none"/>
              </w:rPr>
            </w:pPr>
            <w:r>
              <w:rPr>
                <w:color w:val="auto"/>
                <w:szCs w:val="21"/>
                <w:highlight w:val="none"/>
              </w:rPr>
              <w:t>7.3.2 中标人不能按本章第 7.3.1 项要求提交履约担保的，视为放弃中标，其投标保证金</w:t>
            </w:r>
            <w:r>
              <w:rPr>
                <w:rFonts w:hint="eastAsia"/>
                <w:color w:val="auto"/>
                <w:szCs w:val="21"/>
                <w:highlight w:val="none"/>
              </w:rPr>
              <w:t>及同期银行存款利息</w:t>
            </w:r>
            <w:r>
              <w:rPr>
                <w:color w:val="auto"/>
                <w:szCs w:val="21"/>
                <w:highlight w:val="none"/>
              </w:rPr>
              <w:t>不予退还，给招标人造成的损失超过投标保证金</w:t>
            </w:r>
            <w:r>
              <w:rPr>
                <w:rFonts w:hint="eastAsia"/>
                <w:color w:val="auto"/>
                <w:szCs w:val="21"/>
                <w:highlight w:val="none"/>
              </w:rPr>
              <w:t>数额及同期银行存款利息</w:t>
            </w:r>
            <w:r>
              <w:rPr>
                <w:color w:val="auto"/>
                <w:szCs w:val="21"/>
                <w:highlight w:val="none"/>
              </w:rPr>
              <w:t>的，中标人还应当对超过部分予以赔偿。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7.4</w:t>
            </w:r>
          </w:p>
        </w:tc>
        <w:tc>
          <w:tcPr>
            <w:tcW w:w="2447" w:type="dxa"/>
            <w:noWrap w:val="0"/>
            <w:vAlign w:val="center"/>
          </w:tcPr>
          <w:p>
            <w:pPr>
              <w:spacing w:line="360" w:lineRule="exact"/>
              <w:jc w:val="center"/>
              <w:rPr>
                <w:color w:val="auto"/>
                <w:szCs w:val="21"/>
                <w:highlight w:val="none"/>
              </w:rPr>
            </w:pPr>
            <w:r>
              <w:rPr>
                <w:color w:val="auto"/>
                <w:szCs w:val="21"/>
                <w:highlight w:val="none"/>
              </w:rPr>
              <w:t>签订合同</w:t>
            </w:r>
          </w:p>
        </w:tc>
        <w:tc>
          <w:tcPr>
            <w:tcW w:w="6375" w:type="dxa"/>
            <w:noWrap w:val="0"/>
            <w:vAlign w:val="center"/>
          </w:tcPr>
          <w:p>
            <w:pPr>
              <w:spacing w:line="240" w:lineRule="exact"/>
              <w:ind w:firstLine="110" w:firstLineChars="50"/>
              <w:rPr>
                <w:color w:val="auto"/>
                <w:szCs w:val="21"/>
                <w:highlight w:val="none"/>
              </w:rPr>
            </w:pPr>
            <w:r>
              <w:rPr>
                <w:color w:val="auto"/>
                <w:szCs w:val="21"/>
                <w:highlight w:val="none"/>
              </w:rPr>
              <w:t>第 7.4.1 项细化为：</w:t>
            </w:r>
          </w:p>
          <w:p>
            <w:pPr>
              <w:spacing w:line="240" w:lineRule="exact"/>
              <w:ind w:left="147" w:leftChars="67" w:firstLine="440" w:firstLineChars="200"/>
              <w:rPr>
                <w:color w:val="auto"/>
                <w:szCs w:val="21"/>
                <w:highlight w:val="none"/>
              </w:rPr>
            </w:pPr>
            <w:r>
              <w:rPr>
                <w:color w:val="auto"/>
                <w:szCs w:val="21"/>
                <w:highlight w:val="none"/>
              </w:rPr>
              <w:t>7.4.1 招标人和中标人应当自中标通知书发出之日起</w:t>
            </w:r>
            <w:r>
              <w:rPr>
                <w:rFonts w:hint="eastAsia"/>
                <w:color w:val="auto"/>
                <w:szCs w:val="21"/>
                <w:highlight w:val="none"/>
              </w:rPr>
              <w:t>3</w:t>
            </w:r>
            <w:r>
              <w:rPr>
                <w:color w:val="auto"/>
                <w:szCs w:val="21"/>
                <w:highlight w:val="none"/>
              </w:rPr>
              <w:t>0 天内，根据招标文件和中标人的投标文件订立书面合同。中标人无正当理由拒签合同的，招标人取消其中标资格，其投标保证金</w:t>
            </w:r>
            <w:r>
              <w:rPr>
                <w:rFonts w:hint="eastAsia"/>
                <w:color w:val="auto"/>
                <w:szCs w:val="21"/>
                <w:highlight w:val="none"/>
              </w:rPr>
              <w:t>及同期银行存款利息</w:t>
            </w:r>
            <w:r>
              <w:rPr>
                <w:color w:val="auto"/>
                <w:szCs w:val="21"/>
                <w:highlight w:val="none"/>
              </w:rPr>
              <w:t>不予退还；给招标人造成的损失超过投标保证金</w:t>
            </w:r>
            <w:r>
              <w:rPr>
                <w:rFonts w:hint="eastAsia"/>
                <w:color w:val="auto"/>
                <w:szCs w:val="21"/>
                <w:highlight w:val="none"/>
              </w:rPr>
              <w:t>及同期银行存款利息数额</w:t>
            </w:r>
            <w:r>
              <w:rPr>
                <w:color w:val="auto"/>
                <w:szCs w:val="21"/>
                <w:highlight w:val="none"/>
              </w:rPr>
              <w:t>的，中标人还应当对超过部分予以赔偿。</w:t>
            </w:r>
          </w:p>
          <w:p>
            <w:pPr>
              <w:spacing w:line="240" w:lineRule="exact"/>
              <w:ind w:firstLine="110" w:firstLineChars="50"/>
              <w:rPr>
                <w:color w:val="auto"/>
                <w:szCs w:val="21"/>
                <w:highlight w:val="none"/>
              </w:rPr>
            </w:pPr>
            <w:r>
              <w:rPr>
                <w:color w:val="auto"/>
                <w:szCs w:val="21"/>
                <w:highlight w:val="none"/>
              </w:rPr>
              <w:t>第 7.4.2 项细化为：</w:t>
            </w:r>
          </w:p>
          <w:p>
            <w:pPr>
              <w:spacing w:line="240" w:lineRule="exact"/>
              <w:ind w:left="147" w:leftChars="67" w:firstLine="440" w:firstLineChars="200"/>
              <w:rPr>
                <w:color w:val="auto"/>
                <w:szCs w:val="21"/>
                <w:highlight w:val="none"/>
              </w:rPr>
            </w:pPr>
            <w:r>
              <w:rPr>
                <w:color w:val="auto"/>
                <w:szCs w:val="21"/>
                <w:highlight w:val="none"/>
              </w:rPr>
              <w:t>7.4.2 发出中标通知书后，招标人无正当理由拒签合同的，招标人向中标人退还投标保证金</w:t>
            </w:r>
            <w:r>
              <w:rPr>
                <w:rFonts w:hint="eastAsia"/>
                <w:color w:val="auto"/>
                <w:szCs w:val="21"/>
                <w:highlight w:val="none"/>
              </w:rPr>
              <w:t>及同期银行存款利息</w:t>
            </w:r>
            <w:r>
              <w:rPr>
                <w:color w:val="auto"/>
                <w:szCs w:val="21"/>
                <w:highlight w:val="none"/>
              </w:rPr>
              <w:t>；给中标人造成损失的，还应当赔偿损失。</w:t>
            </w:r>
          </w:p>
          <w:p>
            <w:pPr>
              <w:spacing w:line="240" w:lineRule="exact"/>
              <w:ind w:firstLine="110" w:firstLineChars="50"/>
              <w:rPr>
                <w:color w:val="auto"/>
                <w:szCs w:val="21"/>
                <w:highlight w:val="none"/>
              </w:rPr>
            </w:pPr>
            <w:r>
              <w:rPr>
                <w:color w:val="auto"/>
                <w:szCs w:val="21"/>
                <w:highlight w:val="none"/>
              </w:rPr>
              <w:t>第 7.4.5 项细化为：</w:t>
            </w:r>
          </w:p>
          <w:p>
            <w:pPr>
              <w:spacing w:line="240" w:lineRule="exact"/>
              <w:ind w:left="147" w:leftChars="67" w:firstLine="440" w:firstLineChars="200"/>
              <w:rPr>
                <w:color w:val="auto"/>
                <w:szCs w:val="21"/>
                <w:highlight w:val="none"/>
              </w:rPr>
            </w:pPr>
            <w:r>
              <w:rPr>
                <w:color w:val="auto"/>
                <w:szCs w:val="21"/>
                <w:highlight w:val="none"/>
              </w:rPr>
              <w:t>7.4.5 如果根据本章第3.5.8 项、第 7.3.2 项或第 7.4.1 项规定，招标人取消了中标人的中标资格，或中标候选人放弃中标、或因不可抗力不能履行合同，或者被查实存在影响中标结果的违法行为等情形，中标候选人不符合中标条件的，招标人按规定重新组织招标。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9.5</w:t>
            </w:r>
          </w:p>
        </w:tc>
        <w:tc>
          <w:tcPr>
            <w:tcW w:w="2447" w:type="dxa"/>
            <w:noWrap w:val="0"/>
            <w:vAlign w:val="center"/>
          </w:tcPr>
          <w:p>
            <w:pPr>
              <w:spacing w:line="360" w:lineRule="exact"/>
              <w:jc w:val="center"/>
              <w:rPr>
                <w:color w:val="auto"/>
                <w:szCs w:val="21"/>
                <w:highlight w:val="none"/>
              </w:rPr>
            </w:pPr>
            <w:r>
              <w:rPr>
                <w:color w:val="auto"/>
                <w:szCs w:val="21"/>
                <w:highlight w:val="none"/>
              </w:rPr>
              <w:t>投诉</w:t>
            </w:r>
          </w:p>
        </w:tc>
        <w:tc>
          <w:tcPr>
            <w:tcW w:w="6375" w:type="dxa"/>
            <w:noWrap w:val="0"/>
            <w:vAlign w:val="center"/>
          </w:tcPr>
          <w:p>
            <w:pPr>
              <w:spacing w:line="220" w:lineRule="exact"/>
              <w:ind w:firstLine="110" w:firstLineChars="50"/>
              <w:rPr>
                <w:color w:val="auto"/>
                <w:szCs w:val="21"/>
                <w:highlight w:val="none"/>
              </w:rPr>
            </w:pPr>
            <w:r>
              <w:rPr>
                <w:color w:val="auto"/>
                <w:szCs w:val="21"/>
                <w:highlight w:val="none"/>
              </w:rPr>
              <w:t>第 9.5 款细化为：</w:t>
            </w:r>
          </w:p>
          <w:p>
            <w:pPr>
              <w:spacing w:line="220" w:lineRule="exact"/>
              <w:ind w:left="147" w:leftChars="67" w:firstLine="440" w:firstLineChars="200"/>
              <w:rPr>
                <w:color w:val="auto"/>
                <w:szCs w:val="21"/>
                <w:highlight w:val="none"/>
              </w:rPr>
            </w:pPr>
            <w:r>
              <w:rPr>
                <w:color w:val="auto"/>
                <w:szCs w:val="21"/>
                <w:highlight w:val="none"/>
              </w:rPr>
              <w:t>潜在投标人或其他利害关系人对招标文件有异议的，应当在投标截止时间 10 日前以书面形式向招标人提出，招标人应当自收到异议之日起 3 日内作出答复。作出答复前，招标人应暂停招投标活动。</w:t>
            </w:r>
          </w:p>
          <w:p>
            <w:pPr>
              <w:spacing w:line="220" w:lineRule="exact"/>
              <w:ind w:left="147" w:leftChars="67" w:firstLine="440" w:firstLineChars="200"/>
              <w:rPr>
                <w:color w:val="auto"/>
                <w:szCs w:val="21"/>
                <w:highlight w:val="none"/>
              </w:rPr>
            </w:pPr>
            <w:r>
              <w:rPr>
                <w:color w:val="auto"/>
                <w:szCs w:val="21"/>
                <w:highlight w:val="none"/>
              </w:rPr>
              <w:t>投标人对开标有异议的，应当在开标现场提出，招标人应当当场作出答复，并制作记录。</w:t>
            </w:r>
          </w:p>
          <w:p>
            <w:pPr>
              <w:spacing w:line="220" w:lineRule="exact"/>
              <w:ind w:left="147" w:leftChars="67" w:firstLine="440" w:firstLineChars="200"/>
              <w:rPr>
                <w:color w:val="auto"/>
                <w:szCs w:val="21"/>
                <w:highlight w:val="none"/>
              </w:rPr>
            </w:pPr>
            <w:r>
              <w:rPr>
                <w:color w:val="auto"/>
                <w:szCs w:val="21"/>
                <w:highlight w:val="none"/>
              </w:rPr>
              <w:t>投标人或其他利害关系人对评标结果有异议的，应当在中标候选人公示期间以书面形式向招标人提出，招标人应当自收到异议之日起 3 日内作出答复。作出答复前，招标人应暂停招投标活动。</w:t>
            </w:r>
          </w:p>
          <w:p>
            <w:pPr>
              <w:spacing w:line="220" w:lineRule="exact"/>
              <w:ind w:left="147" w:leftChars="67" w:firstLine="440" w:firstLineChars="200"/>
              <w:rPr>
                <w:color w:val="auto"/>
                <w:szCs w:val="21"/>
                <w:highlight w:val="none"/>
              </w:rPr>
            </w:pPr>
            <w:r>
              <w:rPr>
                <w:color w:val="auto"/>
                <w:szCs w:val="21"/>
                <w:highlight w:val="none"/>
              </w:rPr>
              <w:t>招标人逾期未答复异议事项，或者潜在投标人或其他利害关系人对招标人的答复不满意，或者潜在投标人或其他利害关系人认为本次招标活动违反法律、法规和规章规定的，投标人或其他利害关系人有权向有关行政监督部门投诉。投诉应按《中华人民共和国招标投标法实施条例》（中华人民共和国国务院令第 613 号）及《工程建设项目招标投标活动投诉处理办法》（国家七部委令 2004 年第11 号）、国家发改委等九部委 2013 年第 23 号令及《浙江省工程建设招标投标违法行为举报处理办法》（浙发改法规[2015]131号）办理。</w:t>
            </w:r>
          </w:p>
          <w:p>
            <w:pPr>
              <w:spacing w:line="220" w:lineRule="exact"/>
              <w:ind w:left="147" w:leftChars="67" w:firstLine="440" w:firstLineChars="200"/>
              <w:rPr>
                <w:color w:val="auto"/>
                <w:szCs w:val="21"/>
                <w:highlight w:val="none"/>
              </w:rPr>
            </w:pPr>
            <w:r>
              <w:rPr>
                <w:color w:val="auto"/>
                <w:szCs w:val="21"/>
                <w:highlight w:val="none"/>
              </w:rPr>
              <w:t>监督部门的联系方式：</w:t>
            </w:r>
          </w:p>
          <w:p>
            <w:pPr>
              <w:spacing w:line="220" w:lineRule="exact"/>
              <w:ind w:left="147" w:leftChars="67" w:firstLine="440" w:firstLineChars="200"/>
              <w:rPr>
                <w:color w:val="auto"/>
                <w:szCs w:val="21"/>
                <w:highlight w:val="none"/>
              </w:rPr>
            </w:pPr>
            <w:r>
              <w:rPr>
                <w:color w:val="auto"/>
                <w:szCs w:val="21"/>
                <w:highlight w:val="none"/>
              </w:rPr>
              <w:t>监督部门：</w:t>
            </w:r>
            <w:r>
              <w:rPr>
                <w:b/>
                <w:i/>
                <w:color w:val="auto"/>
                <w:szCs w:val="21"/>
                <w:highlight w:val="none"/>
                <w:u w:val="single"/>
              </w:rPr>
              <w:t>三门县交通运输局</w:t>
            </w:r>
          </w:p>
          <w:p>
            <w:pPr>
              <w:spacing w:line="220" w:lineRule="exact"/>
              <w:ind w:left="147" w:leftChars="67" w:firstLine="440" w:firstLineChars="200"/>
              <w:rPr>
                <w:rFonts w:hint="eastAsia"/>
                <w:b/>
                <w:i/>
                <w:color w:val="auto"/>
                <w:szCs w:val="21"/>
                <w:highlight w:val="none"/>
                <w:u w:val="single"/>
              </w:rPr>
            </w:pPr>
            <w:r>
              <w:rPr>
                <w:color w:val="auto"/>
                <w:szCs w:val="21"/>
                <w:highlight w:val="none"/>
              </w:rPr>
              <w:t>地址：</w:t>
            </w:r>
            <w:r>
              <w:rPr>
                <w:b/>
                <w:i/>
                <w:color w:val="auto"/>
                <w:szCs w:val="21"/>
                <w:highlight w:val="none"/>
                <w:u w:val="single"/>
              </w:rPr>
              <w:t>三门县广场路22号交通大楼</w:t>
            </w:r>
          </w:p>
          <w:p>
            <w:pPr>
              <w:spacing w:line="220" w:lineRule="exact"/>
              <w:ind w:left="147" w:leftChars="67" w:firstLine="440" w:firstLineChars="200"/>
              <w:rPr>
                <w:b/>
                <w:i/>
                <w:color w:val="auto"/>
                <w:szCs w:val="21"/>
                <w:highlight w:val="none"/>
              </w:rPr>
            </w:pPr>
            <w:r>
              <w:rPr>
                <w:color w:val="auto"/>
                <w:szCs w:val="21"/>
                <w:highlight w:val="none"/>
              </w:rPr>
              <w:t>邮政编码：</w:t>
            </w:r>
            <w:r>
              <w:rPr>
                <w:b/>
                <w:i/>
                <w:color w:val="auto"/>
                <w:szCs w:val="21"/>
                <w:highlight w:val="none"/>
                <w:u w:val="single"/>
              </w:rPr>
              <w:t>317100</w:t>
            </w:r>
            <w:r>
              <w:rPr>
                <w:rFonts w:hint="eastAsia"/>
                <w:b/>
                <w:i/>
                <w:color w:val="auto"/>
                <w:szCs w:val="21"/>
                <w:highlight w:val="none"/>
              </w:rPr>
              <w:t xml:space="preserve">            </w:t>
            </w:r>
          </w:p>
          <w:p>
            <w:pPr>
              <w:spacing w:line="220" w:lineRule="exact"/>
              <w:ind w:left="147" w:leftChars="67" w:firstLine="440" w:firstLineChars="200"/>
              <w:rPr>
                <w:rFonts w:hint="eastAsia"/>
                <w:b/>
                <w:i/>
                <w:color w:val="auto"/>
                <w:szCs w:val="21"/>
                <w:highlight w:val="none"/>
              </w:rPr>
            </w:pPr>
            <w:r>
              <w:rPr>
                <w:color w:val="auto"/>
                <w:szCs w:val="21"/>
                <w:highlight w:val="none"/>
              </w:rPr>
              <w:t>电话：</w:t>
            </w:r>
            <w:r>
              <w:rPr>
                <w:b/>
                <w:i/>
                <w:color w:val="auto"/>
                <w:szCs w:val="21"/>
                <w:highlight w:val="none"/>
                <w:u w:val="single"/>
              </w:rPr>
              <w:t>0576-</w:t>
            </w:r>
            <w:r>
              <w:rPr>
                <w:rFonts w:hint="eastAsia"/>
                <w:b/>
                <w:i/>
                <w:color w:val="auto"/>
                <w:szCs w:val="21"/>
                <w:highlight w:val="none"/>
                <w:u w:val="single"/>
              </w:rPr>
              <w:t>83331286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color w:val="auto"/>
                <w:szCs w:val="21"/>
                <w:highlight w:val="none"/>
              </w:rPr>
              <w:t>10.2</w:t>
            </w:r>
          </w:p>
        </w:tc>
        <w:tc>
          <w:tcPr>
            <w:tcW w:w="2447" w:type="dxa"/>
            <w:noWrap w:val="0"/>
            <w:vAlign w:val="center"/>
          </w:tcPr>
          <w:p>
            <w:pPr>
              <w:spacing w:line="360" w:lineRule="exact"/>
              <w:jc w:val="center"/>
              <w:rPr>
                <w:color w:val="auto"/>
                <w:szCs w:val="21"/>
                <w:highlight w:val="none"/>
              </w:rPr>
            </w:pPr>
            <w:r>
              <w:rPr>
                <w:color w:val="auto"/>
                <w:szCs w:val="21"/>
                <w:highlight w:val="none"/>
              </w:rPr>
              <w:t>结果公示</w:t>
            </w:r>
          </w:p>
        </w:tc>
        <w:tc>
          <w:tcPr>
            <w:tcW w:w="6375" w:type="dxa"/>
            <w:noWrap w:val="0"/>
            <w:vAlign w:val="center"/>
          </w:tcPr>
          <w:p>
            <w:pPr>
              <w:spacing w:line="220" w:lineRule="exact"/>
              <w:ind w:firstLine="110" w:firstLineChars="50"/>
              <w:rPr>
                <w:color w:val="auto"/>
                <w:szCs w:val="21"/>
                <w:highlight w:val="none"/>
              </w:rPr>
            </w:pPr>
            <w:r>
              <w:rPr>
                <w:color w:val="auto"/>
                <w:szCs w:val="21"/>
                <w:highlight w:val="none"/>
              </w:rPr>
              <w:t>补充第 10.2 款</w:t>
            </w:r>
          </w:p>
          <w:p>
            <w:pPr>
              <w:spacing w:line="220" w:lineRule="exact"/>
              <w:ind w:left="147" w:leftChars="67" w:firstLine="440" w:firstLineChars="200"/>
              <w:rPr>
                <w:color w:val="auto"/>
                <w:szCs w:val="21"/>
                <w:highlight w:val="none"/>
              </w:rPr>
            </w:pPr>
            <w:r>
              <w:rPr>
                <w:color w:val="auto"/>
                <w:szCs w:val="21"/>
                <w:highlight w:val="none"/>
              </w:rPr>
              <w:t>10.2 结果公示</w:t>
            </w:r>
          </w:p>
          <w:p>
            <w:pPr>
              <w:spacing w:line="220" w:lineRule="exact"/>
              <w:ind w:left="147" w:leftChars="67" w:firstLine="440" w:firstLineChars="200"/>
              <w:rPr>
                <w:color w:val="auto"/>
                <w:szCs w:val="21"/>
                <w:highlight w:val="none"/>
              </w:rPr>
            </w:pPr>
            <w:r>
              <w:rPr>
                <w:color w:val="auto"/>
                <w:szCs w:val="21"/>
                <w:highlight w:val="none"/>
              </w:rPr>
              <w:t>评标结束后，招标人将评标结果、否决投标原因及依据在三门县公共资源交易中心网（http://www.sanmen.gov.cn/col/col1229610743/index.html）上公示，公示时间为3日。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1050" w:type="dxa"/>
            <w:noWrap w:val="0"/>
            <w:vAlign w:val="center"/>
          </w:tcPr>
          <w:p>
            <w:pPr>
              <w:spacing w:line="360" w:lineRule="exact"/>
              <w:jc w:val="center"/>
              <w:rPr>
                <w:color w:val="auto"/>
                <w:szCs w:val="21"/>
                <w:highlight w:val="none"/>
              </w:rPr>
            </w:pPr>
            <w:r>
              <w:rPr>
                <w:rFonts w:hint="eastAsia"/>
                <w:color w:val="auto"/>
                <w:szCs w:val="21"/>
                <w:highlight w:val="none"/>
              </w:rPr>
              <w:t>10.</w:t>
            </w:r>
            <w:r>
              <w:rPr>
                <w:color w:val="auto"/>
                <w:szCs w:val="21"/>
                <w:highlight w:val="none"/>
              </w:rPr>
              <w:t>3</w:t>
            </w:r>
          </w:p>
        </w:tc>
        <w:tc>
          <w:tcPr>
            <w:tcW w:w="2447" w:type="dxa"/>
            <w:noWrap w:val="0"/>
            <w:vAlign w:val="center"/>
          </w:tcPr>
          <w:p>
            <w:pPr>
              <w:wordWrap w:val="0"/>
              <w:jc w:val="center"/>
              <w:rPr>
                <w:color w:val="auto"/>
                <w:szCs w:val="20"/>
                <w:highlight w:val="none"/>
              </w:rPr>
            </w:pPr>
            <w:r>
              <w:rPr>
                <w:color w:val="auto"/>
                <w:szCs w:val="20"/>
                <w:highlight w:val="none"/>
              </w:rPr>
              <w:t>其他</w:t>
            </w:r>
          </w:p>
        </w:tc>
        <w:tc>
          <w:tcPr>
            <w:tcW w:w="6375" w:type="dxa"/>
            <w:noWrap w:val="0"/>
            <w:vAlign w:val="center"/>
          </w:tcPr>
          <w:p>
            <w:pPr>
              <w:spacing w:line="220" w:lineRule="exact"/>
              <w:rPr>
                <w:color w:val="auto"/>
                <w:szCs w:val="20"/>
                <w:highlight w:val="none"/>
              </w:rPr>
            </w:pPr>
            <w:r>
              <w:rPr>
                <w:color w:val="auto"/>
                <w:szCs w:val="20"/>
                <w:highlight w:val="none"/>
              </w:rPr>
              <w:t>补充第10.</w:t>
            </w:r>
            <w:r>
              <w:rPr>
                <w:rFonts w:hint="eastAsia"/>
                <w:color w:val="auto"/>
                <w:szCs w:val="20"/>
                <w:highlight w:val="none"/>
              </w:rPr>
              <w:t>3</w:t>
            </w:r>
            <w:r>
              <w:rPr>
                <w:color w:val="auto"/>
                <w:szCs w:val="20"/>
                <w:highlight w:val="none"/>
              </w:rPr>
              <w:t>款</w:t>
            </w:r>
          </w:p>
          <w:p>
            <w:pPr>
              <w:spacing w:line="220" w:lineRule="exact"/>
              <w:ind w:firstLine="440" w:firstLineChars="200"/>
              <w:rPr>
                <w:color w:val="auto"/>
                <w:szCs w:val="20"/>
                <w:highlight w:val="none"/>
              </w:rPr>
            </w:pPr>
            <w:r>
              <w:rPr>
                <w:color w:val="auto"/>
                <w:szCs w:val="20"/>
                <w:highlight w:val="none"/>
              </w:rPr>
              <w:t>10.3如电子招标系统生成的评标参数内容与本招标文件有不符之处，以本招标文件为准。</w:t>
            </w:r>
          </w:p>
        </w:tc>
      </w:tr>
    </w:tbl>
    <w:p>
      <w:pPr>
        <w:rPr>
          <w:color w:val="auto"/>
          <w:szCs w:val="21"/>
          <w:highlight w:val="none"/>
        </w:rPr>
      </w:pPr>
      <w:r>
        <w:rPr>
          <w:color w:val="auto"/>
          <w:sz w:val="24"/>
          <w:highlight w:val="none"/>
        </w:rPr>
        <w:br w:type="page"/>
      </w:r>
      <w:r>
        <w:rPr>
          <w:color w:val="auto"/>
          <w:szCs w:val="21"/>
          <w:highlight w:val="none"/>
        </w:rPr>
        <w:t>附录</w:t>
      </w:r>
    </w:p>
    <w:p>
      <w:pPr>
        <w:jc w:val="center"/>
        <w:rPr>
          <w:rFonts w:hint="eastAsia" w:eastAsia="隶书"/>
          <w:color w:val="auto"/>
          <w:sz w:val="24"/>
          <w:highlight w:val="none"/>
        </w:rPr>
      </w:pPr>
    </w:p>
    <w:p>
      <w:pPr>
        <w:jc w:val="center"/>
        <w:rPr>
          <w:rFonts w:eastAsia="隶书"/>
          <w:color w:val="auto"/>
          <w:sz w:val="24"/>
          <w:highlight w:val="none"/>
        </w:rPr>
      </w:pPr>
    </w:p>
    <w:p>
      <w:pPr>
        <w:jc w:val="center"/>
        <w:rPr>
          <w:rFonts w:eastAsia="隶书"/>
          <w:color w:val="auto"/>
          <w:sz w:val="24"/>
          <w:highlight w:val="none"/>
        </w:rPr>
      </w:pPr>
    </w:p>
    <w:p>
      <w:pPr>
        <w:pStyle w:val="5"/>
        <w:spacing w:before="240" w:after="240" w:line="240" w:lineRule="auto"/>
        <w:jc w:val="center"/>
        <w:rPr>
          <w:rFonts w:eastAsia="黑体"/>
          <w:color w:val="auto"/>
          <w:sz w:val="24"/>
          <w:szCs w:val="24"/>
          <w:highlight w:val="none"/>
          <w:vertAlign w:val="superscript"/>
        </w:rPr>
      </w:pPr>
      <w:bookmarkStart w:id="45" w:name="_Toc29178"/>
      <w:r>
        <w:rPr>
          <w:rFonts w:eastAsia="黑体"/>
          <w:color w:val="auto"/>
          <w:sz w:val="24"/>
          <w:szCs w:val="24"/>
          <w:highlight w:val="none"/>
        </w:rPr>
        <w:t>附录1   资格审查条件(资质最低条件)</w:t>
      </w:r>
      <w:bookmarkEnd w:id="45"/>
    </w:p>
    <w:tbl>
      <w:tblPr>
        <w:tblStyle w:val="26"/>
        <w:tblW w:w="91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943"/>
        <w:gridCol w:w="6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2943" w:type="dxa"/>
            <w:noWrap w:val="0"/>
            <w:vAlign w:val="center"/>
          </w:tcPr>
          <w:p>
            <w:pPr>
              <w:jc w:val="center"/>
              <w:rPr>
                <w:color w:val="auto"/>
                <w:szCs w:val="21"/>
                <w:highlight w:val="none"/>
              </w:rPr>
            </w:pPr>
            <w:r>
              <w:rPr>
                <w:color w:val="auto"/>
                <w:szCs w:val="21"/>
                <w:highlight w:val="none"/>
              </w:rPr>
              <w:t>标段</w:t>
            </w:r>
          </w:p>
        </w:tc>
        <w:tc>
          <w:tcPr>
            <w:tcW w:w="6237" w:type="dxa"/>
            <w:noWrap w:val="0"/>
            <w:vAlign w:val="center"/>
          </w:tcPr>
          <w:p>
            <w:pPr>
              <w:jc w:val="center"/>
              <w:rPr>
                <w:color w:val="auto"/>
                <w:szCs w:val="21"/>
                <w:highlight w:val="none"/>
              </w:rPr>
            </w:pPr>
            <w:r>
              <w:rPr>
                <w:color w:val="auto"/>
                <w:szCs w:val="21"/>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2943" w:type="dxa"/>
            <w:noWrap w:val="0"/>
            <w:vAlign w:val="center"/>
          </w:tcPr>
          <w:p>
            <w:pPr>
              <w:jc w:val="center"/>
              <w:rPr>
                <w:rFonts w:hint="eastAsia"/>
                <w:color w:val="auto"/>
                <w:szCs w:val="21"/>
                <w:highlight w:val="none"/>
              </w:rPr>
            </w:pPr>
            <w:r>
              <w:rPr>
                <w:rFonts w:hint="eastAsia"/>
                <w:color w:val="auto"/>
                <w:szCs w:val="21"/>
                <w:highlight w:val="none"/>
                <w:lang w:eastAsia="zh-CN"/>
              </w:rPr>
              <w:t>本</w:t>
            </w:r>
            <w:r>
              <w:rPr>
                <w:rFonts w:hint="eastAsia"/>
                <w:color w:val="auto"/>
                <w:szCs w:val="21"/>
                <w:highlight w:val="none"/>
              </w:rPr>
              <w:t>标段</w:t>
            </w:r>
          </w:p>
        </w:tc>
        <w:tc>
          <w:tcPr>
            <w:tcW w:w="6237" w:type="dxa"/>
            <w:noWrap w:val="0"/>
            <w:vAlign w:val="center"/>
          </w:tcPr>
          <w:p>
            <w:pPr>
              <w:spacing w:line="360" w:lineRule="exact"/>
              <w:rPr>
                <w:color w:val="auto"/>
                <w:szCs w:val="21"/>
                <w:highlight w:val="none"/>
              </w:rPr>
            </w:pPr>
          </w:p>
          <w:p>
            <w:pPr>
              <w:pStyle w:val="31"/>
              <w:spacing w:line="357" w:lineRule="auto"/>
              <w:ind w:left="119" w:right="72" w:firstLine="420"/>
              <w:jc w:val="both"/>
              <w:rPr>
                <w:rFonts w:ascii="Arial" w:hAnsi="宋体" w:eastAsia="Arial" w:cs="宋体"/>
                <w:color w:val="auto"/>
                <w:sz w:val="21"/>
                <w:highlight w:val="none"/>
              </w:rPr>
            </w:pPr>
            <w:r>
              <w:rPr>
                <w:rFonts w:ascii="Arial" w:eastAsia="Arial"/>
                <w:color w:val="auto"/>
                <w:sz w:val="21"/>
                <w:highlight w:val="none"/>
              </w:rPr>
              <w:t>1</w:t>
            </w:r>
            <w:r>
              <w:rPr>
                <w:color w:val="auto"/>
                <w:spacing w:val="-3"/>
                <w:sz w:val="21"/>
                <w:highlight w:val="none"/>
              </w:rPr>
              <w:t>、具备独立法人资格，</w:t>
            </w:r>
            <w:r>
              <w:rPr>
                <w:rFonts w:hint="eastAsia"/>
                <w:color w:val="auto"/>
                <w:spacing w:val="-3"/>
                <w:sz w:val="21"/>
                <w:highlight w:val="none"/>
                <w:u w:val="single"/>
                <w:lang w:eastAsia="zh-CN"/>
              </w:rPr>
              <w:t>工程设计综合甲级资质［或工程设计公路行业甲级资质或工程设计公路行业（公路）专业甲级资质］</w:t>
            </w:r>
            <w:r>
              <w:rPr>
                <w:color w:val="auto"/>
                <w:spacing w:val="-4"/>
                <w:sz w:val="21"/>
                <w:highlight w:val="none"/>
              </w:rPr>
              <w:t>，具有同类</w:t>
            </w:r>
            <w:r>
              <w:rPr>
                <w:color w:val="auto"/>
                <w:spacing w:val="-11"/>
                <w:sz w:val="21"/>
                <w:highlight w:val="none"/>
              </w:rPr>
              <w:t>工程设计业绩，并在人员组成结构等方面具有相应的设计能力的单位均可参加本</w:t>
            </w:r>
            <w:r>
              <w:rPr>
                <w:color w:val="auto"/>
                <w:spacing w:val="-6"/>
                <w:sz w:val="21"/>
                <w:highlight w:val="none"/>
              </w:rPr>
              <w:t>项</w:t>
            </w:r>
            <w:r>
              <w:rPr>
                <w:rFonts w:ascii="Arial" w:hAnsi="宋体" w:eastAsia="Arial" w:cs="宋体"/>
                <w:color w:val="auto"/>
                <w:sz w:val="21"/>
                <w:highlight w:val="none"/>
              </w:rPr>
              <w:t>目的投标。</w:t>
            </w:r>
          </w:p>
          <w:p>
            <w:pPr>
              <w:pStyle w:val="31"/>
              <w:spacing w:line="357" w:lineRule="auto"/>
              <w:ind w:left="119" w:right="72" w:firstLine="420"/>
              <w:jc w:val="both"/>
              <w:rPr>
                <w:rFonts w:ascii="Arial" w:hAnsi="宋体" w:eastAsia="Arial" w:cs="宋体"/>
                <w:color w:val="auto"/>
                <w:sz w:val="21"/>
                <w:highlight w:val="none"/>
              </w:rPr>
            </w:pPr>
            <w:r>
              <w:rPr>
                <w:rFonts w:ascii="Arial" w:hAnsi="宋体" w:eastAsia="Arial" w:cs="宋体"/>
                <w:color w:val="auto"/>
                <w:sz w:val="21"/>
                <w:highlight w:val="none"/>
              </w:rPr>
              <w:t>2、本次招标不接受联合体投标。</w:t>
            </w:r>
          </w:p>
          <w:p>
            <w:pPr>
              <w:pStyle w:val="31"/>
              <w:spacing w:line="357" w:lineRule="auto"/>
              <w:ind w:left="119" w:right="72" w:firstLine="420"/>
              <w:jc w:val="both"/>
              <w:rPr>
                <w:rFonts w:ascii="Arial" w:hAnsi="宋体" w:eastAsia="Arial" w:cs="宋体"/>
                <w:color w:val="auto"/>
                <w:sz w:val="21"/>
                <w:highlight w:val="none"/>
              </w:rPr>
            </w:pPr>
            <w:r>
              <w:rPr>
                <w:rFonts w:ascii="Arial" w:hAnsi="宋体" w:eastAsia="Arial" w:cs="宋体"/>
                <w:color w:val="auto"/>
                <w:sz w:val="21"/>
                <w:highlight w:val="none"/>
              </w:rPr>
              <w:t>3、</w:t>
            </w:r>
            <w:r>
              <w:rPr>
                <w:rFonts w:hint="eastAsia" w:ascii="Arial" w:cs="宋体"/>
                <w:color w:val="auto"/>
                <w:sz w:val="21"/>
                <w:highlight w:val="none"/>
                <w:u w:val="single"/>
                <w:lang w:eastAsia="zh-CN"/>
              </w:rPr>
              <w:t>工程设计公路行业甲级资质或工程设计公路行业（公路）专业甲级资质</w:t>
            </w:r>
            <w:r>
              <w:rPr>
                <w:rFonts w:ascii="Arial" w:hAnsi="宋体" w:eastAsia="Arial" w:cs="宋体"/>
                <w:color w:val="auto"/>
                <w:sz w:val="21"/>
                <w:highlight w:val="none"/>
              </w:rPr>
              <w:t>的投标人应为列入“全国公路建设市场信用信息管理系统”中最新公布的公路工程设计资质企业名录，且投标人名称与设计资质企业名录相符，</w:t>
            </w:r>
            <w:r>
              <w:rPr>
                <w:rFonts w:hint="eastAsia" w:ascii="Arial" w:hAnsi="宋体" w:eastAsia="Arial" w:cs="宋体"/>
                <w:color w:val="auto"/>
                <w:sz w:val="21"/>
                <w:highlight w:val="none"/>
              </w:rPr>
              <w:t>对未列入最新公布的名录或单位名称与名录不符的，资格审查将不予通过。</w:t>
            </w:r>
          </w:p>
          <w:p>
            <w:pPr>
              <w:spacing w:line="360" w:lineRule="exact"/>
              <w:rPr>
                <w:color w:val="auto"/>
                <w:szCs w:val="21"/>
                <w:highlight w:val="none"/>
              </w:rPr>
            </w:pPr>
            <w:r>
              <w:rPr>
                <w:rFonts w:hint="eastAsia" w:ascii="Arial" w:hAnsi="宋体" w:eastAsia="Arial" w:cs="宋体"/>
                <w:color w:val="auto"/>
                <w:sz w:val="21"/>
                <w:highlight w:val="none"/>
              </w:rPr>
              <w:t>4、与招标人存在利害关系可能影响招标公正性的法人、其他组织（包括联合体所有成员），不得参加投标。单位负责人为同一人或者存在控股（含法定代表人控股）、管理关系的不同单位，不得分别同时参加本标段的投标。</w:t>
            </w:r>
          </w:p>
        </w:tc>
      </w:tr>
    </w:tbl>
    <w:p>
      <w:pPr>
        <w:spacing w:before="120" w:after="120"/>
        <w:jc w:val="left"/>
        <w:rPr>
          <w:rFonts w:hint="eastAsia" w:eastAsia="黑体"/>
          <w:b/>
          <w:bCs/>
          <w:color w:val="auto"/>
          <w:kern w:val="44"/>
          <w:sz w:val="30"/>
          <w:szCs w:val="30"/>
          <w:highlight w:val="none"/>
        </w:rPr>
      </w:pPr>
    </w:p>
    <w:p>
      <w:pPr>
        <w:pStyle w:val="2"/>
        <w:rPr>
          <w:rFonts w:hint="eastAsia" w:eastAsia="黑体"/>
          <w:b/>
          <w:bCs/>
          <w:color w:val="auto"/>
          <w:kern w:val="44"/>
          <w:sz w:val="30"/>
          <w:szCs w:val="30"/>
          <w:highlight w:val="none"/>
        </w:rPr>
      </w:pPr>
    </w:p>
    <w:p>
      <w:pPr>
        <w:pStyle w:val="3"/>
        <w:rPr>
          <w:rFonts w:hint="eastAsia" w:eastAsia="黑体"/>
          <w:b/>
          <w:bCs/>
          <w:color w:val="auto"/>
          <w:kern w:val="44"/>
          <w:sz w:val="30"/>
          <w:szCs w:val="30"/>
          <w:highlight w:val="none"/>
        </w:rPr>
      </w:pPr>
    </w:p>
    <w:p>
      <w:pPr>
        <w:pStyle w:val="4"/>
        <w:rPr>
          <w:rFonts w:hint="eastAsia" w:eastAsia="黑体"/>
          <w:b/>
          <w:bCs/>
          <w:color w:val="auto"/>
          <w:kern w:val="44"/>
          <w:sz w:val="30"/>
          <w:szCs w:val="30"/>
          <w:highlight w:val="none"/>
        </w:rPr>
      </w:pPr>
    </w:p>
    <w:p>
      <w:pPr>
        <w:rPr>
          <w:rFonts w:hint="eastAsia" w:eastAsia="黑体"/>
          <w:b/>
          <w:bCs/>
          <w:color w:val="auto"/>
          <w:kern w:val="44"/>
          <w:sz w:val="30"/>
          <w:szCs w:val="30"/>
          <w:highlight w:val="none"/>
        </w:rPr>
      </w:pPr>
    </w:p>
    <w:p>
      <w:pPr>
        <w:pStyle w:val="2"/>
        <w:rPr>
          <w:rFonts w:hint="eastAsia" w:eastAsia="黑体"/>
          <w:b/>
          <w:bCs/>
          <w:color w:val="auto"/>
          <w:kern w:val="44"/>
          <w:sz w:val="30"/>
          <w:szCs w:val="30"/>
          <w:highlight w:val="none"/>
        </w:rPr>
      </w:pPr>
    </w:p>
    <w:p>
      <w:pPr>
        <w:pStyle w:val="3"/>
        <w:rPr>
          <w:rFonts w:hint="eastAsia" w:eastAsia="黑体"/>
          <w:b/>
          <w:bCs/>
          <w:color w:val="auto"/>
          <w:kern w:val="44"/>
          <w:sz w:val="30"/>
          <w:szCs w:val="30"/>
          <w:highlight w:val="none"/>
        </w:rPr>
      </w:pPr>
    </w:p>
    <w:p>
      <w:pPr>
        <w:pStyle w:val="4"/>
        <w:rPr>
          <w:rFonts w:hint="eastAsia" w:eastAsia="黑体"/>
          <w:b/>
          <w:bCs/>
          <w:color w:val="auto"/>
          <w:kern w:val="44"/>
          <w:sz w:val="30"/>
          <w:szCs w:val="30"/>
          <w:highlight w:val="none"/>
        </w:rPr>
      </w:pPr>
    </w:p>
    <w:p>
      <w:pPr>
        <w:rPr>
          <w:rFonts w:hint="eastAsia" w:eastAsia="黑体"/>
          <w:b/>
          <w:bCs/>
          <w:color w:val="auto"/>
          <w:kern w:val="44"/>
          <w:sz w:val="30"/>
          <w:szCs w:val="30"/>
          <w:highlight w:val="none"/>
        </w:rPr>
      </w:pPr>
    </w:p>
    <w:p>
      <w:pPr>
        <w:pStyle w:val="2"/>
        <w:rPr>
          <w:rFonts w:hint="eastAsia" w:eastAsia="黑体"/>
          <w:b/>
          <w:bCs/>
          <w:color w:val="auto"/>
          <w:kern w:val="44"/>
          <w:sz w:val="30"/>
          <w:szCs w:val="30"/>
          <w:highlight w:val="none"/>
        </w:rPr>
      </w:pPr>
    </w:p>
    <w:p>
      <w:pPr>
        <w:pStyle w:val="3"/>
        <w:rPr>
          <w:rFonts w:hint="eastAsia"/>
          <w:color w:val="auto"/>
          <w:highlight w:val="none"/>
        </w:rPr>
      </w:pPr>
    </w:p>
    <w:p>
      <w:pPr>
        <w:spacing w:before="120" w:after="120"/>
        <w:jc w:val="center"/>
        <w:rPr>
          <w:rFonts w:eastAsia="黑体"/>
          <w:b/>
          <w:bCs/>
          <w:color w:val="auto"/>
          <w:kern w:val="44"/>
          <w:sz w:val="30"/>
          <w:szCs w:val="30"/>
          <w:highlight w:val="none"/>
        </w:rPr>
      </w:pPr>
    </w:p>
    <w:p>
      <w:pPr>
        <w:spacing w:before="120" w:after="120"/>
        <w:jc w:val="center"/>
        <w:rPr>
          <w:rFonts w:hint="eastAsia" w:eastAsia="黑体"/>
          <w:b/>
          <w:bCs/>
          <w:color w:val="auto"/>
          <w:kern w:val="44"/>
          <w:sz w:val="30"/>
          <w:szCs w:val="30"/>
          <w:highlight w:val="none"/>
        </w:rPr>
      </w:pPr>
    </w:p>
    <w:p>
      <w:pPr>
        <w:pStyle w:val="5"/>
        <w:spacing w:before="240" w:after="240" w:line="240" w:lineRule="auto"/>
        <w:jc w:val="center"/>
        <w:rPr>
          <w:rFonts w:eastAsia="黑体"/>
          <w:color w:val="auto"/>
          <w:sz w:val="24"/>
          <w:szCs w:val="24"/>
          <w:highlight w:val="none"/>
        </w:rPr>
      </w:pPr>
      <w:bookmarkStart w:id="46" w:name="_Toc11784"/>
      <w:r>
        <w:rPr>
          <w:rFonts w:eastAsia="黑体"/>
          <w:color w:val="auto"/>
          <w:sz w:val="24"/>
          <w:szCs w:val="24"/>
          <w:highlight w:val="none"/>
        </w:rPr>
        <w:t xml:space="preserve">附录2  </w:t>
      </w:r>
      <w:bookmarkEnd w:id="46"/>
      <w:bookmarkStart w:id="47" w:name="_Toc12703"/>
      <w:r>
        <w:rPr>
          <w:rFonts w:eastAsia="黑体"/>
          <w:color w:val="auto"/>
          <w:sz w:val="24"/>
          <w:szCs w:val="24"/>
          <w:highlight w:val="none"/>
        </w:rPr>
        <w:t xml:space="preserve"> 资格审查条件(业绩最低要求)</w:t>
      </w:r>
      <w:bookmarkEnd w:id="47"/>
    </w:p>
    <w:p>
      <w:pPr>
        <w:rPr>
          <w:color w:val="auto"/>
          <w:sz w:val="24"/>
          <w:highlight w:val="none"/>
        </w:rPr>
      </w:pPr>
    </w:p>
    <w:tbl>
      <w:tblPr>
        <w:tblStyle w:val="26"/>
        <w:tblW w:w="91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376"/>
        <w:gridCol w:w="68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2376" w:type="dxa"/>
            <w:noWrap w:val="0"/>
            <w:vAlign w:val="center"/>
          </w:tcPr>
          <w:p>
            <w:pPr>
              <w:jc w:val="center"/>
              <w:rPr>
                <w:color w:val="auto"/>
                <w:szCs w:val="21"/>
                <w:highlight w:val="none"/>
              </w:rPr>
            </w:pPr>
            <w:r>
              <w:rPr>
                <w:color w:val="auto"/>
                <w:szCs w:val="21"/>
                <w:highlight w:val="none"/>
              </w:rPr>
              <w:t>标段</w:t>
            </w:r>
          </w:p>
        </w:tc>
        <w:tc>
          <w:tcPr>
            <w:tcW w:w="6804" w:type="dxa"/>
            <w:noWrap w:val="0"/>
            <w:vAlign w:val="center"/>
          </w:tcPr>
          <w:p>
            <w:pPr>
              <w:jc w:val="center"/>
              <w:rPr>
                <w:color w:val="auto"/>
                <w:szCs w:val="21"/>
                <w:highlight w:val="none"/>
              </w:rPr>
            </w:pPr>
            <w:r>
              <w:rPr>
                <w:color w:val="auto"/>
                <w:szCs w:val="21"/>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6" w:hRule="atLeast"/>
        </w:trPr>
        <w:tc>
          <w:tcPr>
            <w:tcW w:w="2376" w:type="dxa"/>
            <w:noWrap w:val="0"/>
            <w:vAlign w:val="center"/>
          </w:tcPr>
          <w:p>
            <w:pPr>
              <w:jc w:val="center"/>
              <w:rPr>
                <w:rFonts w:hint="eastAsia"/>
                <w:color w:val="auto"/>
                <w:szCs w:val="21"/>
                <w:highlight w:val="none"/>
              </w:rPr>
            </w:pPr>
            <w:r>
              <w:rPr>
                <w:rFonts w:hint="eastAsia"/>
                <w:color w:val="auto"/>
                <w:szCs w:val="21"/>
                <w:highlight w:val="none"/>
                <w:lang w:eastAsia="zh-CN"/>
              </w:rPr>
              <w:t>本</w:t>
            </w:r>
            <w:r>
              <w:rPr>
                <w:rFonts w:hint="eastAsia"/>
                <w:color w:val="auto"/>
                <w:szCs w:val="21"/>
                <w:highlight w:val="none"/>
              </w:rPr>
              <w:t>标段</w:t>
            </w:r>
          </w:p>
        </w:tc>
        <w:tc>
          <w:tcPr>
            <w:tcW w:w="6804" w:type="dxa"/>
            <w:noWrap w:val="0"/>
            <w:vAlign w:val="center"/>
          </w:tcPr>
          <w:p>
            <w:pPr>
              <w:spacing w:line="360" w:lineRule="exact"/>
              <w:jc w:val="left"/>
              <w:rPr>
                <w:color w:val="auto"/>
                <w:szCs w:val="21"/>
                <w:highlight w:val="none"/>
              </w:rPr>
            </w:pPr>
            <w:r>
              <w:rPr>
                <w:color w:val="auto"/>
                <w:spacing w:val="-19"/>
                <w:sz w:val="21"/>
                <w:highlight w:val="none"/>
              </w:rPr>
              <w:t>自</w:t>
            </w:r>
            <w:r>
              <w:rPr>
                <w:rFonts w:hint="eastAsia" w:ascii="Arial"/>
                <w:color w:val="auto"/>
                <w:sz w:val="21"/>
                <w:highlight w:val="none"/>
                <w:lang w:eastAsia="zh-CN"/>
              </w:rPr>
              <w:t>201</w:t>
            </w:r>
            <w:r>
              <w:rPr>
                <w:rFonts w:hint="eastAsia" w:ascii="Arial"/>
                <w:color w:val="auto"/>
                <w:sz w:val="21"/>
                <w:highlight w:val="none"/>
                <w:lang w:val="en-US" w:eastAsia="zh-CN"/>
              </w:rPr>
              <w:t>8</w:t>
            </w:r>
            <w:r>
              <w:rPr>
                <w:rFonts w:hint="eastAsia" w:ascii="Arial"/>
                <w:color w:val="auto"/>
                <w:sz w:val="21"/>
                <w:highlight w:val="none"/>
                <w:lang w:eastAsia="zh-CN"/>
              </w:rPr>
              <w:t>年7月1日（以施工图批复或准予行政许可决定时间为准）</w:t>
            </w:r>
            <w:r>
              <w:rPr>
                <w:color w:val="auto"/>
                <w:spacing w:val="-3"/>
                <w:sz w:val="21"/>
                <w:highlight w:val="none"/>
              </w:rPr>
              <w:t>以来，按一个标段成功地完成过一级</w:t>
            </w:r>
            <w:r>
              <w:rPr>
                <w:rFonts w:hint="eastAsia"/>
                <w:color w:val="auto"/>
                <w:spacing w:val="-3"/>
                <w:sz w:val="21"/>
                <w:highlight w:val="none"/>
                <w:lang w:eastAsia="zh-CN"/>
              </w:rPr>
              <w:t>及以上</w:t>
            </w:r>
            <w:r>
              <w:rPr>
                <w:color w:val="auto"/>
                <w:spacing w:val="-3"/>
                <w:sz w:val="21"/>
                <w:highlight w:val="none"/>
              </w:rPr>
              <w:t>公路</w:t>
            </w:r>
            <w:r>
              <w:rPr>
                <w:color w:val="auto"/>
                <w:spacing w:val="-15"/>
                <w:sz w:val="21"/>
                <w:highlight w:val="none"/>
              </w:rPr>
              <w:t>养护工程</w:t>
            </w:r>
            <w:r>
              <w:rPr>
                <w:rFonts w:hint="eastAsia"/>
                <w:color w:val="auto"/>
                <w:spacing w:val="-2"/>
                <w:sz w:val="21"/>
                <w:highlight w:val="none"/>
                <w:lang w:eastAsia="zh-CN"/>
              </w:rPr>
              <w:t>【</w:t>
            </w:r>
            <w:r>
              <w:rPr>
                <w:color w:val="auto"/>
                <w:spacing w:val="-16"/>
                <w:sz w:val="21"/>
                <w:highlight w:val="none"/>
              </w:rPr>
              <w:t>小修</w:t>
            </w:r>
            <w:r>
              <w:rPr>
                <w:color w:val="auto"/>
                <w:sz w:val="21"/>
                <w:highlight w:val="none"/>
              </w:rPr>
              <w:t>（</w:t>
            </w:r>
            <w:r>
              <w:rPr>
                <w:color w:val="auto"/>
                <w:spacing w:val="-3"/>
                <w:sz w:val="21"/>
                <w:highlight w:val="none"/>
              </w:rPr>
              <w:t>日常养护</w:t>
            </w:r>
            <w:r>
              <w:rPr>
                <w:color w:val="auto"/>
                <w:spacing w:val="-106"/>
                <w:sz w:val="21"/>
                <w:highlight w:val="none"/>
              </w:rPr>
              <w:t>）</w:t>
            </w:r>
            <w:r>
              <w:rPr>
                <w:color w:val="auto"/>
                <w:spacing w:val="-7"/>
                <w:sz w:val="21"/>
                <w:highlight w:val="none"/>
              </w:rPr>
              <w:t>、绿化工程和交安专项工程设计</w:t>
            </w:r>
            <w:r>
              <w:rPr>
                <w:color w:val="auto"/>
                <w:spacing w:val="-7"/>
                <w:w w:val="100"/>
                <w:sz w:val="21"/>
                <w:highlight w:val="none"/>
              </w:rPr>
              <w:t>除外</w:t>
            </w:r>
            <w:r>
              <w:rPr>
                <w:rFonts w:hint="eastAsia"/>
                <w:color w:val="auto"/>
                <w:spacing w:val="-2"/>
                <w:sz w:val="21"/>
                <w:highlight w:val="none"/>
                <w:lang w:eastAsia="zh-CN"/>
              </w:rPr>
              <w:t>】</w:t>
            </w:r>
            <w:r>
              <w:rPr>
                <w:color w:val="auto"/>
                <w:spacing w:val="-15"/>
                <w:sz w:val="21"/>
                <w:highlight w:val="none"/>
              </w:rPr>
              <w:t>设计工作。</w:t>
            </w:r>
          </w:p>
        </w:tc>
      </w:tr>
    </w:tbl>
    <w:p>
      <w:pPr>
        <w:tabs>
          <w:tab w:val="left" w:pos="10120"/>
        </w:tabs>
        <w:autoSpaceDE w:val="0"/>
        <w:autoSpaceDN w:val="0"/>
        <w:adjustRightInd w:val="0"/>
        <w:spacing w:line="360" w:lineRule="exact"/>
        <w:ind w:right="409" w:rightChars="186" w:firstLine="440" w:firstLineChars="200"/>
        <w:jc w:val="both"/>
        <w:rPr>
          <w:rFonts w:hint="eastAsia"/>
          <w:color w:val="auto"/>
          <w:szCs w:val="21"/>
          <w:highlight w:val="none"/>
        </w:rPr>
      </w:pPr>
      <w:r>
        <w:rPr>
          <w:color w:val="auto"/>
          <w:highlight w:val="none"/>
        </w:rPr>
        <w:t>注：</w:t>
      </w:r>
      <w:r>
        <w:rPr>
          <w:rFonts w:hint="eastAsia"/>
          <w:color w:val="auto"/>
          <w:szCs w:val="21"/>
          <w:highlight w:val="none"/>
        </w:rPr>
        <w:t>1、业绩证明材料：①</w:t>
      </w:r>
      <w:r>
        <w:rPr>
          <w:rFonts w:hint="eastAsia" w:cs="宋体"/>
          <w:color w:val="auto"/>
          <w:kern w:val="0"/>
          <w:szCs w:val="21"/>
          <w:highlight w:val="none"/>
        </w:rPr>
        <w:t>项目批复文件（</w:t>
      </w:r>
      <w:r>
        <w:rPr>
          <w:rFonts w:hint="eastAsia"/>
          <w:color w:val="auto"/>
          <w:szCs w:val="21"/>
          <w:highlight w:val="none"/>
        </w:rPr>
        <w:t>施工图设计批复或施工图设计行政许可决定书</w:t>
      </w:r>
      <w:r>
        <w:rPr>
          <w:rFonts w:hint="eastAsia" w:cs="宋体"/>
          <w:color w:val="auto"/>
          <w:kern w:val="0"/>
          <w:szCs w:val="21"/>
          <w:highlight w:val="none"/>
        </w:rPr>
        <w:t>）</w:t>
      </w:r>
      <w:r>
        <w:rPr>
          <w:rFonts w:hint="eastAsia"/>
          <w:color w:val="auto"/>
          <w:szCs w:val="21"/>
          <w:highlight w:val="none"/>
        </w:rPr>
        <w:t>扫描件；②合同协议书或中标通知书扫描件。两者缺一不可，否则业绩不予认可。</w:t>
      </w:r>
      <w:r>
        <w:rPr>
          <w:rFonts w:hint="eastAsia"/>
          <w:b/>
          <w:color w:val="auto"/>
          <w:szCs w:val="21"/>
          <w:highlight w:val="none"/>
        </w:rPr>
        <w:t>业绩时间认定以施工图设计批复或施工图设计行政许可时间为准。</w:t>
      </w:r>
    </w:p>
    <w:p>
      <w:pPr>
        <w:tabs>
          <w:tab w:val="left" w:pos="10120"/>
        </w:tabs>
        <w:autoSpaceDE w:val="0"/>
        <w:autoSpaceDN w:val="0"/>
        <w:adjustRightInd w:val="0"/>
        <w:spacing w:line="320" w:lineRule="exact"/>
        <w:ind w:right="409" w:rightChars="186" w:firstLine="440" w:firstLineChars="200"/>
        <w:jc w:val="both"/>
        <w:rPr>
          <w:rFonts w:cs="宋体"/>
          <w:color w:val="auto"/>
          <w:kern w:val="0"/>
          <w:szCs w:val="21"/>
          <w:highlight w:val="none"/>
        </w:rPr>
      </w:pPr>
      <w:r>
        <w:rPr>
          <w:rFonts w:cs="宋体"/>
          <w:color w:val="auto"/>
          <w:kern w:val="0"/>
          <w:szCs w:val="21"/>
          <w:highlight w:val="none"/>
        </w:rPr>
        <w:t>2、合同协议书或中标通知书、</w:t>
      </w:r>
      <w:r>
        <w:rPr>
          <w:rFonts w:hint="eastAsia" w:cs="宋体"/>
          <w:color w:val="auto"/>
          <w:kern w:val="0"/>
          <w:szCs w:val="21"/>
          <w:highlight w:val="none"/>
        </w:rPr>
        <w:t>项目批复文件</w:t>
      </w:r>
      <w:r>
        <w:rPr>
          <w:rFonts w:cs="宋体"/>
          <w:color w:val="auto"/>
          <w:kern w:val="0"/>
          <w:szCs w:val="21"/>
          <w:highlight w:val="none"/>
        </w:rPr>
        <w:t>等的单位名称与投标</w:t>
      </w:r>
      <w:r>
        <w:rPr>
          <w:rFonts w:hint="eastAsia" w:cs="宋体"/>
          <w:color w:val="auto"/>
          <w:kern w:val="0"/>
          <w:szCs w:val="21"/>
          <w:highlight w:val="none"/>
        </w:rPr>
        <w:t>人</w:t>
      </w:r>
      <w:r>
        <w:rPr>
          <w:rFonts w:cs="宋体"/>
          <w:color w:val="auto"/>
          <w:kern w:val="0"/>
          <w:szCs w:val="21"/>
          <w:highlight w:val="none"/>
        </w:rPr>
        <w:t>名称必须一致（发生合法</w:t>
      </w:r>
      <w:r>
        <w:rPr>
          <w:rFonts w:hint="eastAsia" w:cs="宋体"/>
          <w:color w:val="auto"/>
          <w:kern w:val="0"/>
          <w:szCs w:val="21"/>
          <w:highlight w:val="none"/>
        </w:rPr>
        <w:t>变更或重组或法人名称变更时，应提供相关部门的合法批件或其他相关证明材料来证明其所附业绩的继承性），</w:t>
      </w:r>
      <w:r>
        <w:rPr>
          <w:rFonts w:cs="宋体"/>
          <w:color w:val="auto"/>
          <w:kern w:val="0"/>
          <w:szCs w:val="21"/>
          <w:highlight w:val="none"/>
        </w:rPr>
        <w:t>否则</w:t>
      </w:r>
      <w:r>
        <w:rPr>
          <w:rFonts w:hint="eastAsia" w:cs="宋体"/>
          <w:color w:val="auto"/>
          <w:kern w:val="0"/>
          <w:szCs w:val="21"/>
          <w:highlight w:val="none"/>
        </w:rPr>
        <w:t>业绩不予认可。</w:t>
      </w:r>
      <w:r>
        <w:rPr>
          <w:rFonts w:cs="宋体"/>
          <w:color w:val="auto"/>
          <w:kern w:val="0"/>
          <w:szCs w:val="21"/>
          <w:highlight w:val="none"/>
        </w:rPr>
        <w:t xml:space="preserve"> </w:t>
      </w:r>
    </w:p>
    <w:p>
      <w:pPr>
        <w:tabs>
          <w:tab w:val="left" w:pos="10120"/>
        </w:tabs>
        <w:autoSpaceDE w:val="0"/>
        <w:autoSpaceDN w:val="0"/>
        <w:adjustRightInd w:val="0"/>
        <w:spacing w:line="320" w:lineRule="exact"/>
        <w:ind w:right="409" w:rightChars="186" w:firstLine="440" w:firstLineChars="200"/>
        <w:jc w:val="both"/>
        <w:rPr>
          <w:rFonts w:hint="eastAsia" w:cs="宋体"/>
          <w:color w:val="auto"/>
          <w:kern w:val="0"/>
          <w:szCs w:val="21"/>
          <w:highlight w:val="none"/>
        </w:rPr>
      </w:pPr>
      <w:r>
        <w:rPr>
          <w:rFonts w:cs="宋体"/>
          <w:color w:val="auto"/>
          <w:kern w:val="0"/>
          <w:szCs w:val="21"/>
          <w:highlight w:val="none"/>
        </w:rPr>
        <w:t>3、工程规模的解释顺序为：</w:t>
      </w:r>
      <w:r>
        <w:rPr>
          <w:rFonts w:hint="eastAsia" w:cs="宋体"/>
          <w:color w:val="auto"/>
          <w:kern w:val="0"/>
          <w:szCs w:val="21"/>
          <w:highlight w:val="none"/>
        </w:rPr>
        <w:t>项目批复文件</w:t>
      </w:r>
      <w:r>
        <w:rPr>
          <w:rFonts w:cs="宋体"/>
          <w:color w:val="auto"/>
          <w:kern w:val="0"/>
          <w:szCs w:val="21"/>
          <w:highlight w:val="none"/>
        </w:rPr>
        <w:t>、合同协议书</w:t>
      </w:r>
      <w:r>
        <w:rPr>
          <w:rFonts w:hint="eastAsia" w:cs="宋体"/>
          <w:color w:val="auto"/>
          <w:kern w:val="0"/>
          <w:szCs w:val="21"/>
          <w:highlight w:val="none"/>
        </w:rPr>
        <w:t>或中标通知书</w:t>
      </w:r>
      <w:r>
        <w:rPr>
          <w:rFonts w:cs="宋体"/>
          <w:color w:val="auto"/>
          <w:kern w:val="0"/>
          <w:szCs w:val="21"/>
          <w:highlight w:val="none"/>
        </w:rPr>
        <w:t>。如</w:t>
      </w:r>
      <w:r>
        <w:rPr>
          <w:rFonts w:hint="eastAsia" w:cs="宋体"/>
          <w:color w:val="auto"/>
          <w:kern w:val="0"/>
          <w:szCs w:val="21"/>
          <w:highlight w:val="none"/>
        </w:rPr>
        <w:t>项目批复文件、</w:t>
      </w:r>
      <w:r>
        <w:rPr>
          <w:rFonts w:cs="宋体"/>
          <w:color w:val="auto"/>
          <w:kern w:val="0"/>
          <w:szCs w:val="21"/>
          <w:highlight w:val="none"/>
        </w:rPr>
        <w:t>合同协议书</w:t>
      </w:r>
      <w:r>
        <w:rPr>
          <w:rFonts w:hint="eastAsia" w:cs="宋体"/>
          <w:color w:val="auto"/>
          <w:kern w:val="0"/>
          <w:szCs w:val="21"/>
          <w:highlight w:val="none"/>
        </w:rPr>
        <w:t>或中标通知书中均未体现</w:t>
      </w:r>
      <w:r>
        <w:rPr>
          <w:rFonts w:hint="eastAsia"/>
          <w:color w:val="auto"/>
          <w:szCs w:val="21"/>
          <w:highlight w:val="none"/>
        </w:rPr>
        <w:t>工程规模或</w:t>
      </w:r>
      <w:r>
        <w:rPr>
          <w:rFonts w:hint="eastAsia" w:cs="宋体"/>
          <w:color w:val="auto"/>
          <w:kern w:val="0"/>
          <w:szCs w:val="21"/>
          <w:highlight w:val="none"/>
        </w:rPr>
        <w:t>技术标准的，必须附</w:t>
      </w:r>
      <w:r>
        <w:rPr>
          <w:rFonts w:hint="eastAsia" w:ascii="宋体" w:hAnsi="宋体"/>
          <w:color w:val="auto"/>
          <w:szCs w:val="21"/>
          <w:highlight w:val="none"/>
        </w:rPr>
        <w:t>发包人（或项目业主或项目所在地设区市及以上行业主管部门）出具的业绩证明</w:t>
      </w:r>
      <w:r>
        <w:rPr>
          <w:rFonts w:hint="eastAsia" w:cs="宋体"/>
          <w:color w:val="auto"/>
          <w:kern w:val="0"/>
          <w:szCs w:val="21"/>
          <w:highlight w:val="none"/>
        </w:rPr>
        <w:t>材料，该材料须体现技术标准并且满足要求，否则业绩不予认可。</w:t>
      </w:r>
    </w:p>
    <w:p>
      <w:pPr>
        <w:tabs>
          <w:tab w:val="left" w:pos="10120"/>
        </w:tabs>
        <w:spacing w:line="320" w:lineRule="exact"/>
        <w:ind w:right="409" w:rightChars="186" w:firstLine="440" w:firstLineChars="200"/>
        <w:jc w:val="both"/>
        <w:rPr>
          <w:rFonts w:hint="eastAsia" w:cs="宋体"/>
          <w:color w:val="auto"/>
          <w:kern w:val="0"/>
          <w:szCs w:val="21"/>
          <w:highlight w:val="none"/>
        </w:rPr>
      </w:pPr>
      <w:r>
        <w:rPr>
          <w:rFonts w:hint="eastAsia" w:cs="宋体"/>
          <w:color w:val="auto"/>
          <w:kern w:val="0"/>
          <w:szCs w:val="21"/>
          <w:highlight w:val="none"/>
        </w:rPr>
        <w:t>4</w:t>
      </w:r>
      <w:r>
        <w:rPr>
          <w:rFonts w:cs="宋体"/>
          <w:color w:val="auto"/>
          <w:kern w:val="0"/>
          <w:szCs w:val="21"/>
          <w:highlight w:val="none"/>
        </w:rPr>
        <w:t>、如查实投标人提供虚假业绩证明材料以满足强制性业绩要求的，取消中标资格，并建议主管部门予以通报。</w:t>
      </w:r>
    </w:p>
    <w:p>
      <w:pPr>
        <w:tabs>
          <w:tab w:val="left" w:pos="10120"/>
        </w:tabs>
        <w:spacing w:line="320" w:lineRule="exact"/>
        <w:ind w:right="409" w:rightChars="186" w:firstLine="440" w:firstLineChars="200"/>
        <w:jc w:val="both"/>
        <w:rPr>
          <w:b w:val="0"/>
          <w:bCs/>
          <w:color w:val="auto"/>
          <w:highlight w:val="none"/>
        </w:rPr>
      </w:pPr>
      <w:r>
        <w:rPr>
          <w:rFonts w:hint="eastAsia" w:cs="宋体"/>
          <w:b w:val="0"/>
          <w:bCs/>
          <w:color w:val="auto"/>
          <w:kern w:val="0"/>
          <w:szCs w:val="21"/>
          <w:highlight w:val="none"/>
          <w:lang w:val="en-US" w:eastAsia="zh-CN"/>
        </w:rPr>
        <w:t>5、</w:t>
      </w:r>
      <w:r>
        <w:rPr>
          <w:rFonts w:hint="eastAsia" w:cs="宋体"/>
          <w:b w:val="0"/>
          <w:bCs/>
          <w:color w:val="auto"/>
          <w:kern w:val="0"/>
          <w:szCs w:val="21"/>
          <w:highlight w:val="none"/>
        </w:rPr>
        <w:t>若提供的业绩以联合体形式完成的，还需附该业绩的联合体协议书或发包人（或项目业主或项目所在地设区市及以上行业主管部门）出具的业绩证明材料，且该业绩按联合体协议书或业绩证明材料中载明的联合体各方所承担的专业工程来认定相应业绩。</w:t>
      </w:r>
    </w:p>
    <w:p>
      <w:pPr>
        <w:spacing w:after="0" w:line="321" w:lineRule="auto"/>
        <w:rPr>
          <w:color w:val="auto"/>
          <w:highlight w:val="none"/>
        </w:rPr>
        <w:sectPr>
          <w:pgSz w:w="11910" w:h="16840"/>
          <w:pgMar w:top="1300" w:right="860" w:bottom="940" w:left="960" w:header="0" w:footer="672" w:gutter="0"/>
          <w:pgBorders>
            <w:top w:val="none" w:sz="0" w:space="0"/>
            <w:left w:val="none" w:sz="0" w:space="0"/>
            <w:bottom w:val="none" w:sz="0" w:space="0"/>
            <w:right w:val="none" w:sz="0" w:space="0"/>
          </w:pgBorders>
          <w:pgNumType w:fmt="decimal"/>
          <w:cols w:space="720" w:num="1"/>
        </w:sectPr>
      </w:pPr>
    </w:p>
    <w:p>
      <w:pPr>
        <w:spacing w:line="360" w:lineRule="exact"/>
        <w:rPr>
          <w:color w:val="auto"/>
          <w:szCs w:val="21"/>
          <w:highlight w:val="none"/>
        </w:rPr>
      </w:pPr>
    </w:p>
    <w:p>
      <w:pPr>
        <w:spacing w:line="360" w:lineRule="exact"/>
        <w:rPr>
          <w:rFonts w:hint="eastAsia"/>
          <w:color w:val="auto"/>
          <w:szCs w:val="21"/>
          <w:highlight w:val="none"/>
        </w:rPr>
      </w:pPr>
    </w:p>
    <w:p>
      <w:pPr>
        <w:pStyle w:val="8"/>
        <w:tabs>
          <w:tab w:val="left" w:pos="1221"/>
        </w:tabs>
        <w:spacing w:before="41"/>
        <w:ind w:left="0" w:right="16"/>
        <w:jc w:val="center"/>
        <w:rPr>
          <w:rFonts w:hint="eastAsia" w:ascii="黑体" w:eastAsia="黑体"/>
          <w:color w:val="auto"/>
          <w:highlight w:val="none"/>
        </w:rPr>
      </w:pPr>
      <w:r>
        <w:rPr>
          <w:rFonts w:hint="eastAsia" w:ascii="黑体" w:eastAsia="黑体"/>
          <w:color w:val="auto"/>
          <w:highlight w:val="none"/>
        </w:rPr>
        <w:t>附录</w:t>
      </w:r>
      <w:r>
        <w:rPr>
          <w:rFonts w:hint="eastAsia" w:ascii="黑体" w:eastAsia="黑体"/>
          <w:color w:val="auto"/>
          <w:spacing w:val="-79"/>
          <w:highlight w:val="none"/>
        </w:rPr>
        <w:t xml:space="preserve"> </w:t>
      </w:r>
      <w:r>
        <w:rPr>
          <w:rFonts w:ascii="Arial" w:eastAsia="Arial"/>
          <w:color w:val="auto"/>
          <w:highlight w:val="none"/>
        </w:rPr>
        <w:t>3</w:t>
      </w:r>
      <w:r>
        <w:rPr>
          <w:rFonts w:ascii="Arial" w:eastAsia="Arial"/>
          <w:color w:val="auto"/>
          <w:highlight w:val="none"/>
        </w:rPr>
        <w:tab/>
      </w:r>
      <w:r>
        <w:rPr>
          <w:rFonts w:hint="eastAsia" w:ascii="黑体" w:eastAsia="黑体"/>
          <w:color w:val="auto"/>
          <w:highlight w:val="none"/>
        </w:rPr>
        <w:t>资格审查条件（主要人员最低要求）</w:t>
      </w:r>
    </w:p>
    <w:p>
      <w:pPr>
        <w:pStyle w:val="2"/>
        <w:spacing w:before="7" w:after="1"/>
        <w:rPr>
          <w:rFonts w:ascii="黑体"/>
          <w:b/>
          <w:color w:val="auto"/>
          <w:sz w:val="28"/>
          <w:highlight w:val="none"/>
        </w:rPr>
      </w:pPr>
    </w:p>
    <w:tbl>
      <w:tblPr>
        <w:tblStyle w:val="26"/>
        <w:tblW w:w="9078" w:type="dxa"/>
        <w:tblInd w:w="33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78"/>
        <w:gridCol w:w="2834"/>
        <w:gridCol w:w="710"/>
        <w:gridCol w:w="43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3" w:hRule="atLeast"/>
        </w:trPr>
        <w:tc>
          <w:tcPr>
            <w:tcW w:w="1178" w:type="dxa"/>
            <w:tcBorders>
              <w:tl2br w:val="nil"/>
              <w:tr2bl w:val="nil"/>
            </w:tcBorders>
            <w:vAlign w:val="center"/>
          </w:tcPr>
          <w:p>
            <w:pPr>
              <w:pStyle w:val="31"/>
              <w:spacing w:before="135"/>
              <w:ind w:left="370" w:right="352"/>
              <w:jc w:val="center"/>
              <w:rPr>
                <w:b w:val="0"/>
                <w:bCs w:val="0"/>
                <w:color w:val="auto"/>
                <w:sz w:val="21"/>
                <w:highlight w:val="none"/>
              </w:rPr>
            </w:pPr>
            <w:r>
              <w:rPr>
                <w:b w:val="0"/>
                <w:bCs w:val="0"/>
                <w:color w:val="auto"/>
                <w:sz w:val="21"/>
                <w:highlight w:val="none"/>
              </w:rPr>
              <w:t>标段</w:t>
            </w:r>
          </w:p>
        </w:tc>
        <w:tc>
          <w:tcPr>
            <w:tcW w:w="2834" w:type="dxa"/>
            <w:tcBorders>
              <w:tl2br w:val="nil"/>
              <w:tr2bl w:val="nil"/>
            </w:tcBorders>
            <w:vAlign w:val="center"/>
          </w:tcPr>
          <w:p>
            <w:pPr>
              <w:pStyle w:val="31"/>
              <w:spacing w:before="135"/>
              <w:ind w:left="370" w:right="352"/>
              <w:jc w:val="center"/>
              <w:rPr>
                <w:b w:val="0"/>
                <w:bCs w:val="0"/>
                <w:color w:val="auto"/>
                <w:sz w:val="21"/>
                <w:highlight w:val="none"/>
              </w:rPr>
            </w:pPr>
            <w:r>
              <w:rPr>
                <w:b w:val="0"/>
                <w:bCs w:val="0"/>
                <w:color w:val="auto"/>
                <w:sz w:val="21"/>
                <w:highlight w:val="none"/>
              </w:rPr>
              <w:t>人员</w:t>
            </w:r>
          </w:p>
        </w:tc>
        <w:tc>
          <w:tcPr>
            <w:tcW w:w="710" w:type="dxa"/>
            <w:tcBorders>
              <w:tl2br w:val="nil"/>
              <w:tr2bl w:val="nil"/>
            </w:tcBorders>
            <w:vAlign w:val="center"/>
          </w:tcPr>
          <w:p>
            <w:pPr>
              <w:pStyle w:val="31"/>
              <w:spacing w:before="135"/>
              <w:ind w:left="250" w:right="223"/>
              <w:jc w:val="center"/>
              <w:rPr>
                <w:b w:val="0"/>
                <w:bCs w:val="0"/>
                <w:color w:val="auto"/>
                <w:sz w:val="21"/>
                <w:highlight w:val="none"/>
              </w:rPr>
            </w:pPr>
            <w:r>
              <w:rPr>
                <w:b w:val="0"/>
                <w:bCs w:val="0"/>
                <w:color w:val="auto"/>
                <w:sz w:val="21"/>
                <w:highlight w:val="none"/>
              </w:rPr>
              <w:t>数量</w:t>
            </w:r>
          </w:p>
        </w:tc>
        <w:tc>
          <w:tcPr>
            <w:tcW w:w="4356" w:type="dxa"/>
            <w:tcBorders>
              <w:tl2br w:val="nil"/>
              <w:tr2bl w:val="nil"/>
            </w:tcBorders>
            <w:vAlign w:val="center"/>
          </w:tcPr>
          <w:p>
            <w:pPr>
              <w:pStyle w:val="31"/>
              <w:spacing w:before="135"/>
              <w:ind w:left="222" w:leftChars="0" w:right="156" w:rightChars="0" w:hanging="222" w:hangingChars="106"/>
              <w:jc w:val="center"/>
              <w:rPr>
                <w:b w:val="0"/>
                <w:bCs w:val="0"/>
                <w:color w:val="auto"/>
                <w:sz w:val="21"/>
                <w:highlight w:val="none"/>
              </w:rPr>
            </w:pPr>
            <w:r>
              <w:rPr>
                <w:b w:val="0"/>
                <w:bCs w:val="0"/>
                <w:color w:val="auto"/>
                <w:sz w:val="21"/>
                <w:highlight w:val="none"/>
              </w:rPr>
              <w:t>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35" w:hRule="atLeast"/>
        </w:trPr>
        <w:tc>
          <w:tcPr>
            <w:tcW w:w="1178" w:type="dxa"/>
            <w:vMerge w:val="restart"/>
            <w:tcBorders>
              <w:tl2br w:val="nil"/>
              <w:tr2bl w:val="nil"/>
            </w:tcBorders>
          </w:tcPr>
          <w:p>
            <w:pPr>
              <w:pStyle w:val="31"/>
              <w:ind w:left="372" w:right="352"/>
              <w:jc w:val="center"/>
              <w:rPr>
                <w:rFonts w:hint="eastAsia"/>
                <w:color w:val="auto"/>
                <w:sz w:val="21"/>
                <w:highlight w:val="none"/>
                <w:lang w:eastAsia="zh-CN"/>
              </w:rPr>
            </w:pPr>
          </w:p>
          <w:p>
            <w:pPr>
              <w:pStyle w:val="31"/>
              <w:ind w:left="372" w:right="352"/>
              <w:jc w:val="center"/>
              <w:rPr>
                <w:rFonts w:hint="eastAsia"/>
                <w:color w:val="auto"/>
                <w:sz w:val="21"/>
                <w:highlight w:val="none"/>
                <w:lang w:eastAsia="zh-CN"/>
              </w:rPr>
            </w:pPr>
          </w:p>
          <w:p>
            <w:pPr>
              <w:pStyle w:val="31"/>
              <w:ind w:left="372" w:right="352"/>
              <w:jc w:val="center"/>
              <w:rPr>
                <w:rFonts w:hint="eastAsia"/>
                <w:color w:val="auto"/>
                <w:sz w:val="21"/>
                <w:highlight w:val="none"/>
                <w:lang w:eastAsia="zh-CN"/>
              </w:rPr>
            </w:pPr>
          </w:p>
          <w:p>
            <w:pPr>
              <w:pStyle w:val="31"/>
              <w:ind w:left="372" w:right="352"/>
              <w:jc w:val="center"/>
              <w:rPr>
                <w:rFonts w:hint="eastAsia"/>
                <w:color w:val="auto"/>
                <w:sz w:val="21"/>
                <w:highlight w:val="none"/>
                <w:lang w:eastAsia="zh-CN"/>
              </w:rPr>
            </w:pPr>
          </w:p>
          <w:p>
            <w:pPr>
              <w:pStyle w:val="31"/>
              <w:ind w:left="372" w:right="352"/>
              <w:jc w:val="center"/>
              <w:rPr>
                <w:rFonts w:hint="eastAsia"/>
                <w:color w:val="auto"/>
                <w:sz w:val="21"/>
                <w:highlight w:val="none"/>
                <w:lang w:eastAsia="zh-CN"/>
              </w:rPr>
            </w:pPr>
          </w:p>
          <w:p>
            <w:pPr>
              <w:pStyle w:val="31"/>
              <w:ind w:left="372" w:right="352"/>
              <w:jc w:val="center"/>
              <w:rPr>
                <w:rFonts w:hint="eastAsia"/>
                <w:color w:val="auto"/>
                <w:sz w:val="21"/>
                <w:highlight w:val="none"/>
                <w:lang w:eastAsia="zh-CN"/>
              </w:rPr>
            </w:pPr>
          </w:p>
          <w:p>
            <w:pPr>
              <w:pStyle w:val="31"/>
              <w:ind w:left="372" w:right="352"/>
              <w:jc w:val="center"/>
              <w:rPr>
                <w:rFonts w:hint="eastAsia"/>
                <w:color w:val="auto"/>
                <w:sz w:val="21"/>
                <w:highlight w:val="none"/>
                <w:lang w:eastAsia="zh-CN"/>
              </w:rPr>
            </w:pPr>
          </w:p>
          <w:p>
            <w:pPr>
              <w:pStyle w:val="31"/>
              <w:ind w:left="372" w:right="352"/>
              <w:jc w:val="center"/>
              <w:rPr>
                <w:rFonts w:hint="eastAsia"/>
                <w:color w:val="auto"/>
                <w:sz w:val="21"/>
                <w:highlight w:val="none"/>
                <w:lang w:eastAsia="zh-CN"/>
              </w:rPr>
            </w:pPr>
          </w:p>
          <w:p>
            <w:pPr>
              <w:pStyle w:val="31"/>
              <w:ind w:left="372" w:right="352"/>
              <w:jc w:val="center"/>
              <w:rPr>
                <w:rFonts w:hint="eastAsia"/>
                <w:color w:val="auto"/>
                <w:sz w:val="21"/>
                <w:highlight w:val="none"/>
                <w:lang w:eastAsia="zh-CN"/>
              </w:rPr>
            </w:pPr>
          </w:p>
          <w:p>
            <w:pPr>
              <w:pStyle w:val="31"/>
              <w:ind w:left="372" w:right="352"/>
              <w:jc w:val="center"/>
              <w:rPr>
                <w:color w:val="auto"/>
                <w:sz w:val="21"/>
                <w:highlight w:val="none"/>
              </w:rPr>
            </w:pPr>
            <w:r>
              <w:rPr>
                <w:rFonts w:hint="eastAsia"/>
                <w:color w:val="auto"/>
                <w:sz w:val="21"/>
                <w:highlight w:val="none"/>
                <w:lang w:eastAsia="zh-CN"/>
              </w:rPr>
              <w:t>本标段</w:t>
            </w:r>
          </w:p>
        </w:tc>
        <w:tc>
          <w:tcPr>
            <w:tcW w:w="2834" w:type="dxa"/>
            <w:tcBorders>
              <w:tl2br w:val="nil"/>
              <w:tr2bl w:val="nil"/>
            </w:tcBorders>
            <w:vAlign w:val="center"/>
          </w:tcPr>
          <w:p>
            <w:pPr>
              <w:pStyle w:val="31"/>
              <w:jc w:val="center"/>
              <w:rPr>
                <w:rFonts w:ascii="黑体"/>
                <w:b/>
                <w:color w:val="auto"/>
                <w:sz w:val="20"/>
                <w:highlight w:val="none"/>
              </w:rPr>
            </w:pPr>
          </w:p>
          <w:p>
            <w:pPr>
              <w:pStyle w:val="31"/>
              <w:ind w:left="372" w:right="352"/>
              <w:jc w:val="center"/>
              <w:rPr>
                <w:color w:val="auto"/>
                <w:sz w:val="21"/>
                <w:highlight w:val="none"/>
              </w:rPr>
            </w:pPr>
            <w:r>
              <w:rPr>
                <w:color w:val="auto"/>
                <w:sz w:val="21"/>
                <w:highlight w:val="none"/>
              </w:rPr>
              <w:t>项目负责人</w:t>
            </w:r>
          </w:p>
        </w:tc>
        <w:tc>
          <w:tcPr>
            <w:tcW w:w="710" w:type="dxa"/>
            <w:tcBorders>
              <w:tl2br w:val="nil"/>
              <w:tr2bl w:val="nil"/>
            </w:tcBorders>
          </w:tcPr>
          <w:p>
            <w:pPr>
              <w:pStyle w:val="31"/>
              <w:rPr>
                <w:rFonts w:ascii="黑体"/>
                <w:b/>
                <w:color w:val="auto"/>
                <w:sz w:val="24"/>
                <w:highlight w:val="none"/>
              </w:rPr>
            </w:pPr>
          </w:p>
          <w:p>
            <w:pPr>
              <w:pStyle w:val="31"/>
              <w:rPr>
                <w:rFonts w:ascii="黑体"/>
                <w:b/>
                <w:color w:val="auto"/>
                <w:sz w:val="24"/>
                <w:highlight w:val="none"/>
              </w:rPr>
            </w:pPr>
          </w:p>
          <w:p>
            <w:pPr>
              <w:pStyle w:val="31"/>
              <w:spacing w:before="191"/>
              <w:ind w:left="29"/>
              <w:jc w:val="center"/>
              <w:rPr>
                <w:rFonts w:ascii="Arial"/>
                <w:color w:val="auto"/>
                <w:sz w:val="21"/>
                <w:highlight w:val="none"/>
              </w:rPr>
            </w:pPr>
            <w:r>
              <w:rPr>
                <w:rFonts w:ascii="Arial"/>
                <w:color w:val="auto"/>
                <w:w w:val="100"/>
                <w:sz w:val="21"/>
                <w:highlight w:val="none"/>
              </w:rPr>
              <w:t>1</w:t>
            </w:r>
          </w:p>
        </w:tc>
        <w:tc>
          <w:tcPr>
            <w:tcW w:w="4356" w:type="dxa"/>
            <w:tcBorders>
              <w:tl2br w:val="nil"/>
              <w:tr2bl w:val="nil"/>
            </w:tcBorders>
          </w:tcPr>
          <w:p>
            <w:pPr>
              <w:pStyle w:val="31"/>
              <w:rPr>
                <w:rFonts w:ascii="黑体"/>
                <w:b/>
                <w:color w:val="auto"/>
                <w:sz w:val="15"/>
                <w:highlight w:val="none"/>
              </w:rPr>
            </w:pPr>
          </w:p>
          <w:p>
            <w:pPr>
              <w:pStyle w:val="31"/>
              <w:spacing w:line="268" w:lineRule="auto"/>
              <w:ind w:left="116" w:right="181"/>
              <w:jc w:val="both"/>
              <w:rPr>
                <w:color w:val="auto"/>
                <w:sz w:val="21"/>
                <w:highlight w:val="none"/>
              </w:rPr>
            </w:pPr>
            <w:r>
              <w:rPr>
                <w:color w:val="auto"/>
                <w:spacing w:val="-10"/>
                <w:sz w:val="21"/>
                <w:highlight w:val="none"/>
              </w:rPr>
              <w:t>高级工程师及以上职称，自</w:t>
            </w:r>
            <w:r>
              <w:rPr>
                <w:rFonts w:hint="eastAsia" w:ascii="Arial"/>
                <w:color w:val="auto"/>
                <w:sz w:val="21"/>
                <w:highlight w:val="none"/>
                <w:lang w:eastAsia="zh-CN"/>
              </w:rPr>
              <w:t>201</w:t>
            </w:r>
            <w:r>
              <w:rPr>
                <w:rFonts w:hint="eastAsia" w:ascii="Arial"/>
                <w:color w:val="auto"/>
                <w:sz w:val="21"/>
                <w:highlight w:val="none"/>
                <w:lang w:val="en-US" w:eastAsia="zh-CN"/>
              </w:rPr>
              <w:t>8</w:t>
            </w:r>
            <w:r>
              <w:rPr>
                <w:rFonts w:hint="eastAsia" w:ascii="Arial"/>
                <w:color w:val="auto"/>
                <w:sz w:val="21"/>
                <w:highlight w:val="none"/>
                <w:lang w:eastAsia="zh-CN"/>
              </w:rPr>
              <w:t>年7月1日（以施工图批复或准予行政许可决定时间为准）</w:t>
            </w:r>
            <w:r>
              <w:rPr>
                <w:color w:val="auto"/>
                <w:spacing w:val="-6"/>
                <w:sz w:val="21"/>
                <w:highlight w:val="none"/>
              </w:rPr>
              <w:t>以来，</w:t>
            </w:r>
            <w:r>
              <w:rPr>
                <w:rFonts w:hint="eastAsia"/>
                <w:color w:val="auto"/>
                <w:spacing w:val="-7"/>
                <w:sz w:val="21"/>
                <w:highlight w:val="none"/>
              </w:rPr>
              <w:t>担任过</w:t>
            </w:r>
            <w:r>
              <w:rPr>
                <w:color w:val="auto"/>
                <w:spacing w:val="-7"/>
                <w:sz w:val="21"/>
                <w:highlight w:val="none"/>
              </w:rPr>
              <w:t>一级</w:t>
            </w:r>
            <w:r>
              <w:rPr>
                <w:rFonts w:hint="eastAsia"/>
                <w:color w:val="auto"/>
                <w:spacing w:val="-7"/>
                <w:sz w:val="21"/>
                <w:highlight w:val="none"/>
                <w:lang w:eastAsia="zh-CN"/>
              </w:rPr>
              <w:t>及以上</w:t>
            </w:r>
            <w:r>
              <w:rPr>
                <w:color w:val="auto"/>
                <w:spacing w:val="-7"/>
                <w:sz w:val="21"/>
                <w:highlight w:val="none"/>
              </w:rPr>
              <w:t>公路</w:t>
            </w:r>
            <w:r>
              <w:rPr>
                <w:color w:val="auto"/>
                <w:spacing w:val="-2"/>
                <w:sz w:val="21"/>
                <w:highlight w:val="none"/>
              </w:rPr>
              <w:t>养护工程</w:t>
            </w:r>
            <w:r>
              <w:rPr>
                <w:rFonts w:hint="eastAsia"/>
                <w:color w:val="auto"/>
                <w:spacing w:val="-2"/>
                <w:sz w:val="21"/>
                <w:highlight w:val="none"/>
                <w:lang w:eastAsia="zh-CN"/>
              </w:rPr>
              <w:t>【</w:t>
            </w:r>
            <w:r>
              <w:rPr>
                <w:color w:val="auto"/>
                <w:spacing w:val="-16"/>
                <w:sz w:val="21"/>
                <w:highlight w:val="none"/>
              </w:rPr>
              <w:t>小修</w:t>
            </w:r>
            <w:r>
              <w:rPr>
                <w:color w:val="auto"/>
                <w:sz w:val="21"/>
                <w:highlight w:val="none"/>
              </w:rPr>
              <w:t>（</w:t>
            </w:r>
            <w:r>
              <w:rPr>
                <w:color w:val="auto"/>
                <w:spacing w:val="-3"/>
                <w:sz w:val="21"/>
                <w:highlight w:val="none"/>
              </w:rPr>
              <w:t>日常养护</w:t>
            </w:r>
            <w:r>
              <w:rPr>
                <w:color w:val="auto"/>
                <w:spacing w:val="-106"/>
                <w:sz w:val="21"/>
                <w:highlight w:val="none"/>
              </w:rPr>
              <w:t>）</w:t>
            </w:r>
            <w:r>
              <w:rPr>
                <w:color w:val="auto"/>
                <w:spacing w:val="-7"/>
                <w:sz w:val="21"/>
                <w:highlight w:val="none"/>
              </w:rPr>
              <w:t>、绿化工程和交安专项工程设计</w:t>
            </w:r>
            <w:r>
              <w:rPr>
                <w:color w:val="auto"/>
                <w:spacing w:val="-7"/>
                <w:w w:val="100"/>
                <w:sz w:val="21"/>
                <w:highlight w:val="none"/>
              </w:rPr>
              <w:t>除外</w:t>
            </w:r>
            <w:r>
              <w:rPr>
                <w:rFonts w:hint="eastAsia"/>
                <w:color w:val="auto"/>
                <w:spacing w:val="-2"/>
                <w:sz w:val="21"/>
                <w:highlight w:val="none"/>
                <w:lang w:eastAsia="zh-CN"/>
              </w:rPr>
              <w:t>】</w:t>
            </w:r>
            <w:r>
              <w:rPr>
                <w:rFonts w:hint="eastAsia"/>
                <w:color w:val="auto"/>
                <w:szCs w:val="21"/>
                <w:highlight w:val="none"/>
              </w:rPr>
              <w:t>设计任务的项目负责人</w:t>
            </w:r>
            <w:r>
              <w:rPr>
                <w:color w:val="auto"/>
                <w:w w:val="100"/>
                <w:sz w:val="21"/>
                <w:highlight w:val="none"/>
              </w:rPr>
              <w:t>；自</w:t>
            </w:r>
            <w:r>
              <w:rPr>
                <w:color w:val="auto"/>
                <w:sz w:val="21"/>
                <w:highlight w:val="none"/>
              </w:rPr>
              <w:t xml:space="preserve"> </w:t>
            </w:r>
            <w:r>
              <w:rPr>
                <w:rFonts w:hint="eastAsia" w:ascii="Arial"/>
                <w:color w:val="auto"/>
                <w:w w:val="100"/>
                <w:sz w:val="21"/>
                <w:highlight w:val="none"/>
                <w:lang w:eastAsia="zh-CN"/>
              </w:rPr>
              <w:t>20</w:t>
            </w:r>
            <w:r>
              <w:rPr>
                <w:rFonts w:hint="eastAsia" w:ascii="Arial"/>
                <w:color w:val="auto"/>
                <w:w w:val="100"/>
                <w:sz w:val="21"/>
                <w:highlight w:val="none"/>
                <w:lang w:val="en-US" w:eastAsia="zh-CN"/>
              </w:rPr>
              <w:t>20</w:t>
            </w:r>
            <w:r>
              <w:rPr>
                <w:rFonts w:hint="eastAsia" w:ascii="Arial"/>
                <w:color w:val="auto"/>
                <w:w w:val="100"/>
                <w:sz w:val="21"/>
                <w:highlight w:val="none"/>
                <w:lang w:eastAsia="zh-CN"/>
              </w:rPr>
              <w:t>年7月1日</w:t>
            </w:r>
            <w:r>
              <w:rPr>
                <w:color w:val="auto"/>
                <w:spacing w:val="-3"/>
                <w:w w:val="100"/>
                <w:sz w:val="21"/>
                <w:highlight w:val="none"/>
              </w:rPr>
              <w:t>以来无行贿犯罪行为（</w:t>
            </w:r>
            <w:r>
              <w:rPr>
                <w:color w:val="auto"/>
                <w:w w:val="100"/>
                <w:sz w:val="21"/>
                <w:highlight w:val="none"/>
              </w:rPr>
              <w:t>以中国</w:t>
            </w:r>
            <w:r>
              <w:rPr>
                <w:color w:val="auto"/>
                <w:spacing w:val="-10"/>
                <w:sz w:val="21"/>
                <w:highlight w:val="none"/>
              </w:rPr>
              <w:t>裁判文书网上查询结果为准，时间以法院判决书日期为准</w:t>
            </w:r>
            <w:r>
              <w:rPr>
                <w:color w:val="auto"/>
                <w:spacing w:val="-108"/>
                <w:sz w:val="21"/>
                <w:highlight w:val="none"/>
              </w:rPr>
              <w:t>）</w:t>
            </w:r>
            <w:r>
              <w:rPr>
                <w:color w:val="auto"/>
                <w:spacing w:val="-11"/>
                <w:sz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6" w:hRule="atLeast"/>
        </w:trPr>
        <w:tc>
          <w:tcPr>
            <w:tcW w:w="1178" w:type="dxa"/>
            <w:vMerge w:val="continue"/>
            <w:tcBorders>
              <w:tl2br w:val="nil"/>
              <w:tr2bl w:val="nil"/>
            </w:tcBorders>
          </w:tcPr>
          <w:p>
            <w:pPr>
              <w:pStyle w:val="31"/>
              <w:spacing w:before="157"/>
              <w:ind w:left="372" w:right="352"/>
              <w:jc w:val="center"/>
              <w:rPr>
                <w:color w:val="auto"/>
                <w:sz w:val="21"/>
                <w:highlight w:val="none"/>
              </w:rPr>
            </w:pPr>
          </w:p>
        </w:tc>
        <w:tc>
          <w:tcPr>
            <w:tcW w:w="2834" w:type="dxa"/>
            <w:tcBorders>
              <w:tl2br w:val="nil"/>
              <w:tr2bl w:val="nil"/>
            </w:tcBorders>
          </w:tcPr>
          <w:p>
            <w:pPr>
              <w:pStyle w:val="31"/>
              <w:spacing w:before="157"/>
              <w:ind w:left="372" w:right="352"/>
              <w:jc w:val="center"/>
              <w:rPr>
                <w:color w:val="auto"/>
                <w:sz w:val="21"/>
                <w:highlight w:val="none"/>
              </w:rPr>
            </w:pPr>
            <w:r>
              <w:rPr>
                <w:color w:val="auto"/>
                <w:sz w:val="21"/>
                <w:highlight w:val="none"/>
              </w:rPr>
              <w:t>路基路面分项负责人</w:t>
            </w:r>
          </w:p>
        </w:tc>
        <w:tc>
          <w:tcPr>
            <w:tcW w:w="710" w:type="dxa"/>
            <w:tcBorders>
              <w:tl2br w:val="nil"/>
              <w:tr2bl w:val="nil"/>
            </w:tcBorders>
          </w:tcPr>
          <w:p>
            <w:pPr>
              <w:pStyle w:val="31"/>
              <w:spacing w:before="170"/>
              <w:ind w:left="29"/>
              <w:jc w:val="center"/>
              <w:rPr>
                <w:rFonts w:ascii="Arial"/>
                <w:color w:val="auto"/>
                <w:sz w:val="21"/>
                <w:highlight w:val="none"/>
              </w:rPr>
            </w:pPr>
            <w:r>
              <w:rPr>
                <w:rFonts w:ascii="Arial"/>
                <w:color w:val="auto"/>
                <w:w w:val="100"/>
                <w:sz w:val="21"/>
                <w:highlight w:val="none"/>
              </w:rPr>
              <w:t>1</w:t>
            </w:r>
          </w:p>
        </w:tc>
        <w:tc>
          <w:tcPr>
            <w:tcW w:w="4356" w:type="dxa"/>
            <w:tcBorders>
              <w:tl2br w:val="nil"/>
              <w:tr2bl w:val="nil"/>
            </w:tcBorders>
          </w:tcPr>
          <w:p>
            <w:pPr>
              <w:pStyle w:val="31"/>
              <w:spacing w:before="157"/>
              <w:rPr>
                <w:color w:val="auto"/>
                <w:sz w:val="21"/>
                <w:highlight w:val="none"/>
              </w:rPr>
            </w:pPr>
            <w:r>
              <w:rPr>
                <w:color w:val="auto"/>
                <w:sz w:val="21"/>
                <w:highlight w:val="none"/>
              </w:rPr>
              <w:t>工程师及以上职称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4" w:hRule="atLeast"/>
        </w:trPr>
        <w:tc>
          <w:tcPr>
            <w:tcW w:w="1178" w:type="dxa"/>
            <w:vMerge w:val="continue"/>
            <w:tcBorders>
              <w:tl2br w:val="nil"/>
              <w:tr2bl w:val="nil"/>
            </w:tcBorders>
          </w:tcPr>
          <w:p>
            <w:pPr>
              <w:pStyle w:val="31"/>
              <w:spacing w:before="1"/>
              <w:ind w:left="372" w:right="349"/>
              <w:jc w:val="center"/>
              <w:rPr>
                <w:color w:val="auto"/>
                <w:sz w:val="21"/>
                <w:highlight w:val="none"/>
              </w:rPr>
            </w:pPr>
          </w:p>
        </w:tc>
        <w:tc>
          <w:tcPr>
            <w:tcW w:w="2834" w:type="dxa"/>
            <w:tcBorders>
              <w:tl2br w:val="nil"/>
              <w:tr2bl w:val="nil"/>
            </w:tcBorders>
          </w:tcPr>
          <w:p>
            <w:pPr>
              <w:pStyle w:val="31"/>
              <w:spacing w:before="3"/>
              <w:rPr>
                <w:rFonts w:ascii="黑体"/>
                <w:b/>
                <w:color w:val="auto"/>
                <w:sz w:val="23"/>
                <w:highlight w:val="none"/>
              </w:rPr>
            </w:pPr>
          </w:p>
          <w:p>
            <w:pPr>
              <w:pStyle w:val="31"/>
              <w:spacing w:before="1"/>
              <w:ind w:left="372" w:right="349"/>
              <w:jc w:val="center"/>
              <w:rPr>
                <w:color w:val="auto"/>
                <w:sz w:val="21"/>
                <w:highlight w:val="none"/>
              </w:rPr>
            </w:pPr>
            <w:r>
              <w:rPr>
                <w:color w:val="auto"/>
                <w:sz w:val="21"/>
                <w:highlight w:val="none"/>
              </w:rPr>
              <w:t>桥隧分项负责人</w:t>
            </w:r>
          </w:p>
        </w:tc>
        <w:tc>
          <w:tcPr>
            <w:tcW w:w="710" w:type="dxa"/>
            <w:tcBorders>
              <w:tl2br w:val="nil"/>
              <w:tr2bl w:val="nil"/>
            </w:tcBorders>
          </w:tcPr>
          <w:p>
            <w:pPr>
              <w:pStyle w:val="31"/>
              <w:spacing w:before="4"/>
              <w:rPr>
                <w:rFonts w:ascii="黑体"/>
                <w:b/>
                <w:color w:val="auto"/>
                <w:sz w:val="24"/>
                <w:highlight w:val="none"/>
              </w:rPr>
            </w:pPr>
          </w:p>
          <w:p>
            <w:pPr>
              <w:pStyle w:val="31"/>
              <w:ind w:left="29"/>
              <w:jc w:val="center"/>
              <w:rPr>
                <w:rFonts w:ascii="Arial"/>
                <w:color w:val="auto"/>
                <w:sz w:val="21"/>
                <w:highlight w:val="none"/>
              </w:rPr>
            </w:pPr>
            <w:r>
              <w:rPr>
                <w:rFonts w:ascii="Arial"/>
                <w:color w:val="auto"/>
                <w:w w:val="100"/>
                <w:sz w:val="21"/>
                <w:highlight w:val="none"/>
              </w:rPr>
              <w:t>1</w:t>
            </w:r>
          </w:p>
        </w:tc>
        <w:tc>
          <w:tcPr>
            <w:tcW w:w="4356" w:type="dxa"/>
            <w:tcBorders>
              <w:tl2br w:val="nil"/>
              <w:tr2bl w:val="nil"/>
            </w:tcBorders>
          </w:tcPr>
          <w:p>
            <w:pPr>
              <w:pStyle w:val="31"/>
              <w:spacing w:before="3"/>
              <w:rPr>
                <w:rFonts w:ascii="黑体"/>
                <w:b/>
                <w:color w:val="auto"/>
                <w:sz w:val="23"/>
                <w:highlight w:val="none"/>
              </w:rPr>
            </w:pPr>
          </w:p>
          <w:p>
            <w:pPr>
              <w:pStyle w:val="31"/>
              <w:spacing w:before="1"/>
              <w:rPr>
                <w:color w:val="auto"/>
                <w:sz w:val="21"/>
                <w:highlight w:val="none"/>
              </w:rPr>
            </w:pPr>
            <w:r>
              <w:rPr>
                <w:color w:val="auto"/>
                <w:sz w:val="21"/>
                <w:highlight w:val="none"/>
              </w:rPr>
              <w:t>工程师及以上职称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4" w:hRule="atLeast"/>
        </w:trPr>
        <w:tc>
          <w:tcPr>
            <w:tcW w:w="1178" w:type="dxa"/>
            <w:vMerge w:val="continue"/>
            <w:tcBorders>
              <w:tl2br w:val="nil"/>
              <w:tr2bl w:val="nil"/>
            </w:tcBorders>
          </w:tcPr>
          <w:p>
            <w:pPr>
              <w:pStyle w:val="31"/>
              <w:spacing w:before="1"/>
              <w:ind w:left="372" w:right="352"/>
              <w:jc w:val="center"/>
              <w:rPr>
                <w:color w:val="auto"/>
                <w:sz w:val="21"/>
                <w:highlight w:val="none"/>
              </w:rPr>
            </w:pPr>
          </w:p>
        </w:tc>
        <w:tc>
          <w:tcPr>
            <w:tcW w:w="2834" w:type="dxa"/>
            <w:tcBorders>
              <w:tl2br w:val="nil"/>
              <w:tr2bl w:val="nil"/>
            </w:tcBorders>
          </w:tcPr>
          <w:p>
            <w:pPr>
              <w:pStyle w:val="31"/>
              <w:spacing w:before="3"/>
              <w:rPr>
                <w:rFonts w:ascii="黑体"/>
                <w:b/>
                <w:color w:val="auto"/>
                <w:sz w:val="23"/>
                <w:highlight w:val="none"/>
              </w:rPr>
            </w:pPr>
          </w:p>
          <w:p>
            <w:pPr>
              <w:pStyle w:val="31"/>
              <w:spacing w:before="1"/>
              <w:ind w:left="372" w:right="352"/>
              <w:jc w:val="center"/>
              <w:rPr>
                <w:color w:val="auto"/>
                <w:sz w:val="21"/>
                <w:highlight w:val="none"/>
              </w:rPr>
            </w:pPr>
            <w:r>
              <w:rPr>
                <w:color w:val="auto"/>
                <w:sz w:val="21"/>
                <w:highlight w:val="none"/>
              </w:rPr>
              <w:t>交安设施分项负责人</w:t>
            </w:r>
          </w:p>
        </w:tc>
        <w:tc>
          <w:tcPr>
            <w:tcW w:w="710" w:type="dxa"/>
            <w:tcBorders>
              <w:tl2br w:val="nil"/>
              <w:tr2bl w:val="nil"/>
            </w:tcBorders>
          </w:tcPr>
          <w:p>
            <w:pPr>
              <w:pStyle w:val="31"/>
              <w:spacing w:before="4"/>
              <w:rPr>
                <w:rFonts w:ascii="黑体"/>
                <w:b/>
                <w:color w:val="auto"/>
                <w:sz w:val="24"/>
                <w:highlight w:val="none"/>
              </w:rPr>
            </w:pPr>
          </w:p>
          <w:p>
            <w:pPr>
              <w:pStyle w:val="31"/>
              <w:ind w:left="29"/>
              <w:jc w:val="center"/>
              <w:rPr>
                <w:rFonts w:ascii="Arial"/>
                <w:color w:val="auto"/>
                <w:sz w:val="21"/>
                <w:highlight w:val="none"/>
              </w:rPr>
            </w:pPr>
            <w:r>
              <w:rPr>
                <w:rFonts w:ascii="Arial"/>
                <w:color w:val="auto"/>
                <w:w w:val="100"/>
                <w:sz w:val="21"/>
                <w:highlight w:val="none"/>
              </w:rPr>
              <w:t>1</w:t>
            </w:r>
          </w:p>
        </w:tc>
        <w:tc>
          <w:tcPr>
            <w:tcW w:w="4356" w:type="dxa"/>
            <w:tcBorders>
              <w:tl2br w:val="nil"/>
              <w:tr2bl w:val="nil"/>
            </w:tcBorders>
          </w:tcPr>
          <w:p>
            <w:pPr>
              <w:pStyle w:val="31"/>
              <w:spacing w:before="3"/>
              <w:rPr>
                <w:rFonts w:ascii="黑体"/>
                <w:b/>
                <w:color w:val="auto"/>
                <w:sz w:val="23"/>
                <w:highlight w:val="none"/>
              </w:rPr>
            </w:pPr>
          </w:p>
          <w:p>
            <w:pPr>
              <w:pStyle w:val="31"/>
              <w:spacing w:before="1"/>
              <w:rPr>
                <w:color w:val="auto"/>
                <w:sz w:val="21"/>
                <w:highlight w:val="none"/>
              </w:rPr>
            </w:pPr>
            <w:r>
              <w:rPr>
                <w:color w:val="auto"/>
                <w:sz w:val="21"/>
                <w:highlight w:val="none"/>
              </w:rPr>
              <w:t>工程师及以上职称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13" w:hRule="atLeast"/>
        </w:trPr>
        <w:tc>
          <w:tcPr>
            <w:tcW w:w="1178" w:type="dxa"/>
            <w:vMerge w:val="continue"/>
            <w:tcBorders>
              <w:tl2br w:val="nil"/>
              <w:tr2bl w:val="nil"/>
            </w:tcBorders>
          </w:tcPr>
          <w:p>
            <w:pPr>
              <w:pStyle w:val="31"/>
              <w:ind w:left="372" w:right="352"/>
              <w:jc w:val="center"/>
              <w:rPr>
                <w:color w:val="auto"/>
                <w:sz w:val="21"/>
                <w:highlight w:val="none"/>
              </w:rPr>
            </w:pPr>
          </w:p>
        </w:tc>
        <w:tc>
          <w:tcPr>
            <w:tcW w:w="2834" w:type="dxa"/>
            <w:tcBorders>
              <w:tl2br w:val="nil"/>
              <w:tr2bl w:val="nil"/>
            </w:tcBorders>
          </w:tcPr>
          <w:p>
            <w:pPr>
              <w:pStyle w:val="31"/>
              <w:spacing w:before="8"/>
              <w:rPr>
                <w:rFonts w:ascii="黑体"/>
                <w:b/>
                <w:color w:val="auto"/>
                <w:sz w:val="23"/>
                <w:highlight w:val="none"/>
              </w:rPr>
            </w:pPr>
          </w:p>
          <w:p>
            <w:pPr>
              <w:pStyle w:val="31"/>
              <w:ind w:left="372" w:right="352"/>
              <w:jc w:val="center"/>
              <w:rPr>
                <w:color w:val="auto"/>
                <w:sz w:val="21"/>
                <w:highlight w:val="none"/>
              </w:rPr>
            </w:pPr>
            <w:r>
              <w:rPr>
                <w:color w:val="auto"/>
                <w:sz w:val="21"/>
                <w:highlight w:val="none"/>
              </w:rPr>
              <w:t>工程造价分项负责人</w:t>
            </w:r>
          </w:p>
        </w:tc>
        <w:tc>
          <w:tcPr>
            <w:tcW w:w="710" w:type="dxa"/>
            <w:tcBorders>
              <w:tl2br w:val="nil"/>
              <w:tr2bl w:val="nil"/>
            </w:tcBorders>
          </w:tcPr>
          <w:p>
            <w:pPr>
              <w:pStyle w:val="31"/>
              <w:spacing w:before="8"/>
              <w:rPr>
                <w:rFonts w:ascii="黑体"/>
                <w:b/>
                <w:color w:val="auto"/>
                <w:sz w:val="24"/>
                <w:highlight w:val="none"/>
              </w:rPr>
            </w:pPr>
          </w:p>
          <w:p>
            <w:pPr>
              <w:pStyle w:val="31"/>
              <w:spacing w:before="1"/>
              <w:ind w:left="29"/>
              <w:jc w:val="center"/>
              <w:rPr>
                <w:rFonts w:ascii="Arial"/>
                <w:color w:val="auto"/>
                <w:sz w:val="21"/>
                <w:highlight w:val="none"/>
              </w:rPr>
            </w:pPr>
            <w:r>
              <w:rPr>
                <w:rFonts w:ascii="Arial"/>
                <w:color w:val="auto"/>
                <w:w w:val="100"/>
                <w:sz w:val="21"/>
                <w:highlight w:val="none"/>
              </w:rPr>
              <w:t>1</w:t>
            </w:r>
          </w:p>
        </w:tc>
        <w:tc>
          <w:tcPr>
            <w:tcW w:w="4356" w:type="dxa"/>
            <w:tcBorders>
              <w:tl2br w:val="nil"/>
              <w:tr2bl w:val="nil"/>
            </w:tcBorders>
          </w:tcPr>
          <w:p>
            <w:pPr>
              <w:pStyle w:val="31"/>
              <w:spacing w:before="154" w:line="266" w:lineRule="auto"/>
              <w:ind w:right="284"/>
              <w:rPr>
                <w:color w:val="auto"/>
                <w:sz w:val="21"/>
                <w:highlight w:val="none"/>
              </w:rPr>
            </w:pPr>
            <w:r>
              <w:rPr>
                <w:color w:val="auto"/>
                <w:spacing w:val="-12"/>
                <w:sz w:val="21"/>
                <w:highlight w:val="none"/>
              </w:rPr>
              <w:t>工程师及以上职称，并有注册造价工程师或交通运输部公路</w:t>
            </w:r>
            <w:r>
              <w:rPr>
                <w:color w:val="auto"/>
                <w:spacing w:val="-3"/>
                <w:sz w:val="21"/>
                <w:highlight w:val="none"/>
              </w:rPr>
              <w:t>工程造价甲级资格证书。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178" w:type="dxa"/>
            <w:vMerge w:val="continue"/>
            <w:tcBorders>
              <w:tl2br w:val="nil"/>
              <w:tr2bl w:val="nil"/>
            </w:tcBorders>
          </w:tcPr>
          <w:p>
            <w:pPr>
              <w:pStyle w:val="31"/>
              <w:spacing w:before="152"/>
              <w:ind w:left="372" w:right="349"/>
              <w:jc w:val="center"/>
              <w:rPr>
                <w:color w:val="auto"/>
                <w:sz w:val="21"/>
                <w:highlight w:val="none"/>
              </w:rPr>
            </w:pPr>
          </w:p>
        </w:tc>
        <w:tc>
          <w:tcPr>
            <w:tcW w:w="2834" w:type="dxa"/>
            <w:tcBorders>
              <w:tl2br w:val="nil"/>
              <w:tr2bl w:val="nil"/>
            </w:tcBorders>
          </w:tcPr>
          <w:p>
            <w:pPr>
              <w:pStyle w:val="31"/>
              <w:spacing w:before="152"/>
              <w:ind w:left="372" w:right="349"/>
              <w:jc w:val="center"/>
              <w:rPr>
                <w:color w:val="auto"/>
                <w:sz w:val="21"/>
                <w:highlight w:val="none"/>
              </w:rPr>
            </w:pPr>
            <w:r>
              <w:rPr>
                <w:color w:val="auto"/>
                <w:sz w:val="21"/>
                <w:highlight w:val="none"/>
              </w:rPr>
              <w:t>后续服务负责人</w:t>
            </w:r>
          </w:p>
        </w:tc>
        <w:tc>
          <w:tcPr>
            <w:tcW w:w="710" w:type="dxa"/>
            <w:tcBorders>
              <w:tl2br w:val="nil"/>
              <w:tr2bl w:val="nil"/>
            </w:tcBorders>
          </w:tcPr>
          <w:p>
            <w:pPr>
              <w:pStyle w:val="31"/>
              <w:spacing w:before="165"/>
              <w:ind w:left="29"/>
              <w:jc w:val="center"/>
              <w:rPr>
                <w:rFonts w:ascii="Arial"/>
                <w:color w:val="auto"/>
                <w:sz w:val="21"/>
                <w:highlight w:val="none"/>
              </w:rPr>
            </w:pPr>
            <w:r>
              <w:rPr>
                <w:rFonts w:ascii="Arial"/>
                <w:color w:val="auto"/>
                <w:w w:val="100"/>
                <w:sz w:val="21"/>
                <w:highlight w:val="none"/>
              </w:rPr>
              <w:t>1</w:t>
            </w:r>
          </w:p>
        </w:tc>
        <w:tc>
          <w:tcPr>
            <w:tcW w:w="4356" w:type="dxa"/>
            <w:tcBorders>
              <w:tl2br w:val="nil"/>
              <w:tr2bl w:val="nil"/>
            </w:tcBorders>
          </w:tcPr>
          <w:p>
            <w:pPr>
              <w:pStyle w:val="31"/>
              <w:spacing w:before="152"/>
              <w:rPr>
                <w:color w:val="auto"/>
                <w:sz w:val="21"/>
                <w:highlight w:val="none"/>
              </w:rPr>
            </w:pPr>
            <w:r>
              <w:rPr>
                <w:color w:val="auto"/>
                <w:sz w:val="21"/>
                <w:highlight w:val="none"/>
              </w:rPr>
              <w:t>工程师及以上职称</w:t>
            </w:r>
          </w:p>
        </w:tc>
      </w:tr>
    </w:tbl>
    <w:p>
      <w:pPr>
        <w:pStyle w:val="2"/>
        <w:spacing w:before="46" w:line="285" w:lineRule="auto"/>
        <w:ind w:left="398" w:right="409" w:rightChars="186" w:firstLine="419"/>
        <w:jc w:val="both"/>
        <w:rPr>
          <w:color w:val="auto"/>
          <w:spacing w:val="-5"/>
          <w:highlight w:val="none"/>
        </w:rPr>
      </w:pPr>
      <w:r>
        <w:rPr>
          <w:color w:val="auto"/>
          <w:spacing w:val="-6"/>
          <w:highlight w:val="none"/>
        </w:rPr>
        <w:t>注：</w:t>
      </w:r>
      <w:r>
        <w:rPr>
          <w:rFonts w:ascii="Arial" w:eastAsia="Arial"/>
          <w:color w:val="auto"/>
          <w:spacing w:val="-11"/>
          <w:highlight w:val="none"/>
        </w:rPr>
        <w:t>1</w:t>
      </w:r>
      <w:r>
        <w:rPr>
          <w:color w:val="auto"/>
          <w:spacing w:val="-8"/>
          <w:highlight w:val="none"/>
        </w:rPr>
        <w:t>、拟委任的项目负责人有行贿犯罪行为的认定：以中国裁判文书网上查询结果为准，时间以</w:t>
      </w:r>
      <w:r>
        <w:rPr>
          <w:color w:val="auto"/>
          <w:spacing w:val="-5"/>
          <w:highlight w:val="none"/>
        </w:rPr>
        <w:t>法院判决书日期为准。</w:t>
      </w:r>
    </w:p>
    <w:p>
      <w:pPr>
        <w:pStyle w:val="2"/>
        <w:spacing w:before="46" w:line="285" w:lineRule="auto"/>
        <w:ind w:left="398" w:right="409" w:rightChars="186" w:firstLine="419"/>
        <w:jc w:val="both"/>
        <w:rPr>
          <w:rFonts w:hint="eastAsia"/>
          <w:color w:val="auto"/>
          <w:spacing w:val="-10"/>
          <w:highlight w:val="none"/>
        </w:rPr>
      </w:pPr>
      <w:r>
        <w:rPr>
          <w:rFonts w:hint="eastAsia" w:ascii="Arial" w:hAnsi="宋体" w:eastAsia="Arial" w:cs="宋体"/>
          <w:color w:val="auto"/>
          <w:spacing w:val="-11"/>
          <w:highlight w:val="none"/>
          <w:lang w:val="en-US" w:eastAsia="zh-CN"/>
        </w:rPr>
        <w:t>2、</w:t>
      </w:r>
      <w:r>
        <w:rPr>
          <w:rFonts w:hint="eastAsia"/>
          <w:color w:val="auto"/>
          <w:spacing w:val="-10"/>
          <w:highlight w:val="none"/>
        </w:rPr>
        <w:t>拟委任的项目负责人应出具相应业绩证明材料：中标通知书或合同协议书或施工图批复文件（或施工图设计行政许可决定书）扫描件；项目业绩证明材料中未出现姓名、任职或工程规模的，还需提供项目发包人（或项目业主或项目所在地设区市及以上行业主管部门）出具的证明材料。</w:t>
      </w:r>
    </w:p>
    <w:p>
      <w:pPr>
        <w:pStyle w:val="2"/>
        <w:spacing w:line="285" w:lineRule="auto"/>
        <w:ind w:left="398" w:right="409" w:rightChars="186" w:firstLine="420"/>
        <w:jc w:val="both"/>
        <w:rPr>
          <w:color w:val="auto"/>
          <w:highlight w:val="none"/>
        </w:rPr>
      </w:pPr>
      <w:r>
        <w:rPr>
          <w:rFonts w:ascii="Arial" w:hAnsi="Arial" w:eastAsia="Arial"/>
          <w:color w:val="auto"/>
          <w:highlight w:val="none"/>
        </w:rPr>
        <w:t>3</w:t>
      </w:r>
      <w:r>
        <w:rPr>
          <w:color w:val="auto"/>
          <w:spacing w:val="-6"/>
          <w:highlight w:val="none"/>
        </w:rPr>
        <w:t>、投标人必须在第六章第一卷资格审查表</w:t>
      </w:r>
      <w:r>
        <w:rPr>
          <w:rFonts w:ascii="Arial" w:hAnsi="Arial" w:eastAsia="Arial"/>
          <w:b/>
          <w:color w:val="auto"/>
          <w:spacing w:val="-14"/>
          <w:highlight w:val="none"/>
        </w:rPr>
        <w:t>“</w:t>
      </w:r>
      <w:r>
        <w:rPr>
          <w:b/>
          <w:color w:val="auto"/>
          <w:spacing w:val="-14"/>
          <w:highlight w:val="none"/>
        </w:rPr>
        <w:t>（</w:t>
      </w:r>
      <w:r>
        <w:rPr>
          <w:b/>
          <w:color w:val="auto"/>
          <w:highlight w:val="none"/>
        </w:rPr>
        <w:t>五</w:t>
      </w:r>
      <w:r>
        <w:rPr>
          <w:b/>
          <w:color w:val="auto"/>
          <w:spacing w:val="-25"/>
          <w:highlight w:val="none"/>
        </w:rPr>
        <w:t>）</w:t>
      </w:r>
      <w:r>
        <w:rPr>
          <w:b/>
          <w:color w:val="auto"/>
          <w:spacing w:val="-2"/>
          <w:highlight w:val="none"/>
        </w:rPr>
        <w:t>主要人员资历表</w:t>
      </w:r>
      <w:r>
        <w:rPr>
          <w:rFonts w:ascii="Arial" w:hAnsi="Arial" w:eastAsia="Arial"/>
          <w:b/>
          <w:color w:val="auto"/>
          <w:spacing w:val="-3"/>
          <w:highlight w:val="none"/>
        </w:rPr>
        <w:t>”</w:t>
      </w:r>
      <w:r>
        <w:rPr>
          <w:color w:val="auto"/>
          <w:spacing w:val="-6"/>
          <w:highlight w:val="none"/>
        </w:rPr>
        <w:t>后附：拟委任的主要人员身份</w:t>
      </w:r>
      <w:r>
        <w:rPr>
          <w:color w:val="auto"/>
          <w:spacing w:val="-24"/>
          <w:highlight w:val="none"/>
        </w:rPr>
        <w:t>证</w:t>
      </w:r>
      <w:r>
        <w:rPr>
          <w:color w:val="auto"/>
          <w:highlight w:val="none"/>
        </w:rPr>
        <w:t>（</w:t>
      </w:r>
      <w:r>
        <w:rPr>
          <w:color w:val="auto"/>
          <w:spacing w:val="-3"/>
          <w:highlight w:val="none"/>
        </w:rPr>
        <w:t>第二代身份证须正反面复印</w:t>
      </w:r>
      <w:r>
        <w:rPr>
          <w:color w:val="auto"/>
          <w:spacing w:val="-106"/>
          <w:highlight w:val="none"/>
        </w:rPr>
        <w:t>）</w:t>
      </w:r>
      <w:r>
        <w:rPr>
          <w:color w:val="auto"/>
          <w:spacing w:val="-9"/>
          <w:highlight w:val="none"/>
        </w:rPr>
        <w:t>、职称证书扫描件；工程造价分项负责人还需提供相应的执业证书扫描件。</w:t>
      </w:r>
    </w:p>
    <w:p>
      <w:pPr>
        <w:pStyle w:val="2"/>
        <w:spacing w:line="268" w:lineRule="exact"/>
        <w:ind w:left="818" w:right="409" w:rightChars="186"/>
        <w:jc w:val="both"/>
        <w:outlineLvl w:val="1"/>
        <w:rPr>
          <w:color w:val="auto"/>
          <w:highlight w:val="none"/>
        </w:rPr>
      </w:pPr>
      <w:bookmarkStart w:id="48" w:name="_Toc31273"/>
      <w:bookmarkStart w:id="49" w:name="_Toc1794"/>
      <w:r>
        <w:rPr>
          <w:rFonts w:ascii="Arial" w:eastAsia="Arial"/>
          <w:color w:val="auto"/>
          <w:highlight w:val="none"/>
        </w:rPr>
        <w:t>4</w:t>
      </w:r>
      <w:r>
        <w:rPr>
          <w:color w:val="auto"/>
          <w:highlight w:val="none"/>
        </w:rPr>
        <w:t>、所有证件资料均应采用清晰扫描件。</w:t>
      </w:r>
      <w:bookmarkEnd w:id="48"/>
      <w:bookmarkEnd w:id="49"/>
    </w:p>
    <w:p>
      <w:pPr>
        <w:spacing w:after="0" w:line="268" w:lineRule="exact"/>
        <w:rPr>
          <w:color w:val="auto"/>
          <w:highlight w:val="none"/>
        </w:rPr>
        <w:sectPr>
          <w:pgSz w:w="11910" w:h="16840"/>
          <w:pgMar w:top="1300" w:right="860" w:bottom="940" w:left="960" w:header="0" w:footer="672" w:gutter="0"/>
          <w:pgBorders>
            <w:top w:val="none" w:sz="0" w:space="0"/>
            <w:left w:val="none" w:sz="0" w:space="0"/>
            <w:bottom w:val="none" w:sz="0" w:space="0"/>
            <w:right w:val="none" w:sz="0" w:space="0"/>
          </w:pgBorders>
          <w:pgNumType w:fmt="decimal"/>
          <w:cols w:space="720" w:num="1"/>
        </w:sectPr>
      </w:pPr>
    </w:p>
    <w:p>
      <w:pPr>
        <w:pStyle w:val="8"/>
        <w:tabs>
          <w:tab w:val="left" w:pos="1221"/>
        </w:tabs>
        <w:spacing w:before="41"/>
        <w:ind w:left="0" w:right="16"/>
        <w:outlineLvl w:val="2"/>
        <w:rPr>
          <w:rFonts w:hint="eastAsia" w:ascii="黑体" w:eastAsia="黑体"/>
          <w:color w:val="auto"/>
          <w:highlight w:val="none"/>
        </w:rPr>
      </w:pPr>
      <w:bookmarkStart w:id="50" w:name="附录4  资格审查条件（信誉最低要求）"/>
      <w:bookmarkEnd w:id="50"/>
      <w:bookmarkStart w:id="51" w:name="_Toc29724"/>
      <w:bookmarkStart w:id="52" w:name="_Toc16695"/>
    </w:p>
    <w:p>
      <w:pPr>
        <w:pStyle w:val="8"/>
        <w:tabs>
          <w:tab w:val="left" w:pos="1221"/>
        </w:tabs>
        <w:spacing w:before="41"/>
        <w:ind w:left="0" w:right="16"/>
        <w:outlineLvl w:val="2"/>
        <w:rPr>
          <w:rFonts w:hint="eastAsia" w:ascii="黑体" w:eastAsia="黑体"/>
          <w:color w:val="auto"/>
          <w:highlight w:val="none"/>
        </w:rPr>
      </w:pPr>
    </w:p>
    <w:p>
      <w:pPr>
        <w:pStyle w:val="8"/>
        <w:tabs>
          <w:tab w:val="left" w:pos="1221"/>
        </w:tabs>
        <w:spacing w:before="41"/>
        <w:ind w:left="0" w:right="16"/>
        <w:outlineLvl w:val="2"/>
        <w:rPr>
          <w:rFonts w:hint="eastAsia" w:ascii="黑体" w:eastAsia="黑体"/>
          <w:color w:val="auto"/>
          <w:highlight w:val="none"/>
        </w:rPr>
      </w:pPr>
    </w:p>
    <w:p>
      <w:pPr>
        <w:rPr>
          <w:rFonts w:hint="eastAsia" w:ascii="黑体" w:eastAsia="黑体"/>
          <w:color w:val="auto"/>
          <w:highlight w:val="none"/>
        </w:rPr>
      </w:pPr>
    </w:p>
    <w:p>
      <w:pPr>
        <w:pStyle w:val="2"/>
        <w:rPr>
          <w:rFonts w:hint="eastAsia" w:ascii="黑体" w:eastAsia="黑体"/>
          <w:color w:val="auto"/>
          <w:highlight w:val="none"/>
        </w:rPr>
      </w:pPr>
    </w:p>
    <w:p>
      <w:pPr>
        <w:pStyle w:val="3"/>
        <w:rPr>
          <w:rFonts w:hint="eastAsia" w:ascii="黑体" w:eastAsia="黑体"/>
          <w:color w:val="auto"/>
          <w:highlight w:val="none"/>
        </w:rPr>
      </w:pPr>
    </w:p>
    <w:p>
      <w:pPr>
        <w:pStyle w:val="4"/>
        <w:rPr>
          <w:rFonts w:hint="eastAsia" w:ascii="黑体" w:eastAsia="黑体"/>
          <w:color w:val="auto"/>
          <w:highlight w:val="none"/>
        </w:rPr>
      </w:pPr>
    </w:p>
    <w:p>
      <w:pPr>
        <w:rPr>
          <w:rFonts w:hint="eastAsia" w:ascii="黑体" w:eastAsia="黑体"/>
          <w:color w:val="auto"/>
          <w:highlight w:val="none"/>
        </w:rPr>
      </w:pPr>
    </w:p>
    <w:p>
      <w:pPr>
        <w:pStyle w:val="2"/>
        <w:rPr>
          <w:rFonts w:hint="eastAsia" w:ascii="黑体" w:eastAsia="黑体"/>
          <w:color w:val="auto"/>
          <w:highlight w:val="none"/>
        </w:rPr>
      </w:pPr>
    </w:p>
    <w:p>
      <w:pPr>
        <w:pStyle w:val="3"/>
        <w:rPr>
          <w:rFonts w:hint="eastAsia" w:ascii="黑体" w:eastAsia="黑体"/>
          <w:color w:val="auto"/>
          <w:highlight w:val="none"/>
        </w:rPr>
      </w:pPr>
    </w:p>
    <w:p>
      <w:pPr>
        <w:pStyle w:val="4"/>
        <w:rPr>
          <w:rFonts w:hint="eastAsia" w:ascii="黑体" w:eastAsia="黑体"/>
          <w:color w:val="auto"/>
          <w:highlight w:val="none"/>
        </w:rPr>
      </w:pPr>
    </w:p>
    <w:p>
      <w:pPr>
        <w:rPr>
          <w:rFonts w:hint="eastAsia"/>
          <w:color w:val="auto"/>
          <w:highlight w:val="none"/>
        </w:rPr>
      </w:pPr>
    </w:p>
    <w:p>
      <w:pPr>
        <w:pStyle w:val="8"/>
        <w:tabs>
          <w:tab w:val="left" w:pos="1221"/>
        </w:tabs>
        <w:spacing w:before="41"/>
        <w:ind w:left="0" w:right="16"/>
        <w:outlineLvl w:val="2"/>
        <w:rPr>
          <w:rFonts w:hint="eastAsia" w:ascii="黑体" w:eastAsia="黑体"/>
          <w:color w:val="auto"/>
          <w:highlight w:val="none"/>
        </w:rPr>
      </w:pPr>
    </w:p>
    <w:p>
      <w:pPr>
        <w:pStyle w:val="8"/>
        <w:tabs>
          <w:tab w:val="left" w:pos="1221"/>
        </w:tabs>
        <w:spacing w:before="41"/>
        <w:ind w:left="0" w:right="16"/>
        <w:jc w:val="center"/>
        <w:outlineLvl w:val="2"/>
        <w:rPr>
          <w:rFonts w:hint="eastAsia" w:ascii="黑体" w:eastAsia="黑体"/>
          <w:color w:val="auto"/>
          <w:highlight w:val="none"/>
        </w:rPr>
      </w:pPr>
      <w:r>
        <w:rPr>
          <w:rFonts w:hint="eastAsia" w:ascii="黑体" w:eastAsia="黑体"/>
          <w:color w:val="auto"/>
          <w:highlight w:val="none"/>
        </w:rPr>
        <w:t>附录</w:t>
      </w:r>
      <w:r>
        <w:rPr>
          <w:rFonts w:hint="eastAsia" w:ascii="黑体" w:eastAsia="黑体"/>
          <w:color w:val="auto"/>
          <w:spacing w:val="-79"/>
          <w:highlight w:val="none"/>
        </w:rPr>
        <w:t xml:space="preserve"> </w:t>
      </w:r>
      <w:r>
        <w:rPr>
          <w:rFonts w:ascii="Arial" w:eastAsia="Arial"/>
          <w:color w:val="auto"/>
          <w:highlight w:val="none"/>
        </w:rPr>
        <w:t>4</w:t>
      </w:r>
      <w:r>
        <w:rPr>
          <w:rFonts w:ascii="Arial" w:eastAsia="Arial"/>
          <w:color w:val="auto"/>
          <w:highlight w:val="none"/>
        </w:rPr>
        <w:tab/>
      </w:r>
      <w:r>
        <w:rPr>
          <w:rFonts w:hint="eastAsia" w:ascii="黑体" w:eastAsia="黑体"/>
          <w:color w:val="auto"/>
          <w:highlight w:val="none"/>
        </w:rPr>
        <w:t>资格审查条件（信誉最低要求）</w:t>
      </w:r>
      <w:bookmarkEnd w:id="51"/>
      <w:bookmarkEnd w:id="52"/>
    </w:p>
    <w:tbl>
      <w:tblPr>
        <w:tblStyle w:val="26"/>
        <w:tblpPr w:leftFromText="180" w:rightFromText="180" w:vertAnchor="text" w:horzAnchor="page" w:tblpX="1542" w:tblpY="242"/>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628"/>
        <w:gridCol w:w="666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5" w:hRule="atLeast"/>
        </w:trPr>
        <w:tc>
          <w:tcPr>
            <w:tcW w:w="2628" w:type="dxa"/>
            <w:tcBorders>
              <w:bottom w:val="single" w:color="000000" w:sz="4" w:space="0"/>
              <w:right w:val="single" w:color="000000" w:sz="4" w:space="0"/>
            </w:tcBorders>
          </w:tcPr>
          <w:p>
            <w:pPr>
              <w:pStyle w:val="31"/>
              <w:spacing w:before="154"/>
              <w:ind w:left="1084" w:right="1063"/>
              <w:jc w:val="center"/>
              <w:rPr>
                <w:color w:val="auto"/>
                <w:sz w:val="21"/>
                <w:highlight w:val="none"/>
              </w:rPr>
            </w:pPr>
            <w:r>
              <w:rPr>
                <w:color w:val="auto"/>
                <w:sz w:val="21"/>
                <w:highlight w:val="none"/>
              </w:rPr>
              <w:t>标段</w:t>
            </w:r>
          </w:p>
        </w:tc>
        <w:tc>
          <w:tcPr>
            <w:tcW w:w="6660" w:type="dxa"/>
            <w:tcBorders>
              <w:left w:val="single" w:color="000000" w:sz="4" w:space="0"/>
              <w:bottom w:val="single" w:color="000000" w:sz="4" w:space="0"/>
            </w:tcBorders>
          </w:tcPr>
          <w:p>
            <w:pPr>
              <w:pStyle w:val="31"/>
              <w:spacing w:before="154"/>
              <w:ind w:left="2899" w:right="2861"/>
              <w:jc w:val="center"/>
              <w:rPr>
                <w:color w:val="auto"/>
                <w:sz w:val="21"/>
                <w:highlight w:val="none"/>
              </w:rPr>
            </w:pPr>
            <w:r>
              <w:rPr>
                <w:color w:val="auto"/>
                <w:sz w:val="21"/>
                <w:highlight w:val="none"/>
              </w:rPr>
              <w:t>信誉要求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29" w:hRule="atLeast"/>
        </w:trPr>
        <w:tc>
          <w:tcPr>
            <w:tcW w:w="2628" w:type="dxa"/>
            <w:tcBorders>
              <w:top w:val="single" w:color="000000" w:sz="4" w:space="0"/>
              <w:right w:val="single" w:color="000000" w:sz="4" w:space="0"/>
            </w:tcBorders>
            <w:vAlign w:val="center"/>
          </w:tcPr>
          <w:p>
            <w:pPr>
              <w:pStyle w:val="31"/>
              <w:ind w:left="863" w:leftChars="0" w:right="188" w:rightChars="0" w:hanging="863" w:hangingChars="411"/>
              <w:jc w:val="center"/>
              <w:rPr>
                <w:color w:val="auto"/>
                <w:sz w:val="21"/>
                <w:highlight w:val="none"/>
              </w:rPr>
            </w:pPr>
            <w:r>
              <w:rPr>
                <w:rFonts w:hint="eastAsia"/>
                <w:color w:val="auto"/>
                <w:sz w:val="21"/>
                <w:highlight w:val="none"/>
                <w:lang w:eastAsia="zh-CN"/>
              </w:rPr>
              <w:t>本</w:t>
            </w:r>
            <w:r>
              <w:rPr>
                <w:rFonts w:hint="eastAsia"/>
                <w:color w:val="auto"/>
                <w:sz w:val="21"/>
                <w:highlight w:val="none"/>
                <w:lang w:val="en-US" w:eastAsia="zh-CN"/>
              </w:rPr>
              <w:t>标段</w:t>
            </w:r>
          </w:p>
        </w:tc>
        <w:tc>
          <w:tcPr>
            <w:tcW w:w="6660" w:type="dxa"/>
            <w:tcBorders>
              <w:top w:val="single" w:color="000000" w:sz="4" w:space="0"/>
              <w:left w:val="single" w:color="000000" w:sz="4" w:space="0"/>
            </w:tcBorders>
            <w:vAlign w:val="center"/>
          </w:tcPr>
          <w:p>
            <w:pPr>
              <w:pStyle w:val="31"/>
              <w:spacing w:before="182"/>
              <w:ind w:left="117"/>
              <w:jc w:val="both"/>
              <w:rPr>
                <w:color w:val="auto"/>
                <w:sz w:val="21"/>
                <w:highlight w:val="none"/>
              </w:rPr>
            </w:pPr>
            <w:r>
              <w:rPr>
                <w:rFonts w:ascii="Arial" w:hAnsi="Arial" w:eastAsia="Arial"/>
                <w:color w:val="auto"/>
                <w:sz w:val="21"/>
                <w:highlight w:val="none"/>
              </w:rPr>
              <w:t>1</w:t>
            </w:r>
            <w:r>
              <w:rPr>
                <w:color w:val="auto"/>
                <w:sz w:val="21"/>
                <w:highlight w:val="none"/>
              </w:rPr>
              <w:t>、不存在</w:t>
            </w:r>
            <w:r>
              <w:rPr>
                <w:rFonts w:hint="eastAsia" w:ascii="Arial" w:hAnsi="Arial" w:eastAsia="宋体"/>
                <w:color w:val="auto"/>
                <w:sz w:val="21"/>
                <w:highlight w:val="none"/>
                <w:lang w:eastAsia="zh-CN"/>
              </w:rPr>
              <w:t>“</w:t>
            </w:r>
            <w:r>
              <w:rPr>
                <w:color w:val="auto"/>
                <w:sz w:val="21"/>
                <w:highlight w:val="none"/>
              </w:rPr>
              <w:t>投标人须知</w:t>
            </w:r>
            <w:r>
              <w:rPr>
                <w:rFonts w:hint="eastAsia" w:ascii="Arial" w:hAnsi="Arial" w:eastAsia="宋体"/>
                <w:color w:val="auto"/>
                <w:sz w:val="21"/>
                <w:highlight w:val="none"/>
                <w:lang w:eastAsia="zh-CN"/>
              </w:rPr>
              <w:t>”</w:t>
            </w:r>
            <w:r>
              <w:rPr>
                <w:color w:val="auto"/>
                <w:sz w:val="21"/>
                <w:highlight w:val="none"/>
              </w:rPr>
              <w:t xml:space="preserve">第 </w:t>
            </w:r>
            <w:r>
              <w:rPr>
                <w:rFonts w:ascii="Arial" w:hAnsi="Arial" w:eastAsia="Arial"/>
                <w:color w:val="auto"/>
                <w:sz w:val="21"/>
                <w:highlight w:val="none"/>
              </w:rPr>
              <w:t xml:space="preserve">1.4.3 </w:t>
            </w:r>
            <w:r>
              <w:rPr>
                <w:color w:val="auto"/>
                <w:sz w:val="21"/>
                <w:highlight w:val="none"/>
              </w:rPr>
              <w:t>项的情形；</w:t>
            </w:r>
          </w:p>
          <w:p>
            <w:pPr>
              <w:pStyle w:val="31"/>
              <w:spacing w:before="132"/>
              <w:ind w:left="117"/>
              <w:jc w:val="both"/>
              <w:rPr>
                <w:color w:val="auto"/>
                <w:sz w:val="21"/>
                <w:highlight w:val="none"/>
              </w:rPr>
            </w:pPr>
            <w:r>
              <w:rPr>
                <w:rFonts w:ascii="Arial" w:eastAsia="Arial"/>
                <w:color w:val="auto"/>
                <w:sz w:val="21"/>
                <w:highlight w:val="none"/>
              </w:rPr>
              <w:t>2</w:t>
            </w:r>
            <w:r>
              <w:rPr>
                <w:color w:val="auto"/>
                <w:sz w:val="21"/>
                <w:highlight w:val="none"/>
              </w:rPr>
              <w:t>、自</w:t>
            </w:r>
            <w:r>
              <w:rPr>
                <w:rFonts w:hint="eastAsia" w:ascii="Arial"/>
                <w:color w:val="auto"/>
                <w:sz w:val="21"/>
                <w:highlight w:val="none"/>
                <w:lang w:eastAsia="zh-CN"/>
              </w:rPr>
              <w:t>20</w:t>
            </w:r>
            <w:r>
              <w:rPr>
                <w:rFonts w:hint="eastAsia" w:ascii="Arial"/>
                <w:color w:val="auto"/>
                <w:sz w:val="21"/>
                <w:highlight w:val="none"/>
                <w:lang w:val="en-US" w:eastAsia="zh-CN"/>
              </w:rPr>
              <w:t>20</w:t>
            </w:r>
            <w:r>
              <w:rPr>
                <w:rFonts w:hint="eastAsia" w:ascii="Arial"/>
                <w:color w:val="auto"/>
                <w:sz w:val="21"/>
                <w:highlight w:val="none"/>
                <w:lang w:eastAsia="zh-CN"/>
              </w:rPr>
              <w:t>年7月1日</w:t>
            </w:r>
            <w:r>
              <w:rPr>
                <w:color w:val="auto"/>
                <w:sz w:val="21"/>
                <w:highlight w:val="none"/>
              </w:rPr>
              <w:t>以来，投标人无行贿犯罪行为。</w:t>
            </w:r>
          </w:p>
        </w:tc>
      </w:tr>
    </w:tbl>
    <w:p>
      <w:pPr>
        <w:pStyle w:val="2"/>
        <w:spacing w:before="80"/>
        <w:rPr>
          <w:color w:val="auto"/>
          <w:highlight w:val="none"/>
        </w:rPr>
      </w:pPr>
      <w:r>
        <w:rPr>
          <w:color w:val="auto"/>
          <w:highlight w:val="none"/>
        </w:rPr>
        <w:t>注：投标人有行贿犯罪行为的认定：以中国裁判文书网上查询结果为准，时间以法院判决书日期为准。</w:t>
      </w:r>
    </w:p>
    <w:p>
      <w:pPr>
        <w:spacing w:line="320" w:lineRule="exact"/>
        <w:ind w:firstLine="440" w:firstLineChars="200"/>
        <w:rPr>
          <w:rFonts w:hint="eastAsia"/>
          <w:color w:val="auto"/>
          <w:szCs w:val="21"/>
          <w:highlight w:val="none"/>
        </w:rPr>
      </w:pPr>
    </w:p>
    <w:p>
      <w:pPr>
        <w:spacing w:line="320" w:lineRule="exact"/>
        <w:ind w:firstLine="440" w:firstLineChars="200"/>
        <w:rPr>
          <w:rFonts w:hint="eastAsia"/>
          <w:color w:val="auto"/>
          <w:szCs w:val="21"/>
          <w:highlight w:val="none"/>
        </w:rPr>
      </w:pPr>
    </w:p>
    <w:p>
      <w:pPr>
        <w:spacing w:line="320" w:lineRule="exact"/>
        <w:ind w:firstLine="440" w:firstLineChars="200"/>
        <w:rPr>
          <w:rFonts w:hint="eastAsia"/>
          <w:color w:val="auto"/>
          <w:szCs w:val="21"/>
          <w:highlight w:val="none"/>
        </w:rPr>
      </w:pPr>
    </w:p>
    <w:p>
      <w:pPr>
        <w:spacing w:line="320" w:lineRule="exact"/>
        <w:ind w:firstLine="440" w:firstLineChars="200"/>
        <w:rPr>
          <w:rFonts w:hint="eastAsia"/>
          <w:color w:val="auto"/>
          <w:szCs w:val="21"/>
          <w:highlight w:val="none"/>
        </w:rPr>
      </w:pPr>
    </w:p>
    <w:p>
      <w:pPr>
        <w:spacing w:line="320" w:lineRule="exact"/>
        <w:ind w:firstLine="440" w:firstLineChars="200"/>
        <w:rPr>
          <w:rFonts w:hint="eastAsia"/>
          <w:color w:val="auto"/>
          <w:szCs w:val="21"/>
          <w:highlight w:val="none"/>
        </w:rPr>
      </w:pPr>
    </w:p>
    <w:p>
      <w:pPr>
        <w:pStyle w:val="2"/>
        <w:rPr>
          <w:rFonts w:hint="eastAsia"/>
          <w:color w:val="auto"/>
          <w:szCs w:val="21"/>
          <w:highlight w:val="none"/>
        </w:rPr>
      </w:pPr>
    </w:p>
    <w:p>
      <w:pPr>
        <w:pStyle w:val="3"/>
        <w:rPr>
          <w:rFonts w:hint="eastAsia"/>
          <w:color w:val="auto"/>
          <w:szCs w:val="21"/>
          <w:highlight w:val="none"/>
        </w:rPr>
      </w:pPr>
    </w:p>
    <w:p>
      <w:pPr>
        <w:pStyle w:val="4"/>
        <w:rPr>
          <w:rFonts w:hint="eastAsia"/>
          <w:color w:val="auto"/>
          <w:szCs w:val="21"/>
          <w:highlight w:val="none"/>
        </w:rPr>
      </w:pPr>
    </w:p>
    <w:p>
      <w:pPr>
        <w:rPr>
          <w:rFonts w:hint="eastAsia"/>
          <w:color w:val="auto"/>
          <w:szCs w:val="21"/>
          <w:highlight w:val="none"/>
        </w:rPr>
      </w:pPr>
    </w:p>
    <w:p>
      <w:pPr>
        <w:pStyle w:val="2"/>
        <w:rPr>
          <w:rFonts w:hint="eastAsia"/>
          <w:color w:val="auto"/>
          <w:szCs w:val="21"/>
          <w:highlight w:val="none"/>
        </w:rPr>
      </w:pPr>
    </w:p>
    <w:p>
      <w:pPr>
        <w:pStyle w:val="3"/>
        <w:rPr>
          <w:rFonts w:hint="eastAsia"/>
          <w:color w:val="auto"/>
          <w:szCs w:val="21"/>
          <w:highlight w:val="none"/>
        </w:rPr>
      </w:pPr>
    </w:p>
    <w:p>
      <w:pPr>
        <w:pStyle w:val="4"/>
        <w:rPr>
          <w:rFonts w:hint="eastAsia"/>
          <w:color w:val="auto"/>
          <w:szCs w:val="21"/>
          <w:highlight w:val="none"/>
        </w:rPr>
      </w:pPr>
    </w:p>
    <w:p>
      <w:pPr>
        <w:rPr>
          <w:rFonts w:hint="eastAsia"/>
          <w:color w:val="auto"/>
          <w:szCs w:val="21"/>
          <w:highlight w:val="none"/>
        </w:rPr>
      </w:pPr>
    </w:p>
    <w:p>
      <w:pPr>
        <w:pStyle w:val="2"/>
        <w:rPr>
          <w:rFonts w:hint="eastAsia"/>
          <w:color w:val="auto"/>
          <w:szCs w:val="21"/>
          <w:highlight w:val="none"/>
        </w:rPr>
      </w:pPr>
    </w:p>
    <w:p>
      <w:pPr>
        <w:pStyle w:val="3"/>
        <w:rPr>
          <w:rFonts w:hint="eastAsia"/>
          <w:color w:val="auto"/>
          <w:szCs w:val="21"/>
          <w:highlight w:val="none"/>
        </w:rPr>
      </w:pPr>
    </w:p>
    <w:p>
      <w:pPr>
        <w:pStyle w:val="4"/>
        <w:rPr>
          <w:rFonts w:hint="eastAsia"/>
          <w:color w:val="auto"/>
          <w:szCs w:val="21"/>
          <w:highlight w:val="none"/>
        </w:rPr>
      </w:pPr>
    </w:p>
    <w:p>
      <w:pPr>
        <w:rPr>
          <w:rFonts w:hint="eastAsia"/>
          <w:color w:val="auto"/>
          <w:szCs w:val="21"/>
          <w:highlight w:val="none"/>
        </w:rPr>
      </w:pPr>
    </w:p>
    <w:p>
      <w:pPr>
        <w:pStyle w:val="2"/>
        <w:rPr>
          <w:rFonts w:hint="eastAsia"/>
          <w:color w:val="auto"/>
          <w:szCs w:val="21"/>
          <w:highlight w:val="none"/>
        </w:rPr>
      </w:pPr>
    </w:p>
    <w:p>
      <w:pPr>
        <w:pStyle w:val="3"/>
        <w:rPr>
          <w:rFonts w:hint="eastAsia"/>
          <w:color w:val="auto"/>
          <w:szCs w:val="21"/>
          <w:highlight w:val="none"/>
        </w:rPr>
      </w:pPr>
    </w:p>
    <w:p>
      <w:pPr>
        <w:pStyle w:val="4"/>
        <w:rPr>
          <w:rFonts w:hint="eastAsia"/>
          <w:color w:val="auto"/>
          <w:szCs w:val="21"/>
          <w:highlight w:val="none"/>
        </w:rPr>
      </w:pPr>
    </w:p>
    <w:p>
      <w:pPr>
        <w:rPr>
          <w:rFonts w:hint="eastAsia"/>
          <w:color w:val="auto"/>
          <w:szCs w:val="21"/>
          <w:highlight w:val="none"/>
        </w:rPr>
      </w:pPr>
    </w:p>
    <w:p>
      <w:pPr>
        <w:pStyle w:val="2"/>
        <w:rPr>
          <w:rFonts w:hint="eastAsia"/>
          <w:color w:val="auto"/>
          <w:szCs w:val="21"/>
          <w:highlight w:val="none"/>
        </w:rPr>
      </w:pPr>
    </w:p>
    <w:p>
      <w:pPr>
        <w:pStyle w:val="3"/>
        <w:rPr>
          <w:rFonts w:hint="eastAsia"/>
          <w:color w:val="auto"/>
          <w:szCs w:val="21"/>
          <w:highlight w:val="none"/>
        </w:rPr>
      </w:pPr>
    </w:p>
    <w:p>
      <w:pPr>
        <w:pStyle w:val="4"/>
        <w:rPr>
          <w:rFonts w:hint="eastAsia"/>
          <w:color w:val="auto"/>
          <w:szCs w:val="21"/>
          <w:highlight w:val="none"/>
        </w:rPr>
      </w:pPr>
    </w:p>
    <w:p>
      <w:pPr>
        <w:rPr>
          <w:rFonts w:hint="eastAsia"/>
          <w:color w:val="auto"/>
          <w:szCs w:val="21"/>
          <w:highlight w:val="none"/>
        </w:rPr>
      </w:pPr>
    </w:p>
    <w:p>
      <w:pPr>
        <w:pStyle w:val="2"/>
        <w:rPr>
          <w:rFonts w:hint="eastAsia"/>
          <w:color w:val="auto"/>
          <w:szCs w:val="21"/>
          <w:highlight w:val="none"/>
        </w:rPr>
      </w:pPr>
    </w:p>
    <w:p>
      <w:pPr>
        <w:pStyle w:val="3"/>
        <w:rPr>
          <w:rFonts w:hint="eastAsia"/>
          <w:color w:val="auto"/>
          <w:szCs w:val="21"/>
          <w:highlight w:val="none"/>
        </w:rPr>
      </w:pPr>
    </w:p>
    <w:p>
      <w:pPr>
        <w:pStyle w:val="4"/>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rPr>
          <w:rFonts w:hint="eastAsia"/>
          <w:color w:val="auto"/>
          <w:highlight w:val="none"/>
        </w:rPr>
      </w:pPr>
    </w:p>
    <w:p>
      <w:pPr>
        <w:pStyle w:val="4"/>
        <w:rPr>
          <w:rFonts w:hint="eastAsia"/>
          <w:color w:val="auto"/>
          <w:highlight w:val="none"/>
        </w:rPr>
      </w:pPr>
    </w:p>
    <w:p>
      <w:pPr>
        <w:spacing w:line="320" w:lineRule="exact"/>
        <w:ind w:firstLine="440" w:firstLineChars="200"/>
        <w:rPr>
          <w:rFonts w:hint="eastAsia"/>
          <w:color w:val="auto"/>
          <w:szCs w:val="21"/>
          <w:highlight w:val="none"/>
        </w:rPr>
      </w:pPr>
    </w:p>
    <w:p>
      <w:pPr>
        <w:pStyle w:val="6"/>
        <w:spacing w:before="100" w:after="100"/>
        <w:jc w:val="left"/>
        <w:outlineLvl w:val="1"/>
        <w:rPr>
          <w:rFonts w:hint="eastAsia" w:asciiTheme="majorEastAsia" w:hAnsiTheme="majorEastAsia" w:eastAsiaTheme="majorEastAsia" w:cstheme="majorEastAsia"/>
          <w:b/>
          <w:bCs/>
          <w:color w:val="auto"/>
          <w:sz w:val="28"/>
          <w:szCs w:val="28"/>
          <w:highlight w:val="none"/>
        </w:rPr>
      </w:pPr>
      <w:bookmarkStart w:id="53" w:name="_Toc298136591"/>
      <w:bookmarkStart w:id="54" w:name="_Toc16739"/>
      <w:bookmarkStart w:id="55" w:name="_Toc20004"/>
      <w:r>
        <w:rPr>
          <w:rFonts w:hint="eastAsia" w:asciiTheme="majorEastAsia" w:hAnsiTheme="majorEastAsia" w:eastAsiaTheme="majorEastAsia" w:cstheme="majorEastAsia"/>
          <w:b/>
          <w:bCs/>
          <w:color w:val="auto"/>
          <w:sz w:val="28"/>
          <w:szCs w:val="28"/>
          <w:highlight w:val="none"/>
        </w:rPr>
        <w:t>1. 总则</w:t>
      </w:r>
      <w:bookmarkEnd w:id="53"/>
      <w:bookmarkEnd w:id="54"/>
      <w:bookmarkEnd w:id="55"/>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56" w:name="_Toc27381"/>
      <w:r>
        <w:rPr>
          <w:rFonts w:hint="eastAsia" w:asciiTheme="majorEastAsia" w:hAnsiTheme="majorEastAsia" w:eastAsiaTheme="majorEastAsia" w:cstheme="majorEastAsia"/>
          <w:color w:val="auto"/>
          <w:sz w:val="21"/>
          <w:szCs w:val="21"/>
          <w:highlight w:val="none"/>
        </w:rPr>
        <w:t>1.1 项目概况</w:t>
      </w:r>
      <w:bookmarkEnd w:id="56"/>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1.1.1 根据《中华人民共和国招标投标法》等有关法律、法规和规章的规定，本招标项目已经具备招标条件，现对本标段勘察设计进行招标。</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1.1.2 本招标项目招标人、招标代理机构、项目名称及建设地点：见“投标人须知前附表”。</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57" w:name="_Toc9970"/>
      <w:r>
        <w:rPr>
          <w:rFonts w:hint="eastAsia" w:asciiTheme="majorEastAsia" w:hAnsiTheme="majorEastAsia" w:eastAsiaTheme="majorEastAsia" w:cstheme="majorEastAsia"/>
          <w:color w:val="auto"/>
          <w:sz w:val="21"/>
          <w:szCs w:val="21"/>
          <w:highlight w:val="none"/>
        </w:rPr>
        <w:t>1.2 资金来源和落实情况</w:t>
      </w:r>
      <w:bookmarkEnd w:id="57"/>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本招标项目的资金来源、出资比例及资金落实情况：见“投标人须知前附表”。</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58" w:name="_Toc16927"/>
      <w:r>
        <w:rPr>
          <w:rFonts w:hint="eastAsia" w:asciiTheme="majorEastAsia" w:hAnsiTheme="majorEastAsia" w:eastAsiaTheme="majorEastAsia" w:cstheme="majorEastAsia"/>
          <w:color w:val="auto"/>
          <w:sz w:val="21"/>
          <w:szCs w:val="21"/>
          <w:highlight w:val="none"/>
        </w:rPr>
        <w:t>1.3 招标范围和服务周期</w:t>
      </w:r>
      <w:bookmarkEnd w:id="58"/>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本次招标范围及服务周期：见“投标人须知前附表”。</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59" w:name="_Toc12253"/>
      <w:r>
        <w:rPr>
          <w:rFonts w:hint="eastAsia" w:asciiTheme="majorEastAsia" w:hAnsiTheme="majorEastAsia" w:eastAsiaTheme="majorEastAsia" w:cstheme="majorEastAsia"/>
          <w:color w:val="auto"/>
          <w:sz w:val="21"/>
          <w:szCs w:val="21"/>
          <w:highlight w:val="none"/>
        </w:rPr>
        <w:t>1.4 投标人资格要求</w:t>
      </w:r>
      <w:bookmarkEnd w:id="59"/>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1.4.1 本招标项目对投标人资质条件、业绩、人员、信誉的要求见“投标人须知前附表”。</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1.4.2 “投标人须知前附表”规定接受联合体投标的，除应符合本章第1.4.1 项和“投标人须知前附表”的要求外，还应遵守以下规定：</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（1）联合体各方应按招标文件提供的格式签订联合体协议书，明确联合体牵头人和各方权利义务；</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（2）由同一专业的单位组成的联合体，按照资质等级较低的单位确定资质等级；</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（3）联合体各方不得再以自己名义单独或参加其他联合体在同一标段中投标，否则，相关投标文件均作否决投标处理；</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（5）尽管委任了联合体牵头人，但联合体各成员在投标、签约与履行合同过程中，仍负有连带的和各自的法律责任。</w:t>
      </w:r>
    </w:p>
    <w:p>
      <w:pPr>
        <w:spacing w:line="360" w:lineRule="auto"/>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1.4.3 投标人不得存在下列情形之一：</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（1）为招标人不具有独立法人资格的附属机构（单位）；</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（2）为本招标项目的代建人；</w:t>
      </w:r>
    </w:p>
    <w:p>
      <w:pPr>
        <w:tabs>
          <w:tab w:val="left" w:pos="525"/>
        </w:tabs>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（3）为本招标项目提供招标代理服务的；</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（4）与本招标项目的代建人或招标代理机构同为一个法定代表人的；</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（5）与本招标项目的代建人或招标代理机构相互控股或参股的；</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（6）与本招标项目的代建人或招标代理机构相互任职或工作的；</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（7）被责令停业的；</w:t>
      </w:r>
    </w:p>
    <w:p>
      <w:pPr>
        <w:tabs>
          <w:tab w:val="left" w:pos="420"/>
          <w:tab w:val="left" w:pos="630"/>
        </w:tabs>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（8）财产被接管或冻结的；</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（9）经评标委员会认定会对承担本招标项目造成重大影响的正在诉讼的案件；</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（10）被省级及以上交通运输主管部门取消项目所在地的投标资格或禁止进入该区域公路建设市场且处罚期未满的；</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（11）为投资参股本招标项目的法人单位。</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1.4.4 投标人不得存在下列不良状况或不良信用记录：</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（1）暂扣或吊销执照，或吊销资质证书；</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（2）进入清算程序，或被宣告破产，或其他丧失履约能力的情形；</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（3）在全国企业信用信息公示系统（http://www.gsxt.gov.cn/）中被列入严重违法失信企业名单；</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（4）在“信用中国”网站（http://www.creditchina.gov.cn/）中被列入失信被执行人名单；</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（5）投标人或拟委任的项目负责人在近三年内有行贿犯罪行为的（行贿犯罪行为认定以中国裁判文书网查询结果为准，时间以法院判决书判决时间为准）；</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（6）法律法规或投标人须知前附表规定的其他情形。</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60" w:name="_Toc25282"/>
      <w:r>
        <w:rPr>
          <w:rFonts w:hint="eastAsia" w:asciiTheme="majorEastAsia" w:hAnsiTheme="majorEastAsia" w:eastAsiaTheme="majorEastAsia" w:cstheme="majorEastAsia"/>
          <w:color w:val="auto"/>
          <w:sz w:val="21"/>
          <w:szCs w:val="21"/>
          <w:highlight w:val="none"/>
        </w:rPr>
        <w:t>1.5 费用承担</w:t>
      </w:r>
      <w:bookmarkEnd w:id="60"/>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投标人准备和参加投标活动发生的所有费用自理。</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61" w:name="_Toc26599"/>
      <w:r>
        <w:rPr>
          <w:rFonts w:hint="eastAsia" w:asciiTheme="majorEastAsia" w:hAnsiTheme="majorEastAsia" w:eastAsiaTheme="majorEastAsia" w:cstheme="majorEastAsia"/>
          <w:color w:val="auto"/>
          <w:sz w:val="21"/>
          <w:szCs w:val="21"/>
          <w:highlight w:val="none"/>
        </w:rPr>
        <w:t>1.6 保密</w:t>
      </w:r>
      <w:bookmarkEnd w:id="61"/>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参与招标投标活动的各方应对招标文件和投标文件中的商业和技术等秘密保密，违者应对由此造成的后果承担法律责任。</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62" w:name="_Toc2156"/>
      <w:r>
        <w:rPr>
          <w:rFonts w:hint="eastAsia" w:asciiTheme="majorEastAsia" w:hAnsiTheme="majorEastAsia" w:eastAsiaTheme="majorEastAsia" w:cstheme="majorEastAsia"/>
          <w:color w:val="auto"/>
          <w:sz w:val="21"/>
          <w:szCs w:val="21"/>
          <w:highlight w:val="none"/>
        </w:rPr>
        <w:t>1.7 语言文字</w:t>
      </w:r>
      <w:bookmarkEnd w:id="62"/>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除专用术语外，与招标投标有关的语言均使用中文。必要时专用术语应附有中文注释。</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63" w:name="_Toc15021"/>
      <w:r>
        <w:rPr>
          <w:rFonts w:hint="eastAsia" w:asciiTheme="majorEastAsia" w:hAnsiTheme="majorEastAsia" w:eastAsiaTheme="majorEastAsia" w:cstheme="majorEastAsia"/>
          <w:color w:val="auto"/>
          <w:sz w:val="21"/>
          <w:szCs w:val="21"/>
          <w:highlight w:val="none"/>
        </w:rPr>
        <w:t>1.8 计量单位</w:t>
      </w:r>
      <w:bookmarkEnd w:id="63"/>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所有计量均采用中华人民共和国法定计量单位。</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64" w:name="_Toc15722"/>
      <w:r>
        <w:rPr>
          <w:rFonts w:hint="eastAsia" w:asciiTheme="majorEastAsia" w:hAnsiTheme="majorEastAsia" w:eastAsiaTheme="majorEastAsia" w:cstheme="majorEastAsia"/>
          <w:color w:val="auto"/>
          <w:sz w:val="21"/>
          <w:szCs w:val="21"/>
          <w:highlight w:val="none"/>
        </w:rPr>
        <w:t>1.9 踏勘现场</w:t>
      </w:r>
      <w:bookmarkEnd w:id="64"/>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1.9.1 “投标人须知前附表”规定组织踏勘现场的，招标人按“投标人须知前附表”规定的时间、地点组织投标人踏勘项目现场。</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1.9.2 投标人踏勘现场发生的费用自理。</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1.9.3 除招标人的原因外，投标人自行负责在踏勘现场中所发生的人员伤亡和财产损失。</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1.9.4 招标人在踏勘现场中介绍的工程场地和相关的周边环境情况，供投标人在编制投标文件时参考，招标人不对投标人据此作出的判断和决策负责。</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65" w:name="_Toc10726"/>
      <w:r>
        <w:rPr>
          <w:rFonts w:hint="eastAsia" w:asciiTheme="majorEastAsia" w:hAnsiTheme="majorEastAsia" w:eastAsiaTheme="majorEastAsia" w:cstheme="majorEastAsia"/>
          <w:color w:val="auto"/>
          <w:sz w:val="21"/>
          <w:szCs w:val="21"/>
          <w:highlight w:val="none"/>
        </w:rPr>
        <w:t>1.10 投标预备会</w:t>
      </w:r>
      <w:bookmarkEnd w:id="65"/>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1.10.1 “投标人须知前附表”规定召开投标预备会的，招标人按“投标人须知前附表”规定的时间和地点召开投标预备会，澄清投标人提出的问题。</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1.10.2 投标人应以书面形式（包括信函、电报、传真等可以有形地表现所载内容的形式，下同）将提出的问题送达招标人，以便招标人澄清。</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1.10.3 投标预备会后，招标人在投标人须知第2.2.2项规定的时间内，将对投标人所提问题的澄清，以书面方式通知所有购买招标文件的投标人。该澄清内容为招标文件的组成部分。</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66" w:name="_Toc710"/>
      <w:r>
        <w:rPr>
          <w:rFonts w:hint="eastAsia" w:asciiTheme="majorEastAsia" w:hAnsiTheme="majorEastAsia" w:eastAsiaTheme="majorEastAsia" w:cstheme="majorEastAsia"/>
          <w:color w:val="auto"/>
          <w:sz w:val="21"/>
          <w:szCs w:val="21"/>
          <w:highlight w:val="none"/>
        </w:rPr>
        <w:t>1.11 分包</w:t>
      </w:r>
      <w:bookmarkEnd w:id="66"/>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本项目严禁转包和违规分包，且不得再次分包。投标人拟在中标后将中标项目的部分非主体、非关键性工作进行分包的，应符合以下规定：</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（1）分包内容要求：允许分包的工程范围仅限于工程设计中跨专业或者有特殊要求的勘察设计工作，且必须经发包人同意和批准。</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（2）分包人的资格要求：拟定的分包人应具有相应的资质，其资格能力应与其分包工程的标准和规模相适应。</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（3）其他要求：投标人应将拟定的分包计划，按第六章“投标文件格式”的要求填写“拟分包项目情况表”并提供相关证件的复印件（如有分包），且投标人中标后的分包应满足合同条款第3.6款的相关要求。</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67" w:name="_Toc26590"/>
      <w:r>
        <w:rPr>
          <w:rFonts w:hint="eastAsia" w:asciiTheme="majorEastAsia" w:hAnsiTheme="majorEastAsia" w:eastAsiaTheme="majorEastAsia" w:cstheme="majorEastAsia"/>
          <w:color w:val="auto"/>
          <w:sz w:val="21"/>
          <w:szCs w:val="21"/>
          <w:highlight w:val="none"/>
        </w:rPr>
        <w:t>1.12 偏差</w:t>
      </w:r>
      <w:bookmarkEnd w:id="67"/>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偏差分重大偏差和细微偏差。</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1.12.1 投标文件不符合第三章“评标办法”所列的资格审查和初步评审标准以及按照第三章“评标办法”规定对投标价进行算术性错误修正后，最终投标报价超过最高投标限价（如有）的，属于重大偏差，视为未能对招标文件作出实质性响应，按否决投标处理。</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1.12.2 投标文件中的下列偏差为细微偏差：</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（1）在按照第三章“评标办法”的规定对投标价进行算术性错误修正后，最终投标报价未超过最高投标限价（如有）的情况下，出现第三章“评标办法”所列的投标报价的算术性错误；</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（2）技术建议书不够完善。</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1.12.3 评标委员会对投标文件中的细微偏差按如下规定处理：</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（1）对于本章第1.12.2 项（1）目所述的细微偏差，按照第三章“评标办法”第2.8 款的规定予以修正并要求投标人进行澄清；</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（2）对于本章第1.12.2 项（2）目所述的细微偏差，评标委员会可在相关评审因素的评分中酌情扣分，但最多不得超过各评审因素满分分值的40%。</w:t>
      </w:r>
    </w:p>
    <w:p>
      <w:pPr>
        <w:pStyle w:val="6"/>
        <w:spacing w:before="100" w:after="100"/>
        <w:jc w:val="left"/>
        <w:outlineLvl w:val="1"/>
        <w:rPr>
          <w:rFonts w:hint="eastAsia" w:asciiTheme="majorEastAsia" w:hAnsiTheme="majorEastAsia" w:eastAsiaTheme="majorEastAsia" w:cstheme="majorEastAsia"/>
          <w:b/>
          <w:bCs/>
          <w:color w:val="auto"/>
          <w:sz w:val="28"/>
          <w:szCs w:val="28"/>
          <w:highlight w:val="none"/>
        </w:rPr>
      </w:pPr>
      <w:bookmarkStart w:id="68" w:name="_Toc6210"/>
      <w:bookmarkStart w:id="69" w:name="_Toc298136592"/>
      <w:bookmarkStart w:id="70" w:name="_Toc18784"/>
      <w:r>
        <w:rPr>
          <w:rFonts w:hint="eastAsia" w:asciiTheme="majorEastAsia" w:hAnsiTheme="majorEastAsia" w:eastAsiaTheme="majorEastAsia" w:cstheme="majorEastAsia"/>
          <w:b/>
          <w:bCs/>
          <w:color w:val="auto"/>
          <w:sz w:val="28"/>
          <w:szCs w:val="28"/>
          <w:highlight w:val="none"/>
        </w:rPr>
        <w:t>2. 招标文件</w:t>
      </w:r>
      <w:bookmarkEnd w:id="68"/>
      <w:bookmarkEnd w:id="69"/>
      <w:bookmarkEnd w:id="70"/>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71" w:name="_Toc4780"/>
      <w:r>
        <w:rPr>
          <w:rFonts w:hint="eastAsia" w:asciiTheme="majorEastAsia" w:hAnsiTheme="majorEastAsia" w:eastAsiaTheme="majorEastAsia" w:cstheme="majorEastAsia"/>
          <w:color w:val="auto"/>
          <w:sz w:val="21"/>
          <w:szCs w:val="21"/>
          <w:highlight w:val="none"/>
        </w:rPr>
        <w:t>2.1 招标文件的构成</w:t>
      </w:r>
      <w:bookmarkEnd w:id="71"/>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本招标文件包括：</w:t>
      </w:r>
    </w:p>
    <w:p>
      <w:pPr>
        <w:tabs>
          <w:tab w:val="left" w:pos="525"/>
        </w:tabs>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（1）招标公告；</w:t>
      </w:r>
    </w:p>
    <w:p>
      <w:pPr>
        <w:tabs>
          <w:tab w:val="left" w:pos="735"/>
        </w:tabs>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（2）投标人须知；</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（3）评标办法；</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（4）合同条款及格式；</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（5）技术要求；</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（6）投标文件格式；</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（7）“投标人须知前附表”规定的其他材料。</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根据本章第1.10 款、第2.2 款和第2.3 款对招标文件所作的澄清、修改，统称为“补遗书”，构成招标文件的组成部分。</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当招标文件、招标文件的澄清或修改等在同一内容的表述上不一致时，以最后发出的书面文件为准</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72" w:name="_Toc19652"/>
      <w:r>
        <w:rPr>
          <w:rFonts w:hint="eastAsia" w:asciiTheme="majorEastAsia" w:hAnsiTheme="majorEastAsia" w:eastAsiaTheme="majorEastAsia" w:cstheme="majorEastAsia"/>
          <w:color w:val="auto"/>
          <w:sz w:val="21"/>
          <w:szCs w:val="21"/>
          <w:highlight w:val="none"/>
        </w:rPr>
        <w:t>2.2 招标文件的澄清</w:t>
      </w:r>
      <w:bookmarkEnd w:id="72"/>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2.2.1 投标人应仔细阅读和检查招标文件的全部内容。如发现缺页或附件不全，应及时向招标人提出，以便补齐。如有疑问，应以书面形式要求招标人对招标文件予以澄清。</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2.2.2 招标文件的澄清将在“投标人须知前附表”规定的投标截止时间15天前以书面形式发给所有购买招标文件的投标人，但不指明澄清问题的来源。如果澄清发出的时间距投标截止时间不足15 天，相应延长投标截止时间。招标人有责任保证所有购买招标文件的投标人收到招标文件的澄清。</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2.2.3 投标人收到澄清后，应在“投标人须知前附表”规定的时间内以书面形式通知招标人，确认已收到该澄清。</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73" w:name="_Toc32309"/>
      <w:r>
        <w:rPr>
          <w:rFonts w:hint="eastAsia" w:asciiTheme="majorEastAsia" w:hAnsiTheme="majorEastAsia" w:eastAsiaTheme="majorEastAsia" w:cstheme="majorEastAsia"/>
          <w:color w:val="auto"/>
          <w:sz w:val="21"/>
          <w:szCs w:val="21"/>
          <w:highlight w:val="none"/>
        </w:rPr>
        <w:t>2.3 招标文件的修改</w:t>
      </w:r>
      <w:bookmarkEnd w:id="73"/>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2.3.1 在投标截止时间前15 天，招标人可以书面形式修改招标文件，并通知所有已购买招标文件的投标人。如果修改招标文件的时间距投标截止时间不足15 天，相应延长投标截止时间。招标人有责任保证所有购买招标文件的投标人收到招标文件的修改。</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2.3.2 投标人收到修改内容后，应在投标人须知前附表规定的时间内以书面形式通知招标人，确认已收到该修改。</w:t>
      </w:r>
    </w:p>
    <w:p>
      <w:pPr>
        <w:pStyle w:val="6"/>
        <w:spacing w:before="100" w:after="100"/>
        <w:jc w:val="left"/>
        <w:outlineLvl w:val="1"/>
        <w:rPr>
          <w:rFonts w:hint="eastAsia" w:asciiTheme="majorEastAsia" w:hAnsiTheme="majorEastAsia" w:eastAsiaTheme="majorEastAsia" w:cstheme="majorEastAsia"/>
          <w:b/>
          <w:bCs/>
          <w:color w:val="auto"/>
          <w:sz w:val="28"/>
          <w:szCs w:val="28"/>
          <w:highlight w:val="none"/>
        </w:rPr>
      </w:pPr>
      <w:bookmarkStart w:id="74" w:name="_Toc14084"/>
      <w:bookmarkStart w:id="75" w:name="_Toc298136593"/>
      <w:bookmarkStart w:id="76" w:name="_Toc9636"/>
      <w:r>
        <w:rPr>
          <w:rFonts w:hint="eastAsia" w:asciiTheme="majorEastAsia" w:hAnsiTheme="majorEastAsia" w:eastAsiaTheme="majorEastAsia" w:cstheme="majorEastAsia"/>
          <w:b/>
          <w:bCs/>
          <w:color w:val="auto"/>
          <w:sz w:val="28"/>
          <w:szCs w:val="28"/>
          <w:highlight w:val="none"/>
        </w:rPr>
        <w:t>3. 投标文件</w:t>
      </w:r>
      <w:bookmarkEnd w:id="74"/>
      <w:bookmarkEnd w:id="75"/>
      <w:bookmarkEnd w:id="76"/>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77" w:name="_Toc11073"/>
      <w:r>
        <w:rPr>
          <w:rFonts w:hint="eastAsia" w:asciiTheme="majorEastAsia" w:hAnsiTheme="majorEastAsia" w:eastAsiaTheme="majorEastAsia" w:cstheme="majorEastAsia"/>
          <w:color w:val="auto"/>
          <w:sz w:val="21"/>
          <w:szCs w:val="21"/>
          <w:highlight w:val="none"/>
        </w:rPr>
        <w:t>3.1 投标文件的构成</w:t>
      </w:r>
      <w:bookmarkEnd w:id="77"/>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3.1.1 投标文件采用的形式见“投标人须知前附表”。</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3.1.2投标文件构成如下：</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第一信封（商务及技术文件）</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第一卷 商务文件</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（1）投标函；</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（2）法定代表人身份证明或法定代表人的授权委托书；</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（3）联合体协议书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rPr>
        <w:t>如有</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rPr>
        <w:t>；</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（4）投标保证金；</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（5）拟分包项目情况表；</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（6）资格审查表；</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（7）其他材料。</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第二卷 技术文件</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（8）技术建议书。</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第二信封（报价文件）</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第三卷 报价清单</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1</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rPr>
        <w:t>报价函；</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2</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rPr>
        <w:t>报价清单表。</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3.1.4 “投标人须知前附表”规定不接受联合体投标的，或投标人没有组成联合体的，投标文件不包括本章第3.1.2（3）目或3.1.3（3）目所指的联合体协议书。</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78" w:name="_Toc22812"/>
      <w:r>
        <w:rPr>
          <w:rFonts w:hint="eastAsia" w:asciiTheme="majorEastAsia" w:hAnsiTheme="majorEastAsia" w:eastAsiaTheme="majorEastAsia" w:cstheme="majorEastAsia"/>
          <w:color w:val="auto"/>
          <w:sz w:val="21"/>
          <w:szCs w:val="21"/>
          <w:highlight w:val="none"/>
        </w:rPr>
        <w:t>3.2 投标报价</w:t>
      </w:r>
      <w:bookmarkEnd w:id="78"/>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3.2.1 投标人应根据《工程勘察设计收费标准》的相关规定以及本招标文件规定的勘察设计工作内容和计划工作量，自行测算勘察设计费用。</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3.2.2 若采用综合评估法Ⅰ，则投标人应按第六章“投标文件格式”中的“报价文件”的要求填写相应表格。招标人设有最高投标限价的，应在“投标人须知前附表”中明确；同时，本项目投标人的投标报价不得高于招标人公布的最高投标限价（如有），否则作否决投标处理。</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3.2.3 若采用综合评估法Ⅱ，招标人将在“投标人须知前附表”中公布本项目的固定勘察设计费。投标人应按招标人公布的固定勘察设计费在投标函中填报；投标人未按固定勘察设计费填报的，作废标处理。</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79" w:name="_Toc15397"/>
      <w:r>
        <w:rPr>
          <w:rFonts w:hint="eastAsia" w:asciiTheme="majorEastAsia" w:hAnsiTheme="majorEastAsia" w:eastAsiaTheme="majorEastAsia" w:cstheme="majorEastAsia"/>
          <w:color w:val="auto"/>
          <w:sz w:val="21"/>
          <w:szCs w:val="21"/>
          <w:highlight w:val="none"/>
        </w:rPr>
        <w:t>3.3 投标有效期</w:t>
      </w:r>
      <w:bookmarkEnd w:id="79"/>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3.3.1 在“投标人须知前附表”规定的投标有效期内，投标人不得要求撤销或修改其投标文件。</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80" w:name="_Toc4911"/>
      <w:r>
        <w:rPr>
          <w:rFonts w:hint="eastAsia" w:asciiTheme="majorEastAsia" w:hAnsiTheme="majorEastAsia" w:eastAsiaTheme="majorEastAsia" w:cstheme="majorEastAsia"/>
          <w:color w:val="auto"/>
          <w:sz w:val="21"/>
          <w:szCs w:val="21"/>
          <w:highlight w:val="none"/>
        </w:rPr>
        <w:t>3.4 投标保证金</w:t>
      </w:r>
      <w:bookmarkEnd w:id="80"/>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3.4.1 投标人在递交投标文件的同时，应按投“标人须知前附表”规定的金额、担保形式和第六章“投标文件格式”规定的投标保证金格式递交投标保证金，并作为其投标文件的组成部分。联合体投标的，其投标保证金由牵头人递交，并应符合“投标人须知前附表”的规定。</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投标保证金必须选择下列任一种形式：电汇、银行保函或招标人规定的其他形式。</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r>
        <w:rPr>
          <w:rFonts w:hint="eastAsia" w:asciiTheme="majorEastAsia" w:hAnsiTheme="majorEastAsia" w:eastAsiaTheme="majorEastAsia" w:cstheme="majorEastAsia"/>
          <w:b/>
          <w:color w:val="auto"/>
          <w:sz w:val="21"/>
          <w:szCs w:val="21"/>
          <w:highlight w:val="none"/>
        </w:rPr>
        <w:t>若采用电汇</w:t>
      </w:r>
      <w:r>
        <w:rPr>
          <w:rFonts w:hint="eastAsia" w:asciiTheme="majorEastAsia" w:hAnsiTheme="majorEastAsia" w:eastAsiaTheme="majorEastAsia" w:cstheme="majorEastAsia"/>
          <w:color w:val="auto"/>
          <w:sz w:val="21"/>
          <w:szCs w:val="21"/>
          <w:highlight w:val="none"/>
        </w:rPr>
        <w:t>，投标人应在“投标人须知前附表”规定的投标保证金递交截止时间之前，将投标保证金由投标人的基本账户一次性汇入招标人指定账户，否则视为投标保证金无效。招标人指定的账户名称、开户银行及账号见“投标人须知前附表”。</w:t>
      </w:r>
    </w:p>
    <w:p>
      <w:pPr>
        <w:spacing w:line="360" w:lineRule="auto"/>
        <w:ind w:firstLine="275" w:firstLineChars="131"/>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w:t>
      </w:r>
      <w:r>
        <w:rPr>
          <w:rFonts w:hint="eastAsia" w:asciiTheme="majorEastAsia" w:hAnsiTheme="majorEastAsia" w:eastAsiaTheme="majorEastAsia" w:cstheme="majorEastAsia"/>
          <w:b/>
          <w:color w:val="auto"/>
          <w:sz w:val="21"/>
          <w:szCs w:val="21"/>
          <w:highlight w:val="none"/>
        </w:rPr>
        <w:t>若采用银行保函</w:t>
      </w:r>
      <w:r>
        <w:rPr>
          <w:rFonts w:hint="eastAsia" w:asciiTheme="majorEastAsia" w:hAnsiTheme="majorEastAsia" w:eastAsiaTheme="majorEastAsia" w:cstheme="majorEastAsia"/>
          <w:color w:val="auto"/>
          <w:sz w:val="21"/>
          <w:szCs w:val="21"/>
          <w:highlight w:val="none"/>
        </w:rPr>
        <w:t>，则应由投标人开立基本账户的银行开具。银行保函应采用招标文件提供的格式，银行保函原件应装订在投标文件的正本之中。</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3.4.2 投标保证金应在投标有效期满后30 天内保持有效，招标人如果按本章第3.3.2 项的规定延长了投标有效期，则投标保证金的有效期也相应延长。</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3.4.3 投标人不按本章第3.4.1项和3.4.2项要求提交投标保证金的，其投标文件作废标处理。</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3.4.4 招标人最迟应当在与中标人签订合同后5 日内，向未中标的投标人和中标人退还投标保证金。</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3.4.5 有下列情形之一的，投标保证金将不予退还：</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（1）投标人在规定的投标有效期内撤销或修改其投标文件；</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（2）中标人在收到中标通知书后，无正当理由拒签合同协议书或未按招标文件规定提交履约担保；</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（3）投标人不接受依据评标办法的规定对其投标文件中细微偏差进行澄清和补正；</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（4）投标人提交了虚假资料。</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（5）投标人存在串通投标违法行为的。</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81" w:name="_Toc31696"/>
      <w:r>
        <w:rPr>
          <w:rFonts w:hint="eastAsia" w:asciiTheme="majorEastAsia" w:hAnsiTheme="majorEastAsia" w:eastAsiaTheme="majorEastAsia" w:cstheme="majorEastAsia"/>
          <w:color w:val="auto"/>
          <w:sz w:val="21"/>
          <w:szCs w:val="21"/>
          <w:highlight w:val="none"/>
        </w:rPr>
        <w:t>3.5 资格审查表</w:t>
      </w:r>
      <w:bookmarkEnd w:id="81"/>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3.5.1 投标人须按招标文件第六章“投标文件格式”中规定的表格内容填写资格审查表，并按各资格审查表的具体要求提供相关证件及证明材料。</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3.5.2 “投标人须知前附表”规定接受联合体投标的，本章第3.5.1 项规定的表格和资料应包括联合体各方相关情况。</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3.5.3 投标人在投标文件中填报的主要人员不允许更换。</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82" w:name="_Toc28192"/>
      <w:r>
        <w:rPr>
          <w:rFonts w:hint="eastAsia" w:asciiTheme="majorEastAsia" w:hAnsiTheme="majorEastAsia" w:eastAsiaTheme="majorEastAsia" w:cstheme="majorEastAsia"/>
          <w:color w:val="auto"/>
          <w:sz w:val="21"/>
          <w:szCs w:val="21"/>
          <w:highlight w:val="none"/>
        </w:rPr>
        <w:t>3.6 投标人信息的核查</w:t>
      </w:r>
      <w:bookmarkEnd w:id="82"/>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招标人有权核查投标人在投标文件中提供的材料，若在评标期间发现投标人提供了虚假资料，招标人有权对投标人的投标文件作废标处理，并没收其投标保证金；若在评标结果公示期间发现作为中标候选人的投标人提供了虚假资料，招标人有权取消其中标资格并没收其投标保证金；若在合同实施期间发现投标人提供了虚假资料，招标人有权从合同价款或履约担保中扣除不超过5%签约合同价的金额作为违约金。同时招标人将投标人以上弄虚作假行为上报省级交通运输主管部门，作为不良记录纳入公路建设市场信用信息管理系统。</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83" w:name="_Toc29251"/>
      <w:r>
        <w:rPr>
          <w:rFonts w:hint="eastAsia" w:asciiTheme="majorEastAsia" w:hAnsiTheme="majorEastAsia" w:eastAsiaTheme="majorEastAsia" w:cstheme="majorEastAsia"/>
          <w:color w:val="auto"/>
          <w:sz w:val="21"/>
          <w:szCs w:val="21"/>
          <w:highlight w:val="none"/>
        </w:rPr>
        <w:t>3.7 投标文件的编制</w:t>
      </w:r>
      <w:bookmarkEnd w:id="83"/>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3.7.1 投标文件应按第六章“投标文件格式”进行编写，如有必要，可以增加附页，作为投标文件的组成部分。</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3.7.2 投标文件应当对招标文件有关勘察设计周期、投标有效期、技术要求、招标范围等实质性内容作出响应。</w:t>
      </w:r>
    </w:p>
    <w:p>
      <w:pPr>
        <w:spacing w:line="400" w:lineRule="exact"/>
        <w:ind w:firstLine="420" w:firstLineChars="200"/>
        <w:rPr>
          <w:rFonts w:hint="eastAsia" w:asciiTheme="majorEastAsia" w:hAnsiTheme="majorEastAsia" w:eastAsiaTheme="majorEastAsia" w:cstheme="majorEastAsia"/>
          <w:color w:val="auto"/>
          <w:sz w:val="21"/>
          <w:szCs w:val="21"/>
          <w:highlight w:val="none"/>
        </w:rPr>
      </w:pPr>
      <w:bookmarkStart w:id="84" w:name="_Toc298136594"/>
      <w:r>
        <w:rPr>
          <w:rFonts w:hint="eastAsia" w:asciiTheme="majorEastAsia" w:hAnsiTheme="majorEastAsia" w:eastAsiaTheme="majorEastAsia" w:cstheme="majorEastAsia"/>
          <w:color w:val="auto"/>
          <w:sz w:val="21"/>
          <w:szCs w:val="21"/>
          <w:highlight w:val="none"/>
        </w:rPr>
        <w:t>3.7.3投标人应在投标截止时间将电子投标文件上传至“电子交易平台”。电子投标文件签字或盖章要求见投标人须知前附表。</w:t>
      </w:r>
    </w:p>
    <w:p>
      <w:pPr>
        <w:spacing w:line="400" w:lineRule="exact"/>
        <w:ind w:firstLine="420" w:firstLineChars="2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以联合体形式参与投标的，投标文件由联合体牵头人按上述规定加盖联合体牵头人法定代表人电子章、联合体牵头人单位电子公章。</w:t>
      </w:r>
    </w:p>
    <w:p>
      <w:pPr>
        <w:pStyle w:val="33"/>
        <w:spacing w:line="360" w:lineRule="auto"/>
        <w:ind w:firstLine="420" w:firstLineChars="2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3.7.4投标人在投标截止时间上传至“电子交易平台”的电子投标文件为投标文件的正本，是否需要提供纸质投标文件副本及副本份数见投标人须知前附表。</w:t>
      </w:r>
    </w:p>
    <w:p>
      <w:pPr>
        <w:pStyle w:val="33"/>
        <w:spacing w:line="360" w:lineRule="auto"/>
        <w:ind w:firstLine="420" w:firstLineChars="2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3.7.5若投标人须知第3.7.4项要求提供纸质投标文件的，纸质投标文件应装订成册（A4纸幅），投标文件不得采用活页夹装订，否则，招标人对于由于投标文件装订松散而造成的丢失或其他后果不负担任何责任。</w:t>
      </w:r>
    </w:p>
    <w:p>
      <w:pPr>
        <w:pStyle w:val="6"/>
        <w:spacing w:before="100" w:after="100"/>
        <w:jc w:val="left"/>
        <w:outlineLvl w:val="1"/>
        <w:rPr>
          <w:rFonts w:hint="eastAsia" w:asciiTheme="majorEastAsia" w:hAnsiTheme="majorEastAsia" w:eastAsiaTheme="majorEastAsia" w:cstheme="majorEastAsia"/>
          <w:b/>
          <w:bCs/>
          <w:color w:val="auto"/>
          <w:sz w:val="28"/>
          <w:szCs w:val="28"/>
          <w:highlight w:val="none"/>
        </w:rPr>
      </w:pPr>
      <w:bookmarkStart w:id="85" w:name="_Toc721"/>
      <w:bookmarkStart w:id="86" w:name="_Toc30097"/>
      <w:r>
        <w:rPr>
          <w:rFonts w:hint="eastAsia" w:asciiTheme="majorEastAsia" w:hAnsiTheme="majorEastAsia" w:eastAsiaTheme="majorEastAsia" w:cstheme="majorEastAsia"/>
          <w:b/>
          <w:bCs/>
          <w:color w:val="auto"/>
          <w:sz w:val="28"/>
          <w:szCs w:val="28"/>
          <w:highlight w:val="none"/>
        </w:rPr>
        <w:t>4. 投标</w:t>
      </w:r>
      <w:bookmarkEnd w:id="84"/>
      <w:bookmarkEnd w:id="85"/>
      <w:bookmarkEnd w:id="86"/>
    </w:p>
    <w:p>
      <w:pPr>
        <w:spacing w:line="400" w:lineRule="exact"/>
        <w:ind w:firstLine="420" w:firstLineChars="200"/>
        <w:rPr>
          <w:rFonts w:ascii="Times New Roman" w:hAnsi="Times New Roman" w:eastAsia="宋体" w:cs="Times New Roman"/>
          <w:color w:val="auto"/>
          <w:szCs w:val="21"/>
          <w:highlight w:val="none"/>
        </w:rPr>
      </w:pPr>
      <w:bookmarkStart w:id="87" w:name="_Toc298136595"/>
      <w:r>
        <w:rPr>
          <w:color w:val="auto"/>
          <w:sz w:val="21"/>
          <w:szCs w:val="21"/>
          <w:highlight w:val="none"/>
        </w:rPr>
        <w:t>4.1 投标文</w:t>
      </w:r>
      <w:r>
        <w:rPr>
          <w:rFonts w:ascii="Times New Roman" w:hAnsi="Times New Roman" w:eastAsia="宋体" w:cs="Times New Roman"/>
          <w:color w:val="auto"/>
          <w:szCs w:val="21"/>
          <w:highlight w:val="none"/>
        </w:rPr>
        <w:t>件的密封和标记</w:t>
      </w:r>
    </w:p>
    <w:p>
      <w:pPr>
        <w:spacing w:line="400" w:lineRule="exact"/>
        <w:ind w:firstLine="44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投标文件应按照本章第 3.7 项要求制作并加密，未按要求加密的投标文件，招标人（“电子交易平台”）将拒绝接收并提示。</w:t>
      </w:r>
    </w:p>
    <w:p>
      <w:pPr>
        <w:spacing w:line="400" w:lineRule="exact"/>
        <w:ind w:firstLine="44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4.2 投标文件的递交</w:t>
      </w:r>
    </w:p>
    <w:p>
      <w:pPr>
        <w:spacing w:line="400" w:lineRule="exact"/>
        <w:ind w:firstLine="44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 xml:space="preserve">4.2.1 </w:t>
      </w:r>
      <w:r>
        <w:rPr>
          <w:rFonts w:hint="eastAsia" w:ascii="Times New Roman" w:hAnsi="Times New Roman" w:eastAsia="宋体" w:cs="Times New Roman"/>
          <w:color w:val="auto"/>
          <w:szCs w:val="21"/>
          <w:highlight w:val="none"/>
        </w:rPr>
        <w:t>投标人应在第一章“招标公告”规定的投标截止时间前，通过互联网使用 CA 数字证书登录“电子交易平台”，将加密的投标文件上传，并保存上传成功后系统自动生成的电子签收凭证，递交时间即为电子签收凭证时间。投标人应充分考虑上传文件时的不可预见因素，未在投标截止时间前完成上传的，视为逾期送达，招标人（“电子交易平台”）将拒绝接收</w:t>
      </w:r>
      <w:r>
        <w:rPr>
          <w:rFonts w:ascii="Times New Roman" w:hAnsi="Times New Roman" w:eastAsia="宋体" w:cs="Times New Roman"/>
          <w:color w:val="auto"/>
          <w:szCs w:val="21"/>
          <w:highlight w:val="none"/>
        </w:rPr>
        <w:t>。</w:t>
      </w:r>
    </w:p>
    <w:p>
      <w:pPr>
        <w:spacing w:line="400" w:lineRule="exact"/>
        <w:ind w:firstLine="440" w:firstLineChars="200"/>
        <w:rPr>
          <w:color w:val="auto"/>
          <w:szCs w:val="21"/>
          <w:highlight w:val="none"/>
        </w:rPr>
      </w:pPr>
      <w:r>
        <w:rPr>
          <w:rFonts w:ascii="Times New Roman" w:hAnsi="Times New Roman" w:eastAsia="宋体" w:cs="Times New Roman"/>
          <w:color w:val="auto"/>
          <w:szCs w:val="21"/>
          <w:highlight w:val="none"/>
        </w:rPr>
        <w:t>4.2.2 投标人递交投标文件的地点</w:t>
      </w:r>
      <w:r>
        <w:rPr>
          <w:color w:val="auto"/>
          <w:szCs w:val="21"/>
          <w:highlight w:val="none"/>
        </w:rPr>
        <w:t>：见投标人须知前附表。</w:t>
      </w:r>
    </w:p>
    <w:p>
      <w:pPr>
        <w:spacing w:line="400" w:lineRule="exact"/>
        <w:ind w:firstLine="440" w:firstLineChars="200"/>
        <w:rPr>
          <w:color w:val="auto"/>
          <w:szCs w:val="21"/>
          <w:highlight w:val="none"/>
        </w:rPr>
      </w:pPr>
      <w:r>
        <w:rPr>
          <w:color w:val="auto"/>
          <w:szCs w:val="21"/>
          <w:highlight w:val="none"/>
        </w:rPr>
        <w:t>4.2.3 除投标人须知前附表另有规定外，投标人所递交的投标文件不予退还。</w:t>
      </w:r>
    </w:p>
    <w:p>
      <w:pPr>
        <w:spacing w:line="400" w:lineRule="exact"/>
        <w:ind w:firstLine="440" w:firstLineChars="200"/>
        <w:rPr>
          <w:color w:val="auto"/>
          <w:szCs w:val="21"/>
          <w:highlight w:val="none"/>
        </w:rPr>
      </w:pPr>
      <w:r>
        <w:rPr>
          <w:color w:val="auto"/>
          <w:szCs w:val="21"/>
          <w:highlight w:val="none"/>
        </w:rPr>
        <w:t>4.2.4  逾期送达的或者未送达指定地点的投标文件，招标人不予受理。</w:t>
      </w:r>
    </w:p>
    <w:p>
      <w:pPr>
        <w:pStyle w:val="5"/>
        <w:spacing w:before="120" w:beforeLines="50" w:after="0" w:line="400" w:lineRule="exact"/>
        <w:jc w:val="left"/>
        <w:rPr>
          <w:color w:val="auto"/>
          <w:sz w:val="21"/>
          <w:szCs w:val="21"/>
          <w:highlight w:val="none"/>
        </w:rPr>
      </w:pPr>
      <w:bookmarkStart w:id="88" w:name="_Toc8167"/>
      <w:r>
        <w:rPr>
          <w:color w:val="auto"/>
          <w:sz w:val="21"/>
          <w:szCs w:val="21"/>
          <w:highlight w:val="none"/>
        </w:rPr>
        <w:t>4.3 投标文件的修改与撤回</w:t>
      </w:r>
      <w:bookmarkEnd w:id="88"/>
    </w:p>
    <w:p>
      <w:pPr>
        <w:spacing w:line="400" w:lineRule="exact"/>
        <w:ind w:firstLine="440" w:firstLineChars="200"/>
        <w:rPr>
          <w:color w:val="auto"/>
          <w:szCs w:val="21"/>
          <w:highlight w:val="none"/>
        </w:rPr>
      </w:pPr>
      <w:r>
        <w:rPr>
          <w:color w:val="auto"/>
          <w:szCs w:val="21"/>
          <w:highlight w:val="none"/>
        </w:rPr>
        <w:t>4.3.1 在本章第2.2.2项规定的</w:t>
      </w:r>
      <w:r>
        <w:rPr>
          <w:rFonts w:ascii="Times New Roman" w:hAnsi="Times New Roman" w:eastAsia="宋体" w:cs="Times New Roman"/>
          <w:color w:val="auto"/>
          <w:szCs w:val="21"/>
          <w:highlight w:val="none"/>
        </w:rPr>
        <w:t>投标截止时间前，</w:t>
      </w:r>
      <w:r>
        <w:rPr>
          <w:rFonts w:hint="eastAsia" w:ascii="Times New Roman" w:hAnsi="Times New Roman" w:eastAsia="宋体" w:cs="Times New Roman"/>
          <w:color w:val="auto"/>
          <w:szCs w:val="21"/>
          <w:highlight w:val="none"/>
        </w:rPr>
        <w:t>投标人可以修改或撤回已递交的电子投标文件</w:t>
      </w:r>
      <w:r>
        <w:rPr>
          <w:rFonts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rPr>
        <w:t>投标人对加密的投标文件进行撤回的，应在“电子交易平台”直接进行撤回操作；投标人对加密的投标文件进行修改的，应在投标截止时间前完成上传。</w:t>
      </w:r>
    </w:p>
    <w:p>
      <w:pPr>
        <w:spacing w:line="400" w:lineRule="exact"/>
        <w:ind w:firstLine="440" w:firstLineChars="200"/>
        <w:rPr>
          <w:color w:val="auto"/>
          <w:szCs w:val="21"/>
          <w:highlight w:val="none"/>
        </w:rPr>
      </w:pPr>
      <w:r>
        <w:rPr>
          <w:color w:val="auto"/>
          <w:szCs w:val="21"/>
          <w:highlight w:val="none"/>
        </w:rPr>
        <w:t xml:space="preserve">4.3.2 </w:t>
      </w:r>
      <w:r>
        <w:rPr>
          <w:rFonts w:hint="eastAsia"/>
          <w:color w:val="auto"/>
          <w:szCs w:val="21"/>
          <w:highlight w:val="none"/>
        </w:rPr>
        <w:t>投标</w:t>
      </w:r>
      <w:r>
        <w:rPr>
          <w:rFonts w:hint="eastAsia" w:ascii="Times New Roman" w:hAnsi="Times New Roman" w:eastAsia="宋体" w:cs="Times New Roman"/>
          <w:color w:val="auto"/>
          <w:szCs w:val="21"/>
          <w:highlight w:val="none"/>
        </w:rPr>
        <w:t>人修改投标文件的，应使用“投标文件制作工具”制作成完整的投标文件，并按照本章第3 条、第 4 条规定进行编制、加密和递交规定进行编制、加密和递交。对采用网上递交的加密的投标文件，以投标截止时间前最后完成上传的文件为准。</w:t>
      </w:r>
    </w:p>
    <w:p>
      <w:pPr>
        <w:spacing w:line="400" w:lineRule="exact"/>
        <w:ind w:firstLine="440" w:firstLineChars="200"/>
        <w:rPr>
          <w:color w:val="auto"/>
          <w:szCs w:val="21"/>
          <w:highlight w:val="none"/>
        </w:rPr>
      </w:pPr>
      <w:r>
        <w:rPr>
          <w:color w:val="auto"/>
          <w:szCs w:val="21"/>
          <w:highlight w:val="none"/>
        </w:rPr>
        <w:t xml:space="preserve">4.3.3 </w:t>
      </w:r>
      <w:r>
        <w:rPr>
          <w:rFonts w:hint="eastAsia"/>
          <w:color w:val="auto"/>
          <w:szCs w:val="21"/>
          <w:highlight w:val="none"/>
        </w:rPr>
        <w:t>投标人撤回投标文件的，招标人自收到投标人书面撤回通知之日起 5 日内退还已收取的投标保证金。</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xml:space="preserve"> </w:t>
      </w:r>
    </w:p>
    <w:p>
      <w:pPr>
        <w:pStyle w:val="6"/>
        <w:spacing w:before="100" w:after="100"/>
        <w:jc w:val="left"/>
        <w:outlineLvl w:val="1"/>
        <w:rPr>
          <w:rFonts w:hint="eastAsia" w:asciiTheme="majorEastAsia" w:hAnsiTheme="majorEastAsia" w:eastAsiaTheme="majorEastAsia" w:cstheme="majorEastAsia"/>
          <w:b/>
          <w:bCs/>
          <w:color w:val="auto"/>
          <w:sz w:val="28"/>
          <w:szCs w:val="28"/>
          <w:highlight w:val="none"/>
        </w:rPr>
      </w:pPr>
      <w:bookmarkStart w:id="89" w:name="_Toc12448"/>
      <w:bookmarkStart w:id="90" w:name="_Toc18137"/>
      <w:r>
        <w:rPr>
          <w:rFonts w:hint="eastAsia" w:asciiTheme="majorEastAsia" w:hAnsiTheme="majorEastAsia" w:eastAsiaTheme="majorEastAsia" w:cstheme="majorEastAsia"/>
          <w:b/>
          <w:bCs/>
          <w:color w:val="auto"/>
          <w:sz w:val="28"/>
          <w:szCs w:val="28"/>
          <w:highlight w:val="none"/>
        </w:rPr>
        <w:t>5. 开标</w:t>
      </w:r>
      <w:bookmarkEnd w:id="87"/>
      <w:bookmarkEnd w:id="89"/>
      <w:bookmarkEnd w:id="90"/>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91" w:name="_Toc23513"/>
      <w:bookmarkStart w:id="92" w:name="_Toc298136596"/>
      <w:r>
        <w:rPr>
          <w:rFonts w:hint="eastAsia" w:asciiTheme="majorEastAsia" w:hAnsiTheme="majorEastAsia" w:eastAsiaTheme="majorEastAsia" w:cstheme="majorEastAsia"/>
          <w:color w:val="auto"/>
          <w:sz w:val="21"/>
          <w:szCs w:val="21"/>
          <w:highlight w:val="none"/>
        </w:rPr>
        <w:t>5.1 开标时间和地点</w:t>
      </w:r>
      <w:bookmarkEnd w:id="91"/>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招标人将按照本章“投标人须知前附表”第5.1 款规定的开标时间和地点分别对投标文件第一信封（商务及技术文件）和对投标文件第二信封（报价文件）公开开标，并邀请所有投标人的法定代表人或其委托代理人准时参加。</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投标人若未派法定代表人或委托代理人出席开标活动，或未在开标记录上签字，视为该投标人默认开标结果。</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93" w:name="_Toc23924"/>
      <w:r>
        <w:rPr>
          <w:rFonts w:hint="eastAsia" w:asciiTheme="majorEastAsia" w:hAnsiTheme="majorEastAsia" w:eastAsiaTheme="majorEastAsia" w:cstheme="majorEastAsia"/>
          <w:color w:val="auto"/>
          <w:sz w:val="21"/>
          <w:szCs w:val="21"/>
          <w:highlight w:val="none"/>
        </w:rPr>
        <w:t>5.2 开标程序</w:t>
      </w:r>
      <w:bookmarkEnd w:id="93"/>
    </w:p>
    <w:p>
      <w:pPr>
        <w:pStyle w:val="33"/>
        <w:spacing w:line="360" w:lineRule="auto"/>
        <w:ind w:firstLine="420" w:firstLineChars="2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见投标人须知前附表。</w:t>
      </w:r>
    </w:p>
    <w:p>
      <w:pPr>
        <w:pStyle w:val="6"/>
        <w:spacing w:before="100" w:after="100"/>
        <w:jc w:val="left"/>
        <w:outlineLvl w:val="1"/>
        <w:rPr>
          <w:rFonts w:hint="eastAsia" w:asciiTheme="majorEastAsia" w:hAnsiTheme="majorEastAsia" w:eastAsiaTheme="majorEastAsia" w:cstheme="majorEastAsia"/>
          <w:b/>
          <w:bCs/>
          <w:color w:val="auto"/>
          <w:sz w:val="28"/>
          <w:szCs w:val="28"/>
          <w:highlight w:val="none"/>
        </w:rPr>
      </w:pPr>
      <w:bookmarkStart w:id="94" w:name="_Toc5954"/>
      <w:bookmarkStart w:id="95" w:name="_Toc29824"/>
      <w:r>
        <w:rPr>
          <w:rFonts w:hint="eastAsia" w:asciiTheme="majorEastAsia" w:hAnsiTheme="majorEastAsia" w:eastAsiaTheme="majorEastAsia" w:cstheme="majorEastAsia"/>
          <w:b/>
          <w:bCs/>
          <w:color w:val="auto"/>
          <w:sz w:val="28"/>
          <w:szCs w:val="28"/>
          <w:highlight w:val="none"/>
        </w:rPr>
        <w:t>6. 评标</w:t>
      </w:r>
      <w:bookmarkEnd w:id="92"/>
      <w:bookmarkEnd w:id="94"/>
      <w:bookmarkEnd w:id="95"/>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96" w:name="_Toc693"/>
      <w:r>
        <w:rPr>
          <w:rFonts w:hint="eastAsia" w:asciiTheme="majorEastAsia" w:hAnsiTheme="majorEastAsia" w:eastAsiaTheme="majorEastAsia" w:cstheme="majorEastAsia"/>
          <w:color w:val="auto"/>
          <w:sz w:val="21"/>
          <w:szCs w:val="21"/>
          <w:highlight w:val="none"/>
        </w:rPr>
        <w:t>6.1 评标委员会</w:t>
      </w:r>
      <w:bookmarkEnd w:id="96"/>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6.1.1 评标由招标人依法组建的评标委员会负责。评标委员会由招标人熟悉相关业务的代表，以及有关技术、经济等方面的专家组成。评标委员会成员人数为5 人以上单数，其中技术、经济等方面专家人数应不少于成员总数的2/3，具体构成见“投标人须知前附表”。</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6.1.2 评标委员会成员有下列情形之一的，应当回避：</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（1）招标人或投标人的主要负责人的近亲属；</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（2）项目主管部门或者行政监督部门的人员；</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（3）与投标人有经济利益关系，可能影响对投标公正评审的；</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（4）曾因在招标、评标以及其他与招标投标有关活动中从事违法行为而受过行政处罚或刑事处罚的。</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97" w:name="_Toc10555"/>
      <w:r>
        <w:rPr>
          <w:rFonts w:hint="eastAsia" w:asciiTheme="majorEastAsia" w:hAnsiTheme="majorEastAsia" w:eastAsiaTheme="majorEastAsia" w:cstheme="majorEastAsia"/>
          <w:color w:val="auto"/>
          <w:sz w:val="21"/>
          <w:szCs w:val="21"/>
          <w:highlight w:val="none"/>
        </w:rPr>
        <w:t>6.2 评标原则</w:t>
      </w:r>
      <w:bookmarkEnd w:id="97"/>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评标活动遵循公平、公正、科学和择优的原则。</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98" w:name="_Toc8362"/>
      <w:r>
        <w:rPr>
          <w:rFonts w:hint="eastAsia" w:asciiTheme="majorEastAsia" w:hAnsiTheme="majorEastAsia" w:eastAsiaTheme="majorEastAsia" w:cstheme="majorEastAsia"/>
          <w:color w:val="auto"/>
          <w:sz w:val="21"/>
          <w:szCs w:val="21"/>
          <w:highlight w:val="none"/>
        </w:rPr>
        <w:t>6.3 评标</w:t>
      </w:r>
      <w:bookmarkEnd w:id="98"/>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本项目采用的评标办法见“投标人须知前附表”。评标委员会按照第三章“评标办法” 的规定对投标文件进行评审。第三章“评标办法”没有规定的方法、评审因素和评分值，不作为评标依据。</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99" w:name="_Toc7688"/>
      <w:r>
        <w:rPr>
          <w:rFonts w:hint="eastAsia" w:asciiTheme="majorEastAsia" w:hAnsiTheme="majorEastAsia" w:eastAsiaTheme="majorEastAsia" w:cstheme="majorEastAsia"/>
          <w:color w:val="auto"/>
          <w:sz w:val="21"/>
          <w:szCs w:val="21"/>
          <w:highlight w:val="none"/>
        </w:rPr>
        <w:t>6.4 评标结果公示</w:t>
      </w:r>
      <w:bookmarkEnd w:id="99"/>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评标结果应在招标项目所在地省级交通运输主管部门政府网站上公示。</w:t>
      </w:r>
    </w:p>
    <w:p>
      <w:pPr>
        <w:pStyle w:val="6"/>
        <w:spacing w:before="100" w:after="100"/>
        <w:jc w:val="left"/>
        <w:outlineLvl w:val="1"/>
        <w:rPr>
          <w:rFonts w:hint="eastAsia" w:asciiTheme="majorEastAsia" w:hAnsiTheme="majorEastAsia" w:eastAsiaTheme="majorEastAsia" w:cstheme="majorEastAsia"/>
          <w:b/>
          <w:bCs/>
          <w:color w:val="auto"/>
          <w:sz w:val="28"/>
          <w:szCs w:val="28"/>
          <w:highlight w:val="none"/>
        </w:rPr>
      </w:pPr>
      <w:bookmarkStart w:id="100" w:name="_Toc19674"/>
      <w:bookmarkStart w:id="101" w:name="_Toc26650"/>
      <w:bookmarkStart w:id="102" w:name="_Toc298136597"/>
      <w:r>
        <w:rPr>
          <w:rFonts w:hint="eastAsia" w:asciiTheme="majorEastAsia" w:hAnsiTheme="majorEastAsia" w:eastAsiaTheme="majorEastAsia" w:cstheme="majorEastAsia"/>
          <w:b/>
          <w:bCs/>
          <w:color w:val="auto"/>
          <w:sz w:val="28"/>
          <w:szCs w:val="28"/>
          <w:highlight w:val="none"/>
        </w:rPr>
        <w:t>7. 合同授予</w:t>
      </w:r>
      <w:bookmarkEnd w:id="100"/>
      <w:bookmarkEnd w:id="101"/>
      <w:bookmarkEnd w:id="102"/>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103" w:name="_Toc5583"/>
      <w:r>
        <w:rPr>
          <w:rFonts w:hint="eastAsia" w:asciiTheme="majorEastAsia" w:hAnsiTheme="majorEastAsia" w:eastAsiaTheme="majorEastAsia" w:cstheme="majorEastAsia"/>
          <w:color w:val="auto"/>
          <w:sz w:val="21"/>
          <w:szCs w:val="21"/>
          <w:highlight w:val="none"/>
        </w:rPr>
        <w:t>7.1 定标</w:t>
      </w:r>
      <w:bookmarkEnd w:id="103"/>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除“投标人须知前附表”规定授权评标委员会直接确定中标人外，招标人依据评标委员会推荐的中标候选人确定中标人。</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104" w:name="_Toc7204"/>
      <w:r>
        <w:rPr>
          <w:rFonts w:hint="eastAsia" w:asciiTheme="majorEastAsia" w:hAnsiTheme="majorEastAsia" w:eastAsiaTheme="majorEastAsia" w:cstheme="majorEastAsia"/>
          <w:color w:val="auto"/>
          <w:sz w:val="21"/>
          <w:szCs w:val="21"/>
          <w:highlight w:val="none"/>
        </w:rPr>
        <w:t>7.2 中标通知</w:t>
      </w:r>
      <w:bookmarkEnd w:id="104"/>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在本章第3.3 款规定的投标有效期内，招标人以书面形式向中标人发出中标通知书，同时将中标结果通知未中标的投标人。</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105" w:name="_Toc314"/>
      <w:r>
        <w:rPr>
          <w:rFonts w:hint="eastAsia" w:asciiTheme="majorEastAsia" w:hAnsiTheme="majorEastAsia" w:eastAsiaTheme="majorEastAsia" w:cstheme="majorEastAsia"/>
          <w:color w:val="auto"/>
          <w:sz w:val="21"/>
          <w:szCs w:val="21"/>
          <w:highlight w:val="none"/>
        </w:rPr>
        <w:t>7.3 履约担保</w:t>
      </w:r>
      <w:bookmarkEnd w:id="105"/>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7.3.1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采用银行保函时，出具银行保函的银行级别在“投标人须知前附表”中说明，所需的费用由中标人承担，中标人应保证银行保函有效。</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7.3.2 中标人不能按本章第7.3.1 项要求提交履约担保的，视为放弃中标，其投标保证金不予退还，并由招标人将其行为上报省级交通运输主管部门，作为不良记录纳入公路建设市场信用信息管理系统。</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106" w:name="_Toc22182"/>
      <w:r>
        <w:rPr>
          <w:rFonts w:hint="eastAsia" w:asciiTheme="majorEastAsia" w:hAnsiTheme="majorEastAsia" w:eastAsiaTheme="majorEastAsia" w:cstheme="majorEastAsia"/>
          <w:color w:val="auto"/>
          <w:sz w:val="21"/>
          <w:szCs w:val="21"/>
          <w:highlight w:val="none"/>
        </w:rPr>
        <w:t>7.4 签订合同</w:t>
      </w:r>
      <w:bookmarkEnd w:id="106"/>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7.4.1 招标人和中标人应当自中标通知书发出之日起30 天内，根据招标文件和中标人的投标文件订立书面合同。中标人无正当理由拒签合同的，招标人取消其中标资格，其投标保证金不予退还；并由招标人将其行为上报省级交通运输主管部门，作为不良记录纳入公路建设市场信用信息管理系统。</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7.4.2 发出中标通知书后，招标人无正当理由拒签合同的，招标人向中标人退还投标保证金。</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招标人不得以压低勘察设计费、增加工作量、缩短勘察设计周期等作为中标的条件，不得与中标人再行订立背离合同实质性内容的其他协议。</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7.4.3 签约合同价的确定原则如下：</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（1）按照评标办法规定对投标报价进行修正后，若修正后的最终报价小于第二信封开标时的报价函文字报价，则签订合同时以修正后的最终投标报价为准；</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（2）按照评标办法规定对投标报价进行修正后，若修正后的最终投标报价大于第二信封开标时的报价函文字报价，则签订合同时以开标时的投标函文字报价为准，同时按比例修正相应子目的单价或合价。</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7.4.4 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明确双方在廉政建设方面的权利和义务以及应承担的违约责任。</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7.4.5 如果根据本章第3.6 款、第7.3.2 项或第7.4.1 项规定，招标人取消了中标人的中标资格，在此情况下，招标人按规定重新组织招标。</w:t>
      </w:r>
    </w:p>
    <w:p>
      <w:pPr>
        <w:pStyle w:val="6"/>
        <w:spacing w:before="100" w:after="100"/>
        <w:jc w:val="left"/>
        <w:outlineLvl w:val="1"/>
        <w:rPr>
          <w:rFonts w:hint="eastAsia" w:asciiTheme="majorEastAsia" w:hAnsiTheme="majorEastAsia" w:eastAsiaTheme="majorEastAsia" w:cstheme="majorEastAsia"/>
          <w:b/>
          <w:bCs/>
          <w:color w:val="auto"/>
          <w:sz w:val="28"/>
          <w:szCs w:val="28"/>
          <w:highlight w:val="none"/>
        </w:rPr>
      </w:pPr>
      <w:bookmarkStart w:id="107" w:name="_Toc298136598"/>
      <w:bookmarkStart w:id="108" w:name="_Toc16779"/>
      <w:bookmarkStart w:id="109" w:name="_Toc10374"/>
      <w:r>
        <w:rPr>
          <w:rFonts w:hint="eastAsia" w:asciiTheme="majorEastAsia" w:hAnsiTheme="majorEastAsia" w:eastAsiaTheme="majorEastAsia" w:cstheme="majorEastAsia"/>
          <w:b/>
          <w:bCs/>
          <w:color w:val="auto"/>
          <w:sz w:val="28"/>
          <w:szCs w:val="28"/>
          <w:highlight w:val="none"/>
        </w:rPr>
        <w:t>8. 重新招标和不再招标</w:t>
      </w:r>
      <w:bookmarkEnd w:id="107"/>
      <w:bookmarkEnd w:id="108"/>
      <w:bookmarkEnd w:id="109"/>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110" w:name="_Toc5071"/>
      <w:r>
        <w:rPr>
          <w:rFonts w:hint="eastAsia" w:asciiTheme="majorEastAsia" w:hAnsiTheme="majorEastAsia" w:eastAsiaTheme="majorEastAsia" w:cstheme="majorEastAsia"/>
          <w:color w:val="auto"/>
          <w:sz w:val="21"/>
          <w:szCs w:val="21"/>
          <w:highlight w:val="none"/>
        </w:rPr>
        <w:t>8.1 重新招标</w:t>
      </w:r>
      <w:bookmarkEnd w:id="110"/>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有下列情形之一的，招标人将重新招标：</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（1）投标截止时间止，投标人少于3 个的；</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（2）经评标委员会评审后否决所有投标的；</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（3）中标候选人均未与招标人签订合同的；</w:t>
      </w:r>
    </w:p>
    <w:p>
      <w:pPr>
        <w:spacing w:line="360" w:lineRule="auto"/>
        <w:ind w:firstLine="315" w:firstLineChars="15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（4）法律规定的其他情形。</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111" w:name="_Toc9952"/>
      <w:r>
        <w:rPr>
          <w:rFonts w:hint="eastAsia" w:asciiTheme="majorEastAsia" w:hAnsiTheme="majorEastAsia" w:eastAsiaTheme="majorEastAsia" w:cstheme="majorEastAsia"/>
          <w:color w:val="auto"/>
          <w:sz w:val="21"/>
          <w:szCs w:val="21"/>
          <w:highlight w:val="none"/>
        </w:rPr>
        <w:t>8.2 不再招标</w:t>
      </w:r>
      <w:bookmarkEnd w:id="111"/>
    </w:p>
    <w:p>
      <w:pPr>
        <w:tabs>
          <w:tab w:val="left" w:pos="420"/>
        </w:tabs>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重新招标后投标人仍少于3 个或者所有投标被否决的，属于必须审批或核准的工程建设项目，经原审批或核准部门批准后不再进行招标。</w:t>
      </w:r>
    </w:p>
    <w:p>
      <w:pPr>
        <w:pStyle w:val="6"/>
        <w:spacing w:before="100" w:after="100"/>
        <w:jc w:val="left"/>
        <w:outlineLvl w:val="1"/>
        <w:rPr>
          <w:rFonts w:hint="eastAsia" w:asciiTheme="majorEastAsia" w:hAnsiTheme="majorEastAsia" w:eastAsiaTheme="majorEastAsia" w:cstheme="majorEastAsia"/>
          <w:b/>
          <w:bCs/>
          <w:color w:val="auto"/>
          <w:sz w:val="28"/>
          <w:szCs w:val="28"/>
          <w:highlight w:val="none"/>
        </w:rPr>
      </w:pPr>
      <w:bookmarkStart w:id="112" w:name="_Toc19157"/>
      <w:bookmarkStart w:id="113" w:name="_Toc18436"/>
      <w:bookmarkStart w:id="114" w:name="_Toc298136599"/>
      <w:r>
        <w:rPr>
          <w:rFonts w:hint="eastAsia" w:asciiTheme="majorEastAsia" w:hAnsiTheme="majorEastAsia" w:eastAsiaTheme="majorEastAsia" w:cstheme="majorEastAsia"/>
          <w:b/>
          <w:bCs/>
          <w:color w:val="auto"/>
          <w:sz w:val="28"/>
          <w:szCs w:val="28"/>
          <w:highlight w:val="none"/>
        </w:rPr>
        <w:t>9. 纪律和监督</w:t>
      </w:r>
      <w:bookmarkEnd w:id="112"/>
      <w:bookmarkEnd w:id="113"/>
      <w:bookmarkEnd w:id="114"/>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115" w:name="_Toc11710"/>
      <w:r>
        <w:rPr>
          <w:rFonts w:hint="eastAsia" w:asciiTheme="majorEastAsia" w:hAnsiTheme="majorEastAsia" w:eastAsiaTheme="majorEastAsia" w:cstheme="majorEastAsia"/>
          <w:color w:val="auto"/>
          <w:sz w:val="21"/>
          <w:szCs w:val="21"/>
          <w:highlight w:val="none"/>
        </w:rPr>
        <w:t>9.1 对招标人的纪律要求</w:t>
      </w:r>
      <w:bookmarkEnd w:id="115"/>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招标人不得泄漏招标投标活动中应当保密的情况和资料，不得与投标人串通损害国家利益、社会公共利益或者他人合法权益。</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116" w:name="_Toc22668"/>
      <w:r>
        <w:rPr>
          <w:rFonts w:hint="eastAsia" w:asciiTheme="majorEastAsia" w:hAnsiTheme="majorEastAsia" w:eastAsiaTheme="majorEastAsia" w:cstheme="majorEastAsia"/>
          <w:color w:val="auto"/>
          <w:sz w:val="21"/>
          <w:szCs w:val="21"/>
          <w:highlight w:val="none"/>
        </w:rPr>
        <w:t>9.2 对投标人的纪律要求</w:t>
      </w:r>
      <w:bookmarkEnd w:id="116"/>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117" w:name="_Toc24034"/>
      <w:r>
        <w:rPr>
          <w:rFonts w:hint="eastAsia" w:asciiTheme="majorEastAsia" w:hAnsiTheme="majorEastAsia" w:eastAsiaTheme="majorEastAsia" w:cstheme="majorEastAsia"/>
          <w:color w:val="auto"/>
          <w:sz w:val="21"/>
          <w:szCs w:val="21"/>
          <w:highlight w:val="none"/>
        </w:rPr>
        <w:t>9.3 对评标委员会成员的纪律要求</w:t>
      </w:r>
      <w:bookmarkEnd w:id="117"/>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118" w:name="_Toc12177"/>
      <w:r>
        <w:rPr>
          <w:rFonts w:hint="eastAsia" w:asciiTheme="majorEastAsia" w:hAnsiTheme="majorEastAsia" w:eastAsiaTheme="majorEastAsia" w:cstheme="majorEastAsia"/>
          <w:color w:val="auto"/>
          <w:sz w:val="21"/>
          <w:szCs w:val="21"/>
          <w:highlight w:val="none"/>
        </w:rPr>
        <w:t>9.4 对与评标活动有关的工作人员的纪律要求</w:t>
      </w:r>
      <w:bookmarkEnd w:id="118"/>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textAlignment w:val="baseline"/>
        <w:outlineLvl w:val="2"/>
        <w:rPr>
          <w:rFonts w:hint="eastAsia" w:asciiTheme="majorEastAsia" w:hAnsiTheme="majorEastAsia" w:eastAsiaTheme="majorEastAsia" w:cstheme="majorEastAsia"/>
          <w:color w:val="auto"/>
          <w:sz w:val="21"/>
          <w:szCs w:val="21"/>
          <w:highlight w:val="none"/>
        </w:rPr>
      </w:pPr>
      <w:bookmarkStart w:id="119" w:name="_Toc31908"/>
      <w:r>
        <w:rPr>
          <w:rFonts w:hint="eastAsia" w:asciiTheme="majorEastAsia" w:hAnsiTheme="majorEastAsia" w:eastAsiaTheme="majorEastAsia" w:cstheme="majorEastAsia"/>
          <w:color w:val="auto"/>
          <w:sz w:val="21"/>
          <w:szCs w:val="21"/>
          <w:highlight w:val="none"/>
        </w:rPr>
        <w:t>9.5 投诉</w:t>
      </w:r>
      <w:bookmarkEnd w:id="119"/>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投诉人和其他利害关系人认为本次招标活动违反法律、法规和规章规定的，有权向有关行政监督部门投诉。</w:t>
      </w:r>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监督部门的联系方式见投标人须知前附表。</w:t>
      </w:r>
    </w:p>
    <w:p>
      <w:pPr>
        <w:pStyle w:val="6"/>
        <w:spacing w:before="100" w:after="100"/>
        <w:jc w:val="left"/>
        <w:outlineLvl w:val="1"/>
        <w:rPr>
          <w:rFonts w:hint="eastAsia" w:asciiTheme="majorEastAsia" w:hAnsiTheme="majorEastAsia" w:eastAsiaTheme="majorEastAsia" w:cstheme="majorEastAsia"/>
          <w:b/>
          <w:bCs/>
          <w:color w:val="auto"/>
          <w:sz w:val="28"/>
          <w:szCs w:val="28"/>
          <w:highlight w:val="none"/>
        </w:rPr>
      </w:pPr>
      <w:bookmarkStart w:id="120" w:name="_Toc22907"/>
      <w:bookmarkStart w:id="121" w:name="_Toc992"/>
      <w:bookmarkStart w:id="122" w:name="_Toc298136600"/>
      <w:r>
        <w:rPr>
          <w:rFonts w:hint="eastAsia" w:asciiTheme="majorEastAsia" w:hAnsiTheme="majorEastAsia" w:eastAsiaTheme="majorEastAsia" w:cstheme="majorEastAsia"/>
          <w:b/>
          <w:bCs/>
          <w:color w:val="auto"/>
          <w:sz w:val="28"/>
          <w:szCs w:val="28"/>
          <w:highlight w:val="none"/>
        </w:rPr>
        <w:t>10. 其他规定</w:t>
      </w:r>
      <w:bookmarkEnd w:id="120"/>
      <w:bookmarkEnd w:id="121"/>
      <w:bookmarkEnd w:id="122"/>
    </w:p>
    <w:p>
      <w:pPr>
        <w:spacing w:line="360" w:lineRule="auto"/>
        <w:ind w:firstLine="420" w:firstLineChars="200"/>
        <w:textAlignment w:val="baseline"/>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10.1 自购买招标文件之日起，投标人应保证其提供的联系方式（电话、传真、电子邮件）一直有效，以保证往来函件（招标文件的澄清、修改等）能及时通知投标人，并能及时反馈信息，否则招标人不承担由此引起的一切后果。</w:t>
      </w:r>
    </w:p>
    <w:p>
      <w:pPr>
        <w:spacing w:line="360" w:lineRule="exact"/>
        <w:ind w:firstLine="420" w:firstLineChars="2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需要补充的其他内容：见“投标人须知前附表”。</w:t>
      </w:r>
    </w:p>
    <w:p>
      <w:pPr>
        <w:spacing w:after="0" w:line="258" w:lineRule="exact"/>
        <w:jc w:val="left"/>
        <w:rPr>
          <w:rFonts w:hint="eastAsia" w:asciiTheme="majorEastAsia" w:hAnsiTheme="majorEastAsia" w:eastAsiaTheme="majorEastAsia" w:cstheme="majorEastAsia"/>
          <w:color w:val="auto"/>
          <w:sz w:val="21"/>
          <w:szCs w:val="21"/>
          <w:highlight w:val="none"/>
        </w:rPr>
        <w:sectPr>
          <w:type w:val="continuous"/>
          <w:pgSz w:w="11910" w:h="16840"/>
          <w:pgMar w:top="1020" w:right="1417" w:bottom="940" w:left="1417" w:header="0" w:footer="672" w:gutter="0"/>
          <w:pgBorders>
            <w:top w:val="none" w:sz="0" w:space="0"/>
            <w:left w:val="none" w:sz="0" w:space="0"/>
            <w:bottom w:val="none" w:sz="0" w:space="0"/>
            <w:right w:val="none" w:sz="0" w:space="0"/>
          </w:pgBorders>
          <w:pgNumType w:fmt="decimal"/>
          <w:cols w:space="720" w:num="1"/>
        </w:sectPr>
      </w:pPr>
    </w:p>
    <w:p>
      <w:pPr>
        <w:spacing w:before="54"/>
        <w:ind w:left="398" w:right="0" w:firstLine="0"/>
        <w:jc w:val="left"/>
        <w:outlineLvl w:val="2"/>
        <w:rPr>
          <w:color w:val="auto"/>
          <w:sz w:val="24"/>
          <w:highlight w:val="none"/>
        </w:rPr>
      </w:pPr>
      <w:bookmarkStart w:id="123" w:name="_Toc6004"/>
      <w:bookmarkStart w:id="124" w:name="_Toc14557"/>
      <w:r>
        <w:rPr>
          <w:color w:val="auto"/>
          <w:sz w:val="24"/>
          <w:highlight w:val="none"/>
        </w:rPr>
        <w:t>附件1</w:t>
      </w:r>
      <w:bookmarkEnd w:id="123"/>
      <w:bookmarkEnd w:id="124"/>
    </w:p>
    <w:p>
      <w:pPr>
        <w:pStyle w:val="2"/>
        <w:spacing w:before="6"/>
        <w:rPr>
          <w:rFonts w:ascii="Arial"/>
          <w:color w:val="auto"/>
          <w:sz w:val="45"/>
          <w:highlight w:val="none"/>
        </w:rPr>
      </w:pPr>
      <w:r>
        <w:rPr>
          <w:color w:val="auto"/>
          <w:highlight w:val="none"/>
        </w:rPr>
        <w:br w:type="column"/>
      </w:r>
    </w:p>
    <w:p>
      <w:pPr>
        <w:spacing w:before="0"/>
        <w:ind w:left="398" w:right="0" w:firstLine="0"/>
        <w:jc w:val="left"/>
        <w:rPr>
          <w:b/>
          <w:color w:val="auto"/>
          <w:sz w:val="32"/>
          <w:highlight w:val="none"/>
        </w:rPr>
      </w:pPr>
      <w:r>
        <w:rPr>
          <w:b/>
          <w:color w:val="auto"/>
          <w:sz w:val="32"/>
          <w:highlight w:val="none"/>
        </w:rPr>
        <w:t>工程概况及招标范围</w:t>
      </w:r>
    </w:p>
    <w:p>
      <w:pPr>
        <w:spacing w:after="0"/>
        <w:jc w:val="left"/>
        <w:rPr>
          <w:color w:val="auto"/>
          <w:sz w:val="32"/>
          <w:highlight w:val="none"/>
        </w:rPr>
        <w:sectPr>
          <w:pgSz w:w="11910" w:h="16840"/>
          <w:pgMar w:top="1000" w:right="860" w:bottom="940" w:left="960" w:header="0" w:footer="672" w:gutter="0"/>
          <w:pgBorders>
            <w:top w:val="none" w:sz="0" w:space="0"/>
            <w:left w:val="none" w:sz="0" w:space="0"/>
            <w:bottom w:val="none" w:sz="0" w:space="0"/>
            <w:right w:val="none" w:sz="0" w:space="0"/>
          </w:pgBorders>
          <w:pgNumType w:fmt="decimal"/>
          <w:cols w:equalWidth="0" w:num="2">
            <w:col w:w="1112" w:space="2077"/>
            <w:col w:w="6901"/>
          </w:cols>
        </w:sectPr>
      </w:pPr>
    </w:p>
    <w:p>
      <w:pPr>
        <w:pStyle w:val="2"/>
        <w:rPr>
          <w:b/>
          <w:color w:val="auto"/>
          <w:sz w:val="20"/>
          <w:highlight w:val="none"/>
        </w:rPr>
      </w:pPr>
    </w:p>
    <w:p>
      <w:pPr>
        <w:pStyle w:val="2"/>
        <w:rPr>
          <w:b/>
          <w:color w:val="auto"/>
          <w:sz w:val="20"/>
          <w:highlight w:val="none"/>
        </w:rPr>
      </w:pPr>
    </w:p>
    <w:p>
      <w:pPr>
        <w:pStyle w:val="2"/>
        <w:spacing w:before="7"/>
        <w:rPr>
          <w:b/>
          <w:color w:val="auto"/>
          <w:sz w:val="22"/>
          <w:highlight w:val="none"/>
        </w:rPr>
      </w:pPr>
    </w:p>
    <w:p>
      <w:pPr>
        <w:spacing w:before="66"/>
        <w:ind w:left="878" w:right="0" w:firstLine="0"/>
        <w:jc w:val="left"/>
        <w:outlineLvl w:val="2"/>
        <w:rPr>
          <w:rFonts w:hint="eastAsia" w:ascii="黑体" w:eastAsia="黑体"/>
          <w:color w:val="auto"/>
          <w:sz w:val="24"/>
          <w:highlight w:val="none"/>
        </w:rPr>
      </w:pPr>
      <w:bookmarkStart w:id="125" w:name="_Toc11897"/>
      <w:bookmarkStart w:id="126" w:name="_Toc15869"/>
      <w:r>
        <w:rPr>
          <w:rFonts w:hint="eastAsia" w:ascii="黑体" w:eastAsia="黑体"/>
          <w:color w:val="auto"/>
          <w:sz w:val="24"/>
          <w:highlight w:val="none"/>
        </w:rPr>
        <w:t>一、建设规模及技术标准</w:t>
      </w:r>
      <w:bookmarkEnd w:id="125"/>
      <w:bookmarkEnd w:id="126"/>
    </w:p>
    <w:p>
      <w:pPr>
        <w:pStyle w:val="2"/>
        <w:spacing w:before="10"/>
        <w:rPr>
          <w:rFonts w:ascii="黑体"/>
          <w:color w:val="auto"/>
          <w:sz w:val="16"/>
          <w:highlight w:val="none"/>
        </w:rPr>
      </w:pPr>
    </w:p>
    <w:p>
      <w:pPr>
        <w:autoSpaceDE/>
        <w:autoSpaceDN/>
        <w:spacing w:before="0" w:after="0" w:line="440" w:lineRule="exact"/>
        <w:ind w:left="440" w:leftChars="200" w:right="0" w:firstLine="438" w:firstLineChars="209"/>
        <w:jc w:val="both"/>
        <w:rPr>
          <w:rFonts w:ascii="Times New Roman" w:hAnsi="Times New Roman" w:eastAsia="宋体" w:cs="Times New Roman"/>
          <w:color w:val="auto"/>
          <w:kern w:val="2"/>
          <w:sz w:val="21"/>
          <w:szCs w:val="20"/>
          <w:highlight w:val="none"/>
          <w:lang w:val="en-US" w:bidi="ar-SA"/>
        </w:rPr>
      </w:pPr>
      <w:r>
        <w:rPr>
          <w:rFonts w:ascii="Times New Roman" w:hAnsi="Times New Roman" w:eastAsia="宋体" w:cs="Times New Roman"/>
          <w:color w:val="auto"/>
          <w:kern w:val="2"/>
          <w:sz w:val="21"/>
          <w:szCs w:val="20"/>
          <w:highlight w:val="none"/>
          <w:lang w:val="en-US" w:bidi="ar-SA"/>
        </w:rPr>
        <w:t xml:space="preserve">本项目为 </w:t>
      </w:r>
      <w:r>
        <w:rPr>
          <w:rFonts w:hint="eastAsia" w:ascii="Times New Roman" w:hAnsi="Times New Roman" w:cs="Times New Roman"/>
          <w:color w:val="auto"/>
          <w:kern w:val="2"/>
          <w:sz w:val="21"/>
          <w:szCs w:val="20"/>
          <w:highlight w:val="none"/>
          <w:lang w:val="en-US" w:eastAsia="zh-CN" w:bidi="ar-SA"/>
        </w:rPr>
        <w:t>2024年三门县普通国道路基路面养护工程设计</w:t>
      </w:r>
      <w:r>
        <w:rPr>
          <w:rFonts w:ascii="Times New Roman" w:hAnsi="Times New Roman" w:eastAsia="宋体" w:cs="Times New Roman"/>
          <w:color w:val="auto"/>
          <w:kern w:val="2"/>
          <w:sz w:val="21"/>
          <w:szCs w:val="20"/>
          <w:highlight w:val="none"/>
          <w:lang w:val="en-US" w:bidi="ar-SA"/>
        </w:rPr>
        <w:t>。本工程采用交通运输部《公路养护工程技术标准》（最新版）</w:t>
      </w:r>
      <w:r>
        <w:rPr>
          <w:rFonts w:hint="eastAsia" w:ascii="Times New Roman" w:hAnsi="Times New Roman" w:eastAsia="宋体" w:cs="Times New Roman"/>
          <w:color w:val="auto"/>
          <w:kern w:val="2"/>
          <w:sz w:val="21"/>
          <w:szCs w:val="20"/>
          <w:highlight w:val="none"/>
          <w:lang w:val="en-US" w:eastAsia="zh-CN" w:bidi="ar-SA"/>
        </w:rPr>
        <w:t>、</w:t>
      </w:r>
      <w:r>
        <w:rPr>
          <w:rFonts w:ascii="Times New Roman" w:hAnsi="Times New Roman" w:eastAsia="宋体" w:cs="Times New Roman"/>
          <w:color w:val="auto"/>
          <w:kern w:val="2"/>
          <w:sz w:val="21"/>
          <w:szCs w:val="20"/>
          <w:highlight w:val="none"/>
          <w:lang w:val="en-US" w:bidi="ar-SA"/>
        </w:rPr>
        <w:t>《</w:t>
      </w:r>
      <w:r>
        <w:rPr>
          <w:rFonts w:hint="eastAsia" w:ascii="Times New Roman" w:hAnsi="Times New Roman" w:eastAsia="宋体" w:cs="Times New Roman"/>
          <w:color w:val="auto"/>
          <w:kern w:val="2"/>
          <w:sz w:val="21"/>
          <w:szCs w:val="20"/>
          <w:highlight w:val="none"/>
          <w:lang w:val="en-US" w:eastAsia="zh-CN" w:bidi="ar-SA"/>
        </w:rPr>
        <w:t>浙江省公路路面大中修工程设计文件编制指南</w:t>
      </w:r>
      <w:r>
        <w:rPr>
          <w:rFonts w:ascii="Times New Roman" w:hAnsi="Times New Roman" w:eastAsia="宋体" w:cs="Times New Roman"/>
          <w:color w:val="auto"/>
          <w:kern w:val="2"/>
          <w:sz w:val="21"/>
          <w:szCs w:val="20"/>
          <w:highlight w:val="none"/>
          <w:lang w:val="en-US" w:bidi="ar-SA"/>
        </w:rPr>
        <w:t>》</w:t>
      </w:r>
      <w:r>
        <w:rPr>
          <w:rFonts w:hint="eastAsia" w:ascii="Times New Roman" w:hAnsi="Times New Roman" w:eastAsia="宋体" w:cs="Times New Roman"/>
          <w:color w:val="auto"/>
          <w:kern w:val="2"/>
          <w:sz w:val="21"/>
          <w:szCs w:val="20"/>
          <w:highlight w:val="none"/>
          <w:lang w:val="en-US" w:eastAsia="zh-CN" w:bidi="ar-SA"/>
        </w:rPr>
        <w:t>、</w:t>
      </w:r>
      <w:r>
        <w:rPr>
          <w:rFonts w:ascii="Times New Roman" w:hAnsi="Times New Roman" w:eastAsia="宋体" w:cs="Times New Roman"/>
          <w:color w:val="auto"/>
          <w:kern w:val="2"/>
          <w:sz w:val="21"/>
          <w:szCs w:val="20"/>
          <w:highlight w:val="none"/>
          <w:lang w:val="en-US" w:bidi="ar-SA"/>
        </w:rPr>
        <w:t>《</w:t>
      </w:r>
      <w:r>
        <w:rPr>
          <w:rFonts w:hint="eastAsia" w:ascii="Times New Roman" w:hAnsi="Times New Roman" w:eastAsia="宋体" w:cs="Times New Roman"/>
          <w:color w:val="auto"/>
          <w:kern w:val="2"/>
          <w:sz w:val="21"/>
          <w:szCs w:val="20"/>
          <w:highlight w:val="none"/>
          <w:lang w:val="en-US" w:eastAsia="zh-CN" w:bidi="ar-SA"/>
        </w:rPr>
        <w:t>公路沥青路面养护设计规范</w:t>
      </w:r>
      <w:r>
        <w:rPr>
          <w:rFonts w:ascii="Times New Roman" w:hAnsi="Times New Roman" w:eastAsia="宋体" w:cs="Times New Roman"/>
          <w:color w:val="auto"/>
          <w:kern w:val="2"/>
          <w:sz w:val="21"/>
          <w:szCs w:val="20"/>
          <w:highlight w:val="none"/>
          <w:lang w:val="en-US" w:bidi="ar-SA"/>
        </w:rPr>
        <w:t>》及《公路养护工程质量检验评定标准（JTG5220</w:t>
      </w:r>
      <w:r>
        <w:rPr>
          <w:rFonts w:hint="eastAsia" w:ascii="Times New Roman" w:hAnsi="Times New Roman" w:eastAsia="宋体" w:cs="Times New Roman"/>
          <w:color w:val="auto"/>
          <w:kern w:val="2"/>
          <w:sz w:val="21"/>
          <w:szCs w:val="20"/>
          <w:highlight w:val="none"/>
          <w:lang w:val="en-US" w:eastAsia="zh-CN" w:bidi="ar-SA"/>
        </w:rPr>
        <w:t>—</w:t>
      </w:r>
      <w:r>
        <w:rPr>
          <w:rFonts w:ascii="Times New Roman" w:hAnsi="Times New Roman" w:eastAsia="宋体" w:cs="Times New Roman"/>
          <w:color w:val="auto"/>
          <w:kern w:val="2"/>
          <w:sz w:val="21"/>
          <w:szCs w:val="20"/>
          <w:highlight w:val="none"/>
          <w:lang w:val="en-US" w:bidi="ar-SA"/>
        </w:rPr>
        <w:t>2020）</w:t>
      </w:r>
      <w:r>
        <w:rPr>
          <w:rFonts w:hint="eastAsia" w:ascii="Times New Roman" w:hAnsi="Times New Roman" w:eastAsia="宋体" w:cs="Times New Roman"/>
          <w:color w:val="auto"/>
          <w:kern w:val="2"/>
          <w:sz w:val="21"/>
          <w:szCs w:val="20"/>
          <w:highlight w:val="none"/>
          <w:lang w:val="en-US" w:bidi="ar-SA"/>
        </w:rPr>
        <w:t>》</w:t>
      </w:r>
      <w:r>
        <w:rPr>
          <w:rFonts w:ascii="Times New Roman" w:hAnsi="Times New Roman" w:eastAsia="宋体" w:cs="Times New Roman"/>
          <w:color w:val="auto"/>
          <w:kern w:val="2"/>
          <w:sz w:val="21"/>
          <w:szCs w:val="20"/>
          <w:highlight w:val="none"/>
          <w:lang w:val="en-US" w:bidi="ar-SA"/>
        </w:rPr>
        <w:t>等相关公路养护标准规定、规范设计。</w:t>
      </w:r>
    </w:p>
    <w:p>
      <w:pPr>
        <w:pStyle w:val="2"/>
        <w:rPr>
          <w:color w:val="auto"/>
          <w:sz w:val="12"/>
          <w:highlight w:val="none"/>
        </w:rPr>
      </w:pPr>
    </w:p>
    <w:p>
      <w:pPr>
        <w:spacing w:before="66"/>
        <w:ind w:left="878" w:right="0" w:firstLine="0"/>
        <w:jc w:val="left"/>
        <w:outlineLvl w:val="2"/>
        <w:rPr>
          <w:rFonts w:hint="eastAsia" w:ascii="黑体" w:eastAsia="黑体"/>
          <w:color w:val="auto"/>
          <w:sz w:val="24"/>
          <w:highlight w:val="none"/>
        </w:rPr>
      </w:pPr>
      <w:bookmarkStart w:id="127" w:name="_Toc20279"/>
      <w:bookmarkStart w:id="128" w:name="_Toc18471"/>
      <w:r>
        <w:rPr>
          <w:rFonts w:hint="eastAsia" w:ascii="黑体" w:eastAsia="黑体"/>
          <w:color w:val="auto"/>
          <w:sz w:val="24"/>
          <w:highlight w:val="none"/>
        </w:rPr>
        <w:t>二、招标范围</w:t>
      </w:r>
      <w:bookmarkEnd w:id="127"/>
      <w:bookmarkEnd w:id="128"/>
    </w:p>
    <w:p>
      <w:pPr>
        <w:pStyle w:val="2"/>
        <w:spacing w:before="8"/>
        <w:rPr>
          <w:rFonts w:ascii="黑体"/>
          <w:color w:val="auto"/>
          <w:highlight w:val="none"/>
        </w:rPr>
      </w:pPr>
    </w:p>
    <w:p>
      <w:pPr>
        <w:autoSpaceDE/>
        <w:autoSpaceDN/>
        <w:spacing w:before="0" w:after="0" w:line="360" w:lineRule="auto"/>
        <w:ind w:left="440" w:leftChars="200" w:right="0" w:firstLine="438" w:firstLineChars="209"/>
        <w:jc w:val="both"/>
        <w:rPr>
          <w:rFonts w:hint="eastAsia" w:ascii="Times New Roman" w:hAnsi="Times New Roman" w:cs="Times New Roman"/>
          <w:color w:val="auto"/>
          <w:kern w:val="2"/>
          <w:sz w:val="21"/>
          <w:szCs w:val="20"/>
          <w:highlight w:val="none"/>
          <w:lang w:val="en-US" w:eastAsia="zh-CN" w:bidi="ar-SA"/>
        </w:rPr>
      </w:pPr>
      <w:r>
        <w:rPr>
          <w:rFonts w:hint="eastAsia" w:ascii="Times New Roman" w:hAnsi="Times New Roman" w:cs="Times New Roman"/>
          <w:color w:val="auto"/>
          <w:kern w:val="2"/>
          <w:sz w:val="21"/>
          <w:szCs w:val="20"/>
          <w:highlight w:val="none"/>
          <w:lang w:val="en-US" w:eastAsia="zh-CN" w:bidi="ar-SA"/>
        </w:rPr>
        <w:t>本项目为2024年三门县普通国道路基路面养护工程设计，本次招标分1个标段实施。</w:t>
      </w:r>
    </w:p>
    <w:p>
      <w:pPr>
        <w:autoSpaceDE/>
        <w:autoSpaceDN/>
        <w:spacing w:before="0" w:after="0" w:line="360" w:lineRule="auto"/>
        <w:ind w:left="440" w:leftChars="200" w:right="0" w:firstLine="447" w:firstLineChars="209"/>
        <w:jc w:val="both"/>
        <w:rPr>
          <w:rFonts w:hint="eastAsia" w:ascii="Times New Roman" w:hAnsi="Times New Roman" w:cs="Times New Roman"/>
          <w:b/>
          <w:bCs/>
          <w:color w:val="auto"/>
          <w:kern w:val="2"/>
          <w:sz w:val="21"/>
          <w:szCs w:val="20"/>
          <w:highlight w:val="none"/>
          <w:lang w:val="en-US" w:eastAsia="zh-CN" w:bidi="ar-SA"/>
        </w:rPr>
      </w:pPr>
      <w:r>
        <w:rPr>
          <w:rFonts w:hint="eastAsia"/>
          <w:color w:val="auto"/>
          <w:spacing w:val="-3"/>
          <w:highlight w:val="none"/>
          <w:lang w:eastAsia="zh-CN"/>
        </w:rPr>
        <w:t>本</w:t>
      </w:r>
      <w:r>
        <w:rPr>
          <w:rFonts w:hint="eastAsia"/>
          <w:color w:val="auto"/>
          <w:spacing w:val="-3"/>
          <w:highlight w:val="none"/>
          <w:lang w:val="en-US" w:eastAsia="zh-CN"/>
        </w:rPr>
        <w:t>标段即</w:t>
      </w:r>
      <w:r>
        <w:rPr>
          <w:rFonts w:hint="eastAsia" w:ascii="Arial"/>
          <w:color w:val="auto"/>
          <w:highlight w:val="none"/>
          <w:lang w:eastAsia="zh-CN"/>
        </w:rPr>
        <w:t>2024年三门县普通国道路基路面养护工程设计</w:t>
      </w:r>
      <w:r>
        <w:rPr>
          <w:rFonts w:hint="eastAsia"/>
          <w:color w:val="auto"/>
          <w:spacing w:val="-3"/>
          <w:highlight w:val="none"/>
          <w:lang w:eastAsia="zh-CN"/>
        </w:rPr>
        <w:t>，</w:t>
      </w:r>
      <w:r>
        <w:rPr>
          <w:color w:val="auto"/>
          <w:spacing w:val="-3"/>
          <w:highlight w:val="none"/>
        </w:rPr>
        <w:t>预计建设内容为：</w:t>
      </w:r>
      <w:r>
        <w:rPr>
          <w:rFonts w:hint="eastAsia" w:ascii="Times New Roman" w:hAnsi="Times New Roman" w:cs="Times New Roman"/>
          <w:color w:val="auto"/>
          <w:kern w:val="2"/>
          <w:sz w:val="21"/>
          <w:szCs w:val="20"/>
          <w:highlight w:val="none"/>
          <w:lang w:val="en-US" w:eastAsia="zh-CN" w:bidi="ar-SA"/>
        </w:rPr>
        <w:t>三门县公路与运输管理中心所管辖的G228丹东线国道路面养护大中修、修复和完善该路段护栏、标志标线等沿线附属设施及其他不可预见项目（上级部门有统一安排的除外），</w:t>
      </w:r>
      <w:r>
        <w:rPr>
          <w:rFonts w:hint="eastAsia" w:ascii="Times New Roman" w:hAnsi="Times New Roman" w:cs="Times New Roman"/>
          <w:color w:val="auto"/>
          <w:kern w:val="2"/>
          <w:sz w:val="21"/>
          <w:szCs w:val="20"/>
          <w:highlight w:val="none"/>
          <w:u w:val="single"/>
          <w:lang w:val="en-US" w:eastAsia="zh-CN" w:bidi="ar-SA"/>
        </w:rPr>
        <w:t>预计总投资</w:t>
      </w:r>
      <w:r>
        <w:rPr>
          <w:rFonts w:hint="eastAsia" w:ascii="Times New Roman" w:hAnsi="Times New Roman" w:eastAsia="宋体" w:cs="Times New Roman"/>
          <w:color w:val="auto"/>
          <w:kern w:val="2"/>
          <w:sz w:val="21"/>
          <w:szCs w:val="20"/>
          <w:highlight w:val="none"/>
          <w:u w:val="single"/>
          <w:lang w:val="en-US" w:eastAsia="zh-CN" w:bidi="ar-SA"/>
        </w:rPr>
        <w:t>约2599万元</w:t>
      </w:r>
      <w:r>
        <w:rPr>
          <w:rFonts w:hint="eastAsia" w:ascii="Times New Roman" w:hAnsi="Times New Roman" w:cs="Times New Roman"/>
          <w:color w:val="auto"/>
          <w:kern w:val="2"/>
          <w:sz w:val="21"/>
          <w:szCs w:val="20"/>
          <w:highlight w:val="none"/>
          <w:u w:val="single"/>
          <w:lang w:val="en-US" w:eastAsia="zh-CN" w:bidi="ar-SA"/>
        </w:rPr>
        <w:t>，具体投资以上级主管部门的实际批复为准。</w:t>
      </w:r>
      <w:r>
        <w:rPr>
          <w:rFonts w:ascii="Times New Roman" w:hAnsi="Times New Roman" w:eastAsia="宋体" w:cs="Times New Roman"/>
          <w:color w:val="auto"/>
          <w:kern w:val="2"/>
          <w:sz w:val="21"/>
          <w:szCs w:val="20"/>
          <w:highlight w:val="none"/>
          <w:lang w:val="en-US" w:bidi="ar-SA"/>
        </w:rPr>
        <w:t>总投资</w:t>
      </w:r>
      <w:r>
        <w:rPr>
          <w:rFonts w:hint="eastAsia" w:ascii="Times New Roman" w:hAnsi="Times New Roman" w:eastAsia="宋体" w:cs="Times New Roman"/>
          <w:color w:val="auto"/>
          <w:kern w:val="2"/>
          <w:sz w:val="21"/>
          <w:szCs w:val="20"/>
          <w:highlight w:val="none"/>
          <w:lang w:val="en-US" w:eastAsia="zh-CN" w:bidi="ar-SA"/>
        </w:rPr>
        <w:t>2599</w:t>
      </w:r>
      <w:r>
        <w:rPr>
          <w:rFonts w:ascii="Times New Roman" w:hAnsi="Times New Roman" w:eastAsia="宋体" w:cs="Times New Roman"/>
          <w:color w:val="auto"/>
          <w:kern w:val="2"/>
          <w:sz w:val="21"/>
          <w:szCs w:val="20"/>
          <w:highlight w:val="none"/>
          <w:lang w:val="en-US" w:bidi="ar-SA"/>
        </w:rPr>
        <w:t>万元为暂估值，</w:t>
      </w:r>
      <w:r>
        <w:rPr>
          <w:rFonts w:ascii="Times New Roman" w:hAnsi="Times New Roman" w:eastAsia="宋体" w:cs="Times New Roman"/>
          <w:b/>
          <w:bCs/>
          <w:color w:val="auto"/>
          <w:kern w:val="2"/>
          <w:sz w:val="21"/>
          <w:szCs w:val="20"/>
          <w:highlight w:val="none"/>
          <w:lang w:val="en-US" w:bidi="ar-SA"/>
        </w:rPr>
        <w:t>若</w:t>
      </w:r>
      <w:r>
        <w:rPr>
          <w:rFonts w:hint="eastAsia" w:ascii="Times New Roman" w:hAnsi="Times New Roman" w:eastAsia="宋体" w:cs="Times New Roman"/>
          <w:b/>
          <w:bCs/>
          <w:color w:val="auto"/>
          <w:kern w:val="2"/>
          <w:sz w:val="21"/>
          <w:szCs w:val="20"/>
          <w:highlight w:val="none"/>
          <w:lang w:val="en-US" w:eastAsia="zh-CN" w:bidi="ar-SA"/>
        </w:rPr>
        <w:t>本</w:t>
      </w:r>
      <w:r>
        <w:rPr>
          <w:rFonts w:hint="eastAsia" w:ascii="Times New Roman" w:hAnsi="Times New Roman" w:cs="Times New Roman"/>
          <w:b/>
          <w:bCs/>
          <w:color w:val="auto"/>
          <w:kern w:val="2"/>
          <w:sz w:val="21"/>
          <w:szCs w:val="20"/>
          <w:highlight w:val="none"/>
          <w:lang w:val="en-US" w:eastAsia="zh-CN" w:bidi="ar-SA"/>
        </w:rPr>
        <w:t>标段</w:t>
      </w:r>
      <w:r>
        <w:rPr>
          <w:rFonts w:ascii="Times New Roman" w:hAnsi="Times New Roman" w:eastAsia="宋体" w:cs="Times New Roman"/>
          <w:b/>
          <w:bCs/>
          <w:color w:val="auto"/>
          <w:kern w:val="2"/>
          <w:sz w:val="21"/>
          <w:szCs w:val="20"/>
          <w:highlight w:val="none"/>
          <w:lang w:val="en-US" w:bidi="ar-SA"/>
        </w:rPr>
        <w:t>国道项目批复不足</w:t>
      </w:r>
      <w:r>
        <w:rPr>
          <w:rFonts w:hint="eastAsia" w:ascii="Times New Roman" w:hAnsi="Times New Roman" w:eastAsia="宋体" w:cs="Times New Roman"/>
          <w:b/>
          <w:bCs/>
          <w:color w:val="auto"/>
          <w:kern w:val="2"/>
          <w:sz w:val="21"/>
          <w:szCs w:val="20"/>
          <w:highlight w:val="none"/>
          <w:lang w:val="en-US" w:eastAsia="zh-CN" w:bidi="ar-SA"/>
        </w:rPr>
        <w:t>2599</w:t>
      </w:r>
      <w:r>
        <w:rPr>
          <w:rFonts w:ascii="Times New Roman" w:hAnsi="Times New Roman" w:eastAsia="宋体" w:cs="Times New Roman"/>
          <w:b/>
          <w:bCs/>
          <w:color w:val="auto"/>
          <w:kern w:val="2"/>
          <w:sz w:val="21"/>
          <w:szCs w:val="20"/>
          <w:highlight w:val="none"/>
          <w:lang w:val="en-US" w:bidi="ar-SA"/>
        </w:rPr>
        <w:t>万的，其项目投入成本、风险由投标人自行考虑。若国道项目批复超过</w:t>
      </w:r>
      <w:r>
        <w:rPr>
          <w:rFonts w:hint="eastAsia" w:ascii="Times New Roman" w:hAnsi="Times New Roman" w:eastAsia="宋体" w:cs="Times New Roman"/>
          <w:b/>
          <w:bCs/>
          <w:color w:val="auto"/>
          <w:kern w:val="2"/>
          <w:sz w:val="21"/>
          <w:szCs w:val="20"/>
          <w:highlight w:val="none"/>
          <w:lang w:val="en-US" w:eastAsia="zh-CN" w:bidi="ar-SA"/>
        </w:rPr>
        <w:t>2599</w:t>
      </w:r>
      <w:r>
        <w:rPr>
          <w:rFonts w:ascii="Times New Roman" w:hAnsi="Times New Roman" w:eastAsia="宋体" w:cs="Times New Roman"/>
          <w:b/>
          <w:bCs/>
          <w:color w:val="auto"/>
          <w:kern w:val="2"/>
          <w:sz w:val="21"/>
          <w:szCs w:val="20"/>
          <w:highlight w:val="none"/>
          <w:lang w:val="en-US" w:bidi="ar-SA"/>
        </w:rPr>
        <w:t>万的，超过部分也由本</w:t>
      </w:r>
      <w:r>
        <w:rPr>
          <w:rFonts w:hint="eastAsia" w:ascii="Times New Roman" w:hAnsi="Times New Roman" w:cs="Times New Roman"/>
          <w:b/>
          <w:bCs/>
          <w:color w:val="auto"/>
          <w:kern w:val="2"/>
          <w:sz w:val="21"/>
          <w:szCs w:val="20"/>
          <w:highlight w:val="none"/>
          <w:lang w:val="en-US" w:eastAsia="zh-CN" w:bidi="ar-SA"/>
        </w:rPr>
        <w:t>标段</w:t>
      </w:r>
      <w:r>
        <w:rPr>
          <w:rFonts w:ascii="Times New Roman" w:hAnsi="Times New Roman" w:eastAsia="宋体" w:cs="Times New Roman"/>
          <w:b/>
          <w:bCs/>
          <w:color w:val="auto"/>
          <w:kern w:val="2"/>
          <w:sz w:val="21"/>
          <w:szCs w:val="20"/>
          <w:highlight w:val="none"/>
          <w:lang w:val="en-US" w:bidi="ar-SA"/>
        </w:rPr>
        <w:t>的中标人负责实施，不再另外委托。</w:t>
      </w:r>
    </w:p>
    <w:p>
      <w:pPr>
        <w:spacing w:before="54"/>
        <w:ind w:left="398" w:right="0" w:firstLine="0"/>
        <w:jc w:val="left"/>
        <w:outlineLvl w:val="0"/>
        <w:rPr>
          <w:color w:val="auto"/>
          <w:sz w:val="24"/>
          <w:highlight w:val="none"/>
        </w:rPr>
      </w:pPr>
      <w:bookmarkStart w:id="129" w:name="_Toc23161"/>
      <w:bookmarkStart w:id="130" w:name="_Toc30410"/>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color w:val="auto"/>
          <w:sz w:val="24"/>
          <w:highlight w:val="none"/>
        </w:rPr>
      </w:pPr>
    </w:p>
    <w:p>
      <w:pPr>
        <w:spacing w:before="54"/>
        <w:ind w:left="398" w:right="0" w:firstLine="0"/>
        <w:jc w:val="left"/>
        <w:outlineLvl w:val="0"/>
        <w:rPr>
          <w:rFonts w:ascii="Arial" w:eastAsia="Arial"/>
          <w:color w:val="auto"/>
          <w:sz w:val="24"/>
          <w:highlight w:val="none"/>
        </w:rPr>
      </w:pPr>
      <w:r>
        <w:rPr>
          <w:color w:val="auto"/>
          <w:sz w:val="24"/>
          <w:highlight w:val="none"/>
        </w:rPr>
        <w:t xml:space="preserve">附件 </w:t>
      </w:r>
      <w:r>
        <w:rPr>
          <w:rFonts w:ascii="Arial" w:eastAsia="Arial"/>
          <w:color w:val="auto"/>
          <w:sz w:val="24"/>
          <w:highlight w:val="none"/>
        </w:rPr>
        <w:t>2</w:t>
      </w:r>
      <w:bookmarkEnd w:id="129"/>
      <w:bookmarkEnd w:id="130"/>
    </w:p>
    <w:p>
      <w:pPr>
        <w:pStyle w:val="2"/>
        <w:rPr>
          <w:rFonts w:ascii="Arial"/>
          <w:color w:val="auto"/>
          <w:sz w:val="20"/>
          <w:highlight w:val="none"/>
        </w:rPr>
      </w:pPr>
    </w:p>
    <w:p>
      <w:pPr>
        <w:pStyle w:val="2"/>
        <w:spacing w:before="6"/>
        <w:rPr>
          <w:rFonts w:ascii="Arial"/>
          <w:color w:val="auto"/>
          <w:sz w:val="16"/>
          <w:highlight w:val="none"/>
        </w:rPr>
      </w:pPr>
    </w:p>
    <w:p>
      <w:pPr>
        <w:spacing w:before="54"/>
        <w:ind w:left="298" w:right="314" w:firstLine="0"/>
        <w:jc w:val="center"/>
        <w:rPr>
          <w:b/>
          <w:color w:val="auto"/>
          <w:sz w:val="32"/>
          <w:highlight w:val="none"/>
        </w:rPr>
      </w:pPr>
      <w:r>
        <w:rPr>
          <w:b/>
          <w:color w:val="auto"/>
          <w:sz w:val="32"/>
          <w:highlight w:val="none"/>
        </w:rPr>
        <w:t>设计原始资料</w:t>
      </w:r>
    </w:p>
    <w:p>
      <w:pPr>
        <w:pStyle w:val="2"/>
        <w:spacing w:before="6"/>
        <w:rPr>
          <w:b/>
          <w:color w:val="auto"/>
          <w:sz w:val="36"/>
          <w:highlight w:val="none"/>
        </w:rPr>
      </w:pPr>
    </w:p>
    <w:p>
      <w:pPr>
        <w:autoSpaceDE/>
        <w:autoSpaceDN/>
        <w:spacing w:before="0" w:after="0" w:line="440" w:lineRule="exact"/>
        <w:ind w:left="440" w:leftChars="200" w:right="0" w:firstLine="438" w:firstLineChars="209"/>
        <w:jc w:val="both"/>
        <w:rPr>
          <w:rFonts w:ascii="Times New Roman" w:hAnsi="Times New Roman" w:eastAsia="宋体" w:cs="Times New Roman"/>
          <w:color w:val="auto"/>
          <w:kern w:val="2"/>
          <w:sz w:val="21"/>
          <w:szCs w:val="20"/>
          <w:highlight w:val="none"/>
          <w:lang w:val="en-US" w:bidi="ar-SA"/>
        </w:rPr>
      </w:pPr>
      <w:r>
        <w:rPr>
          <w:rFonts w:ascii="Times New Roman" w:hAnsi="Times New Roman" w:eastAsia="宋体" w:cs="Times New Roman"/>
          <w:color w:val="auto"/>
          <w:kern w:val="2"/>
          <w:sz w:val="21"/>
          <w:szCs w:val="20"/>
          <w:highlight w:val="none"/>
          <w:lang w:val="en-US" w:bidi="ar-SA"/>
        </w:rPr>
        <w:t>本项目设计原始资料由招标人提供 。</w:t>
      </w:r>
    </w:p>
    <w:p>
      <w:pPr>
        <w:spacing w:after="0"/>
        <w:jc w:val="left"/>
        <w:rPr>
          <w:color w:val="auto"/>
          <w:sz w:val="24"/>
          <w:highlight w:val="none"/>
        </w:rPr>
        <w:sectPr>
          <w:pgSz w:w="11910" w:h="16840"/>
          <w:pgMar w:top="1417" w:right="860" w:bottom="1417" w:left="960" w:header="0" w:footer="672" w:gutter="0"/>
          <w:pgBorders>
            <w:top w:val="none" w:sz="0" w:space="0"/>
            <w:left w:val="none" w:sz="0" w:space="0"/>
            <w:bottom w:val="none" w:sz="0" w:space="0"/>
            <w:right w:val="none" w:sz="0" w:space="0"/>
          </w:pgBorders>
          <w:pgNumType w:fmt="decimal"/>
          <w:cols w:space="720" w:num="1"/>
        </w:sectPr>
      </w:pPr>
    </w:p>
    <w:p>
      <w:pPr>
        <w:spacing w:before="43"/>
        <w:ind w:left="398" w:right="0" w:firstLine="0"/>
        <w:jc w:val="left"/>
        <w:rPr>
          <w:color w:val="auto"/>
          <w:sz w:val="24"/>
          <w:highlight w:val="none"/>
        </w:rPr>
      </w:pPr>
      <w:r>
        <w:rPr>
          <w:color w:val="auto"/>
          <w:sz w:val="24"/>
          <w:highlight w:val="none"/>
        </w:rPr>
        <w:t>附表一</w:t>
      </w:r>
    </w:p>
    <w:p>
      <w:pPr>
        <w:pStyle w:val="2"/>
        <w:spacing w:before="6"/>
        <w:rPr>
          <w:color w:val="auto"/>
          <w:sz w:val="27"/>
          <w:highlight w:val="none"/>
        </w:rPr>
      </w:pPr>
    </w:p>
    <w:p>
      <w:pPr>
        <w:tabs>
          <w:tab w:val="left" w:pos="1125"/>
        </w:tabs>
        <w:spacing w:before="71"/>
        <w:ind w:left="0" w:right="14" w:firstLine="0"/>
        <w:jc w:val="center"/>
        <w:rPr>
          <w:b/>
          <w:color w:val="auto"/>
          <w:sz w:val="28"/>
          <w:highlight w:val="none"/>
        </w:rPr>
      </w:pPr>
      <w:r>
        <w:rPr>
          <w:rFonts w:ascii="Times New Roman" w:eastAsia="Times New Roman"/>
          <w:b/>
          <w:color w:val="auto"/>
          <w:w w:val="100"/>
          <w:sz w:val="28"/>
          <w:highlight w:val="none"/>
          <w:u w:val="thick"/>
        </w:rPr>
        <w:t xml:space="preserve"> </w:t>
      </w:r>
      <w:r>
        <w:rPr>
          <w:rFonts w:ascii="Times New Roman" w:eastAsia="Times New Roman"/>
          <w:b/>
          <w:color w:val="auto"/>
          <w:sz w:val="28"/>
          <w:highlight w:val="none"/>
          <w:u w:val="thick"/>
        </w:rPr>
        <w:tab/>
      </w:r>
      <w:r>
        <w:rPr>
          <w:b/>
          <w:color w:val="auto"/>
          <w:sz w:val="28"/>
          <w:highlight w:val="none"/>
        </w:rPr>
        <w:t>（项目名称）设计第一信封</w:t>
      </w:r>
    </w:p>
    <w:p>
      <w:pPr>
        <w:spacing w:before="42"/>
        <w:ind w:left="299" w:right="314" w:firstLine="0"/>
        <w:jc w:val="center"/>
        <w:rPr>
          <w:b/>
          <w:color w:val="auto"/>
          <w:sz w:val="28"/>
          <w:highlight w:val="none"/>
        </w:rPr>
      </w:pPr>
      <w:r>
        <w:rPr>
          <w:b/>
          <w:color w:val="auto"/>
          <w:sz w:val="28"/>
          <w:highlight w:val="none"/>
        </w:rPr>
        <w:t>（商务及技术文件）开标记录表</w:t>
      </w:r>
    </w:p>
    <w:p>
      <w:pPr>
        <w:pStyle w:val="2"/>
        <w:spacing w:before="11"/>
        <w:rPr>
          <w:b/>
          <w:color w:val="auto"/>
          <w:sz w:val="34"/>
          <w:highlight w:val="none"/>
        </w:rPr>
      </w:pPr>
    </w:p>
    <w:p>
      <w:pPr>
        <w:tabs>
          <w:tab w:val="left" w:pos="6251"/>
          <w:tab w:val="left" w:pos="6851"/>
          <w:tab w:val="left" w:pos="7451"/>
          <w:tab w:val="left" w:pos="8171"/>
          <w:tab w:val="left" w:pos="8891"/>
        </w:tabs>
        <w:spacing w:before="0"/>
        <w:ind w:left="4598" w:right="0" w:firstLine="0"/>
        <w:jc w:val="left"/>
        <w:rPr>
          <w:color w:val="auto"/>
          <w:sz w:val="24"/>
          <w:highlight w:val="none"/>
        </w:rPr>
      </w:pPr>
      <w:r>
        <w:rPr>
          <w:color w:val="auto"/>
          <w:sz w:val="24"/>
          <w:highlight w:val="none"/>
        </w:rPr>
        <w:t>开标时间</w:t>
      </w:r>
      <w:r>
        <w:rPr>
          <w:color w:val="auto"/>
          <w:spacing w:val="-27"/>
          <w:sz w:val="24"/>
          <w:highlight w:val="none"/>
        </w:rPr>
        <w:t>：</w:t>
      </w:r>
      <w:r>
        <w:rPr>
          <w:color w:val="auto"/>
          <w:spacing w:val="-27"/>
          <w:sz w:val="24"/>
          <w:highlight w:val="none"/>
          <w:u w:val="single"/>
        </w:rPr>
        <w:t xml:space="preserve"> </w:t>
      </w:r>
      <w:r>
        <w:rPr>
          <w:color w:val="auto"/>
          <w:spacing w:val="-27"/>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u w:val="single"/>
        </w:rPr>
        <w:tab/>
      </w:r>
      <w:r>
        <w:rPr>
          <w:color w:val="auto"/>
          <w:sz w:val="24"/>
          <w:highlight w:val="none"/>
        </w:rPr>
        <w:t>月</w:t>
      </w:r>
      <w:r>
        <w:rPr>
          <w:color w:val="auto"/>
          <w:sz w:val="24"/>
          <w:highlight w:val="none"/>
          <w:u w:val="single"/>
        </w:rPr>
        <w:t xml:space="preserve"> </w:t>
      </w:r>
      <w:r>
        <w:rPr>
          <w:color w:val="auto"/>
          <w:sz w:val="24"/>
          <w:highlight w:val="none"/>
          <w:u w:val="single"/>
        </w:rPr>
        <w:tab/>
      </w:r>
      <w:r>
        <w:rPr>
          <w:color w:val="auto"/>
          <w:sz w:val="24"/>
          <w:highlight w:val="none"/>
        </w:rPr>
        <w:t>日</w:t>
      </w:r>
      <w:r>
        <w:rPr>
          <w:color w:val="auto"/>
          <w:sz w:val="24"/>
          <w:highlight w:val="none"/>
          <w:u w:val="single"/>
        </w:rPr>
        <w:t xml:space="preserve"> </w:t>
      </w:r>
      <w:r>
        <w:rPr>
          <w:color w:val="auto"/>
          <w:sz w:val="24"/>
          <w:highlight w:val="none"/>
          <w:u w:val="single"/>
        </w:rPr>
        <w:tab/>
      </w:r>
      <w:r>
        <w:rPr>
          <w:color w:val="auto"/>
          <w:sz w:val="24"/>
          <w:highlight w:val="none"/>
        </w:rPr>
        <w:t>时</w:t>
      </w:r>
      <w:r>
        <w:rPr>
          <w:color w:val="auto"/>
          <w:sz w:val="24"/>
          <w:highlight w:val="none"/>
          <w:u w:val="single"/>
        </w:rPr>
        <w:t xml:space="preserve"> </w:t>
      </w:r>
      <w:r>
        <w:rPr>
          <w:color w:val="auto"/>
          <w:sz w:val="24"/>
          <w:highlight w:val="none"/>
          <w:u w:val="single"/>
        </w:rPr>
        <w:tab/>
      </w:r>
      <w:r>
        <w:rPr>
          <w:color w:val="auto"/>
          <w:sz w:val="24"/>
          <w:highlight w:val="none"/>
        </w:rPr>
        <w:t>分</w:t>
      </w:r>
    </w:p>
    <w:p>
      <w:pPr>
        <w:pStyle w:val="2"/>
        <w:rPr>
          <w:color w:val="auto"/>
          <w:sz w:val="20"/>
          <w:highlight w:val="none"/>
        </w:rPr>
      </w:pPr>
    </w:p>
    <w:p>
      <w:pPr>
        <w:pStyle w:val="2"/>
        <w:spacing w:before="2"/>
        <w:rPr>
          <w:color w:val="auto"/>
          <w:sz w:val="10"/>
          <w:highlight w:val="none"/>
        </w:rPr>
      </w:pPr>
    </w:p>
    <w:tbl>
      <w:tblPr>
        <w:tblStyle w:val="26"/>
        <w:tblW w:w="0" w:type="auto"/>
        <w:tblInd w:w="40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42"/>
        <w:gridCol w:w="1027"/>
        <w:gridCol w:w="1236"/>
        <w:gridCol w:w="1195"/>
        <w:gridCol w:w="1447"/>
        <w:gridCol w:w="1394"/>
        <w:gridCol w:w="957"/>
        <w:gridCol w:w="119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2" w:hRule="atLeast"/>
        </w:trPr>
        <w:tc>
          <w:tcPr>
            <w:tcW w:w="842" w:type="dxa"/>
            <w:tcBorders>
              <w:bottom w:val="single" w:color="000000" w:sz="6" w:space="0"/>
              <w:right w:val="single" w:color="000000" w:sz="6" w:space="0"/>
            </w:tcBorders>
          </w:tcPr>
          <w:p>
            <w:pPr>
              <w:pStyle w:val="31"/>
              <w:spacing w:before="4"/>
              <w:rPr>
                <w:color w:val="auto"/>
                <w:sz w:val="22"/>
                <w:highlight w:val="none"/>
              </w:rPr>
            </w:pPr>
          </w:p>
          <w:p>
            <w:pPr>
              <w:pStyle w:val="31"/>
              <w:ind w:left="210"/>
              <w:rPr>
                <w:color w:val="auto"/>
                <w:sz w:val="21"/>
                <w:highlight w:val="none"/>
              </w:rPr>
            </w:pPr>
            <w:r>
              <w:rPr>
                <w:color w:val="auto"/>
                <w:sz w:val="21"/>
                <w:highlight w:val="none"/>
              </w:rPr>
              <w:t>序号</w:t>
            </w:r>
          </w:p>
        </w:tc>
        <w:tc>
          <w:tcPr>
            <w:tcW w:w="1027" w:type="dxa"/>
            <w:tcBorders>
              <w:left w:val="single" w:color="000000" w:sz="6" w:space="0"/>
              <w:bottom w:val="single" w:color="000000" w:sz="6" w:space="0"/>
              <w:right w:val="single" w:color="000000" w:sz="6" w:space="0"/>
            </w:tcBorders>
          </w:tcPr>
          <w:p>
            <w:pPr>
              <w:pStyle w:val="31"/>
              <w:spacing w:before="4"/>
              <w:rPr>
                <w:color w:val="auto"/>
                <w:sz w:val="22"/>
                <w:highlight w:val="none"/>
              </w:rPr>
            </w:pPr>
          </w:p>
          <w:p>
            <w:pPr>
              <w:pStyle w:val="31"/>
              <w:ind w:left="206"/>
              <w:rPr>
                <w:color w:val="auto"/>
                <w:sz w:val="21"/>
                <w:highlight w:val="none"/>
              </w:rPr>
            </w:pPr>
            <w:r>
              <w:rPr>
                <w:color w:val="auto"/>
                <w:sz w:val="21"/>
                <w:highlight w:val="none"/>
              </w:rPr>
              <w:t>投标人</w:t>
            </w:r>
          </w:p>
        </w:tc>
        <w:tc>
          <w:tcPr>
            <w:tcW w:w="1236" w:type="dxa"/>
            <w:tcBorders>
              <w:left w:val="single" w:color="000000" w:sz="6" w:space="0"/>
              <w:bottom w:val="single" w:color="000000" w:sz="6" w:space="0"/>
              <w:right w:val="single" w:color="000000" w:sz="6" w:space="0"/>
            </w:tcBorders>
          </w:tcPr>
          <w:p>
            <w:pPr>
              <w:pStyle w:val="31"/>
              <w:spacing w:before="4"/>
              <w:rPr>
                <w:color w:val="auto"/>
                <w:sz w:val="22"/>
                <w:highlight w:val="none"/>
              </w:rPr>
            </w:pPr>
          </w:p>
          <w:p>
            <w:pPr>
              <w:pStyle w:val="31"/>
              <w:ind w:left="204"/>
              <w:rPr>
                <w:color w:val="auto"/>
                <w:sz w:val="21"/>
                <w:highlight w:val="none"/>
              </w:rPr>
            </w:pPr>
            <w:r>
              <w:rPr>
                <w:color w:val="auto"/>
                <w:sz w:val="21"/>
                <w:highlight w:val="none"/>
              </w:rPr>
              <w:t>送达情况</w:t>
            </w:r>
          </w:p>
        </w:tc>
        <w:tc>
          <w:tcPr>
            <w:tcW w:w="1195" w:type="dxa"/>
            <w:tcBorders>
              <w:left w:val="single" w:color="000000" w:sz="6" w:space="0"/>
              <w:bottom w:val="single" w:color="000000" w:sz="6" w:space="0"/>
              <w:right w:val="single" w:color="000000" w:sz="6" w:space="0"/>
            </w:tcBorders>
          </w:tcPr>
          <w:p>
            <w:pPr>
              <w:pStyle w:val="31"/>
              <w:spacing w:before="4"/>
              <w:rPr>
                <w:color w:val="auto"/>
                <w:sz w:val="22"/>
                <w:highlight w:val="none"/>
              </w:rPr>
            </w:pPr>
          </w:p>
          <w:p>
            <w:pPr>
              <w:pStyle w:val="31"/>
              <w:ind w:left="185"/>
              <w:rPr>
                <w:color w:val="auto"/>
                <w:sz w:val="21"/>
                <w:highlight w:val="none"/>
              </w:rPr>
            </w:pPr>
            <w:r>
              <w:rPr>
                <w:color w:val="auto"/>
                <w:sz w:val="21"/>
                <w:highlight w:val="none"/>
              </w:rPr>
              <w:t>密封情况</w:t>
            </w:r>
          </w:p>
        </w:tc>
        <w:tc>
          <w:tcPr>
            <w:tcW w:w="1447" w:type="dxa"/>
            <w:tcBorders>
              <w:left w:val="single" w:color="000000" w:sz="6" w:space="0"/>
              <w:bottom w:val="single" w:color="000000" w:sz="6" w:space="0"/>
              <w:right w:val="single" w:color="000000" w:sz="6" w:space="0"/>
            </w:tcBorders>
          </w:tcPr>
          <w:p>
            <w:pPr>
              <w:pStyle w:val="31"/>
              <w:spacing w:before="4"/>
              <w:rPr>
                <w:color w:val="auto"/>
                <w:sz w:val="22"/>
                <w:highlight w:val="none"/>
              </w:rPr>
            </w:pPr>
          </w:p>
          <w:p>
            <w:pPr>
              <w:pStyle w:val="31"/>
              <w:ind w:left="204"/>
              <w:rPr>
                <w:color w:val="auto"/>
                <w:sz w:val="21"/>
                <w:highlight w:val="none"/>
              </w:rPr>
            </w:pPr>
            <w:r>
              <w:rPr>
                <w:color w:val="auto"/>
                <w:sz w:val="21"/>
                <w:highlight w:val="none"/>
              </w:rPr>
              <w:t>项目负责人</w:t>
            </w:r>
          </w:p>
        </w:tc>
        <w:tc>
          <w:tcPr>
            <w:tcW w:w="1394" w:type="dxa"/>
            <w:tcBorders>
              <w:left w:val="single" w:color="000000" w:sz="6" w:space="0"/>
              <w:bottom w:val="single" w:color="000000" w:sz="6" w:space="0"/>
              <w:right w:val="single" w:color="000000" w:sz="6" w:space="0"/>
            </w:tcBorders>
          </w:tcPr>
          <w:p>
            <w:pPr>
              <w:pStyle w:val="31"/>
              <w:spacing w:before="2" w:line="380" w:lineRule="exact"/>
              <w:ind w:left="180" w:right="142"/>
              <w:rPr>
                <w:color w:val="auto"/>
                <w:sz w:val="21"/>
                <w:highlight w:val="none"/>
              </w:rPr>
            </w:pPr>
            <w:r>
              <w:rPr>
                <w:color w:val="auto"/>
                <w:sz w:val="21"/>
                <w:highlight w:val="none"/>
              </w:rPr>
              <w:t>是否参加第二信封开标</w:t>
            </w:r>
          </w:p>
        </w:tc>
        <w:tc>
          <w:tcPr>
            <w:tcW w:w="957" w:type="dxa"/>
            <w:tcBorders>
              <w:left w:val="single" w:color="000000" w:sz="6" w:space="0"/>
              <w:bottom w:val="single" w:color="000000" w:sz="6" w:space="0"/>
              <w:right w:val="single" w:color="000000" w:sz="6" w:space="0"/>
            </w:tcBorders>
          </w:tcPr>
          <w:p>
            <w:pPr>
              <w:pStyle w:val="31"/>
              <w:spacing w:before="4"/>
              <w:rPr>
                <w:color w:val="auto"/>
                <w:sz w:val="22"/>
                <w:highlight w:val="none"/>
              </w:rPr>
            </w:pPr>
          </w:p>
          <w:p>
            <w:pPr>
              <w:pStyle w:val="31"/>
              <w:ind w:left="279"/>
              <w:rPr>
                <w:color w:val="auto"/>
                <w:sz w:val="21"/>
                <w:highlight w:val="none"/>
              </w:rPr>
            </w:pPr>
            <w:r>
              <w:rPr>
                <w:color w:val="auto"/>
                <w:sz w:val="21"/>
                <w:highlight w:val="none"/>
              </w:rPr>
              <w:t>备注</w:t>
            </w:r>
          </w:p>
        </w:tc>
        <w:tc>
          <w:tcPr>
            <w:tcW w:w="1197" w:type="dxa"/>
            <w:tcBorders>
              <w:left w:val="single" w:color="000000" w:sz="6" w:space="0"/>
              <w:bottom w:val="single" w:color="000000" w:sz="6" w:space="0"/>
            </w:tcBorders>
          </w:tcPr>
          <w:p>
            <w:pPr>
              <w:pStyle w:val="31"/>
              <w:spacing w:before="4"/>
              <w:rPr>
                <w:color w:val="auto"/>
                <w:sz w:val="22"/>
                <w:highlight w:val="none"/>
              </w:rPr>
            </w:pPr>
          </w:p>
          <w:p>
            <w:pPr>
              <w:pStyle w:val="31"/>
              <w:ind w:left="397"/>
              <w:rPr>
                <w:color w:val="auto"/>
                <w:sz w:val="21"/>
                <w:highlight w:val="none"/>
              </w:rPr>
            </w:pPr>
            <w:r>
              <w:rPr>
                <w:color w:val="auto"/>
                <w:sz w:val="21"/>
                <w:highlight w:val="none"/>
              </w:rPr>
              <w:t>签名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842"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23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44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3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95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7"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842"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23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44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3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95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7"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842"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23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44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3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95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7"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842"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23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44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3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95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7"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842"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23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44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3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95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7"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842"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23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44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3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95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7"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842"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23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44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3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95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7"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842"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23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44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3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95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7"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842"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23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44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3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95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7"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842"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23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44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3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95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7"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842"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23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44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3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95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7"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842"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23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44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3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95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7"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842"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02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23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44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3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95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197"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842" w:type="dxa"/>
            <w:tcBorders>
              <w:top w:val="single" w:color="000000" w:sz="6" w:space="0"/>
              <w:right w:val="single" w:color="000000" w:sz="6" w:space="0"/>
            </w:tcBorders>
          </w:tcPr>
          <w:p>
            <w:pPr>
              <w:pStyle w:val="31"/>
              <w:rPr>
                <w:rFonts w:ascii="Times New Roman"/>
                <w:color w:val="auto"/>
                <w:sz w:val="22"/>
                <w:highlight w:val="none"/>
              </w:rPr>
            </w:pPr>
          </w:p>
        </w:tc>
        <w:tc>
          <w:tcPr>
            <w:tcW w:w="1027"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236"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195"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447"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394"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957"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197" w:type="dxa"/>
            <w:tcBorders>
              <w:top w:val="single" w:color="000000" w:sz="6" w:space="0"/>
              <w:left w:val="single" w:color="000000" w:sz="6" w:space="0"/>
            </w:tcBorders>
          </w:tcPr>
          <w:p>
            <w:pPr>
              <w:pStyle w:val="31"/>
              <w:rPr>
                <w:rFonts w:ascii="Times New Roman"/>
                <w:color w:val="auto"/>
                <w:sz w:val="22"/>
                <w:highlight w:val="none"/>
              </w:rPr>
            </w:pPr>
          </w:p>
        </w:tc>
      </w:tr>
    </w:tbl>
    <w:p>
      <w:pPr>
        <w:pStyle w:val="2"/>
        <w:rPr>
          <w:color w:val="auto"/>
          <w:sz w:val="20"/>
          <w:highlight w:val="none"/>
        </w:rPr>
      </w:pPr>
    </w:p>
    <w:p>
      <w:pPr>
        <w:pStyle w:val="2"/>
        <w:spacing w:before="7"/>
        <w:rPr>
          <w:color w:val="auto"/>
          <w:sz w:val="17"/>
          <w:highlight w:val="none"/>
        </w:rPr>
      </w:pPr>
    </w:p>
    <w:p>
      <w:pPr>
        <w:pStyle w:val="2"/>
        <w:tabs>
          <w:tab w:val="left" w:pos="3758"/>
          <w:tab w:val="left" w:pos="4070"/>
          <w:tab w:val="left" w:pos="6275"/>
          <w:tab w:val="left" w:pos="6695"/>
          <w:tab w:val="left" w:pos="9321"/>
        </w:tabs>
        <w:ind w:left="818"/>
        <w:rPr>
          <w:rFonts w:ascii="Times New Roman" w:eastAsia="Times New Roman"/>
          <w:color w:val="auto"/>
          <w:highlight w:val="none"/>
        </w:rPr>
      </w:pPr>
      <w:r>
        <w:rPr>
          <w:color w:val="auto"/>
          <w:highlight w:val="none"/>
        </w:rPr>
        <w:t>招标</w:t>
      </w:r>
      <w:r>
        <w:rPr>
          <w:color w:val="auto"/>
          <w:spacing w:val="-3"/>
          <w:highlight w:val="none"/>
        </w:rPr>
        <w:t>人</w:t>
      </w:r>
      <w:r>
        <w:rPr>
          <w:color w:val="auto"/>
          <w:highlight w:val="none"/>
        </w:rPr>
        <w:t>代</w:t>
      </w:r>
      <w:r>
        <w:rPr>
          <w:color w:val="auto"/>
          <w:spacing w:val="-3"/>
          <w:highlight w:val="none"/>
        </w:rPr>
        <w:t>表</w:t>
      </w:r>
      <w:r>
        <w:rPr>
          <w:color w:val="auto"/>
          <w:highlight w:val="none"/>
        </w:rPr>
        <w:t>：</w:t>
      </w:r>
      <w:r>
        <w:rPr>
          <w:color w:val="auto"/>
          <w:highlight w:val="none"/>
          <w:u w:val="single"/>
        </w:rPr>
        <w:t xml:space="preserve"> </w:t>
      </w:r>
      <w:r>
        <w:rPr>
          <w:color w:val="auto"/>
          <w:highlight w:val="none"/>
          <w:u w:val="single"/>
        </w:rPr>
        <w:tab/>
      </w:r>
      <w:r>
        <w:rPr>
          <w:color w:val="auto"/>
          <w:highlight w:val="none"/>
        </w:rPr>
        <w:tab/>
      </w:r>
      <w:r>
        <w:rPr>
          <w:color w:val="auto"/>
          <w:highlight w:val="none"/>
        </w:rPr>
        <w:t>记录人：</w:t>
      </w:r>
      <w:r>
        <w:rPr>
          <w:color w:val="auto"/>
          <w:highlight w:val="none"/>
          <w:u w:val="single"/>
        </w:rPr>
        <w:t xml:space="preserve"> </w:t>
      </w:r>
      <w:r>
        <w:rPr>
          <w:color w:val="auto"/>
          <w:highlight w:val="none"/>
          <w:u w:val="single"/>
        </w:rPr>
        <w:tab/>
      </w:r>
      <w:r>
        <w:rPr>
          <w:color w:val="auto"/>
          <w:highlight w:val="none"/>
        </w:rPr>
        <w:tab/>
      </w:r>
      <w:r>
        <w:rPr>
          <w:color w:val="auto"/>
          <w:highlight w:val="none"/>
        </w:rPr>
        <w:t>监标人：</w:t>
      </w:r>
      <w:r>
        <w:rPr>
          <w:rFonts w:ascii="Times New Roman" w:eastAsia="Times New Roman"/>
          <w:color w:val="auto"/>
          <w:highlight w:val="none"/>
          <w:u w:val="single"/>
        </w:rPr>
        <w:t xml:space="preserve"> </w:t>
      </w:r>
      <w:r>
        <w:rPr>
          <w:rFonts w:ascii="Times New Roman" w:eastAsia="Times New Roman"/>
          <w:color w:val="auto"/>
          <w:highlight w:val="none"/>
          <w:u w:val="single"/>
        </w:rPr>
        <w:tab/>
      </w:r>
    </w:p>
    <w:p>
      <w:pPr>
        <w:pStyle w:val="2"/>
        <w:spacing w:before="1"/>
        <w:rPr>
          <w:rFonts w:ascii="Times New Roman"/>
          <w:color w:val="auto"/>
          <w:sz w:val="11"/>
          <w:highlight w:val="none"/>
        </w:rPr>
      </w:pPr>
    </w:p>
    <w:p>
      <w:pPr>
        <w:pStyle w:val="2"/>
        <w:tabs>
          <w:tab w:val="left" w:pos="6801"/>
          <w:tab w:val="left" w:pos="7744"/>
          <w:tab w:val="left" w:pos="8584"/>
        </w:tabs>
        <w:spacing w:before="71"/>
        <w:ind w:left="6172"/>
        <w:rPr>
          <w:color w:val="auto"/>
          <w:highlight w:val="none"/>
        </w:rPr>
      </w:pPr>
      <w:r>
        <w:rPr>
          <w:rFonts w:ascii="Times New Roman" w:eastAsia="Times New Roman"/>
          <w:color w:val="auto"/>
          <w:w w:val="100"/>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rPr>
        <w:t xml:space="preserve"> </w:t>
      </w:r>
      <w:r>
        <w:rPr>
          <w:rFonts w:ascii="Times New Roman" w:eastAsia="Times New Roman"/>
          <w:color w:val="auto"/>
          <w:spacing w:val="-2"/>
          <w:highlight w:val="none"/>
        </w:rPr>
        <w:t xml:space="preserve"> </w:t>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spacing w:after="0"/>
        <w:rPr>
          <w:color w:val="auto"/>
          <w:highlight w:val="none"/>
        </w:rPr>
        <w:sectPr>
          <w:pgSz w:w="11910" w:h="16840"/>
          <w:pgMar w:top="1417" w:right="860" w:bottom="1417" w:left="960" w:header="0" w:footer="672" w:gutter="0"/>
          <w:pgBorders>
            <w:top w:val="none" w:sz="0" w:space="0"/>
            <w:left w:val="none" w:sz="0" w:space="0"/>
            <w:bottom w:val="none" w:sz="0" w:space="0"/>
            <w:right w:val="none" w:sz="0" w:space="0"/>
          </w:pgBorders>
          <w:pgNumType w:fmt="decimal"/>
          <w:cols w:space="720" w:num="1"/>
        </w:sectPr>
      </w:pPr>
    </w:p>
    <w:p>
      <w:pPr>
        <w:spacing w:before="40"/>
        <w:ind w:left="398" w:right="0" w:firstLine="0"/>
        <w:jc w:val="left"/>
        <w:rPr>
          <w:color w:val="auto"/>
          <w:sz w:val="24"/>
          <w:highlight w:val="none"/>
        </w:rPr>
      </w:pPr>
      <w:r>
        <w:rPr>
          <w:color w:val="auto"/>
          <w:sz w:val="24"/>
          <w:highlight w:val="none"/>
        </w:rPr>
        <w:t>附表二</w:t>
      </w:r>
    </w:p>
    <w:p>
      <w:pPr>
        <w:pStyle w:val="2"/>
        <w:spacing w:before="9"/>
        <w:rPr>
          <w:color w:val="auto"/>
          <w:sz w:val="27"/>
          <w:highlight w:val="none"/>
        </w:rPr>
      </w:pPr>
    </w:p>
    <w:p>
      <w:pPr>
        <w:tabs>
          <w:tab w:val="left" w:pos="1125"/>
        </w:tabs>
        <w:spacing w:before="70"/>
        <w:ind w:left="0" w:right="14" w:firstLine="0"/>
        <w:jc w:val="center"/>
        <w:rPr>
          <w:b/>
          <w:color w:val="auto"/>
          <w:sz w:val="28"/>
          <w:highlight w:val="none"/>
        </w:rPr>
      </w:pPr>
      <w:r>
        <w:rPr>
          <w:rFonts w:ascii="Times New Roman" w:eastAsia="Times New Roman"/>
          <w:b/>
          <w:color w:val="auto"/>
          <w:w w:val="100"/>
          <w:sz w:val="28"/>
          <w:highlight w:val="none"/>
          <w:u w:val="thick"/>
        </w:rPr>
        <w:t xml:space="preserve"> </w:t>
      </w:r>
      <w:r>
        <w:rPr>
          <w:rFonts w:ascii="Times New Roman" w:eastAsia="Times New Roman"/>
          <w:b/>
          <w:color w:val="auto"/>
          <w:sz w:val="28"/>
          <w:highlight w:val="none"/>
          <w:u w:val="thick"/>
        </w:rPr>
        <w:tab/>
      </w:r>
      <w:r>
        <w:rPr>
          <w:b/>
          <w:color w:val="auto"/>
          <w:sz w:val="28"/>
          <w:highlight w:val="none"/>
        </w:rPr>
        <w:t>（项目名称）设计第二信封</w:t>
      </w:r>
    </w:p>
    <w:p>
      <w:pPr>
        <w:spacing w:before="42"/>
        <w:ind w:left="301" w:right="314" w:firstLine="0"/>
        <w:jc w:val="center"/>
        <w:rPr>
          <w:b/>
          <w:color w:val="auto"/>
          <w:sz w:val="28"/>
          <w:highlight w:val="none"/>
        </w:rPr>
      </w:pPr>
      <w:r>
        <w:rPr>
          <w:b/>
          <w:color w:val="auto"/>
          <w:sz w:val="28"/>
          <w:highlight w:val="none"/>
        </w:rPr>
        <w:t>（报价文件）开标记录表</w:t>
      </w:r>
    </w:p>
    <w:p>
      <w:pPr>
        <w:pStyle w:val="2"/>
        <w:spacing w:before="10" w:after="1"/>
        <w:rPr>
          <w:b/>
          <w:color w:val="auto"/>
          <w:sz w:val="29"/>
          <w:highlight w:val="none"/>
        </w:rPr>
      </w:pPr>
    </w:p>
    <w:tbl>
      <w:tblPr>
        <w:tblStyle w:val="26"/>
        <w:tblW w:w="0" w:type="auto"/>
        <w:tblInd w:w="30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15"/>
        <w:gridCol w:w="1913"/>
        <w:gridCol w:w="1915"/>
        <w:gridCol w:w="1913"/>
        <w:gridCol w:w="191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1" w:hRule="atLeast"/>
        </w:trPr>
        <w:tc>
          <w:tcPr>
            <w:tcW w:w="1915" w:type="dxa"/>
            <w:tcBorders>
              <w:bottom w:val="single" w:color="000000" w:sz="6" w:space="0"/>
              <w:right w:val="single" w:color="000000" w:sz="6" w:space="0"/>
            </w:tcBorders>
          </w:tcPr>
          <w:p>
            <w:pPr>
              <w:pStyle w:val="31"/>
              <w:spacing w:before="11"/>
              <w:rPr>
                <w:b/>
                <w:color w:val="auto"/>
                <w:sz w:val="25"/>
                <w:highlight w:val="none"/>
              </w:rPr>
            </w:pPr>
          </w:p>
          <w:p>
            <w:pPr>
              <w:pStyle w:val="31"/>
              <w:ind w:left="719" w:right="698"/>
              <w:jc w:val="center"/>
              <w:rPr>
                <w:color w:val="auto"/>
                <w:sz w:val="21"/>
                <w:highlight w:val="none"/>
              </w:rPr>
            </w:pPr>
            <w:r>
              <w:rPr>
                <w:color w:val="auto"/>
                <w:sz w:val="21"/>
                <w:highlight w:val="none"/>
              </w:rPr>
              <w:t>序号</w:t>
            </w:r>
          </w:p>
        </w:tc>
        <w:tc>
          <w:tcPr>
            <w:tcW w:w="1913" w:type="dxa"/>
            <w:tcBorders>
              <w:left w:val="single" w:color="000000" w:sz="6" w:space="0"/>
              <w:bottom w:val="single" w:color="000000" w:sz="6" w:space="0"/>
              <w:right w:val="single" w:color="000000" w:sz="6" w:space="0"/>
            </w:tcBorders>
          </w:tcPr>
          <w:p>
            <w:pPr>
              <w:pStyle w:val="31"/>
              <w:spacing w:before="11"/>
              <w:rPr>
                <w:b/>
                <w:color w:val="auto"/>
                <w:sz w:val="25"/>
                <w:highlight w:val="none"/>
              </w:rPr>
            </w:pPr>
          </w:p>
          <w:p>
            <w:pPr>
              <w:pStyle w:val="31"/>
              <w:ind w:left="648"/>
              <w:rPr>
                <w:color w:val="auto"/>
                <w:sz w:val="21"/>
                <w:highlight w:val="none"/>
              </w:rPr>
            </w:pPr>
            <w:r>
              <w:rPr>
                <w:color w:val="auto"/>
                <w:sz w:val="21"/>
                <w:highlight w:val="none"/>
              </w:rPr>
              <w:t>投标人</w:t>
            </w:r>
          </w:p>
        </w:tc>
        <w:tc>
          <w:tcPr>
            <w:tcW w:w="1915" w:type="dxa"/>
            <w:tcBorders>
              <w:left w:val="single" w:color="000000" w:sz="6" w:space="0"/>
              <w:bottom w:val="single" w:color="000000" w:sz="6" w:space="0"/>
              <w:right w:val="single" w:color="000000" w:sz="6" w:space="0"/>
            </w:tcBorders>
          </w:tcPr>
          <w:p>
            <w:pPr>
              <w:pStyle w:val="31"/>
              <w:spacing w:before="11"/>
              <w:rPr>
                <w:b/>
                <w:color w:val="auto"/>
                <w:sz w:val="25"/>
                <w:highlight w:val="none"/>
              </w:rPr>
            </w:pPr>
          </w:p>
          <w:p>
            <w:pPr>
              <w:pStyle w:val="31"/>
              <w:ind w:left="542"/>
              <w:rPr>
                <w:color w:val="auto"/>
                <w:sz w:val="21"/>
                <w:highlight w:val="none"/>
              </w:rPr>
            </w:pPr>
            <w:r>
              <w:rPr>
                <w:color w:val="auto"/>
                <w:sz w:val="21"/>
                <w:highlight w:val="none"/>
              </w:rPr>
              <w:t>投标报价</w:t>
            </w:r>
          </w:p>
        </w:tc>
        <w:tc>
          <w:tcPr>
            <w:tcW w:w="1913" w:type="dxa"/>
            <w:tcBorders>
              <w:left w:val="single" w:color="000000" w:sz="6" w:space="0"/>
              <w:bottom w:val="single" w:color="000000" w:sz="6" w:space="0"/>
              <w:right w:val="single" w:color="000000" w:sz="6" w:space="0"/>
            </w:tcBorders>
          </w:tcPr>
          <w:p>
            <w:pPr>
              <w:pStyle w:val="31"/>
              <w:spacing w:before="11"/>
              <w:rPr>
                <w:b/>
                <w:color w:val="auto"/>
                <w:sz w:val="25"/>
                <w:highlight w:val="none"/>
              </w:rPr>
            </w:pPr>
          </w:p>
          <w:p>
            <w:pPr>
              <w:pStyle w:val="31"/>
              <w:ind w:left="734" w:right="703"/>
              <w:jc w:val="center"/>
              <w:rPr>
                <w:color w:val="auto"/>
                <w:sz w:val="21"/>
                <w:highlight w:val="none"/>
              </w:rPr>
            </w:pPr>
            <w:r>
              <w:rPr>
                <w:color w:val="auto"/>
                <w:sz w:val="21"/>
                <w:highlight w:val="none"/>
              </w:rPr>
              <w:t>备注</w:t>
            </w:r>
          </w:p>
        </w:tc>
        <w:tc>
          <w:tcPr>
            <w:tcW w:w="1915" w:type="dxa"/>
            <w:tcBorders>
              <w:left w:val="single" w:color="000000" w:sz="6" w:space="0"/>
              <w:bottom w:val="single" w:color="000000" w:sz="6" w:space="0"/>
            </w:tcBorders>
          </w:tcPr>
          <w:p>
            <w:pPr>
              <w:pStyle w:val="31"/>
              <w:spacing w:before="11"/>
              <w:rPr>
                <w:b/>
                <w:color w:val="auto"/>
                <w:sz w:val="25"/>
                <w:highlight w:val="none"/>
              </w:rPr>
            </w:pPr>
          </w:p>
          <w:p>
            <w:pPr>
              <w:pStyle w:val="31"/>
              <w:ind w:left="726" w:right="690"/>
              <w:jc w:val="center"/>
              <w:rPr>
                <w:color w:val="auto"/>
                <w:sz w:val="21"/>
                <w:highlight w:val="none"/>
              </w:rPr>
            </w:pPr>
            <w:r>
              <w:rPr>
                <w:color w:val="auto"/>
                <w:sz w:val="21"/>
                <w:highlight w:val="none"/>
              </w:rPr>
              <w:t>签名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1" w:hRule="atLeast"/>
        </w:trPr>
        <w:tc>
          <w:tcPr>
            <w:tcW w:w="1915"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1" w:hRule="atLeast"/>
        </w:trPr>
        <w:tc>
          <w:tcPr>
            <w:tcW w:w="1915"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1" w:hRule="atLeast"/>
        </w:trPr>
        <w:tc>
          <w:tcPr>
            <w:tcW w:w="1915"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1" w:hRule="atLeast"/>
        </w:trPr>
        <w:tc>
          <w:tcPr>
            <w:tcW w:w="1915"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8" w:hRule="atLeast"/>
        </w:trPr>
        <w:tc>
          <w:tcPr>
            <w:tcW w:w="1915"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1" w:hRule="atLeast"/>
        </w:trPr>
        <w:tc>
          <w:tcPr>
            <w:tcW w:w="1915"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1" w:hRule="atLeast"/>
        </w:trPr>
        <w:tc>
          <w:tcPr>
            <w:tcW w:w="1915"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1" w:hRule="atLeast"/>
        </w:trPr>
        <w:tc>
          <w:tcPr>
            <w:tcW w:w="1915"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1" w:hRule="atLeast"/>
        </w:trPr>
        <w:tc>
          <w:tcPr>
            <w:tcW w:w="1915"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8" w:hRule="atLeast"/>
        </w:trPr>
        <w:tc>
          <w:tcPr>
            <w:tcW w:w="1915" w:type="dxa"/>
            <w:tcBorders>
              <w:top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tcBorders>
          </w:tcPr>
          <w:p>
            <w:pPr>
              <w:pStyle w:val="31"/>
              <w:rPr>
                <w:rFonts w:ascii="Times New Roman"/>
                <w:color w:val="auto"/>
                <w:sz w:val="22"/>
                <w:highlight w:val="none"/>
              </w:rPr>
            </w:pPr>
          </w:p>
        </w:tc>
      </w:tr>
    </w:tbl>
    <w:p>
      <w:pPr>
        <w:pStyle w:val="2"/>
        <w:rPr>
          <w:b/>
          <w:color w:val="auto"/>
          <w:sz w:val="20"/>
          <w:highlight w:val="none"/>
        </w:rPr>
      </w:pPr>
    </w:p>
    <w:p>
      <w:pPr>
        <w:pStyle w:val="2"/>
        <w:spacing w:before="7"/>
        <w:rPr>
          <w:b/>
          <w:color w:val="auto"/>
          <w:sz w:val="17"/>
          <w:highlight w:val="none"/>
        </w:rPr>
      </w:pPr>
    </w:p>
    <w:p>
      <w:pPr>
        <w:pStyle w:val="2"/>
        <w:tabs>
          <w:tab w:val="left" w:pos="3758"/>
          <w:tab w:val="left" w:pos="4070"/>
          <w:tab w:val="left" w:pos="6275"/>
          <w:tab w:val="left" w:pos="6695"/>
          <w:tab w:val="left" w:pos="9321"/>
        </w:tabs>
        <w:ind w:left="818"/>
        <w:rPr>
          <w:rFonts w:ascii="Times New Roman" w:eastAsia="Times New Roman"/>
          <w:color w:val="auto"/>
          <w:highlight w:val="none"/>
        </w:rPr>
      </w:pPr>
      <w:r>
        <w:rPr>
          <w:color w:val="auto"/>
          <w:highlight w:val="none"/>
        </w:rPr>
        <w:t>招标</w:t>
      </w:r>
      <w:r>
        <w:rPr>
          <w:color w:val="auto"/>
          <w:spacing w:val="-3"/>
          <w:highlight w:val="none"/>
        </w:rPr>
        <w:t>人</w:t>
      </w:r>
      <w:r>
        <w:rPr>
          <w:color w:val="auto"/>
          <w:highlight w:val="none"/>
        </w:rPr>
        <w:t>代</w:t>
      </w:r>
      <w:r>
        <w:rPr>
          <w:color w:val="auto"/>
          <w:spacing w:val="-3"/>
          <w:highlight w:val="none"/>
        </w:rPr>
        <w:t>表</w:t>
      </w:r>
      <w:r>
        <w:rPr>
          <w:color w:val="auto"/>
          <w:highlight w:val="none"/>
        </w:rPr>
        <w:t>：</w:t>
      </w:r>
      <w:r>
        <w:rPr>
          <w:color w:val="auto"/>
          <w:highlight w:val="none"/>
          <w:u w:val="single"/>
        </w:rPr>
        <w:t xml:space="preserve"> </w:t>
      </w:r>
      <w:r>
        <w:rPr>
          <w:color w:val="auto"/>
          <w:highlight w:val="none"/>
          <w:u w:val="single"/>
        </w:rPr>
        <w:tab/>
      </w:r>
      <w:r>
        <w:rPr>
          <w:color w:val="auto"/>
          <w:highlight w:val="none"/>
        </w:rPr>
        <w:tab/>
      </w:r>
      <w:r>
        <w:rPr>
          <w:color w:val="auto"/>
          <w:highlight w:val="none"/>
        </w:rPr>
        <w:t>记录人：</w:t>
      </w:r>
      <w:r>
        <w:rPr>
          <w:color w:val="auto"/>
          <w:highlight w:val="none"/>
          <w:u w:val="single"/>
        </w:rPr>
        <w:t xml:space="preserve"> </w:t>
      </w:r>
      <w:r>
        <w:rPr>
          <w:color w:val="auto"/>
          <w:highlight w:val="none"/>
          <w:u w:val="single"/>
        </w:rPr>
        <w:tab/>
      </w:r>
      <w:r>
        <w:rPr>
          <w:color w:val="auto"/>
          <w:highlight w:val="none"/>
        </w:rPr>
        <w:tab/>
      </w:r>
      <w:r>
        <w:rPr>
          <w:color w:val="auto"/>
          <w:highlight w:val="none"/>
        </w:rPr>
        <w:t>监标人：</w:t>
      </w:r>
      <w:r>
        <w:rPr>
          <w:rFonts w:ascii="Times New Roman" w:eastAsia="Times New Roman"/>
          <w:color w:val="auto"/>
          <w:highlight w:val="none"/>
          <w:u w:val="single"/>
        </w:rPr>
        <w:t xml:space="preserve"> </w:t>
      </w:r>
      <w:r>
        <w:rPr>
          <w:rFonts w:ascii="Times New Roman" w:eastAsia="Times New Roman"/>
          <w:color w:val="auto"/>
          <w:highlight w:val="none"/>
          <w:u w:val="single"/>
        </w:rPr>
        <w:tab/>
      </w:r>
    </w:p>
    <w:p>
      <w:pPr>
        <w:pStyle w:val="2"/>
        <w:spacing w:before="1"/>
        <w:rPr>
          <w:rFonts w:ascii="Times New Roman"/>
          <w:color w:val="auto"/>
          <w:sz w:val="11"/>
          <w:highlight w:val="none"/>
        </w:rPr>
      </w:pPr>
    </w:p>
    <w:p>
      <w:pPr>
        <w:pStyle w:val="2"/>
        <w:tabs>
          <w:tab w:val="left" w:pos="6801"/>
          <w:tab w:val="left" w:pos="7744"/>
          <w:tab w:val="left" w:pos="8584"/>
        </w:tabs>
        <w:spacing w:before="71"/>
        <w:ind w:left="6172"/>
        <w:rPr>
          <w:color w:val="auto"/>
          <w:highlight w:val="none"/>
        </w:rPr>
      </w:pPr>
      <w:r>
        <w:rPr>
          <w:rFonts w:ascii="Times New Roman" w:eastAsia="Times New Roman"/>
          <w:color w:val="auto"/>
          <w:w w:val="100"/>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rPr>
        <w:t xml:space="preserve"> </w:t>
      </w:r>
      <w:r>
        <w:rPr>
          <w:rFonts w:ascii="Times New Roman" w:eastAsia="Times New Roman"/>
          <w:color w:val="auto"/>
          <w:spacing w:val="-2"/>
          <w:highlight w:val="none"/>
        </w:rPr>
        <w:t xml:space="preserve"> </w:t>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spacing w:after="0"/>
        <w:rPr>
          <w:color w:val="auto"/>
          <w:highlight w:val="none"/>
        </w:rPr>
        <w:sectPr>
          <w:pgSz w:w="11910" w:h="16840"/>
          <w:pgMar w:top="1417" w:right="860" w:bottom="1417" w:left="960" w:header="0" w:footer="672" w:gutter="0"/>
          <w:pgBorders>
            <w:top w:val="none" w:sz="0" w:space="0"/>
            <w:left w:val="none" w:sz="0" w:space="0"/>
            <w:bottom w:val="none" w:sz="0" w:space="0"/>
            <w:right w:val="none" w:sz="0" w:space="0"/>
          </w:pgBorders>
          <w:pgNumType w:fmt="decimal"/>
          <w:cols w:space="720" w:num="1"/>
        </w:sectPr>
      </w:pPr>
    </w:p>
    <w:p>
      <w:pPr>
        <w:spacing w:before="40"/>
        <w:ind w:left="398" w:right="0" w:firstLine="0"/>
        <w:jc w:val="left"/>
        <w:rPr>
          <w:color w:val="auto"/>
          <w:sz w:val="24"/>
          <w:highlight w:val="none"/>
        </w:rPr>
      </w:pPr>
      <w:r>
        <w:rPr>
          <w:color w:val="auto"/>
          <w:sz w:val="24"/>
          <w:highlight w:val="none"/>
        </w:rPr>
        <w:t>附表三</w:t>
      </w:r>
    </w:p>
    <w:p>
      <w:pPr>
        <w:pStyle w:val="2"/>
        <w:rPr>
          <w:color w:val="auto"/>
          <w:sz w:val="20"/>
          <w:highlight w:val="none"/>
        </w:rPr>
      </w:pPr>
    </w:p>
    <w:p>
      <w:pPr>
        <w:spacing w:before="202"/>
        <w:ind w:left="298" w:right="314" w:firstLine="0"/>
        <w:jc w:val="center"/>
        <w:rPr>
          <w:b/>
          <w:color w:val="auto"/>
          <w:sz w:val="28"/>
          <w:highlight w:val="none"/>
        </w:rPr>
      </w:pPr>
      <w:r>
        <w:rPr>
          <w:b/>
          <w:color w:val="auto"/>
          <w:sz w:val="28"/>
          <w:highlight w:val="none"/>
        </w:rPr>
        <w:t>问题澄清通知</w:t>
      </w:r>
    </w:p>
    <w:p>
      <w:pPr>
        <w:pStyle w:val="2"/>
        <w:spacing w:before="153"/>
        <w:ind w:left="300" w:right="314"/>
        <w:jc w:val="center"/>
        <w:rPr>
          <w:color w:val="auto"/>
          <w:highlight w:val="none"/>
        </w:rPr>
      </w:pPr>
      <w:r>
        <w:rPr>
          <w:color w:val="auto"/>
          <w:highlight w:val="none"/>
        </w:rPr>
        <w:t>编号：</w:t>
      </w:r>
    </w:p>
    <w:p>
      <w:pPr>
        <w:pStyle w:val="2"/>
        <w:rPr>
          <w:color w:val="auto"/>
          <w:sz w:val="20"/>
          <w:highlight w:val="none"/>
        </w:rPr>
      </w:pPr>
    </w:p>
    <w:p>
      <w:pPr>
        <w:pStyle w:val="2"/>
        <w:spacing w:before="6"/>
        <w:rPr>
          <w:color w:val="auto"/>
          <w:highlight w:val="none"/>
        </w:rPr>
      </w:pPr>
    </w:p>
    <w:p>
      <w:pPr>
        <w:pStyle w:val="2"/>
        <w:tabs>
          <w:tab w:val="left" w:pos="1867"/>
        </w:tabs>
        <w:spacing w:before="78"/>
        <w:ind w:left="607"/>
        <w:rPr>
          <w:color w:val="auto"/>
          <w:highlight w:val="none"/>
        </w:rPr>
      </w:pPr>
      <w:r>
        <w:rPr>
          <w:rFonts w:ascii="Times New Roman" w:eastAsia="Times New Roman"/>
          <w:color w:val="auto"/>
          <w:w w:val="100"/>
          <w:highlight w:val="none"/>
          <w:u w:val="single"/>
        </w:rPr>
        <w:t xml:space="preserve"> </w:t>
      </w:r>
      <w:r>
        <w:rPr>
          <w:rFonts w:ascii="Times New Roman" w:eastAsia="Times New Roman"/>
          <w:color w:val="auto"/>
          <w:highlight w:val="none"/>
          <w:u w:val="single"/>
        </w:rPr>
        <w:tab/>
      </w:r>
      <w:r>
        <w:rPr>
          <w:color w:val="auto"/>
          <w:w w:val="100"/>
          <w:highlight w:val="none"/>
        </w:rPr>
        <w:t>（</w:t>
      </w:r>
      <w:r>
        <w:rPr>
          <w:color w:val="auto"/>
          <w:spacing w:val="-1"/>
          <w:w w:val="100"/>
          <w:highlight w:val="none"/>
        </w:rPr>
        <w:t>投标人名称</w:t>
      </w:r>
      <w:r>
        <w:rPr>
          <w:color w:val="auto"/>
          <w:spacing w:val="-108"/>
          <w:w w:val="100"/>
          <w:highlight w:val="none"/>
        </w:rPr>
        <w:t>）</w:t>
      </w:r>
      <w:r>
        <w:rPr>
          <w:color w:val="auto"/>
          <w:w w:val="100"/>
          <w:highlight w:val="none"/>
        </w:rPr>
        <w:t>：</w:t>
      </w:r>
    </w:p>
    <w:p>
      <w:pPr>
        <w:pStyle w:val="2"/>
        <w:rPr>
          <w:color w:val="auto"/>
          <w:sz w:val="20"/>
          <w:highlight w:val="none"/>
        </w:rPr>
      </w:pPr>
    </w:p>
    <w:p>
      <w:pPr>
        <w:pStyle w:val="2"/>
        <w:spacing w:before="8"/>
        <w:rPr>
          <w:color w:val="auto"/>
          <w:highlight w:val="none"/>
        </w:rPr>
      </w:pPr>
    </w:p>
    <w:p>
      <w:pPr>
        <w:pStyle w:val="2"/>
        <w:tabs>
          <w:tab w:val="left" w:pos="2601"/>
        </w:tabs>
        <w:spacing w:before="79" w:line="391" w:lineRule="auto"/>
        <w:ind w:left="398" w:right="303" w:firstLine="628"/>
        <w:rPr>
          <w:color w:val="auto"/>
          <w:highlight w:val="none"/>
        </w:rPr>
      </w:pPr>
      <w:r>
        <w:rPr>
          <w:rFonts w:ascii="Times New Roman" w:eastAsia="Times New Roman"/>
          <w:color w:val="auto"/>
          <w:w w:val="100"/>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rPr>
        <w:t xml:space="preserve"> </w:t>
      </w:r>
      <w:r>
        <w:rPr>
          <w:rFonts w:ascii="Times New Roman" w:eastAsia="Times New Roman"/>
          <w:color w:val="auto"/>
          <w:spacing w:val="-22"/>
          <w:highlight w:val="none"/>
        </w:rPr>
        <w:t xml:space="preserve"> </w:t>
      </w:r>
      <w:r>
        <w:rPr>
          <w:color w:val="auto"/>
          <w:highlight w:val="none"/>
        </w:rPr>
        <w:t>（</w:t>
      </w:r>
      <w:r>
        <w:rPr>
          <w:color w:val="auto"/>
          <w:spacing w:val="-3"/>
          <w:highlight w:val="none"/>
        </w:rPr>
        <w:t>项目名称</w:t>
      </w:r>
      <w:r>
        <w:rPr>
          <w:color w:val="auto"/>
          <w:spacing w:val="-24"/>
          <w:highlight w:val="none"/>
        </w:rPr>
        <w:t>）</w:t>
      </w:r>
      <w:r>
        <w:rPr>
          <w:color w:val="auto"/>
          <w:spacing w:val="-5"/>
          <w:highlight w:val="none"/>
        </w:rPr>
        <w:t xml:space="preserve">设计招标的评标委员会，对你方的投标文件进行了仔细的审查， </w:t>
      </w:r>
      <w:r>
        <w:rPr>
          <w:color w:val="auto"/>
          <w:spacing w:val="-3"/>
          <w:highlight w:val="none"/>
        </w:rPr>
        <w:t>现需你方对下列问题以书面形式予以澄清：</w:t>
      </w:r>
    </w:p>
    <w:p>
      <w:pPr>
        <w:pStyle w:val="2"/>
        <w:rPr>
          <w:color w:val="auto"/>
          <w:sz w:val="20"/>
          <w:highlight w:val="none"/>
        </w:rPr>
      </w:pPr>
    </w:p>
    <w:p>
      <w:pPr>
        <w:pStyle w:val="2"/>
        <w:spacing w:before="7"/>
        <w:rPr>
          <w:color w:val="auto"/>
          <w:sz w:val="15"/>
          <w:highlight w:val="none"/>
        </w:rPr>
      </w:pPr>
    </w:p>
    <w:p>
      <w:pPr>
        <w:pStyle w:val="2"/>
        <w:ind w:left="815"/>
        <w:rPr>
          <w:rFonts w:ascii="Arial"/>
          <w:color w:val="auto"/>
          <w:highlight w:val="none"/>
        </w:rPr>
      </w:pPr>
      <w:r>
        <w:rPr>
          <w:rFonts w:ascii="Arial"/>
          <w:color w:val="auto"/>
          <w:highlight w:val="none"/>
        </w:rPr>
        <w:t>1.</w:t>
      </w:r>
    </w:p>
    <w:p>
      <w:pPr>
        <w:pStyle w:val="2"/>
        <w:spacing w:before="198"/>
        <w:ind w:left="815"/>
        <w:rPr>
          <w:rFonts w:ascii="Arial"/>
          <w:color w:val="auto"/>
          <w:highlight w:val="none"/>
        </w:rPr>
      </w:pPr>
      <w:r>
        <w:rPr>
          <w:rFonts w:ascii="Arial"/>
          <w:color w:val="auto"/>
          <w:highlight w:val="none"/>
        </w:rPr>
        <w:t>2.</w:t>
      </w:r>
    </w:p>
    <w:p>
      <w:pPr>
        <w:pStyle w:val="2"/>
        <w:spacing w:before="200"/>
        <w:ind w:left="921"/>
        <w:rPr>
          <w:rFonts w:ascii="Arial"/>
          <w:color w:val="auto"/>
          <w:highlight w:val="none"/>
        </w:rPr>
      </w:pPr>
      <w:r>
        <w:rPr>
          <w:rFonts w:hint="eastAsia" w:ascii="Arial"/>
          <w:color w:val="auto"/>
          <w:highlight w:val="none"/>
          <w:lang w:eastAsia="zh-CN"/>
        </w:rPr>
        <w:t>……</w:t>
      </w:r>
    </w:p>
    <w:p>
      <w:pPr>
        <w:pStyle w:val="2"/>
        <w:rPr>
          <w:rFonts w:ascii="Arial"/>
          <w:color w:val="auto"/>
          <w:sz w:val="24"/>
          <w:highlight w:val="none"/>
        </w:rPr>
      </w:pPr>
    </w:p>
    <w:p>
      <w:pPr>
        <w:pStyle w:val="2"/>
        <w:spacing w:before="3"/>
        <w:rPr>
          <w:rFonts w:ascii="Arial"/>
          <w:color w:val="auto"/>
          <w:sz w:val="30"/>
          <w:highlight w:val="none"/>
        </w:rPr>
      </w:pPr>
    </w:p>
    <w:p>
      <w:pPr>
        <w:pStyle w:val="2"/>
        <w:tabs>
          <w:tab w:val="left" w:pos="9035"/>
          <w:tab w:val="left" w:pos="9251"/>
        </w:tabs>
        <w:spacing w:line="393" w:lineRule="auto"/>
        <w:ind w:left="712" w:right="410" w:firstLine="108"/>
        <w:jc w:val="both"/>
        <w:rPr>
          <w:color w:val="auto"/>
          <w:highlight w:val="none"/>
        </w:rPr>
      </w:pPr>
      <w:r>
        <w:rPr>
          <w:color w:val="auto"/>
          <w:spacing w:val="-3"/>
          <w:highlight w:val="none"/>
        </w:rPr>
        <w:t>请</w:t>
      </w:r>
      <w:r>
        <w:rPr>
          <w:color w:val="auto"/>
          <w:highlight w:val="none"/>
        </w:rPr>
        <w:t>将</w:t>
      </w:r>
      <w:r>
        <w:rPr>
          <w:color w:val="auto"/>
          <w:spacing w:val="-3"/>
          <w:highlight w:val="none"/>
        </w:rPr>
        <w:t>上</w:t>
      </w:r>
      <w:r>
        <w:rPr>
          <w:color w:val="auto"/>
          <w:highlight w:val="none"/>
        </w:rPr>
        <w:t>述</w:t>
      </w:r>
      <w:r>
        <w:rPr>
          <w:color w:val="auto"/>
          <w:spacing w:val="-3"/>
          <w:highlight w:val="none"/>
        </w:rPr>
        <w:t>问</w:t>
      </w:r>
      <w:r>
        <w:rPr>
          <w:color w:val="auto"/>
          <w:highlight w:val="none"/>
        </w:rPr>
        <w:t>题</w:t>
      </w:r>
      <w:r>
        <w:rPr>
          <w:color w:val="auto"/>
          <w:spacing w:val="-3"/>
          <w:highlight w:val="none"/>
        </w:rPr>
        <w:t>的</w:t>
      </w:r>
      <w:r>
        <w:rPr>
          <w:color w:val="auto"/>
          <w:highlight w:val="none"/>
        </w:rPr>
        <w:t>澄</w:t>
      </w:r>
      <w:r>
        <w:rPr>
          <w:color w:val="auto"/>
          <w:spacing w:val="-3"/>
          <w:highlight w:val="none"/>
        </w:rPr>
        <w:t>清</w:t>
      </w:r>
      <w:r>
        <w:rPr>
          <w:color w:val="auto"/>
          <w:highlight w:val="none"/>
        </w:rPr>
        <w:t>于</w:t>
      </w:r>
      <w:r>
        <w:rPr>
          <w:color w:val="auto"/>
          <w:highlight w:val="none"/>
          <w:u w:val="single"/>
        </w:rPr>
        <w:t xml:space="preserve">    </w:t>
      </w:r>
      <w:r>
        <w:rPr>
          <w:color w:val="auto"/>
          <w:spacing w:val="4"/>
          <w:highlight w:val="none"/>
          <w:u w:val="single"/>
        </w:rPr>
        <w:t xml:space="preserve"> </w:t>
      </w:r>
      <w:r>
        <w:rPr>
          <w:color w:val="auto"/>
          <w:highlight w:val="none"/>
        </w:rPr>
        <w:t>年</w:t>
      </w:r>
      <w:r>
        <w:rPr>
          <w:color w:val="auto"/>
          <w:highlight w:val="none"/>
          <w:u w:val="single"/>
        </w:rPr>
        <w:t xml:space="preserve"> </w:t>
      </w:r>
      <w:r>
        <w:rPr>
          <w:color w:val="auto"/>
          <w:spacing w:val="1"/>
          <w:highlight w:val="none"/>
          <w:u w:val="single"/>
        </w:rPr>
        <w:t xml:space="preserve"> </w:t>
      </w:r>
      <w:r>
        <w:rPr>
          <w:color w:val="auto"/>
          <w:highlight w:val="none"/>
        </w:rPr>
        <w:t>月</w:t>
      </w:r>
      <w:r>
        <w:rPr>
          <w:color w:val="auto"/>
          <w:highlight w:val="none"/>
          <w:u w:val="single"/>
        </w:rPr>
        <w:t xml:space="preserve">  </w:t>
      </w:r>
      <w:r>
        <w:rPr>
          <w:color w:val="auto"/>
          <w:spacing w:val="2"/>
          <w:highlight w:val="none"/>
          <w:u w:val="single"/>
        </w:rPr>
        <w:t xml:space="preserve"> </w:t>
      </w:r>
      <w:r>
        <w:rPr>
          <w:color w:val="auto"/>
          <w:highlight w:val="none"/>
        </w:rPr>
        <w:t>日</w:t>
      </w:r>
      <w:r>
        <w:rPr>
          <w:color w:val="auto"/>
          <w:highlight w:val="none"/>
          <w:u w:val="single"/>
        </w:rPr>
        <w:t xml:space="preserve">   </w:t>
      </w:r>
      <w:r>
        <w:rPr>
          <w:color w:val="auto"/>
          <w:spacing w:val="10"/>
          <w:highlight w:val="none"/>
          <w:u w:val="single"/>
        </w:rPr>
        <w:t xml:space="preserve"> </w:t>
      </w:r>
      <w:r>
        <w:rPr>
          <w:color w:val="auto"/>
          <w:highlight w:val="none"/>
        </w:rPr>
        <w:t>时前</w:t>
      </w:r>
      <w:r>
        <w:rPr>
          <w:color w:val="auto"/>
          <w:spacing w:val="-3"/>
          <w:highlight w:val="none"/>
        </w:rPr>
        <w:t>递</w:t>
      </w:r>
      <w:r>
        <w:rPr>
          <w:color w:val="auto"/>
          <w:highlight w:val="none"/>
        </w:rPr>
        <w:t>交至</w:t>
      </w:r>
      <w:r>
        <w:rPr>
          <w:color w:val="auto"/>
          <w:highlight w:val="none"/>
          <w:u w:val="single"/>
        </w:rPr>
        <w:t xml:space="preserve">  </w:t>
      </w:r>
      <w:r>
        <w:rPr>
          <w:color w:val="auto"/>
          <w:spacing w:val="12"/>
          <w:highlight w:val="none"/>
          <w:u w:val="single"/>
        </w:rPr>
        <w:t xml:space="preserve"> </w:t>
      </w:r>
      <w:r>
        <w:rPr>
          <w:color w:val="auto"/>
          <w:highlight w:val="none"/>
          <w:u w:val="single"/>
        </w:rPr>
        <w:t>（</w:t>
      </w:r>
      <w:r>
        <w:rPr>
          <w:color w:val="auto"/>
          <w:highlight w:val="none"/>
        </w:rPr>
        <w:t>详</w:t>
      </w:r>
      <w:r>
        <w:rPr>
          <w:color w:val="auto"/>
          <w:spacing w:val="-3"/>
          <w:highlight w:val="none"/>
        </w:rPr>
        <w:t>细</w:t>
      </w:r>
      <w:r>
        <w:rPr>
          <w:color w:val="auto"/>
          <w:highlight w:val="none"/>
        </w:rPr>
        <w:t>地</w:t>
      </w:r>
      <w:r>
        <w:rPr>
          <w:color w:val="auto"/>
          <w:spacing w:val="-3"/>
          <w:highlight w:val="none"/>
        </w:rPr>
        <w:t>址</w:t>
      </w:r>
      <w:r>
        <w:rPr>
          <w:color w:val="auto"/>
          <w:spacing w:val="-94"/>
          <w:highlight w:val="none"/>
        </w:rPr>
        <w:t>）</w:t>
      </w:r>
      <w:r>
        <w:rPr>
          <w:color w:val="auto"/>
          <w:spacing w:val="-3"/>
          <w:highlight w:val="none"/>
        </w:rPr>
        <w:t>或</w:t>
      </w:r>
      <w:r>
        <w:rPr>
          <w:color w:val="auto"/>
          <w:highlight w:val="none"/>
        </w:rPr>
        <w:t>传</w:t>
      </w:r>
      <w:r>
        <w:rPr>
          <w:color w:val="auto"/>
          <w:spacing w:val="-3"/>
          <w:highlight w:val="none"/>
        </w:rPr>
        <w:t>真</w:t>
      </w:r>
      <w:r>
        <w:rPr>
          <w:color w:val="auto"/>
          <w:highlight w:val="none"/>
        </w:rPr>
        <w:t>至</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w:t>
      </w:r>
      <w:r>
        <w:rPr>
          <w:color w:val="auto"/>
          <w:spacing w:val="-17"/>
          <w:highlight w:val="none"/>
        </w:rPr>
        <w:t>传</w:t>
      </w:r>
      <w:r>
        <w:rPr>
          <w:color w:val="auto"/>
          <w:highlight w:val="none"/>
        </w:rPr>
        <w:t>真号</w:t>
      </w:r>
      <w:r>
        <w:rPr>
          <w:color w:val="auto"/>
          <w:spacing w:val="-3"/>
          <w:highlight w:val="none"/>
        </w:rPr>
        <w:t>码</w:t>
      </w:r>
      <w:r>
        <w:rPr>
          <w:color w:val="auto"/>
          <w:spacing w:val="-106"/>
          <w:highlight w:val="none"/>
        </w:rPr>
        <w:t>）</w:t>
      </w:r>
      <w:r>
        <w:rPr>
          <w:color w:val="auto"/>
          <w:spacing w:val="-27"/>
          <w:highlight w:val="none"/>
        </w:rPr>
        <w:t>。</w:t>
      </w:r>
      <w:r>
        <w:rPr>
          <w:color w:val="auto"/>
          <w:highlight w:val="none"/>
        </w:rPr>
        <w:t>采</w:t>
      </w:r>
      <w:r>
        <w:rPr>
          <w:color w:val="auto"/>
          <w:spacing w:val="-3"/>
          <w:highlight w:val="none"/>
        </w:rPr>
        <w:t>用</w:t>
      </w:r>
      <w:r>
        <w:rPr>
          <w:color w:val="auto"/>
          <w:highlight w:val="none"/>
        </w:rPr>
        <w:t>传</w:t>
      </w:r>
      <w:r>
        <w:rPr>
          <w:color w:val="auto"/>
          <w:spacing w:val="-3"/>
          <w:highlight w:val="none"/>
        </w:rPr>
        <w:t>真</w:t>
      </w:r>
      <w:r>
        <w:rPr>
          <w:color w:val="auto"/>
          <w:highlight w:val="none"/>
        </w:rPr>
        <w:t>方</w:t>
      </w:r>
      <w:r>
        <w:rPr>
          <w:color w:val="auto"/>
          <w:spacing w:val="-3"/>
          <w:highlight w:val="none"/>
        </w:rPr>
        <w:t>式的</w:t>
      </w:r>
      <w:r>
        <w:rPr>
          <w:color w:val="auto"/>
          <w:spacing w:val="-24"/>
          <w:highlight w:val="none"/>
        </w:rPr>
        <w:t>，</w:t>
      </w:r>
      <w:r>
        <w:rPr>
          <w:color w:val="auto"/>
          <w:highlight w:val="none"/>
        </w:rPr>
        <w:t>应在</w:t>
      </w:r>
      <w:r>
        <w:rPr>
          <w:color w:val="auto"/>
          <w:highlight w:val="none"/>
          <w:u w:val="single"/>
        </w:rPr>
        <w:t xml:space="preserve">    </w:t>
      </w:r>
      <w:r>
        <w:rPr>
          <w:color w:val="auto"/>
          <w:spacing w:val="1"/>
          <w:highlight w:val="none"/>
          <w:u w:val="single"/>
        </w:rPr>
        <w:t xml:space="preserve"> </w:t>
      </w:r>
      <w:r>
        <w:rPr>
          <w:color w:val="auto"/>
          <w:highlight w:val="none"/>
        </w:rPr>
        <w:t>年</w:t>
      </w:r>
      <w:r>
        <w:rPr>
          <w:color w:val="auto"/>
          <w:highlight w:val="none"/>
          <w:u w:val="single"/>
        </w:rPr>
        <w:t xml:space="preserve">    </w:t>
      </w:r>
      <w:r>
        <w:rPr>
          <w:color w:val="auto"/>
          <w:spacing w:val="5"/>
          <w:highlight w:val="none"/>
          <w:u w:val="single"/>
        </w:rPr>
        <w:t xml:space="preserve"> </w:t>
      </w:r>
      <w:r>
        <w:rPr>
          <w:color w:val="auto"/>
          <w:highlight w:val="none"/>
        </w:rPr>
        <w:t>月</w:t>
      </w:r>
      <w:r>
        <w:rPr>
          <w:color w:val="auto"/>
          <w:highlight w:val="none"/>
          <w:u w:val="single"/>
        </w:rPr>
        <w:t xml:space="preserve">    </w:t>
      </w:r>
      <w:r>
        <w:rPr>
          <w:color w:val="auto"/>
          <w:spacing w:val="5"/>
          <w:highlight w:val="none"/>
          <w:u w:val="single"/>
        </w:rPr>
        <w:t xml:space="preserve"> </w:t>
      </w:r>
      <w:r>
        <w:rPr>
          <w:color w:val="auto"/>
          <w:highlight w:val="none"/>
        </w:rPr>
        <w:t>日</w:t>
      </w:r>
      <w:r>
        <w:rPr>
          <w:color w:val="auto"/>
          <w:highlight w:val="none"/>
          <w:u w:val="single"/>
        </w:rPr>
        <w:t xml:space="preserve">    </w:t>
      </w:r>
      <w:r>
        <w:rPr>
          <w:color w:val="auto"/>
          <w:spacing w:val="5"/>
          <w:highlight w:val="none"/>
          <w:u w:val="single"/>
        </w:rPr>
        <w:t xml:space="preserve"> </w:t>
      </w:r>
      <w:r>
        <w:rPr>
          <w:color w:val="auto"/>
          <w:highlight w:val="none"/>
        </w:rPr>
        <w:t>时前将</w:t>
      </w:r>
      <w:r>
        <w:rPr>
          <w:color w:val="auto"/>
          <w:spacing w:val="-3"/>
          <w:highlight w:val="none"/>
        </w:rPr>
        <w:t>原</w:t>
      </w:r>
      <w:r>
        <w:rPr>
          <w:color w:val="auto"/>
          <w:highlight w:val="none"/>
        </w:rPr>
        <w:t>件</w:t>
      </w:r>
      <w:r>
        <w:rPr>
          <w:color w:val="auto"/>
          <w:spacing w:val="-3"/>
          <w:highlight w:val="none"/>
        </w:rPr>
        <w:t>递交</w:t>
      </w:r>
      <w:r>
        <w:rPr>
          <w:color w:val="auto"/>
          <w:highlight w:val="none"/>
        </w:rPr>
        <w:t>至</w:t>
      </w:r>
      <w:r>
        <w:rPr>
          <w:color w:val="auto"/>
          <w:highlight w:val="none"/>
          <w:u w:val="single"/>
        </w:rPr>
        <w:t xml:space="preserve"> </w:t>
      </w:r>
      <w:r>
        <w:rPr>
          <w:color w:val="auto"/>
          <w:highlight w:val="none"/>
          <w:u w:val="single"/>
        </w:rPr>
        <w:tab/>
      </w:r>
      <w:r>
        <w:rPr>
          <w:color w:val="auto"/>
          <w:highlight w:val="none"/>
        </w:rPr>
        <w:t>（详</w:t>
      </w:r>
      <w:r>
        <w:rPr>
          <w:color w:val="auto"/>
          <w:spacing w:val="-13"/>
          <w:highlight w:val="none"/>
        </w:rPr>
        <w:t>细</w:t>
      </w:r>
      <w:r>
        <w:rPr>
          <w:color w:val="auto"/>
          <w:highlight w:val="none"/>
        </w:rPr>
        <w:t>地址</w:t>
      </w:r>
      <w:r>
        <w:rPr>
          <w:color w:val="auto"/>
          <w:spacing w:val="-108"/>
          <w:highlight w:val="none"/>
        </w:rPr>
        <w:t>）</w:t>
      </w:r>
      <w:r>
        <w:rPr>
          <w:color w:val="auto"/>
          <w:highlight w:val="none"/>
        </w:rPr>
        <w:t>。</w:t>
      </w:r>
    </w:p>
    <w:p>
      <w:pPr>
        <w:pStyle w:val="2"/>
        <w:rPr>
          <w:color w:val="auto"/>
          <w:sz w:val="20"/>
          <w:highlight w:val="none"/>
        </w:rPr>
      </w:pPr>
    </w:p>
    <w:p>
      <w:pPr>
        <w:pStyle w:val="2"/>
        <w:spacing w:before="2"/>
        <w:rPr>
          <w:color w:val="auto"/>
          <w:sz w:val="14"/>
          <w:highlight w:val="none"/>
        </w:rPr>
      </w:pPr>
    </w:p>
    <w:p>
      <w:pPr>
        <w:pStyle w:val="2"/>
        <w:tabs>
          <w:tab w:val="left" w:pos="4701"/>
          <w:tab w:val="left" w:pos="7751"/>
        </w:tabs>
        <w:ind w:left="3232"/>
        <w:rPr>
          <w:color w:val="auto"/>
          <w:highlight w:val="none"/>
        </w:rPr>
      </w:pPr>
      <w:r>
        <w:rPr>
          <w:color w:val="auto"/>
          <w:highlight w:val="none"/>
          <w:u w:val="single"/>
        </w:rPr>
        <w:t>（项</w:t>
      </w:r>
      <w:r>
        <w:rPr>
          <w:color w:val="auto"/>
          <w:spacing w:val="-3"/>
          <w:highlight w:val="none"/>
          <w:u w:val="single"/>
        </w:rPr>
        <w:t>目</w:t>
      </w:r>
      <w:r>
        <w:rPr>
          <w:color w:val="auto"/>
          <w:highlight w:val="none"/>
          <w:u w:val="single"/>
        </w:rPr>
        <w:t>名</w:t>
      </w:r>
      <w:r>
        <w:rPr>
          <w:color w:val="auto"/>
          <w:spacing w:val="-3"/>
          <w:highlight w:val="none"/>
          <w:u w:val="single"/>
        </w:rPr>
        <w:t>称</w:t>
      </w:r>
      <w:r>
        <w:rPr>
          <w:color w:val="auto"/>
          <w:highlight w:val="none"/>
          <w:u w:val="single"/>
        </w:rPr>
        <w:t>）</w:t>
      </w:r>
      <w:r>
        <w:rPr>
          <w:color w:val="auto"/>
          <w:highlight w:val="none"/>
          <w:u w:val="single"/>
        </w:rPr>
        <w:tab/>
      </w:r>
      <w:r>
        <w:rPr>
          <w:color w:val="auto"/>
          <w:highlight w:val="none"/>
        </w:rPr>
        <w:t>设计招</w:t>
      </w:r>
      <w:r>
        <w:rPr>
          <w:color w:val="auto"/>
          <w:spacing w:val="-3"/>
          <w:highlight w:val="none"/>
        </w:rPr>
        <w:t>标</w:t>
      </w:r>
      <w:r>
        <w:rPr>
          <w:color w:val="auto"/>
          <w:highlight w:val="none"/>
        </w:rPr>
        <w:t>评标</w:t>
      </w:r>
      <w:r>
        <w:rPr>
          <w:color w:val="auto"/>
          <w:spacing w:val="-3"/>
          <w:highlight w:val="none"/>
        </w:rPr>
        <w:t>委</w:t>
      </w:r>
      <w:r>
        <w:rPr>
          <w:color w:val="auto"/>
          <w:highlight w:val="none"/>
        </w:rPr>
        <w:t>员</w:t>
      </w:r>
      <w:r>
        <w:rPr>
          <w:color w:val="auto"/>
          <w:spacing w:val="-3"/>
          <w:highlight w:val="none"/>
        </w:rPr>
        <w:t>会</w:t>
      </w:r>
      <w:r>
        <w:rPr>
          <w:color w:val="auto"/>
          <w:highlight w:val="none"/>
        </w:rPr>
        <w:t>主</w:t>
      </w:r>
      <w:r>
        <w:rPr>
          <w:color w:val="auto"/>
          <w:spacing w:val="-3"/>
          <w:highlight w:val="none"/>
        </w:rPr>
        <w:t>任：</w:t>
      </w:r>
      <w:r>
        <w:rPr>
          <w:color w:val="auto"/>
          <w:spacing w:val="-3"/>
          <w:highlight w:val="none"/>
          <w:u w:val="single"/>
        </w:rPr>
        <w:t xml:space="preserve"> </w:t>
      </w:r>
      <w:r>
        <w:rPr>
          <w:color w:val="auto"/>
          <w:spacing w:val="-3"/>
          <w:highlight w:val="none"/>
          <w:u w:val="single"/>
        </w:rPr>
        <w:tab/>
      </w:r>
      <w:r>
        <w:rPr>
          <w:color w:val="auto"/>
          <w:highlight w:val="none"/>
          <w:u w:val="single"/>
        </w:rPr>
        <w:t>（签字）</w:t>
      </w:r>
    </w:p>
    <w:p>
      <w:pPr>
        <w:pStyle w:val="2"/>
        <w:tabs>
          <w:tab w:val="left" w:pos="6695"/>
        </w:tabs>
        <w:spacing w:before="170"/>
        <w:ind w:left="4070"/>
        <w:rPr>
          <w:color w:val="auto"/>
          <w:highlight w:val="none"/>
        </w:rPr>
      </w:pPr>
      <w:r>
        <w:rPr>
          <w:color w:val="auto"/>
          <w:highlight w:val="none"/>
        </w:rPr>
        <w:t>招标人：</w:t>
      </w:r>
      <w:r>
        <w:rPr>
          <w:color w:val="auto"/>
          <w:highlight w:val="none"/>
          <w:u w:val="single"/>
        </w:rPr>
        <w:t xml:space="preserve"> </w:t>
      </w:r>
      <w:r>
        <w:rPr>
          <w:color w:val="auto"/>
          <w:highlight w:val="none"/>
          <w:u w:val="single"/>
        </w:rPr>
        <w:tab/>
      </w:r>
      <w:r>
        <w:rPr>
          <w:color w:val="auto"/>
          <w:highlight w:val="none"/>
        </w:rPr>
        <w:t>（盖单</w:t>
      </w:r>
      <w:r>
        <w:rPr>
          <w:color w:val="auto"/>
          <w:spacing w:val="-3"/>
          <w:highlight w:val="none"/>
        </w:rPr>
        <w:t>位</w:t>
      </w:r>
      <w:r>
        <w:rPr>
          <w:color w:val="auto"/>
          <w:highlight w:val="none"/>
        </w:rPr>
        <w:t>章）</w:t>
      </w:r>
    </w:p>
    <w:p>
      <w:pPr>
        <w:pStyle w:val="2"/>
        <w:rPr>
          <w:color w:val="auto"/>
          <w:sz w:val="20"/>
          <w:highlight w:val="none"/>
        </w:rPr>
      </w:pPr>
    </w:p>
    <w:p>
      <w:pPr>
        <w:pStyle w:val="2"/>
        <w:spacing w:before="2"/>
        <w:rPr>
          <w:color w:val="auto"/>
          <w:sz w:val="22"/>
          <w:highlight w:val="none"/>
        </w:rPr>
      </w:pPr>
    </w:p>
    <w:p>
      <w:pPr>
        <w:pStyle w:val="2"/>
        <w:tabs>
          <w:tab w:val="left" w:pos="5332"/>
          <w:tab w:val="left" w:pos="6590"/>
          <w:tab w:val="left" w:pos="7744"/>
        </w:tabs>
        <w:spacing w:before="72"/>
        <w:ind w:left="4492"/>
        <w:rPr>
          <w:color w:val="auto"/>
          <w:highlight w:val="none"/>
        </w:rPr>
      </w:pPr>
      <w:r>
        <w:rPr>
          <w:rFonts w:ascii="Times New Roman" w:eastAsia="Times New Roman"/>
          <w:color w:val="auto"/>
          <w:w w:val="100"/>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rPr>
        <w:t xml:space="preserve"> </w:t>
      </w:r>
      <w:r>
        <w:rPr>
          <w:rFonts w:ascii="Times New Roman" w:eastAsia="Times New Roman"/>
          <w:color w:val="auto"/>
          <w:spacing w:val="-2"/>
          <w:highlight w:val="none"/>
        </w:rPr>
        <w:t xml:space="preserve"> </w:t>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spacing w:after="0"/>
        <w:rPr>
          <w:color w:val="auto"/>
          <w:highlight w:val="none"/>
        </w:rPr>
        <w:sectPr>
          <w:pgSz w:w="11910" w:h="16840"/>
          <w:pgMar w:top="1000"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40"/>
        <w:ind w:left="398" w:right="0" w:firstLine="0"/>
        <w:jc w:val="left"/>
        <w:rPr>
          <w:color w:val="auto"/>
          <w:sz w:val="24"/>
          <w:highlight w:val="none"/>
        </w:rPr>
      </w:pPr>
      <w:r>
        <w:rPr>
          <w:color w:val="auto"/>
          <w:sz w:val="24"/>
          <w:highlight w:val="none"/>
        </w:rPr>
        <w:t>附表四</w:t>
      </w:r>
    </w:p>
    <w:p>
      <w:pPr>
        <w:pStyle w:val="2"/>
        <w:spacing w:before="5"/>
        <w:rPr>
          <w:color w:val="auto"/>
          <w:sz w:val="28"/>
          <w:highlight w:val="none"/>
        </w:rPr>
      </w:pPr>
    </w:p>
    <w:p>
      <w:pPr>
        <w:spacing w:before="61"/>
        <w:ind w:left="301" w:right="314" w:firstLine="0"/>
        <w:jc w:val="center"/>
        <w:rPr>
          <w:b/>
          <w:color w:val="auto"/>
          <w:sz w:val="28"/>
          <w:highlight w:val="none"/>
        </w:rPr>
      </w:pPr>
      <w:r>
        <w:rPr>
          <w:b/>
          <w:color w:val="auto"/>
          <w:sz w:val="28"/>
          <w:highlight w:val="none"/>
        </w:rPr>
        <w:t>问题的澄清</w:t>
      </w:r>
    </w:p>
    <w:p>
      <w:pPr>
        <w:pStyle w:val="2"/>
        <w:spacing w:before="112"/>
        <w:ind w:left="480" w:right="314"/>
        <w:jc w:val="center"/>
        <w:rPr>
          <w:color w:val="auto"/>
          <w:highlight w:val="none"/>
        </w:rPr>
      </w:pPr>
      <w:r>
        <w:rPr>
          <w:color w:val="auto"/>
          <w:highlight w:val="none"/>
        </w:rPr>
        <w:t>编号：</w:t>
      </w:r>
    </w:p>
    <w:p>
      <w:pPr>
        <w:pStyle w:val="2"/>
        <w:rPr>
          <w:color w:val="auto"/>
          <w:sz w:val="20"/>
          <w:highlight w:val="none"/>
        </w:rPr>
      </w:pPr>
    </w:p>
    <w:p>
      <w:pPr>
        <w:pStyle w:val="2"/>
        <w:rPr>
          <w:color w:val="auto"/>
          <w:sz w:val="24"/>
          <w:highlight w:val="none"/>
        </w:rPr>
      </w:pPr>
    </w:p>
    <w:p>
      <w:pPr>
        <w:pStyle w:val="2"/>
        <w:tabs>
          <w:tab w:val="left" w:pos="2287"/>
        </w:tabs>
        <w:ind w:left="398"/>
        <w:rPr>
          <w:color w:val="auto"/>
          <w:highlight w:val="none"/>
        </w:rPr>
      </w:pPr>
      <w:r>
        <w:rPr>
          <w:rFonts w:ascii="Times New Roman" w:eastAsia="Times New Roman"/>
          <w:color w:val="auto"/>
          <w:w w:val="100"/>
          <w:highlight w:val="none"/>
          <w:u w:val="single"/>
        </w:rPr>
        <w:t xml:space="preserve"> </w:t>
      </w:r>
      <w:r>
        <w:rPr>
          <w:rFonts w:ascii="Times New Roman" w:eastAsia="Times New Roman"/>
          <w:color w:val="auto"/>
          <w:highlight w:val="none"/>
          <w:u w:val="single"/>
        </w:rPr>
        <w:tab/>
      </w:r>
      <w:r>
        <w:rPr>
          <w:color w:val="auto"/>
          <w:spacing w:val="4"/>
          <w:highlight w:val="none"/>
          <w:u w:val="single"/>
        </w:rPr>
        <w:t>（</w:t>
      </w:r>
      <w:r>
        <w:rPr>
          <w:color w:val="auto"/>
          <w:spacing w:val="-1"/>
          <w:highlight w:val="none"/>
        </w:rPr>
        <w:t>项目名称</w:t>
      </w:r>
      <w:r>
        <w:rPr>
          <w:color w:val="auto"/>
          <w:highlight w:val="none"/>
        </w:rPr>
        <w:t>）</w:t>
      </w:r>
      <w:r>
        <w:rPr>
          <w:color w:val="auto"/>
          <w:spacing w:val="-3"/>
          <w:highlight w:val="none"/>
        </w:rPr>
        <w:t>设计招标评标委员会：</w:t>
      </w:r>
    </w:p>
    <w:p>
      <w:pPr>
        <w:pStyle w:val="2"/>
        <w:rPr>
          <w:color w:val="auto"/>
          <w:sz w:val="22"/>
          <w:highlight w:val="none"/>
        </w:rPr>
      </w:pPr>
    </w:p>
    <w:p>
      <w:pPr>
        <w:pStyle w:val="2"/>
        <w:spacing w:before="10"/>
        <w:rPr>
          <w:color w:val="auto"/>
          <w:sz w:val="25"/>
          <w:highlight w:val="none"/>
        </w:rPr>
      </w:pPr>
    </w:p>
    <w:p>
      <w:pPr>
        <w:pStyle w:val="2"/>
        <w:tabs>
          <w:tab w:val="left" w:pos="3758"/>
        </w:tabs>
        <w:ind w:left="820"/>
        <w:rPr>
          <w:color w:val="auto"/>
          <w:highlight w:val="none"/>
        </w:rPr>
      </w:pPr>
      <w:r>
        <w:rPr>
          <w:color w:val="auto"/>
          <w:spacing w:val="-3"/>
          <w:highlight w:val="none"/>
        </w:rPr>
        <w:t>问</w:t>
      </w:r>
      <w:r>
        <w:rPr>
          <w:color w:val="auto"/>
          <w:highlight w:val="none"/>
        </w:rPr>
        <w:t>题</w:t>
      </w:r>
      <w:r>
        <w:rPr>
          <w:color w:val="auto"/>
          <w:spacing w:val="-3"/>
          <w:highlight w:val="none"/>
        </w:rPr>
        <w:t>澄</w:t>
      </w:r>
      <w:r>
        <w:rPr>
          <w:color w:val="auto"/>
          <w:highlight w:val="none"/>
        </w:rPr>
        <w:t>清</w:t>
      </w:r>
      <w:r>
        <w:rPr>
          <w:color w:val="auto"/>
          <w:spacing w:val="-3"/>
          <w:highlight w:val="none"/>
        </w:rPr>
        <w:t>通</w:t>
      </w:r>
      <w:r>
        <w:rPr>
          <w:color w:val="auto"/>
          <w:highlight w:val="none"/>
        </w:rPr>
        <w:t>知</w:t>
      </w:r>
      <w:r>
        <w:rPr>
          <w:color w:val="auto"/>
          <w:spacing w:val="-3"/>
          <w:highlight w:val="none"/>
        </w:rPr>
        <w:t>（</w:t>
      </w:r>
      <w:r>
        <w:rPr>
          <w:color w:val="auto"/>
          <w:highlight w:val="none"/>
        </w:rPr>
        <w:t>编</w:t>
      </w:r>
      <w:r>
        <w:rPr>
          <w:color w:val="auto"/>
          <w:spacing w:val="-3"/>
          <w:highlight w:val="none"/>
        </w:rPr>
        <w:t>号</w:t>
      </w:r>
      <w:r>
        <w:rPr>
          <w:color w:val="auto"/>
          <w:highlight w:val="none"/>
        </w:rPr>
        <w:t>：</w:t>
      </w:r>
      <w:r>
        <w:rPr>
          <w:color w:val="auto"/>
          <w:highlight w:val="none"/>
          <w:u w:val="single"/>
        </w:rPr>
        <w:t xml:space="preserve"> </w:t>
      </w:r>
      <w:r>
        <w:rPr>
          <w:color w:val="auto"/>
          <w:highlight w:val="none"/>
          <w:u w:val="single"/>
        </w:rPr>
        <w:tab/>
      </w:r>
      <w:r>
        <w:rPr>
          <w:color w:val="auto"/>
          <w:highlight w:val="none"/>
        </w:rPr>
        <w:t>）已收</w:t>
      </w:r>
      <w:r>
        <w:rPr>
          <w:color w:val="auto"/>
          <w:spacing w:val="-3"/>
          <w:highlight w:val="none"/>
        </w:rPr>
        <w:t>悉</w:t>
      </w:r>
      <w:r>
        <w:rPr>
          <w:color w:val="auto"/>
          <w:highlight w:val="none"/>
        </w:rPr>
        <w:t>，</w:t>
      </w:r>
      <w:r>
        <w:rPr>
          <w:color w:val="auto"/>
          <w:spacing w:val="-3"/>
          <w:highlight w:val="none"/>
        </w:rPr>
        <w:t>现</w:t>
      </w:r>
      <w:r>
        <w:rPr>
          <w:color w:val="auto"/>
          <w:highlight w:val="none"/>
        </w:rPr>
        <w:t>澄清</w:t>
      </w:r>
      <w:r>
        <w:rPr>
          <w:color w:val="auto"/>
          <w:spacing w:val="-3"/>
          <w:highlight w:val="none"/>
        </w:rPr>
        <w:t>如</w:t>
      </w:r>
      <w:r>
        <w:rPr>
          <w:color w:val="auto"/>
          <w:highlight w:val="none"/>
        </w:rPr>
        <w:t>下：</w:t>
      </w:r>
    </w:p>
    <w:p>
      <w:pPr>
        <w:pStyle w:val="2"/>
        <w:spacing w:before="183"/>
        <w:ind w:left="1130"/>
        <w:rPr>
          <w:rFonts w:ascii="Arial"/>
          <w:color w:val="auto"/>
          <w:highlight w:val="none"/>
        </w:rPr>
      </w:pPr>
      <w:r>
        <w:rPr>
          <w:rFonts w:ascii="Arial"/>
          <w:color w:val="auto"/>
          <w:highlight w:val="none"/>
        </w:rPr>
        <w:t>1.</w:t>
      </w:r>
    </w:p>
    <w:p>
      <w:pPr>
        <w:pStyle w:val="2"/>
        <w:spacing w:before="200"/>
        <w:ind w:left="1130"/>
        <w:rPr>
          <w:rFonts w:ascii="Arial"/>
          <w:color w:val="auto"/>
          <w:highlight w:val="none"/>
        </w:rPr>
      </w:pPr>
      <w:r>
        <w:rPr>
          <w:rFonts w:ascii="Arial"/>
          <w:color w:val="auto"/>
          <w:highlight w:val="none"/>
        </w:rPr>
        <w:t>2.</w:t>
      </w:r>
    </w:p>
    <w:p>
      <w:pPr>
        <w:pStyle w:val="2"/>
        <w:rPr>
          <w:rFonts w:ascii="Arial"/>
          <w:color w:val="auto"/>
          <w:sz w:val="24"/>
          <w:highlight w:val="none"/>
        </w:rPr>
      </w:pPr>
    </w:p>
    <w:p>
      <w:pPr>
        <w:pStyle w:val="2"/>
        <w:spacing w:before="5"/>
        <w:rPr>
          <w:rFonts w:ascii="Arial"/>
          <w:color w:val="auto"/>
          <w:sz w:val="31"/>
          <w:highlight w:val="none"/>
        </w:rPr>
      </w:pPr>
    </w:p>
    <w:p>
      <w:pPr>
        <w:pStyle w:val="2"/>
        <w:ind w:left="1027"/>
        <w:rPr>
          <w:rFonts w:ascii="Arial"/>
          <w:color w:val="auto"/>
          <w:highlight w:val="none"/>
        </w:rPr>
      </w:pPr>
      <w:r>
        <w:rPr>
          <w:rFonts w:ascii="Arial"/>
          <w:color w:val="auto"/>
          <w:highlight w:val="none"/>
        </w:rPr>
        <w:t>.....</w:t>
      </w:r>
    </w:p>
    <w:p>
      <w:pPr>
        <w:pStyle w:val="2"/>
        <w:rPr>
          <w:rFonts w:ascii="Arial"/>
          <w:color w:val="auto"/>
          <w:sz w:val="24"/>
          <w:highlight w:val="none"/>
        </w:rPr>
      </w:pPr>
    </w:p>
    <w:p>
      <w:pPr>
        <w:pStyle w:val="2"/>
        <w:rPr>
          <w:rFonts w:ascii="Arial"/>
          <w:color w:val="auto"/>
          <w:sz w:val="24"/>
          <w:highlight w:val="none"/>
        </w:rPr>
      </w:pPr>
    </w:p>
    <w:p>
      <w:pPr>
        <w:pStyle w:val="2"/>
        <w:rPr>
          <w:rFonts w:ascii="Arial"/>
          <w:color w:val="auto"/>
          <w:sz w:val="24"/>
          <w:highlight w:val="none"/>
        </w:rPr>
      </w:pPr>
    </w:p>
    <w:p>
      <w:pPr>
        <w:pStyle w:val="2"/>
        <w:rPr>
          <w:rFonts w:ascii="Arial"/>
          <w:color w:val="auto"/>
          <w:sz w:val="24"/>
          <w:highlight w:val="none"/>
        </w:rPr>
      </w:pPr>
    </w:p>
    <w:p>
      <w:pPr>
        <w:pStyle w:val="2"/>
        <w:rPr>
          <w:rFonts w:ascii="Arial"/>
          <w:color w:val="auto"/>
          <w:sz w:val="24"/>
          <w:highlight w:val="none"/>
        </w:rPr>
      </w:pPr>
    </w:p>
    <w:p>
      <w:pPr>
        <w:pStyle w:val="2"/>
        <w:rPr>
          <w:rFonts w:ascii="Arial"/>
          <w:color w:val="auto"/>
          <w:sz w:val="24"/>
          <w:highlight w:val="none"/>
        </w:rPr>
      </w:pPr>
    </w:p>
    <w:p>
      <w:pPr>
        <w:pStyle w:val="2"/>
        <w:rPr>
          <w:rFonts w:ascii="Arial"/>
          <w:color w:val="auto"/>
          <w:sz w:val="24"/>
          <w:highlight w:val="none"/>
        </w:rPr>
      </w:pPr>
    </w:p>
    <w:p>
      <w:pPr>
        <w:pStyle w:val="2"/>
        <w:rPr>
          <w:rFonts w:ascii="Arial"/>
          <w:color w:val="auto"/>
          <w:sz w:val="24"/>
          <w:highlight w:val="none"/>
        </w:rPr>
      </w:pPr>
    </w:p>
    <w:p>
      <w:pPr>
        <w:pStyle w:val="2"/>
        <w:rPr>
          <w:rFonts w:ascii="Arial"/>
          <w:color w:val="auto"/>
          <w:sz w:val="24"/>
          <w:highlight w:val="none"/>
        </w:rPr>
      </w:pPr>
    </w:p>
    <w:p>
      <w:pPr>
        <w:pStyle w:val="2"/>
        <w:spacing w:before="10"/>
        <w:rPr>
          <w:rFonts w:ascii="Arial"/>
          <w:color w:val="auto"/>
          <w:sz w:val="29"/>
          <w:highlight w:val="none"/>
        </w:rPr>
      </w:pPr>
    </w:p>
    <w:p>
      <w:pPr>
        <w:pStyle w:val="2"/>
        <w:tabs>
          <w:tab w:val="left" w:pos="6907"/>
        </w:tabs>
        <w:ind w:left="3551"/>
        <w:rPr>
          <w:color w:val="auto"/>
          <w:highlight w:val="none"/>
        </w:rPr>
      </w:pPr>
      <w:r>
        <w:rPr>
          <w:color w:val="auto"/>
          <w:spacing w:val="-3"/>
          <w:highlight w:val="none"/>
        </w:rPr>
        <w:t>投</w:t>
      </w:r>
      <w:r>
        <w:rPr>
          <w:color w:val="auto"/>
          <w:highlight w:val="none"/>
        </w:rPr>
        <w:t>标</w:t>
      </w:r>
      <w:r>
        <w:rPr>
          <w:color w:val="auto"/>
          <w:spacing w:val="-3"/>
          <w:highlight w:val="none"/>
        </w:rPr>
        <w:t>人</w:t>
      </w:r>
      <w:r>
        <w:rPr>
          <w:color w:val="auto"/>
          <w:highlight w:val="none"/>
        </w:rPr>
        <w:t>：</w:t>
      </w:r>
      <w:r>
        <w:rPr>
          <w:color w:val="auto"/>
          <w:highlight w:val="none"/>
          <w:u w:val="single"/>
        </w:rPr>
        <w:t xml:space="preserve"> </w:t>
      </w:r>
      <w:r>
        <w:rPr>
          <w:color w:val="auto"/>
          <w:highlight w:val="none"/>
          <w:u w:val="single"/>
        </w:rPr>
        <w:tab/>
      </w:r>
      <w:r>
        <w:rPr>
          <w:color w:val="auto"/>
          <w:highlight w:val="none"/>
        </w:rPr>
        <w:t>（盖</w:t>
      </w:r>
      <w:r>
        <w:rPr>
          <w:color w:val="auto"/>
          <w:spacing w:val="-3"/>
          <w:highlight w:val="none"/>
        </w:rPr>
        <w:t>单</w:t>
      </w:r>
      <w:r>
        <w:rPr>
          <w:color w:val="auto"/>
          <w:highlight w:val="none"/>
        </w:rPr>
        <w:t>位章）</w:t>
      </w:r>
    </w:p>
    <w:p>
      <w:pPr>
        <w:pStyle w:val="2"/>
        <w:rPr>
          <w:color w:val="auto"/>
          <w:sz w:val="22"/>
          <w:highlight w:val="none"/>
        </w:rPr>
      </w:pPr>
    </w:p>
    <w:p>
      <w:pPr>
        <w:pStyle w:val="2"/>
        <w:spacing w:before="7"/>
        <w:rPr>
          <w:color w:val="auto"/>
          <w:sz w:val="25"/>
          <w:highlight w:val="none"/>
        </w:rPr>
      </w:pPr>
    </w:p>
    <w:p>
      <w:pPr>
        <w:pStyle w:val="2"/>
        <w:tabs>
          <w:tab w:val="left" w:pos="7331"/>
        </w:tabs>
        <w:ind w:left="3552"/>
        <w:rPr>
          <w:color w:val="auto"/>
          <w:highlight w:val="none"/>
        </w:rPr>
      </w:pPr>
      <w:r>
        <w:rPr>
          <w:color w:val="auto"/>
          <w:spacing w:val="-3"/>
          <w:highlight w:val="none"/>
        </w:rPr>
        <w:t>法</w:t>
      </w:r>
      <w:r>
        <w:rPr>
          <w:color w:val="auto"/>
          <w:highlight w:val="none"/>
        </w:rPr>
        <w:t>定</w:t>
      </w:r>
      <w:r>
        <w:rPr>
          <w:color w:val="auto"/>
          <w:spacing w:val="-3"/>
          <w:highlight w:val="none"/>
        </w:rPr>
        <w:t>代</w:t>
      </w:r>
      <w:r>
        <w:rPr>
          <w:color w:val="auto"/>
          <w:highlight w:val="none"/>
        </w:rPr>
        <w:t>表</w:t>
      </w:r>
      <w:r>
        <w:rPr>
          <w:color w:val="auto"/>
          <w:spacing w:val="-3"/>
          <w:highlight w:val="none"/>
        </w:rPr>
        <w:t>人</w:t>
      </w:r>
      <w:r>
        <w:rPr>
          <w:color w:val="auto"/>
          <w:highlight w:val="none"/>
        </w:rPr>
        <w:t>或</w:t>
      </w:r>
      <w:r>
        <w:rPr>
          <w:color w:val="auto"/>
          <w:spacing w:val="-3"/>
          <w:highlight w:val="none"/>
        </w:rPr>
        <w:t>其</w:t>
      </w:r>
      <w:r>
        <w:rPr>
          <w:color w:val="auto"/>
          <w:highlight w:val="none"/>
        </w:rPr>
        <w:t>委托</w:t>
      </w:r>
      <w:r>
        <w:rPr>
          <w:color w:val="auto"/>
          <w:spacing w:val="-3"/>
          <w:highlight w:val="none"/>
        </w:rPr>
        <w:t>代</w:t>
      </w:r>
      <w:r>
        <w:rPr>
          <w:color w:val="auto"/>
          <w:highlight w:val="none"/>
        </w:rPr>
        <w:t>理</w:t>
      </w:r>
      <w:r>
        <w:rPr>
          <w:color w:val="auto"/>
          <w:spacing w:val="-3"/>
          <w:highlight w:val="none"/>
        </w:rPr>
        <w:t>人</w:t>
      </w:r>
      <w:r>
        <w:rPr>
          <w:color w:val="auto"/>
          <w:highlight w:val="none"/>
        </w:rPr>
        <w:t>：</w:t>
      </w:r>
      <w:r>
        <w:rPr>
          <w:color w:val="auto"/>
          <w:highlight w:val="none"/>
          <w:u w:val="single"/>
        </w:rPr>
        <w:t xml:space="preserve"> </w:t>
      </w:r>
      <w:r>
        <w:rPr>
          <w:color w:val="auto"/>
          <w:highlight w:val="none"/>
          <w:u w:val="single"/>
        </w:rPr>
        <w:tab/>
      </w:r>
      <w:r>
        <w:rPr>
          <w:color w:val="auto"/>
          <w:highlight w:val="none"/>
        </w:rPr>
        <w:t>（签</w:t>
      </w:r>
      <w:r>
        <w:rPr>
          <w:color w:val="auto"/>
          <w:spacing w:val="-3"/>
          <w:highlight w:val="none"/>
        </w:rPr>
        <w:t>字</w:t>
      </w:r>
      <w:r>
        <w:rPr>
          <w:color w:val="auto"/>
          <w:highlight w:val="none"/>
        </w:rPr>
        <w:t>）</w:t>
      </w:r>
    </w:p>
    <w:p>
      <w:pPr>
        <w:pStyle w:val="2"/>
        <w:rPr>
          <w:color w:val="auto"/>
          <w:sz w:val="20"/>
          <w:highlight w:val="none"/>
        </w:rPr>
      </w:pPr>
    </w:p>
    <w:p>
      <w:pPr>
        <w:pStyle w:val="2"/>
        <w:spacing w:before="2"/>
        <w:rPr>
          <w:color w:val="auto"/>
          <w:sz w:val="22"/>
          <w:highlight w:val="none"/>
        </w:rPr>
      </w:pPr>
    </w:p>
    <w:p>
      <w:pPr>
        <w:pStyle w:val="2"/>
        <w:tabs>
          <w:tab w:val="left" w:pos="5647"/>
          <w:tab w:val="left" w:pos="6695"/>
          <w:tab w:val="left" w:pos="7747"/>
        </w:tabs>
        <w:spacing w:before="71"/>
        <w:ind w:left="4809"/>
        <w:rPr>
          <w:color w:val="auto"/>
          <w:highlight w:val="none"/>
        </w:rPr>
      </w:pPr>
      <w:r>
        <w:rPr>
          <w:rFonts w:ascii="Times New Roman" w:eastAsia="Times New Roman"/>
          <w:color w:val="auto"/>
          <w:w w:val="100"/>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spacing w:after="0"/>
        <w:rPr>
          <w:color w:val="auto"/>
          <w:highlight w:val="none"/>
        </w:rPr>
        <w:sectPr>
          <w:pgSz w:w="11910" w:h="16840"/>
          <w:pgMar w:top="1417" w:right="860" w:bottom="1417" w:left="960" w:header="0" w:footer="672" w:gutter="0"/>
          <w:pgBorders>
            <w:top w:val="none" w:sz="0" w:space="0"/>
            <w:left w:val="none" w:sz="0" w:space="0"/>
            <w:bottom w:val="none" w:sz="0" w:space="0"/>
            <w:right w:val="none" w:sz="0" w:space="0"/>
          </w:pgBorders>
          <w:pgNumType w:fmt="decimal"/>
          <w:cols w:space="720" w:num="1"/>
        </w:sectPr>
      </w:pPr>
    </w:p>
    <w:p>
      <w:pPr>
        <w:spacing w:before="40"/>
        <w:ind w:left="398" w:right="0" w:firstLine="0"/>
        <w:jc w:val="left"/>
        <w:rPr>
          <w:color w:val="auto"/>
          <w:sz w:val="24"/>
          <w:highlight w:val="none"/>
        </w:rPr>
      </w:pPr>
      <w:r>
        <w:rPr>
          <w:color w:val="auto"/>
          <w:sz w:val="24"/>
          <w:highlight w:val="none"/>
        </w:rPr>
        <w:t>附表五</w:t>
      </w:r>
    </w:p>
    <w:p>
      <w:pPr>
        <w:pStyle w:val="2"/>
        <w:spacing w:before="5"/>
        <w:rPr>
          <w:color w:val="auto"/>
          <w:sz w:val="28"/>
          <w:highlight w:val="none"/>
        </w:rPr>
      </w:pPr>
    </w:p>
    <w:p>
      <w:pPr>
        <w:spacing w:before="61"/>
        <w:ind w:left="301" w:right="314" w:firstLine="0"/>
        <w:jc w:val="center"/>
        <w:rPr>
          <w:b/>
          <w:color w:val="auto"/>
          <w:sz w:val="28"/>
          <w:highlight w:val="none"/>
        </w:rPr>
      </w:pPr>
      <w:r>
        <w:rPr>
          <w:b/>
          <w:color w:val="auto"/>
          <w:sz w:val="28"/>
          <w:highlight w:val="none"/>
        </w:rPr>
        <w:t>中标通知书</w:t>
      </w:r>
    </w:p>
    <w:p>
      <w:pPr>
        <w:pStyle w:val="2"/>
        <w:rPr>
          <w:b/>
          <w:color w:val="auto"/>
          <w:sz w:val="20"/>
          <w:highlight w:val="none"/>
        </w:rPr>
      </w:pPr>
    </w:p>
    <w:p>
      <w:pPr>
        <w:pStyle w:val="2"/>
        <w:spacing w:before="7"/>
        <w:rPr>
          <w:b/>
          <w:color w:val="auto"/>
          <w:sz w:val="16"/>
          <w:highlight w:val="none"/>
        </w:rPr>
      </w:pPr>
    </w:p>
    <w:p>
      <w:pPr>
        <w:pStyle w:val="2"/>
        <w:tabs>
          <w:tab w:val="left" w:pos="2390"/>
        </w:tabs>
        <w:spacing w:before="78"/>
        <w:ind w:left="398"/>
        <w:rPr>
          <w:color w:val="auto"/>
          <w:highlight w:val="none"/>
        </w:rPr>
      </w:pPr>
      <w:r>
        <w:rPr>
          <w:rFonts w:ascii="Times New Roman" w:eastAsia="Times New Roman"/>
          <w:color w:val="auto"/>
          <w:w w:val="100"/>
          <w:highlight w:val="none"/>
          <w:u w:val="single"/>
        </w:rPr>
        <w:t xml:space="preserve"> </w:t>
      </w:r>
      <w:r>
        <w:rPr>
          <w:rFonts w:ascii="Times New Roman" w:eastAsia="Times New Roman"/>
          <w:color w:val="auto"/>
          <w:highlight w:val="none"/>
          <w:u w:val="single"/>
        </w:rPr>
        <w:tab/>
      </w:r>
      <w:r>
        <w:rPr>
          <w:color w:val="auto"/>
          <w:w w:val="100"/>
          <w:highlight w:val="none"/>
        </w:rPr>
        <w:t>（</w:t>
      </w:r>
      <w:r>
        <w:rPr>
          <w:color w:val="auto"/>
          <w:spacing w:val="-1"/>
          <w:w w:val="100"/>
          <w:highlight w:val="none"/>
        </w:rPr>
        <w:t>中标人名称</w:t>
      </w:r>
      <w:r>
        <w:rPr>
          <w:color w:val="auto"/>
          <w:spacing w:val="-108"/>
          <w:w w:val="100"/>
          <w:highlight w:val="none"/>
        </w:rPr>
        <w:t>）</w:t>
      </w:r>
      <w:r>
        <w:rPr>
          <w:color w:val="auto"/>
          <w:w w:val="100"/>
          <w:highlight w:val="none"/>
        </w:rPr>
        <w:t>：</w:t>
      </w:r>
    </w:p>
    <w:p>
      <w:pPr>
        <w:pStyle w:val="2"/>
        <w:rPr>
          <w:color w:val="auto"/>
          <w:sz w:val="22"/>
          <w:highlight w:val="none"/>
        </w:rPr>
      </w:pPr>
    </w:p>
    <w:p>
      <w:pPr>
        <w:pStyle w:val="2"/>
        <w:spacing w:before="8"/>
        <w:rPr>
          <w:color w:val="auto"/>
          <w:sz w:val="25"/>
          <w:highlight w:val="none"/>
        </w:rPr>
      </w:pPr>
    </w:p>
    <w:p>
      <w:pPr>
        <w:pStyle w:val="2"/>
        <w:tabs>
          <w:tab w:val="left" w:pos="2404"/>
          <w:tab w:val="left" w:pos="5459"/>
        </w:tabs>
        <w:spacing w:line="393" w:lineRule="auto"/>
        <w:ind w:left="398" w:right="410" w:firstLine="422"/>
        <w:rPr>
          <w:color w:val="auto"/>
          <w:highlight w:val="none"/>
        </w:rPr>
      </w:pPr>
      <w:r>
        <w:rPr>
          <w:color w:val="auto"/>
          <w:highlight w:val="none"/>
        </w:rPr>
        <w:t>你方于</w:t>
      </w:r>
      <w:r>
        <w:rPr>
          <w:color w:val="auto"/>
          <w:highlight w:val="none"/>
          <w:u w:val="single"/>
        </w:rPr>
        <w:t xml:space="preserve"> </w:t>
      </w:r>
      <w:r>
        <w:rPr>
          <w:color w:val="auto"/>
          <w:highlight w:val="none"/>
          <w:u w:val="single"/>
        </w:rPr>
        <w:tab/>
      </w:r>
      <w:r>
        <w:rPr>
          <w:color w:val="auto"/>
          <w:highlight w:val="none"/>
        </w:rPr>
        <w:t>（</w:t>
      </w:r>
      <w:r>
        <w:rPr>
          <w:color w:val="auto"/>
          <w:spacing w:val="-3"/>
          <w:highlight w:val="none"/>
        </w:rPr>
        <w:t>投</w:t>
      </w:r>
      <w:r>
        <w:rPr>
          <w:color w:val="auto"/>
          <w:highlight w:val="none"/>
        </w:rPr>
        <w:t>标日期）所</w:t>
      </w:r>
      <w:r>
        <w:rPr>
          <w:color w:val="auto"/>
          <w:spacing w:val="-3"/>
          <w:highlight w:val="none"/>
        </w:rPr>
        <w:t>递</w:t>
      </w:r>
      <w:r>
        <w:rPr>
          <w:color w:val="auto"/>
          <w:highlight w:val="none"/>
        </w:rPr>
        <w:t>交的</w:t>
      </w:r>
      <w:r>
        <w:rPr>
          <w:color w:val="auto"/>
          <w:highlight w:val="none"/>
          <w:u w:val="single"/>
        </w:rPr>
        <w:t xml:space="preserve"> </w:t>
      </w:r>
      <w:r>
        <w:rPr>
          <w:color w:val="auto"/>
          <w:highlight w:val="none"/>
          <w:u w:val="single"/>
        </w:rPr>
        <w:tab/>
      </w:r>
      <w:r>
        <w:rPr>
          <w:color w:val="auto"/>
          <w:highlight w:val="none"/>
        </w:rPr>
        <w:t>（项目名称</w:t>
      </w:r>
      <w:r>
        <w:rPr>
          <w:color w:val="auto"/>
          <w:spacing w:val="-3"/>
          <w:highlight w:val="none"/>
        </w:rPr>
        <w:t>）</w:t>
      </w:r>
      <w:r>
        <w:rPr>
          <w:color w:val="auto"/>
          <w:highlight w:val="none"/>
        </w:rPr>
        <w:t>设计投</w:t>
      </w:r>
      <w:r>
        <w:rPr>
          <w:color w:val="auto"/>
          <w:spacing w:val="-3"/>
          <w:highlight w:val="none"/>
        </w:rPr>
        <w:t>标</w:t>
      </w:r>
      <w:r>
        <w:rPr>
          <w:color w:val="auto"/>
          <w:highlight w:val="none"/>
        </w:rPr>
        <w:t>文件已被我</w:t>
      </w:r>
      <w:r>
        <w:rPr>
          <w:color w:val="auto"/>
          <w:spacing w:val="-3"/>
          <w:highlight w:val="none"/>
        </w:rPr>
        <w:t>方</w:t>
      </w:r>
      <w:r>
        <w:rPr>
          <w:color w:val="auto"/>
          <w:highlight w:val="none"/>
        </w:rPr>
        <w:t>接受</w:t>
      </w:r>
      <w:r>
        <w:rPr>
          <w:color w:val="auto"/>
          <w:spacing w:val="-3"/>
          <w:highlight w:val="none"/>
        </w:rPr>
        <w:t>，</w:t>
      </w:r>
      <w:r>
        <w:rPr>
          <w:color w:val="auto"/>
          <w:spacing w:val="-15"/>
          <w:highlight w:val="none"/>
        </w:rPr>
        <w:t>被</w:t>
      </w:r>
      <w:r>
        <w:rPr>
          <w:color w:val="auto"/>
          <w:highlight w:val="none"/>
        </w:rPr>
        <w:t>确定</w:t>
      </w:r>
      <w:r>
        <w:rPr>
          <w:color w:val="auto"/>
          <w:spacing w:val="-3"/>
          <w:highlight w:val="none"/>
        </w:rPr>
        <w:t>为</w:t>
      </w:r>
      <w:r>
        <w:rPr>
          <w:color w:val="auto"/>
          <w:highlight w:val="none"/>
        </w:rPr>
        <w:t>中</w:t>
      </w:r>
      <w:r>
        <w:rPr>
          <w:color w:val="auto"/>
          <w:spacing w:val="-3"/>
          <w:highlight w:val="none"/>
        </w:rPr>
        <w:t>标</w:t>
      </w:r>
      <w:r>
        <w:rPr>
          <w:color w:val="auto"/>
          <w:highlight w:val="none"/>
        </w:rPr>
        <w:t>人。</w:t>
      </w:r>
    </w:p>
    <w:p>
      <w:pPr>
        <w:pStyle w:val="2"/>
        <w:tabs>
          <w:tab w:val="left" w:pos="3021"/>
          <w:tab w:val="left" w:pos="3650"/>
        </w:tabs>
        <w:spacing w:line="391" w:lineRule="auto"/>
        <w:ind w:left="820" w:right="6222"/>
        <w:rPr>
          <w:color w:val="auto"/>
          <w:highlight w:val="none"/>
        </w:rPr>
      </w:pPr>
      <w:r>
        <w:rPr>
          <w:color w:val="auto"/>
          <w:spacing w:val="-3"/>
          <w:highlight w:val="none"/>
        </w:rPr>
        <w:t>中</w:t>
      </w:r>
      <w:r>
        <w:rPr>
          <w:color w:val="auto"/>
          <w:highlight w:val="none"/>
        </w:rPr>
        <w:t>标</w:t>
      </w:r>
      <w:r>
        <w:rPr>
          <w:color w:val="auto"/>
          <w:spacing w:val="-3"/>
          <w:highlight w:val="none"/>
        </w:rPr>
        <w:t>价</w:t>
      </w:r>
      <w:r>
        <w:rPr>
          <w:color w:val="auto"/>
          <w:highlight w:val="none"/>
        </w:rPr>
        <w:t>：</w:t>
      </w:r>
      <w:r>
        <w:rPr>
          <w:color w:val="auto"/>
          <w:highlight w:val="none"/>
          <w:u w:val="single"/>
        </w:rPr>
        <w:t xml:space="preserve"> </w:t>
      </w:r>
      <w:r>
        <w:rPr>
          <w:color w:val="auto"/>
          <w:highlight w:val="none"/>
          <w:u w:val="single"/>
        </w:rPr>
        <w:tab/>
      </w:r>
      <w:r>
        <w:rPr>
          <w:color w:val="auto"/>
          <w:highlight w:val="none"/>
          <w:u w:val="single"/>
        </w:rPr>
        <w:tab/>
      </w:r>
      <w:r>
        <w:rPr>
          <w:color w:val="auto"/>
          <w:spacing w:val="-17"/>
          <w:highlight w:val="none"/>
        </w:rPr>
        <w:t>。</w:t>
      </w:r>
      <w:r>
        <w:rPr>
          <w:color w:val="auto"/>
          <w:spacing w:val="-3"/>
          <w:highlight w:val="none"/>
        </w:rPr>
        <w:t>设</w:t>
      </w:r>
      <w:r>
        <w:rPr>
          <w:color w:val="auto"/>
          <w:highlight w:val="none"/>
        </w:rPr>
        <w:t>计</w:t>
      </w:r>
      <w:r>
        <w:rPr>
          <w:color w:val="auto"/>
          <w:spacing w:val="-3"/>
          <w:highlight w:val="none"/>
        </w:rPr>
        <w:t>周</w:t>
      </w:r>
      <w:r>
        <w:rPr>
          <w:color w:val="auto"/>
          <w:highlight w:val="none"/>
        </w:rPr>
        <w:t>期：</w:t>
      </w:r>
      <w:r>
        <w:rPr>
          <w:color w:val="auto"/>
          <w:highlight w:val="none"/>
          <w:u w:val="single"/>
        </w:rPr>
        <w:t xml:space="preserve"> </w:t>
      </w:r>
      <w:r>
        <w:rPr>
          <w:color w:val="auto"/>
          <w:highlight w:val="none"/>
          <w:u w:val="single"/>
        </w:rPr>
        <w:tab/>
      </w:r>
      <w:r>
        <w:rPr>
          <w:color w:val="auto"/>
          <w:highlight w:val="none"/>
        </w:rPr>
        <w:t>。</w:t>
      </w:r>
    </w:p>
    <w:p>
      <w:pPr>
        <w:pStyle w:val="2"/>
        <w:tabs>
          <w:tab w:val="left" w:pos="3544"/>
        </w:tabs>
        <w:spacing w:before="2"/>
        <w:ind w:left="818"/>
        <w:rPr>
          <w:color w:val="auto"/>
          <w:highlight w:val="none"/>
        </w:rPr>
      </w:pPr>
      <w:r>
        <w:rPr>
          <w:color w:val="auto"/>
          <w:highlight w:val="none"/>
        </w:rPr>
        <w:t>项目</w:t>
      </w:r>
      <w:r>
        <w:rPr>
          <w:color w:val="auto"/>
          <w:spacing w:val="-3"/>
          <w:highlight w:val="none"/>
        </w:rPr>
        <w:t>负</w:t>
      </w:r>
      <w:r>
        <w:rPr>
          <w:color w:val="auto"/>
          <w:highlight w:val="none"/>
        </w:rPr>
        <w:t>责</w:t>
      </w:r>
      <w:r>
        <w:rPr>
          <w:color w:val="auto"/>
          <w:spacing w:val="-3"/>
          <w:highlight w:val="none"/>
        </w:rPr>
        <w:t>人</w:t>
      </w:r>
      <w:r>
        <w:rPr>
          <w:color w:val="auto"/>
          <w:highlight w:val="none"/>
        </w:rPr>
        <w:t>：</w:t>
      </w:r>
      <w:r>
        <w:rPr>
          <w:color w:val="auto"/>
          <w:highlight w:val="none"/>
          <w:u w:val="single"/>
        </w:rPr>
        <w:t xml:space="preserve"> </w:t>
      </w:r>
      <w:r>
        <w:rPr>
          <w:color w:val="auto"/>
          <w:highlight w:val="none"/>
          <w:u w:val="single"/>
        </w:rPr>
        <w:tab/>
      </w:r>
      <w:r>
        <w:rPr>
          <w:color w:val="auto"/>
          <w:highlight w:val="none"/>
        </w:rPr>
        <w:t>（姓名</w:t>
      </w:r>
      <w:r>
        <w:rPr>
          <w:color w:val="auto"/>
          <w:spacing w:val="-106"/>
          <w:highlight w:val="none"/>
        </w:rPr>
        <w:t>）</w:t>
      </w:r>
      <w:r>
        <w:rPr>
          <w:color w:val="auto"/>
          <w:highlight w:val="none"/>
        </w:rPr>
        <w:t>。</w:t>
      </w:r>
    </w:p>
    <w:p>
      <w:pPr>
        <w:pStyle w:val="2"/>
        <w:tabs>
          <w:tab w:val="left" w:pos="3861"/>
          <w:tab w:val="left" w:pos="6765"/>
        </w:tabs>
        <w:spacing w:before="170" w:line="391" w:lineRule="auto"/>
        <w:ind w:left="398" w:right="407" w:firstLine="422"/>
        <w:rPr>
          <w:color w:val="auto"/>
          <w:highlight w:val="none"/>
        </w:rPr>
      </w:pPr>
      <w:r>
        <w:rPr>
          <w:color w:val="auto"/>
          <w:spacing w:val="-3"/>
          <w:highlight w:val="none"/>
        </w:rPr>
        <w:t>请</w:t>
      </w:r>
      <w:r>
        <w:rPr>
          <w:color w:val="auto"/>
          <w:highlight w:val="none"/>
        </w:rPr>
        <w:t>你</w:t>
      </w:r>
      <w:r>
        <w:rPr>
          <w:color w:val="auto"/>
          <w:spacing w:val="-3"/>
          <w:highlight w:val="none"/>
        </w:rPr>
        <w:t>方</w:t>
      </w:r>
      <w:r>
        <w:rPr>
          <w:color w:val="auto"/>
          <w:highlight w:val="none"/>
        </w:rPr>
        <w:t>在</w:t>
      </w:r>
      <w:r>
        <w:rPr>
          <w:color w:val="auto"/>
          <w:spacing w:val="-3"/>
          <w:highlight w:val="none"/>
        </w:rPr>
        <w:t>接</w:t>
      </w:r>
      <w:r>
        <w:rPr>
          <w:color w:val="auto"/>
          <w:highlight w:val="none"/>
        </w:rPr>
        <w:t>到</w:t>
      </w:r>
      <w:r>
        <w:rPr>
          <w:color w:val="auto"/>
          <w:spacing w:val="-3"/>
          <w:highlight w:val="none"/>
        </w:rPr>
        <w:t>本</w:t>
      </w:r>
      <w:r>
        <w:rPr>
          <w:color w:val="auto"/>
          <w:highlight w:val="none"/>
        </w:rPr>
        <w:t>通</w:t>
      </w:r>
      <w:r>
        <w:rPr>
          <w:color w:val="auto"/>
          <w:spacing w:val="-3"/>
          <w:highlight w:val="none"/>
        </w:rPr>
        <w:t>知</w:t>
      </w:r>
      <w:r>
        <w:rPr>
          <w:color w:val="auto"/>
          <w:highlight w:val="none"/>
        </w:rPr>
        <w:t>书后的</w:t>
      </w:r>
      <w:r>
        <w:rPr>
          <w:color w:val="auto"/>
          <w:highlight w:val="none"/>
          <w:u w:val="single"/>
        </w:rPr>
        <w:t xml:space="preserve"> </w:t>
      </w:r>
      <w:r>
        <w:rPr>
          <w:color w:val="auto"/>
          <w:highlight w:val="none"/>
          <w:u w:val="single"/>
        </w:rPr>
        <w:tab/>
      </w:r>
      <w:r>
        <w:rPr>
          <w:color w:val="auto"/>
          <w:highlight w:val="none"/>
        </w:rPr>
        <w:t>日内到</w:t>
      </w:r>
      <w:r>
        <w:rPr>
          <w:color w:val="auto"/>
          <w:highlight w:val="none"/>
          <w:u w:val="single"/>
        </w:rPr>
        <w:t xml:space="preserve"> </w:t>
      </w:r>
      <w:r>
        <w:rPr>
          <w:color w:val="auto"/>
          <w:highlight w:val="none"/>
          <w:u w:val="single"/>
        </w:rPr>
        <w:tab/>
      </w:r>
      <w:r>
        <w:rPr>
          <w:color w:val="auto"/>
          <w:highlight w:val="none"/>
        </w:rPr>
        <w:t>（指定地点</w:t>
      </w:r>
      <w:r>
        <w:rPr>
          <w:color w:val="auto"/>
          <w:spacing w:val="-39"/>
          <w:highlight w:val="none"/>
        </w:rPr>
        <w:t>）</w:t>
      </w:r>
      <w:r>
        <w:rPr>
          <w:color w:val="auto"/>
          <w:highlight w:val="none"/>
        </w:rPr>
        <w:t>与</w:t>
      </w:r>
      <w:r>
        <w:rPr>
          <w:color w:val="auto"/>
          <w:spacing w:val="-3"/>
          <w:highlight w:val="none"/>
        </w:rPr>
        <w:t>我</w:t>
      </w:r>
      <w:r>
        <w:rPr>
          <w:color w:val="auto"/>
          <w:highlight w:val="none"/>
        </w:rPr>
        <w:t>方</w:t>
      </w:r>
      <w:r>
        <w:rPr>
          <w:color w:val="auto"/>
          <w:spacing w:val="-3"/>
          <w:highlight w:val="none"/>
        </w:rPr>
        <w:t>签</w:t>
      </w:r>
      <w:r>
        <w:rPr>
          <w:color w:val="auto"/>
          <w:highlight w:val="none"/>
        </w:rPr>
        <w:t>订</w:t>
      </w:r>
      <w:r>
        <w:rPr>
          <w:color w:val="auto"/>
          <w:spacing w:val="-3"/>
          <w:highlight w:val="none"/>
        </w:rPr>
        <w:t>设</w:t>
      </w:r>
      <w:r>
        <w:rPr>
          <w:color w:val="auto"/>
          <w:highlight w:val="none"/>
        </w:rPr>
        <w:t>计</w:t>
      </w:r>
      <w:r>
        <w:rPr>
          <w:color w:val="auto"/>
          <w:spacing w:val="-15"/>
          <w:highlight w:val="none"/>
        </w:rPr>
        <w:t>合</w:t>
      </w:r>
      <w:r>
        <w:rPr>
          <w:color w:val="auto"/>
          <w:highlight w:val="none"/>
        </w:rPr>
        <w:t>同，</w:t>
      </w:r>
      <w:r>
        <w:rPr>
          <w:color w:val="auto"/>
          <w:spacing w:val="-3"/>
          <w:highlight w:val="none"/>
        </w:rPr>
        <w:t>在</w:t>
      </w:r>
      <w:r>
        <w:rPr>
          <w:color w:val="auto"/>
          <w:highlight w:val="none"/>
        </w:rPr>
        <w:t>此</w:t>
      </w:r>
      <w:r>
        <w:rPr>
          <w:color w:val="auto"/>
          <w:spacing w:val="-3"/>
          <w:highlight w:val="none"/>
        </w:rPr>
        <w:t>之</w:t>
      </w:r>
      <w:r>
        <w:rPr>
          <w:color w:val="auto"/>
          <w:highlight w:val="none"/>
        </w:rPr>
        <w:t>前</w:t>
      </w:r>
      <w:r>
        <w:rPr>
          <w:color w:val="auto"/>
          <w:spacing w:val="-3"/>
          <w:highlight w:val="none"/>
        </w:rPr>
        <w:t>按</w:t>
      </w:r>
      <w:r>
        <w:rPr>
          <w:color w:val="auto"/>
          <w:highlight w:val="none"/>
        </w:rPr>
        <w:t>招</w:t>
      </w:r>
      <w:r>
        <w:rPr>
          <w:color w:val="auto"/>
          <w:spacing w:val="-3"/>
          <w:highlight w:val="none"/>
        </w:rPr>
        <w:t>标</w:t>
      </w:r>
      <w:r>
        <w:rPr>
          <w:color w:val="auto"/>
          <w:highlight w:val="none"/>
        </w:rPr>
        <w:t>文</w:t>
      </w:r>
      <w:r>
        <w:rPr>
          <w:color w:val="auto"/>
          <w:spacing w:val="-3"/>
          <w:highlight w:val="none"/>
        </w:rPr>
        <w:t>件</w:t>
      </w:r>
      <w:r>
        <w:rPr>
          <w:color w:val="auto"/>
          <w:highlight w:val="none"/>
        </w:rPr>
        <w:t>第二章</w:t>
      </w:r>
      <w:r>
        <w:rPr>
          <w:rFonts w:ascii="Arial" w:hAnsi="Arial" w:eastAsia="Arial"/>
          <w:color w:val="auto"/>
          <w:spacing w:val="-4"/>
          <w:highlight w:val="none"/>
        </w:rPr>
        <w:t>“</w:t>
      </w:r>
      <w:r>
        <w:rPr>
          <w:color w:val="auto"/>
          <w:highlight w:val="none"/>
        </w:rPr>
        <w:t>投</w:t>
      </w:r>
      <w:r>
        <w:rPr>
          <w:color w:val="auto"/>
          <w:spacing w:val="-3"/>
          <w:highlight w:val="none"/>
        </w:rPr>
        <w:t>标</w:t>
      </w:r>
      <w:r>
        <w:rPr>
          <w:color w:val="auto"/>
          <w:highlight w:val="none"/>
        </w:rPr>
        <w:t>人</w:t>
      </w:r>
      <w:r>
        <w:rPr>
          <w:color w:val="auto"/>
          <w:spacing w:val="-3"/>
          <w:highlight w:val="none"/>
        </w:rPr>
        <w:t>须</w:t>
      </w:r>
      <w:r>
        <w:rPr>
          <w:color w:val="auto"/>
          <w:highlight w:val="none"/>
        </w:rPr>
        <w:t>知</w:t>
      </w:r>
      <w:r>
        <w:rPr>
          <w:rFonts w:ascii="Arial" w:hAnsi="Arial" w:eastAsia="Arial"/>
          <w:color w:val="auto"/>
          <w:highlight w:val="none"/>
        </w:rPr>
        <w:t>”</w:t>
      </w:r>
      <w:r>
        <w:rPr>
          <w:color w:val="auto"/>
          <w:highlight w:val="none"/>
        </w:rPr>
        <w:t>第</w:t>
      </w:r>
      <w:r>
        <w:rPr>
          <w:color w:val="auto"/>
          <w:spacing w:val="-55"/>
          <w:highlight w:val="none"/>
        </w:rPr>
        <w:t xml:space="preserve"> </w:t>
      </w:r>
      <w:r>
        <w:rPr>
          <w:rFonts w:ascii="Arial" w:hAnsi="Arial" w:eastAsia="Arial"/>
          <w:color w:val="auto"/>
          <w:highlight w:val="none"/>
        </w:rPr>
        <w:t>7.3</w:t>
      </w:r>
      <w:r>
        <w:rPr>
          <w:rFonts w:ascii="Arial" w:hAnsi="Arial" w:eastAsia="Arial"/>
          <w:color w:val="auto"/>
          <w:spacing w:val="-7"/>
          <w:highlight w:val="none"/>
        </w:rPr>
        <w:t xml:space="preserve"> </w:t>
      </w:r>
      <w:r>
        <w:rPr>
          <w:color w:val="auto"/>
          <w:highlight w:val="none"/>
        </w:rPr>
        <w:t>款规</w:t>
      </w:r>
      <w:r>
        <w:rPr>
          <w:color w:val="auto"/>
          <w:spacing w:val="-3"/>
          <w:highlight w:val="none"/>
        </w:rPr>
        <w:t>定</w:t>
      </w:r>
      <w:r>
        <w:rPr>
          <w:color w:val="auto"/>
          <w:highlight w:val="none"/>
        </w:rPr>
        <w:t>向</w:t>
      </w:r>
      <w:r>
        <w:rPr>
          <w:color w:val="auto"/>
          <w:spacing w:val="-3"/>
          <w:highlight w:val="none"/>
        </w:rPr>
        <w:t>我</w:t>
      </w:r>
      <w:r>
        <w:rPr>
          <w:color w:val="auto"/>
          <w:highlight w:val="none"/>
        </w:rPr>
        <w:t>方</w:t>
      </w:r>
      <w:r>
        <w:rPr>
          <w:color w:val="auto"/>
          <w:spacing w:val="-3"/>
          <w:highlight w:val="none"/>
        </w:rPr>
        <w:t>提</w:t>
      </w:r>
      <w:r>
        <w:rPr>
          <w:color w:val="auto"/>
          <w:highlight w:val="none"/>
        </w:rPr>
        <w:t>交</w:t>
      </w:r>
      <w:r>
        <w:rPr>
          <w:color w:val="auto"/>
          <w:spacing w:val="-3"/>
          <w:highlight w:val="none"/>
        </w:rPr>
        <w:t>履</w:t>
      </w:r>
      <w:r>
        <w:rPr>
          <w:color w:val="auto"/>
          <w:highlight w:val="none"/>
        </w:rPr>
        <w:t>约</w:t>
      </w:r>
      <w:r>
        <w:rPr>
          <w:color w:val="auto"/>
          <w:spacing w:val="-3"/>
          <w:highlight w:val="none"/>
        </w:rPr>
        <w:t>担</w:t>
      </w:r>
      <w:r>
        <w:rPr>
          <w:color w:val="auto"/>
          <w:highlight w:val="none"/>
        </w:rPr>
        <w:t>保。</w:t>
      </w:r>
    </w:p>
    <w:p>
      <w:pPr>
        <w:pStyle w:val="2"/>
        <w:spacing w:before="3"/>
        <w:ind w:left="820"/>
        <w:rPr>
          <w:color w:val="auto"/>
          <w:highlight w:val="none"/>
        </w:rPr>
      </w:pPr>
      <w:r>
        <w:rPr>
          <w:color w:val="auto"/>
          <w:highlight w:val="none"/>
        </w:rPr>
        <w:t>特此通知。</w:t>
      </w: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spacing w:before="7"/>
        <w:rPr>
          <w:color w:val="auto"/>
          <w:sz w:val="22"/>
          <w:highlight w:val="none"/>
        </w:rPr>
      </w:pPr>
    </w:p>
    <w:p>
      <w:pPr>
        <w:pStyle w:val="2"/>
        <w:tabs>
          <w:tab w:val="left" w:pos="5947"/>
        </w:tabs>
        <w:spacing w:line="482" w:lineRule="auto"/>
        <w:ind w:left="3636" w:right="2874"/>
        <w:rPr>
          <w:color w:val="auto"/>
          <w:highlight w:val="none"/>
        </w:rPr>
      </w:pPr>
      <w:r>
        <w:rPr>
          <w:color w:val="auto"/>
          <w:highlight w:val="none"/>
        </w:rPr>
        <w:t>招标</w:t>
      </w:r>
      <w:r>
        <w:rPr>
          <w:color w:val="auto"/>
          <w:spacing w:val="-3"/>
          <w:highlight w:val="none"/>
        </w:rPr>
        <w:t>人</w:t>
      </w:r>
      <w:r>
        <w:rPr>
          <w:color w:val="auto"/>
          <w:highlight w:val="none"/>
        </w:rPr>
        <w:t>：</w:t>
      </w:r>
      <w:r>
        <w:rPr>
          <w:color w:val="auto"/>
          <w:highlight w:val="none"/>
          <w:u w:val="single"/>
        </w:rPr>
        <w:t xml:space="preserve"> </w:t>
      </w:r>
      <w:r>
        <w:rPr>
          <w:color w:val="auto"/>
          <w:highlight w:val="none"/>
          <w:u w:val="single"/>
        </w:rPr>
        <w:tab/>
      </w:r>
      <w:r>
        <w:rPr>
          <w:color w:val="auto"/>
          <w:highlight w:val="none"/>
        </w:rPr>
        <w:t>（盖</w:t>
      </w:r>
      <w:r>
        <w:rPr>
          <w:color w:val="auto"/>
          <w:spacing w:val="-3"/>
          <w:highlight w:val="none"/>
        </w:rPr>
        <w:t>单</w:t>
      </w:r>
      <w:r>
        <w:rPr>
          <w:color w:val="auto"/>
          <w:highlight w:val="none"/>
        </w:rPr>
        <w:t>位</w:t>
      </w:r>
      <w:r>
        <w:rPr>
          <w:color w:val="auto"/>
          <w:spacing w:val="-3"/>
          <w:highlight w:val="none"/>
        </w:rPr>
        <w:t>章</w:t>
      </w:r>
      <w:r>
        <w:rPr>
          <w:color w:val="auto"/>
          <w:spacing w:val="-16"/>
          <w:highlight w:val="none"/>
        </w:rPr>
        <w:t xml:space="preserve">） </w:t>
      </w:r>
      <w:r>
        <w:rPr>
          <w:color w:val="auto"/>
          <w:highlight w:val="none"/>
        </w:rPr>
        <w:t>招标</w:t>
      </w:r>
      <w:r>
        <w:rPr>
          <w:color w:val="auto"/>
          <w:spacing w:val="-3"/>
          <w:highlight w:val="none"/>
        </w:rPr>
        <w:t>代</w:t>
      </w:r>
      <w:r>
        <w:rPr>
          <w:color w:val="auto"/>
          <w:highlight w:val="none"/>
        </w:rPr>
        <w:t>理：</w:t>
      </w:r>
      <w:r>
        <w:rPr>
          <w:color w:val="auto"/>
          <w:highlight w:val="none"/>
          <w:u w:val="single"/>
        </w:rPr>
        <w:t xml:space="preserve"> </w:t>
      </w:r>
      <w:r>
        <w:rPr>
          <w:color w:val="auto"/>
          <w:highlight w:val="none"/>
          <w:u w:val="single"/>
        </w:rPr>
        <w:tab/>
      </w:r>
      <w:r>
        <w:rPr>
          <w:color w:val="auto"/>
          <w:highlight w:val="none"/>
        </w:rPr>
        <w:t>（盖</w:t>
      </w:r>
      <w:r>
        <w:rPr>
          <w:color w:val="auto"/>
          <w:spacing w:val="-3"/>
          <w:highlight w:val="none"/>
        </w:rPr>
        <w:t>单</w:t>
      </w:r>
      <w:r>
        <w:rPr>
          <w:color w:val="auto"/>
          <w:highlight w:val="none"/>
        </w:rPr>
        <w:t>位</w:t>
      </w:r>
      <w:r>
        <w:rPr>
          <w:color w:val="auto"/>
          <w:spacing w:val="-3"/>
          <w:highlight w:val="none"/>
        </w:rPr>
        <w:t>章</w:t>
      </w:r>
      <w:r>
        <w:rPr>
          <w:color w:val="auto"/>
          <w:spacing w:val="-16"/>
          <w:highlight w:val="none"/>
        </w:rPr>
        <w:t>）</w:t>
      </w:r>
    </w:p>
    <w:p>
      <w:pPr>
        <w:pStyle w:val="2"/>
        <w:tabs>
          <w:tab w:val="left" w:pos="4891"/>
          <w:tab w:val="left" w:pos="5939"/>
          <w:tab w:val="left" w:pos="6991"/>
        </w:tabs>
        <w:spacing w:line="267" w:lineRule="exact"/>
        <w:ind w:left="4053"/>
        <w:rPr>
          <w:color w:val="auto"/>
          <w:highlight w:val="none"/>
        </w:rPr>
      </w:pPr>
      <w:r>
        <w:rPr>
          <w:rFonts w:ascii="Times New Roman" w:eastAsia="Times New Roman"/>
          <w:color w:val="auto"/>
          <w:w w:val="100"/>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spacing w:after="0" w:line="267" w:lineRule="exact"/>
        <w:rPr>
          <w:color w:val="auto"/>
          <w:highlight w:val="none"/>
        </w:rPr>
        <w:sectPr>
          <w:pgSz w:w="11910" w:h="16840"/>
          <w:pgMar w:top="1417" w:right="860" w:bottom="1417" w:left="960" w:header="0" w:footer="672" w:gutter="0"/>
          <w:pgBorders>
            <w:top w:val="none" w:sz="0" w:space="0"/>
            <w:left w:val="none" w:sz="0" w:space="0"/>
            <w:bottom w:val="none" w:sz="0" w:space="0"/>
            <w:right w:val="none" w:sz="0" w:space="0"/>
          </w:pgBorders>
          <w:pgNumType w:fmt="decimal"/>
          <w:cols w:space="720" w:num="1"/>
        </w:sectPr>
      </w:pPr>
    </w:p>
    <w:p>
      <w:pPr>
        <w:spacing w:before="40"/>
        <w:ind w:left="398" w:right="0" w:firstLine="0"/>
        <w:jc w:val="left"/>
        <w:rPr>
          <w:color w:val="auto"/>
          <w:sz w:val="24"/>
          <w:highlight w:val="none"/>
        </w:rPr>
      </w:pPr>
      <w:r>
        <w:rPr>
          <w:color w:val="auto"/>
          <w:sz w:val="24"/>
          <w:highlight w:val="none"/>
        </w:rPr>
        <w:t>附表六</w:t>
      </w:r>
    </w:p>
    <w:p>
      <w:pPr>
        <w:pStyle w:val="2"/>
        <w:spacing w:before="5"/>
        <w:rPr>
          <w:color w:val="auto"/>
          <w:sz w:val="28"/>
          <w:highlight w:val="none"/>
        </w:rPr>
      </w:pPr>
    </w:p>
    <w:p>
      <w:pPr>
        <w:spacing w:before="61"/>
        <w:ind w:left="301" w:right="314" w:firstLine="0"/>
        <w:jc w:val="center"/>
        <w:rPr>
          <w:b/>
          <w:color w:val="auto"/>
          <w:sz w:val="28"/>
          <w:highlight w:val="none"/>
        </w:rPr>
      </w:pPr>
      <w:r>
        <w:rPr>
          <w:b/>
          <w:color w:val="auto"/>
          <w:sz w:val="28"/>
          <w:highlight w:val="none"/>
        </w:rPr>
        <w:t>中标结果通知书</w:t>
      </w:r>
    </w:p>
    <w:p>
      <w:pPr>
        <w:pStyle w:val="2"/>
        <w:rPr>
          <w:b/>
          <w:color w:val="auto"/>
          <w:sz w:val="20"/>
          <w:highlight w:val="none"/>
        </w:rPr>
      </w:pPr>
    </w:p>
    <w:p>
      <w:pPr>
        <w:pStyle w:val="2"/>
        <w:spacing w:before="7"/>
        <w:rPr>
          <w:b/>
          <w:color w:val="auto"/>
          <w:sz w:val="16"/>
          <w:highlight w:val="none"/>
        </w:rPr>
      </w:pPr>
    </w:p>
    <w:p>
      <w:pPr>
        <w:pStyle w:val="2"/>
        <w:tabs>
          <w:tab w:val="left" w:pos="2287"/>
        </w:tabs>
        <w:spacing w:before="78"/>
        <w:ind w:left="398"/>
        <w:rPr>
          <w:color w:val="auto"/>
          <w:highlight w:val="none"/>
        </w:rPr>
      </w:pPr>
      <w:r>
        <w:rPr>
          <w:rFonts w:ascii="Times New Roman" w:eastAsia="Times New Roman"/>
          <w:color w:val="auto"/>
          <w:w w:val="100"/>
          <w:highlight w:val="none"/>
          <w:u w:val="single"/>
        </w:rPr>
        <w:t xml:space="preserve"> </w:t>
      </w:r>
      <w:r>
        <w:rPr>
          <w:rFonts w:ascii="Times New Roman" w:eastAsia="Times New Roman"/>
          <w:color w:val="auto"/>
          <w:highlight w:val="none"/>
          <w:u w:val="single"/>
        </w:rPr>
        <w:tab/>
      </w:r>
      <w:r>
        <w:rPr>
          <w:color w:val="auto"/>
          <w:w w:val="100"/>
          <w:highlight w:val="none"/>
        </w:rPr>
        <w:t>（</w:t>
      </w:r>
      <w:r>
        <w:rPr>
          <w:color w:val="auto"/>
          <w:spacing w:val="-2"/>
          <w:w w:val="100"/>
          <w:highlight w:val="none"/>
        </w:rPr>
        <w:t>未中标人名称</w:t>
      </w:r>
      <w:r>
        <w:rPr>
          <w:color w:val="auto"/>
          <w:spacing w:val="-106"/>
          <w:w w:val="100"/>
          <w:highlight w:val="none"/>
        </w:rPr>
        <w:t>）</w:t>
      </w:r>
      <w:r>
        <w:rPr>
          <w:color w:val="auto"/>
          <w:w w:val="100"/>
          <w:highlight w:val="none"/>
        </w:rPr>
        <w:t>：</w:t>
      </w:r>
    </w:p>
    <w:p>
      <w:pPr>
        <w:pStyle w:val="2"/>
        <w:rPr>
          <w:color w:val="auto"/>
          <w:sz w:val="22"/>
          <w:highlight w:val="none"/>
        </w:rPr>
      </w:pPr>
    </w:p>
    <w:p>
      <w:pPr>
        <w:pStyle w:val="2"/>
        <w:spacing w:before="8"/>
        <w:rPr>
          <w:color w:val="auto"/>
          <w:sz w:val="25"/>
          <w:highlight w:val="none"/>
        </w:rPr>
      </w:pPr>
    </w:p>
    <w:p>
      <w:pPr>
        <w:pStyle w:val="2"/>
        <w:tabs>
          <w:tab w:val="left" w:pos="3847"/>
          <w:tab w:val="left" w:pos="7403"/>
        </w:tabs>
        <w:ind w:left="856"/>
        <w:rPr>
          <w:color w:val="auto"/>
          <w:highlight w:val="none"/>
        </w:rPr>
      </w:pPr>
      <w:r>
        <w:rPr>
          <w:color w:val="auto"/>
          <w:spacing w:val="16"/>
          <w:highlight w:val="none"/>
        </w:rPr>
        <w:t>我方已接</w:t>
      </w:r>
      <w:r>
        <w:rPr>
          <w:color w:val="auto"/>
          <w:spacing w:val="19"/>
          <w:highlight w:val="none"/>
        </w:rPr>
        <w:t>受</w:t>
      </w:r>
      <w:r>
        <w:rPr>
          <w:color w:val="auto"/>
          <w:spacing w:val="19"/>
          <w:highlight w:val="none"/>
          <w:u w:val="single"/>
        </w:rPr>
        <w:t xml:space="preserve"> </w:t>
      </w:r>
      <w:r>
        <w:rPr>
          <w:color w:val="auto"/>
          <w:spacing w:val="19"/>
          <w:highlight w:val="none"/>
          <w:u w:val="single"/>
        </w:rPr>
        <w:tab/>
      </w:r>
      <w:r>
        <w:rPr>
          <w:color w:val="auto"/>
          <w:highlight w:val="none"/>
        </w:rPr>
        <w:t>（</w:t>
      </w:r>
      <w:r>
        <w:rPr>
          <w:color w:val="auto"/>
          <w:spacing w:val="-85"/>
          <w:highlight w:val="none"/>
        </w:rPr>
        <w:t xml:space="preserve"> </w:t>
      </w:r>
      <w:r>
        <w:rPr>
          <w:color w:val="auto"/>
          <w:spacing w:val="19"/>
          <w:highlight w:val="none"/>
        </w:rPr>
        <w:t>中</w:t>
      </w:r>
      <w:r>
        <w:rPr>
          <w:color w:val="auto"/>
          <w:spacing w:val="16"/>
          <w:highlight w:val="none"/>
        </w:rPr>
        <w:t>标人名称</w:t>
      </w:r>
      <w:r>
        <w:rPr>
          <w:color w:val="auto"/>
          <w:highlight w:val="none"/>
        </w:rPr>
        <w:t>）</w:t>
      </w:r>
      <w:r>
        <w:rPr>
          <w:color w:val="auto"/>
          <w:spacing w:val="-85"/>
          <w:highlight w:val="none"/>
        </w:rPr>
        <w:t xml:space="preserve"> </w:t>
      </w:r>
      <w:r>
        <w:rPr>
          <w:color w:val="auto"/>
          <w:spacing w:val="19"/>
          <w:highlight w:val="none"/>
        </w:rPr>
        <w:t>于</w:t>
      </w:r>
      <w:r>
        <w:rPr>
          <w:color w:val="auto"/>
          <w:spacing w:val="19"/>
          <w:highlight w:val="none"/>
          <w:u w:val="single"/>
        </w:rPr>
        <w:t xml:space="preserve"> </w:t>
      </w:r>
      <w:r>
        <w:rPr>
          <w:color w:val="auto"/>
          <w:spacing w:val="19"/>
          <w:highlight w:val="none"/>
          <w:u w:val="single"/>
        </w:rPr>
        <w:tab/>
      </w:r>
      <w:r>
        <w:rPr>
          <w:color w:val="auto"/>
          <w:spacing w:val="16"/>
          <w:highlight w:val="none"/>
        </w:rPr>
        <w:t>（</w:t>
      </w:r>
      <w:r>
        <w:rPr>
          <w:color w:val="auto"/>
          <w:spacing w:val="19"/>
          <w:highlight w:val="none"/>
        </w:rPr>
        <w:t>投</w:t>
      </w:r>
      <w:r>
        <w:rPr>
          <w:color w:val="auto"/>
          <w:spacing w:val="16"/>
          <w:highlight w:val="none"/>
        </w:rPr>
        <w:t>标日期）</w:t>
      </w:r>
      <w:r>
        <w:rPr>
          <w:color w:val="auto"/>
          <w:spacing w:val="19"/>
          <w:highlight w:val="none"/>
        </w:rPr>
        <w:t>所</w:t>
      </w:r>
      <w:r>
        <w:rPr>
          <w:color w:val="auto"/>
          <w:spacing w:val="16"/>
          <w:highlight w:val="none"/>
        </w:rPr>
        <w:t>递交</w:t>
      </w:r>
      <w:r>
        <w:rPr>
          <w:color w:val="auto"/>
          <w:highlight w:val="none"/>
        </w:rPr>
        <w:t>的</w:t>
      </w:r>
    </w:p>
    <w:p>
      <w:pPr>
        <w:pStyle w:val="2"/>
        <w:tabs>
          <w:tab w:val="left" w:pos="4807"/>
        </w:tabs>
        <w:spacing w:before="172"/>
        <w:ind w:left="398"/>
        <w:rPr>
          <w:color w:val="auto"/>
          <w:highlight w:val="none"/>
        </w:rPr>
      </w:pPr>
      <w:r>
        <w:rPr>
          <w:color w:val="auto"/>
          <w:highlight w:val="none"/>
        </w:rPr>
        <w:t>（项</w:t>
      </w:r>
      <w:r>
        <w:rPr>
          <w:color w:val="auto"/>
          <w:spacing w:val="-3"/>
          <w:highlight w:val="none"/>
        </w:rPr>
        <w:t>目</w:t>
      </w:r>
      <w:r>
        <w:rPr>
          <w:color w:val="auto"/>
          <w:highlight w:val="none"/>
        </w:rPr>
        <w:t>名</w:t>
      </w:r>
      <w:r>
        <w:rPr>
          <w:color w:val="auto"/>
          <w:spacing w:val="-3"/>
          <w:highlight w:val="none"/>
        </w:rPr>
        <w:t>称</w:t>
      </w:r>
      <w:r>
        <w:rPr>
          <w:color w:val="auto"/>
          <w:highlight w:val="none"/>
        </w:rPr>
        <w:t>）</w:t>
      </w:r>
      <w:r>
        <w:rPr>
          <w:color w:val="auto"/>
          <w:spacing w:val="-3"/>
          <w:highlight w:val="none"/>
        </w:rPr>
        <w:t>设</w:t>
      </w:r>
      <w:r>
        <w:rPr>
          <w:color w:val="auto"/>
          <w:highlight w:val="none"/>
        </w:rPr>
        <w:t>计</w:t>
      </w:r>
      <w:r>
        <w:rPr>
          <w:color w:val="auto"/>
          <w:spacing w:val="-3"/>
          <w:highlight w:val="none"/>
        </w:rPr>
        <w:t>投</w:t>
      </w:r>
      <w:r>
        <w:rPr>
          <w:color w:val="auto"/>
          <w:highlight w:val="none"/>
        </w:rPr>
        <w:t>标</w:t>
      </w:r>
      <w:r>
        <w:rPr>
          <w:color w:val="auto"/>
          <w:spacing w:val="-3"/>
          <w:highlight w:val="none"/>
        </w:rPr>
        <w:t>文</w:t>
      </w:r>
      <w:r>
        <w:rPr>
          <w:color w:val="auto"/>
          <w:highlight w:val="none"/>
        </w:rPr>
        <w:t>件，</w:t>
      </w:r>
      <w:r>
        <w:rPr>
          <w:color w:val="auto"/>
          <w:spacing w:val="-3"/>
          <w:highlight w:val="none"/>
        </w:rPr>
        <w:t>确</w:t>
      </w:r>
      <w:r>
        <w:rPr>
          <w:color w:val="auto"/>
          <w:highlight w:val="none"/>
        </w:rPr>
        <w:t>定</w:t>
      </w:r>
      <w:r>
        <w:rPr>
          <w:color w:val="auto"/>
          <w:highlight w:val="none"/>
          <w:u w:val="single"/>
        </w:rPr>
        <w:t xml:space="preserve"> </w:t>
      </w:r>
      <w:r>
        <w:rPr>
          <w:color w:val="auto"/>
          <w:highlight w:val="none"/>
          <w:u w:val="single"/>
        </w:rPr>
        <w:tab/>
      </w:r>
      <w:r>
        <w:rPr>
          <w:color w:val="auto"/>
          <w:highlight w:val="none"/>
        </w:rPr>
        <w:t>（中标</w:t>
      </w:r>
      <w:r>
        <w:rPr>
          <w:color w:val="auto"/>
          <w:spacing w:val="-3"/>
          <w:highlight w:val="none"/>
        </w:rPr>
        <w:t>人</w:t>
      </w:r>
      <w:r>
        <w:rPr>
          <w:color w:val="auto"/>
          <w:highlight w:val="none"/>
        </w:rPr>
        <w:t>名</w:t>
      </w:r>
      <w:r>
        <w:rPr>
          <w:color w:val="auto"/>
          <w:spacing w:val="-3"/>
          <w:highlight w:val="none"/>
        </w:rPr>
        <w:t>称</w:t>
      </w:r>
      <w:r>
        <w:rPr>
          <w:color w:val="auto"/>
          <w:highlight w:val="none"/>
        </w:rPr>
        <w:t>）</w:t>
      </w:r>
      <w:r>
        <w:rPr>
          <w:color w:val="auto"/>
          <w:spacing w:val="-3"/>
          <w:highlight w:val="none"/>
        </w:rPr>
        <w:t>为</w:t>
      </w:r>
      <w:r>
        <w:rPr>
          <w:color w:val="auto"/>
          <w:highlight w:val="none"/>
        </w:rPr>
        <w:t>中</w:t>
      </w:r>
      <w:r>
        <w:rPr>
          <w:color w:val="auto"/>
          <w:spacing w:val="-3"/>
          <w:highlight w:val="none"/>
        </w:rPr>
        <w:t>标</w:t>
      </w:r>
      <w:r>
        <w:rPr>
          <w:color w:val="auto"/>
          <w:highlight w:val="none"/>
        </w:rPr>
        <w:t>人。</w:t>
      </w:r>
    </w:p>
    <w:p>
      <w:pPr>
        <w:pStyle w:val="2"/>
        <w:rPr>
          <w:color w:val="auto"/>
          <w:sz w:val="22"/>
          <w:highlight w:val="none"/>
        </w:rPr>
      </w:pPr>
    </w:p>
    <w:p>
      <w:pPr>
        <w:pStyle w:val="2"/>
        <w:spacing w:before="7"/>
        <w:rPr>
          <w:color w:val="auto"/>
          <w:sz w:val="25"/>
          <w:highlight w:val="none"/>
        </w:rPr>
      </w:pPr>
    </w:p>
    <w:p>
      <w:pPr>
        <w:pStyle w:val="2"/>
        <w:ind w:left="820"/>
        <w:rPr>
          <w:color w:val="auto"/>
          <w:highlight w:val="none"/>
        </w:rPr>
      </w:pPr>
      <w:r>
        <w:rPr>
          <w:color w:val="auto"/>
          <w:highlight w:val="none"/>
        </w:rPr>
        <w:t>感谢你单位对我们工作的大力支持！</w:t>
      </w: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spacing w:before="7"/>
        <w:rPr>
          <w:color w:val="auto"/>
          <w:sz w:val="16"/>
          <w:highlight w:val="none"/>
        </w:rPr>
      </w:pPr>
    </w:p>
    <w:p>
      <w:pPr>
        <w:pStyle w:val="2"/>
        <w:tabs>
          <w:tab w:val="left" w:pos="6275"/>
        </w:tabs>
        <w:ind w:left="3756"/>
        <w:rPr>
          <w:color w:val="auto"/>
          <w:highlight w:val="none"/>
        </w:rPr>
      </w:pPr>
      <w:r>
        <w:rPr>
          <w:color w:val="auto"/>
          <w:highlight w:val="none"/>
        </w:rPr>
        <w:t>招标人：</w:t>
      </w:r>
      <w:r>
        <w:rPr>
          <w:color w:val="auto"/>
          <w:highlight w:val="none"/>
          <w:u w:val="single"/>
        </w:rPr>
        <w:t xml:space="preserve"> </w:t>
      </w:r>
      <w:r>
        <w:rPr>
          <w:color w:val="auto"/>
          <w:highlight w:val="none"/>
          <w:u w:val="single"/>
        </w:rPr>
        <w:tab/>
      </w:r>
      <w:r>
        <w:rPr>
          <w:color w:val="auto"/>
          <w:highlight w:val="none"/>
        </w:rPr>
        <w:t>（盖单</w:t>
      </w:r>
      <w:r>
        <w:rPr>
          <w:color w:val="auto"/>
          <w:spacing w:val="-3"/>
          <w:highlight w:val="none"/>
        </w:rPr>
        <w:t>位</w:t>
      </w:r>
      <w:r>
        <w:rPr>
          <w:color w:val="auto"/>
          <w:highlight w:val="none"/>
        </w:rPr>
        <w:t>章）</w:t>
      </w:r>
    </w:p>
    <w:p>
      <w:pPr>
        <w:pStyle w:val="2"/>
        <w:rPr>
          <w:color w:val="auto"/>
          <w:sz w:val="22"/>
          <w:highlight w:val="none"/>
        </w:rPr>
      </w:pPr>
    </w:p>
    <w:p>
      <w:pPr>
        <w:pStyle w:val="2"/>
        <w:spacing w:before="7"/>
        <w:rPr>
          <w:color w:val="auto"/>
          <w:sz w:val="25"/>
          <w:highlight w:val="none"/>
        </w:rPr>
      </w:pPr>
    </w:p>
    <w:p>
      <w:pPr>
        <w:pStyle w:val="2"/>
        <w:tabs>
          <w:tab w:val="left" w:pos="6064"/>
        </w:tabs>
        <w:ind w:left="3755"/>
        <w:rPr>
          <w:color w:val="auto"/>
          <w:highlight w:val="none"/>
        </w:rPr>
      </w:pPr>
      <w:r>
        <w:rPr>
          <w:color w:val="auto"/>
          <w:highlight w:val="none"/>
        </w:rPr>
        <w:t>招标代</w:t>
      </w:r>
      <w:r>
        <w:rPr>
          <w:color w:val="auto"/>
          <w:spacing w:val="-3"/>
          <w:highlight w:val="none"/>
        </w:rPr>
        <w:t>理</w:t>
      </w:r>
      <w:r>
        <w:rPr>
          <w:color w:val="auto"/>
          <w:highlight w:val="none"/>
        </w:rPr>
        <w:t>：</w:t>
      </w:r>
      <w:r>
        <w:rPr>
          <w:color w:val="auto"/>
          <w:highlight w:val="none"/>
          <w:u w:val="single"/>
        </w:rPr>
        <w:t xml:space="preserve"> </w:t>
      </w:r>
      <w:r>
        <w:rPr>
          <w:color w:val="auto"/>
          <w:highlight w:val="none"/>
          <w:u w:val="single"/>
        </w:rPr>
        <w:tab/>
      </w:r>
      <w:r>
        <w:rPr>
          <w:color w:val="auto"/>
          <w:highlight w:val="none"/>
        </w:rPr>
        <w:t>（盖单位</w:t>
      </w:r>
      <w:r>
        <w:rPr>
          <w:color w:val="auto"/>
          <w:spacing w:val="-3"/>
          <w:highlight w:val="none"/>
        </w:rPr>
        <w:t>章</w:t>
      </w:r>
      <w:r>
        <w:rPr>
          <w:color w:val="auto"/>
          <w:highlight w:val="none"/>
        </w:rPr>
        <w:t>）</w:t>
      </w:r>
    </w:p>
    <w:p>
      <w:pPr>
        <w:pStyle w:val="2"/>
        <w:rPr>
          <w:color w:val="auto"/>
          <w:sz w:val="20"/>
          <w:highlight w:val="none"/>
        </w:rPr>
      </w:pPr>
    </w:p>
    <w:p>
      <w:pPr>
        <w:pStyle w:val="2"/>
        <w:spacing w:before="2"/>
        <w:rPr>
          <w:color w:val="auto"/>
          <w:sz w:val="22"/>
          <w:highlight w:val="none"/>
        </w:rPr>
      </w:pPr>
    </w:p>
    <w:p>
      <w:pPr>
        <w:pStyle w:val="2"/>
        <w:tabs>
          <w:tab w:val="left" w:pos="5330"/>
          <w:tab w:val="left" w:pos="6275"/>
          <w:tab w:val="left" w:pos="7219"/>
        </w:tabs>
        <w:spacing w:before="71"/>
        <w:ind w:left="4598"/>
        <w:rPr>
          <w:color w:val="auto"/>
          <w:highlight w:val="none"/>
        </w:rPr>
      </w:pPr>
      <w:r>
        <w:rPr>
          <w:rFonts w:ascii="Times New Roman" w:eastAsia="Times New Roman"/>
          <w:color w:val="auto"/>
          <w:w w:val="100"/>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spacing w:after="0"/>
        <w:rPr>
          <w:color w:val="auto"/>
          <w:highlight w:val="none"/>
        </w:rPr>
        <w:sectPr>
          <w:pgSz w:w="11910" w:h="16840"/>
          <w:pgMar w:top="1417" w:right="860" w:bottom="1417" w:left="960" w:header="0" w:footer="672" w:gutter="0"/>
          <w:pgBorders>
            <w:top w:val="none" w:sz="0" w:space="0"/>
            <w:left w:val="none" w:sz="0" w:space="0"/>
            <w:bottom w:val="none" w:sz="0" w:space="0"/>
            <w:right w:val="none" w:sz="0" w:space="0"/>
          </w:pgBorders>
          <w:pgNumType w:fmt="decimal"/>
          <w:cols w:space="720" w:num="1"/>
        </w:sectPr>
      </w:pPr>
    </w:p>
    <w:p>
      <w:pPr>
        <w:spacing w:before="40"/>
        <w:ind w:left="398" w:right="0" w:firstLine="0"/>
        <w:jc w:val="left"/>
        <w:rPr>
          <w:color w:val="auto"/>
          <w:sz w:val="24"/>
          <w:highlight w:val="none"/>
        </w:rPr>
      </w:pPr>
      <w:r>
        <w:rPr>
          <w:color w:val="auto"/>
          <w:sz w:val="24"/>
          <w:highlight w:val="none"/>
        </w:rPr>
        <w:t>附表七</w:t>
      </w:r>
    </w:p>
    <w:p>
      <w:pPr>
        <w:pStyle w:val="2"/>
        <w:spacing w:before="5"/>
        <w:rPr>
          <w:color w:val="auto"/>
          <w:sz w:val="28"/>
          <w:highlight w:val="none"/>
        </w:rPr>
      </w:pPr>
    </w:p>
    <w:p>
      <w:pPr>
        <w:spacing w:before="61"/>
        <w:ind w:left="298" w:right="314" w:firstLine="0"/>
        <w:jc w:val="center"/>
        <w:rPr>
          <w:b/>
          <w:color w:val="auto"/>
          <w:sz w:val="28"/>
          <w:highlight w:val="none"/>
        </w:rPr>
      </w:pPr>
      <w:r>
        <w:rPr>
          <w:b/>
          <w:color w:val="auto"/>
          <w:sz w:val="28"/>
          <w:highlight w:val="none"/>
        </w:rPr>
        <w:t>确认通知</w:t>
      </w:r>
    </w:p>
    <w:p>
      <w:pPr>
        <w:pStyle w:val="2"/>
        <w:rPr>
          <w:b/>
          <w:color w:val="auto"/>
          <w:sz w:val="20"/>
          <w:highlight w:val="none"/>
        </w:rPr>
      </w:pPr>
    </w:p>
    <w:p>
      <w:pPr>
        <w:pStyle w:val="2"/>
        <w:spacing w:before="7"/>
        <w:rPr>
          <w:b/>
          <w:color w:val="auto"/>
          <w:sz w:val="16"/>
          <w:highlight w:val="none"/>
        </w:rPr>
      </w:pPr>
    </w:p>
    <w:p>
      <w:pPr>
        <w:pStyle w:val="2"/>
        <w:tabs>
          <w:tab w:val="left" w:pos="1655"/>
        </w:tabs>
        <w:spacing w:before="78"/>
        <w:ind w:left="398"/>
        <w:rPr>
          <w:color w:val="auto"/>
          <w:highlight w:val="none"/>
        </w:rPr>
      </w:pPr>
      <w:r>
        <w:rPr>
          <w:rFonts w:ascii="Times New Roman" w:eastAsia="Times New Roman"/>
          <w:color w:val="auto"/>
          <w:w w:val="100"/>
          <w:highlight w:val="none"/>
          <w:u w:val="single"/>
        </w:rPr>
        <w:t xml:space="preserve"> </w:t>
      </w:r>
      <w:r>
        <w:rPr>
          <w:rFonts w:ascii="Times New Roman" w:eastAsia="Times New Roman"/>
          <w:color w:val="auto"/>
          <w:highlight w:val="none"/>
          <w:u w:val="single"/>
        </w:rPr>
        <w:tab/>
      </w:r>
      <w:r>
        <w:rPr>
          <w:color w:val="auto"/>
          <w:w w:val="100"/>
          <w:highlight w:val="none"/>
        </w:rPr>
        <w:t>（</w:t>
      </w:r>
      <w:r>
        <w:rPr>
          <w:color w:val="auto"/>
          <w:spacing w:val="-1"/>
          <w:w w:val="100"/>
          <w:highlight w:val="none"/>
        </w:rPr>
        <w:t>招标人名称</w:t>
      </w:r>
      <w:r>
        <w:rPr>
          <w:color w:val="auto"/>
          <w:spacing w:val="-106"/>
          <w:w w:val="100"/>
          <w:highlight w:val="none"/>
        </w:rPr>
        <w:t>）</w:t>
      </w:r>
      <w:r>
        <w:rPr>
          <w:color w:val="auto"/>
          <w:w w:val="100"/>
          <w:highlight w:val="none"/>
        </w:rPr>
        <w:t>：</w:t>
      </w:r>
    </w:p>
    <w:p>
      <w:pPr>
        <w:pStyle w:val="2"/>
        <w:rPr>
          <w:color w:val="auto"/>
          <w:sz w:val="22"/>
          <w:highlight w:val="none"/>
        </w:rPr>
      </w:pPr>
    </w:p>
    <w:p>
      <w:pPr>
        <w:pStyle w:val="2"/>
        <w:spacing w:before="8"/>
        <w:rPr>
          <w:color w:val="auto"/>
          <w:sz w:val="25"/>
          <w:highlight w:val="none"/>
        </w:rPr>
      </w:pPr>
    </w:p>
    <w:p>
      <w:pPr>
        <w:pStyle w:val="2"/>
        <w:tabs>
          <w:tab w:val="left" w:pos="2495"/>
          <w:tab w:val="left" w:pos="3124"/>
          <w:tab w:val="left" w:pos="3861"/>
          <w:tab w:val="left" w:pos="4034"/>
          <w:tab w:val="left" w:pos="4915"/>
          <w:tab w:val="left" w:pos="6885"/>
        </w:tabs>
        <w:spacing w:line="393" w:lineRule="auto"/>
        <w:ind w:left="398" w:right="411" w:firstLine="470"/>
        <w:rPr>
          <w:color w:val="auto"/>
          <w:highlight w:val="none"/>
        </w:rPr>
      </w:pPr>
      <w:r>
        <w:rPr>
          <w:color w:val="auto"/>
          <w:spacing w:val="21"/>
          <w:highlight w:val="none"/>
        </w:rPr>
        <w:t>我</w:t>
      </w:r>
      <w:r>
        <w:rPr>
          <w:color w:val="auto"/>
          <w:spacing w:val="24"/>
          <w:highlight w:val="none"/>
        </w:rPr>
        <w:t>方已</w:t>
      </w:r>
      <w:r>
        <w:rPr>
          <w:color w:val="auto"/>
          <w:spacing w:val="21"/>
          <w:highlight w:val="none"/>
        </w:rPr>
        <w:t>接</w:t>
      </w:r>
      <w:r>
        <w:rPr>
          <w:color w:val="auto"/>
          <w:spacing w:val="24"/>
          <w:highlight w:val="none"/>
        </w:rPr>
        <w:t>到</w:t>
      </w:r>
      <w:r>
        <w:rPr>
          <w:color w:val="auto"/>
          <w:spacing w:val="21"/>
          <w:highlight w:val="none"/>
        </w:rPr>
        <w:t>你</w:t>
      </w:r>
      <w:r>
        <w:rPr>
          <w:color w:val="auto"/>
          <w:spacing w:val="24"/>
          <w:highlight w:val="none"/>
        </w:rPr>
        <w:t>方</w:t>
      </w:r>
      <w:r>
        <w:rPr>
          <w:color w:val="auto"/>
          <w:spacing w:val="24"/>
          <w:highlight w:val="none"/>
          <w:u w:val="single"/>
        </w:rPr>
        <w:t xml:space="preserve"> </w:t>
      </w:r>
      <w:r>
        <w:rPr>
          <w:color w:val="auto"/>
          <w:spacing w:val="24"/>
          <w:highlight w:val="none"/>
          <w:u w:val="single"/>
        </w:rPr>
        <w:tab/>
      </w:r>
      <w:r>
        <w:rPr>
          <w:color w:val="auto"/>
          <w:spacing w:val="24"/>
          <w:highlight w:val="none"/>
        </w:rPr>
        <w:t>年</w:t>
      </w:r>
      <w:r>
        <w:rPr>
          <w:color w:val="auto"/>
          <w:spacing w:val="24"/>
          <w:highlight w:val="none"/>
          <w:u w:val="single"/>
        </w:rPr>
        <w:t xml:space="preserve"> </w:t>
      </w:r>
      <w:r>
        <w:rPr>
          <w:color w:val="auto"/>
          <w:spacing w:val="24"/>
          <w:highlight w:val="none"/>
          <w:u w:val="single"/>
        </w:rPr>
        <w:tab/>
      </w:r>
      <w:r>
        <w:rPr>
          <w:color w:val="auto"/>
          <w:spacing w:val="24"/>
          <w:highlight w:val="none"/>
          <w:u w:val="single"/>
        </w:rPr>
        <w:tab/>
      </w:r>
      <w:r>
        <w:rPr>
          <w:color w:val="auto"/>
          <w:spacing w:val="24"/>
          <w:highlight w:val="none"/>
        </w:rPr>
        <w:t>月</w:t>
      </w:r>
      <w:r>
        <w:rPr>
          <w:color w:val="auto"/>
          <w:spacing w:val="24"/>
          <w:highlight w:val="none"/>
          <w:u w:val="single"/>
        </w:rPr>
        <w:t xml:space="preserve"> </w:t>
      </w:r>
      <w:r>
        <w:rPr>
          <w:color w:val="auto"/>
          <w:spacing w:val="24"/>
          <w:highlight w:val="none"/>
          <w:u w:val="single"/>
        </w:rPr>
        <w:tab/>
      </w:r>
      <w:r>
        <w:rPr>
          <w:color w:val="auto"/>
          <w:spacing w:val="21"/>
          <w:highlight w:val="none"/>
        </w:rPr>
        <w:t>日</w:t>
      </w:r>
      <w:r>
        <w:rPr>
          <w:color w:val="auto"/>
          <w:spacing w:val="24"/>
          <w:highlight w:val="none"/>
        </w:rPr>
        <w:t>发出</w:t>
      </w:r>
      <w:r>
        <w:rPr>
          <w:color w:val="auto"/>
          <w:spacing w:val="23"/>
          <w:highlight w:val="none"/>
        </w:rPr>
        <w:t>的</w:t>
      </w:r>
      <w:r>
        <w:rPr>
          <w:color w:val="auto"/>
          <w:spacing w:val="23"/>
          <w:highlight w:val="none"/>
          <w:u w:val="single"/>
        </w:rPr>
        <w:t xml:space="preserve"> </w:t>
      </w:r>
      <w:r>
        <w:rPr>
          <w:color w:val="auto"/>
          <w:spacing w:val="23"/>
          <w:highlight w:val="none"/>
          <w:u w:val="single"/>
        </w:rPr>
        <w:tab/>
      </w:r>
      <w:r>
        <w:rPr>
          <w:color w:val="auto"/>
          <w:spacing w:val="24"/>
          <w:highlight w:val="none"/>
        </w:rPr>
        <w:t>（</w:t>
      </w:r>
      <w:r>
        <w:rPr>
          <w:color w:val="auto"/>
          <w:spacing w:val="21"/>
          <w:highlight w:val="none"/>
        </w:rPr>
        <w:t>项目</w:t>
      </w:r>
      <w:r>
        <w:rPr>
          <w:color w:val="auto"/>
          <w:spacing w:val="24"/>
          <w:highlight w:val="none"/>
        </w:rPr>
        <w:t>名称</w:t>
      </w:r>
      <w:r>
        <w:rPr>
          <w:color w:val="auto"/>
          <w:highlight w:val="none"/>
        </w:rPr>
        <w:t>）</w:t>
      </w:r>
      <w:r>
        <w:rPr>
          <w:color w:val="auto"/>
          <w:spacing w:val="-78"/>
          <w:highlight w:val="none"/>
        </w:rPr>
        <w:t xml:space="preserve"> </w:t>
      </w:r>
      <w:r>
        <w:rPr>
          <w:color w:val="auto"/>
          <w:spacing w:val="24"/>
          <w:highlight w:val="none"/>
        </w:rPr>
        <w:t>设计</w:t>
      </w:r>
      <w:r>
        <w:rPr>
          <w:color w:val="auto"/>
          <w:spacing w:val="21"/>
          <w:highlight w:val="none"/>
        </w:rPr>
        <w:t>招</w:t>
      </w:r>
      <w:r>
        <w:rPr>
          <w:color w:val="auto"/>
          <w:spacing w:val="24"/>
          <w:highlight w:val="none"/>
        </w:rPr>
        <w:t>标</w:t>
      </w:r>
      <w:r>
        <w:rPr>
          <w:color w:val="auto"/>
          <w:spacing w:val="21"/>
          <w:highlight w:val="none"/>
        </w:rPr>
        <w:t>关</w:t>
      </w:r>
      <w:r>
        <w:rPr>
          <w:color w:val="auto"/>
          <w:spacing w:val="-13"/>
          <w:highlight w:val="none"/>
        </w:rPr>
        <w:t>于</w:t>
      </w:r>
      <w:r>
        <w:rPr>
          <w:color w:val="auto"/>
          <w:highlight w:val="none"/>
        </w:rPr>
        <w:t>的通</w:t>
      </w:r>
      <w:r>
        <w:rPr>
          <w:color w:val="auto"/>
          <w:spacing w:val="-3"/>
          <w:highlight w:val="none"/>
        </w:rPr>
        <w:t>知</w:t>
      </w:r>
      <w:r>
        <w:rPr>
          <w:color w:val="auto"/>
          <w:highlight w:val="none"/>
        </w:rPr>
        <w:t>，</w:t>
      </w:r>
      <w:r>
        <w:rPr>
          <w:color w:val="auto"/>
          <w:spacing w:val="-3"/>
          <w:highlight w:val="none"/>
        </w:rPr>
        <w:t>我</w:t>
      </w:r>
      <w:r>
        <w:rPr>
          <w:color w:val="auto"/>
          <w:highlight w:val="none"/>
        </w:rPr>
        <w:t>方</w:t>
      </w:r>
      <w:r>
        <w:rPr>
          <w:color w:val="auto"/>
          <w:spacing w:val="-3"/>
          <w:highlight w:val="none"/>
        </w:rPr>
        <w:t>已</w:t>
      </w:r>
      <w:r>
        <w:rPr>
          <w:color w:val="auto"/>
          <w:highlight w:val="none"/>
        </w:rPr>
        <w:t>于</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日收到。</w:t>
      </w:r>
    </w:p>
    <w:p>
      <w:pPr>
        <w:pStyle w:val="2"/>
        <w:spacing w:line="267" w:lineRule="exact"/>
        <w:ind w:left="820"/>
        <w:rPr>
          <w:color w:val="auto"/>
          <w:highlight w:val="none"/>
        </w:rPr>
      </w:pPr>
      <w:r>
        <w:rPr>
          <w:color w:val="auto"/>
          <w:highlight w:val="none"/>
        </w:rPr>
        <w:t>特此确认。</w:t>
      </w: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2"/>
          <w:highlight w:val="none"/>
        </w:rPr>
      </w:pPr>
    </w:p>
    <w:p>
      <w:pPr>
        <w:pStyle w:val="2"/>
        <w:tabs>
          <w:tab w:val="left" w:pos="5752"/>
        </w:tabs>
        <w:ind w:left="3545"/>
        <w:rPr>
          <w:color w:val="auto"/>
          <w:highlight w:val="none"/>
        </w:rPr>
      </w:pPr>
      <w:r>
        <w:rPr>
          <w:color w:val="auto"/>
          <w:highlight w:val="none"/>
        </w:rPr>
        <w:t>投标人：</w:t>
      </w:r>
      <w:r>
        <w:rPr>
          <w:color w:val="auto"/>
          <w:highlight w:val="none"/>
          <w:u w:val="single"/>
        </w:rPr>
        <w:t xml:space="preserve"> </w:t>
      </w:r>
      <w:r>
        <w:rPr>
          <w:color w:val="auto"/>
          <w:highlight w:val="none"/>
          <w:u w:val="single"/>
        </w:rPr>
        <w:tab/>
      </w:r>
      <w:r>
        <w:rPr>
          <w:color w:val="auto"/>
          <w:highlight w:val="none"/>
        </w:rPr>
        <w:t>（盖单</w:t>
      </w:r>
      <w:r>
        <w:rPr>
          <w:color w:val="auto"/>
          <w:spacing w:val="-3"/>
          <w:highlight w:val="none"/>
        </w:rPr>
        <w:t>位</w:t>
      </w:r>
      <w:r>
        <w:rPr>
          <w:color w:val="auto"/>
          <w:highlight w:val="none"/>
        </w:rPr>
        <w:t>章）</w:t>
      </w:r>
    </w:p>
    <w:p>
      <w:pPr>
        <w:pStyle w:val="2"/>
        <w:rPr>
          <w:color w:val="auto"/>
          <w:sz w:val="20"/>
          <w:highlight w:val="none"/>
        </w:rPr>
      </w:pPr>
    </w:p>
    <w:p>
      <w:pPr>
        <w:pStyle w:val="2"/>
        <w:spacing w:before="2"/>
        <w:rPr>
          <w:color w:val="auto"/>
          <w:sz w:val="22"/>
          <w:highlight w:val="none"/>
        </w:rPr>
      </w:pPr>
    </w:p>
    <w:p>
      <w:pPr>
        <w:pStyle w:val="2"/>
        <w:tabs>
          <w:tab w:val="left" w:pos="4912"/>
          <w:tab w:val="left" w:pos="5855"/>
          <w:tab w:val="left" w:pos="6801"/>
        </w:tabs>
        <w:spacing w:before="72"/>
        <w:ind w:left="4178"/>
        <w:rPr>
          <w:color w:val="auto"/>
          <w:highlight w:val="none"/>
        </w:rPr>
      </w:pPr>
      <w:r>
        <w:rPr>
          <w:rFonts w:ascii="Times New Roman" w:eastAsia="Times New Roman"/>
          <w:color w:val="auto"/>
          <w:w w:val="100"/>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spacing w:after="0"/>
        <w:rPr>
          <w:color w:val="auto"/>
          <w:highlight w:val="none"/>
        </w:rPr>
        <w:sectPr>
          <w:pgSz w:w="11910" w:h="16840"/>
          <w:pgMar w:top="1417" w:right="860" w:bottom="1417" w:left="960" w:header="0" w:footer="672" w:gutter="0"/>
          <w:pgBorders>
            <w:top w:val="none" w:sz="0" w:space="0"/>
            <w:left w:val="none" w:sz="0" w:space="0"/>
            <w:bottom w:val="none" w:sz="0" w:space="0"/>
            <w:right w:val="none" w:sz="0" w:space="0"/>
          </w:pgBorders>
          <w:pgNumType w:fmt="decimal"/>
          <w:cols w:space="720" w:num="1"/>
        </w:sect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spacing w:before="2"/>
        <w:rPr>
          <w:color w:val="auto"/>
          <w:sz w:val="17"/>
          <w:highlight w:val="none"/>
        </w:rPr>
      </w:pPr>
    </w:p>
    <w:p>
      <w:pPr>
        <w:pStyle w:val="5"/>
        <w:tabs>
          <w:tab w:val="left" w:pos="2087"/>
        </w:tabs>
        <w:ind w:right="13"/>
        <w:jc w:val="center"/>
        <w:outlineLvl w:val="0"/>
        <w:rPr>
          <w:color w:val="auto"/>
          <w:highlight w:val="none"/>
        </w:rPr>
      </w:pPr>
      <w:bookmarkStart w:id="131" w:name="第三章  评标办法"/>
      <w:bookmarkEnd w:id="131"/>
      <w:bookmarkStart w:id="132" w:name="_Toc21390"/>
      <w:r>
        <w:rPr>
          <w:color w:val="auto"/>
          <w:highlight w:val="none"/>
        </w:rPr>
        <w:t>第三章</w:t>
      </w:r>
      <w:r>
        <w:rPr>
          <w:color w:val="auto"/>
          <w:highlight w:val="none"/>
        </w:rPr>
        <w:tab/>
      </w:r>
      <w:r>
        <w:rPr>
          <w:color w:val="auto"/>
          <w:highlight w:val="none"/>
        </w:rPr>
        <w:t>评标办法</w:t>
      </w:r>
      <w:bookmarkEnd w:id="132"/>
    </w:p>
    <w:p>
      <w:pPr>
        <w:spacing w:after="0"/>
        <w:rPr>
          <w:color w:val="auto"/>
          <w:highlight w:val="none"/>
        </w:rPr>
        <w:sectPr>
          <w:pgSz w:w="11910" w:h="16840"/>
          <w:pgMar w:top="1580"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33" w:line="328" w:lineRule="auto"/>
        <w:ind w:left="3981" w:right="2723" w:hanging="1272"/>
        <w:jc w:val="left"/>
        <w:rPr>
          <w:rFonts w:hint="eastAsia" w:ascii="黑体" w:hAnsi="黑体" w:eastAsia="黑体"/>
          <w:b/>
          <w:color w:val="auto"/>
          <w:sz w:val="30"/>
          <w:highlight w:val="none"/>
        </w:rPr>
      </w:pPr>
      <w:r>
        <w:rPr>
          <w:color w:val="auto"/>
          <w:highlight w:val="none"/>
        </w:rPr>
        <mc:AlternateContent>
          <mc:Choice Requires="wps">
            <w:drawing>
              <wp:anchor distT="0" distB="0" distL="114300" distR="114300" simplePos="0" relativeHeight="251666432" behindDoc="0" locked="0" layoutInCell="1" allowOverlap="1">
                <wp:simplePos x="0" y="0"/>
                <wp:positionH relativeFrom="page">
                  <wp:posOffset>782955</wp:posOffset>
                </wp:positionH>
                <wp:positionV relativeFrom="paragraph">
                  <wp:posOffset>671195</wp:posOffset>
                </wp:positionV>
                <wp:extent cx="6039485" cy="82137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6039485" cy="8213725"/>
                        </a:xfrm>
                        <a:prstGeom prst="rect">
                          <a:avLst/>
                        </a:prstGeom>
                        <a:noFill/>
                        <a:ln>
                          <a:noFill/>
                        </a:ln>
                        <a:effectLst/>
                      </wps:spPr>
                      <wps:txbx>
                        <w:txbxContent>
                          <w:tbl>
                            <w:tblPr>
                              <w:tblStyle w:val="26"/>
                              <w:tblW w:w="0" w:type="auto"/>
                              <w:tblInd w:w="1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37"/>
                              <w:gridCol w:w="1097"/>
                              <w:gridCol w:w="724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37" w:type="dxa"/>
                                  <w:tcBorders>
                                    <w:tl2br w:val="nil"/>
                                    <w:tr2bl w:val="nil"/>
                                  </w:tcBorders>
                                </w:tcPr>
                                <w:p>
                                  <w:pPr>
                                    <w:pStyle w:val="31"/>
                                    <w:spacing w:before="156"/>
                                    <w:ind w:left="94" w:right="78"/>
                                    <w:jc w:val="center"/>
                                    <w:rPr>
                                      <w:b/>
                                      <w:sz w:val="21"/>
                                    </w:rPr>
                                  </w:pPr>
                                  <w:r>
                                    <w:rPr>
                                      <w:b/>
                                      <w:sz w:val="21"/>
                                    </w:rPr>
                                    <w:t>条款号</w:t>
                                  </w:r>
                                </w:p>
                              </w:tc>
                              <w:tc>
                                <w:tcPr>
                                  <w:tcW w:w="1097" w:type="dxa"/>
                                  <w:tcBorders>
                                    <w:tl2br w:val="nil"/>
                                    <w:tr2bl w:val="nil"/>
                                  </w:tcBorders>
                                </w:tcPr>
                                <w:p>
                                  <w:pPr>
                                    <w:pStyle w:val="31"/>
                                    <w:spacing w:before="156"/>
                                    <w:ind w:left="156"/>
                                    <w:rPr>
                                      <w:b/>
                                      <w:sz w:val="21"/>
                                    </w:rPr>
                                  </w:pPr>
                                  <w:r>
                                    <w:rPr>
                                      <w:b/>
                                      <w:sz w:val="21"/>
                                    </w:rPr>
                                    <w:t>条款名称</w:t>
                                  </w:r>
                                </w:p>
                              </w:tc>
                              <w:tc>
                                <w:tcPr>
                                  <w:tcW w:w="7244" w:type="dxa"/>
                                  <w:tcBorders>
                                    <w:tl2br w:val="nil"/>
                                    <w:tr2bl w:val="nil"/>
                                  </w:tcBorders>
                                </w:tcPr>
                                <w:p>
                                  <w:pPr>
                                    <w:pStyle w:val="31"/>
                                    <w:spacing w:before="156"/>
                                    <w:ind w:left="2787" w:right="2745"/>
                                    <w:jc w:val="center"/>
                                    <w:rPr>
                                      <w:b/>
                                      <w:sz w:val="21"/>
                                    </w:rPr>
                                  </w:pPr>
                                  <w:r>
                                    <w:rPr>
                                      <w:b/>
                                      <w:sz w:val="21"/>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03" w:hRule="atLeast"/>
                              </w:trPr>
                              <w:tc>
                                <w:tcPr>
                                  <w:tcW w:w="837" w:type="dxa"/>
                                  <w:tcBorders>
                                    <w:tl2br w:val="nil"/>
                                    <w:tr2bl w:val="nil"/>
                                  </w:tcBorders>
                                  <w:vAlign w:val="center"/>
                                </w:tcPr>
                                <w:p>
                                  <w:pPr>
                                    <w:pStyle w:val="31"/>
                                    <w:ind w:left="94" w:right="78"/>
                                    <w:jc w:val="center"/>
                                    <w:rPr>
                                      <w:rFonts w:ascii="Arial"/>
                                      <w:sz w:val="21"/>
                                    </w:rPr>
                                  </w:pPr>
                                  <w:r>
                                    <w:rPr>
                                      <w:rFonts w:ascii="Arial"/>
                                      <w:sz w:val="21"/>
                                    </w:rPr>
                                    <w:t>2.2</w:t>
                                  </w:r>
                                </w:p>
                              </w:tc>
                              <w:tc>
                                <w:tcPr>
                                  <w:tcW w:w="1097" w:type="dxa"/>
                                  <w:tcBorders>
                                    <w:tl2br w:val="nil"/>
                                    <w:tr2bl w:val="nil"/>
                                  </w:tcBorders>
                                  <w:vAlign w:val="center"/>
                                </w:tcPr>
                                <w:p>
                                  <w:pPr>
                                    <w:pStyle w:val="31"/>
                                    <w:spacing w:line="278" w:lineRule="auto"/>
                                    <w:ind w:left="158" w:right="121"/>
                                    <w:jc w:val="both"/>
                                    <w:rPr>
                                      <w:sz w:val="21"/>
                                    </w:rPr>
                                  </w:pPr>
                                  <w:r>
                                    <w:rPr>
                                      <w:sz w:val="21"/>
                                    </w:rPr>
                                    <w:t>第一信封资格审查</w:t>
                                  </w:r>
                                </w:p>
                              </w:tc>
                              <w:tc>
                                <w:tcPr>
                                  <w:tcW w:w="7244" w:type="dxa"/>
                                  <w:tcBorders>
                                    <w:tl2br w:val="nil"/>
                                    <w:tr2bl w:val="nil"/>
                                  </w:tcBorders>
                                </w:tcPr>
                                <w:p>
                                  <w:pPr>
                                    <w:pStyle w:val="31"/>
                                    <w:spacing w:before="158" w:line="278" w:lineRule="auto"/>
                                    <w:ind w:left="118" w:right="73" w:firstLine="211"/>
                                    <w:rPr>
                                      <w:b/>
                                      <w:sz w:val="21"/>
                                    </w:rPr>
                                  </w:pPr>
                                  <w:r>
                                    <w:rPr>
                                      <w:b/>
                                      <w:spacing w:val="-8"/>
                                      <w:sz w:val="21"/>
                                    </w:rPr>
                                    <w:t>⑴投标人具备有效的营业执照和基本账户开户许可证</w:t>
                                  </w:r>
                                  <w:r>
                                    <w:rPr>
                                      <w:b/>
                                      <w:sz w:val="21"/>
                                    </w:rPr>
                                    <w:t>（</w:t>
                                  </w:r>
                                  <w:r>
                                    <w:rPr>
                                      <w:b/>
                                      <w:spacing w:val="-3"/>
                                      <w:sz w:val="21"/>
                                    </w:rPr>
                                    <w:t>或基本账户开户银行出</w:t>
                                  </w:r>
                                  <w:r>
                                    <w:rPr>
                                      <w:b/>
                                      <w:spacing w:val="-2"/>
                                      <w:w w:val="100"/>
                                      <w:sz w:val="21"/>
                                    </w:rPr>
                                    <w:t>具的能体现基本账号证明材料</w:t>
                                  </w:r>
                                  <w:r>
                                    <w:rPr>
                                      <w:b/>
                                      <w:spacing w:val="-106"/>
                                      <w:w w:val="100"/>
                                      <w:sz w:val="21"/>
                                    </w:rPr>
                                    <w:t>）</w:t>
                                  </w:r>
                                  <w:r>
                                    <w:rPr>
                                      <w:b/>
                                      <w:w w:val="100"/>
                                      <w:sz w:val="21"/>
                                    </w:rPr>
                                    <w:t>；</w:t>
                                  </w:r>
                                </w:p>
                                <w:p>
                                  <w:pPr>
                                    <w:pStyle w:val="31"/>
                                    <w:spacing w:line="278" w:lineRule="auto"/>
                                    <w:ind w:left="118" w:right="73" w:firstLine="208"/>
                                    <w:rPr>
                                      <w:b/>
                                      <w:sz w:val="21"/>
                                    </w:rPr>
                                  </w:pPr>
                                  <w:r>
                                    <w:rPr>
                                      <w:b/>
                                      <w:spacing w:val="-1"/>
                                      <w:sz w:val="21"/>
                                    </w:rPr>
                                    <w:t>⑵投标人的资质证书有效且等级符合第二章</w:t>
                                  </w:r>
                                  <w:r>
                                    <w:rPr>
                                      <w:rFonts w:ascii="Arial" w:hAnsi="Arial" w:eastAsia="Arial"/>
                                      <w:b/>
                                      <w:spacing w:val="-3"/>
                                      <w:sz w:val="21"/>
                                    </w:rPr>
                                    <w:t>“</w:t>
                                  </w:r>
                                  <w:r>
                                    <w:rPr>
                                      <w:b/>
                                      <w:spacing w:val="-2"/>
                                      <w:sz w:val="21"/>
                                    </w:rPr>
                                    <w:t>投标人须知前附表</w:t>
                                  </w:r>
                                  <w:r>
                                    <w:rPr>
                                      <w:rFonts w:ascii="Arial" w:hAnsi="Arial" w:eastAsia="Arial"/>
                                      <w:b/>
                                      <w:spacing w:val="-3"/>
                                      <w:sz w:val="21"/>
                                    </w:rPr>
                                    <w:t>”</w:t>
                                  </w:r>
                                  <w:r>
                                    <w:rPr>
                                      <w:b/>
                                      <w:spacing w:val="1"/>
                                      <w:sz w:val="21"/>
                                    </w:rPr>
                                    <w:t xml:space="preserve">附录 </w:t>
                                  </w:r>
                                  <w:r>
                                    <w:rPr>
                                      <w:rFonts w:ascii="Arial" w:hAnsi="Arial" w:eastAsia="Arial"/>
                                      <w:b/>
                                      <w:sz w:val="21"/>
                                    </w:rPr>
                                    <w:t xml:space="preserve">1 </w:t>
                                  </w:r>
                                  <w:r>
                                    <w:rPr>
                                      <w:b/>
                                      <w:spacing w:val="-7"/>
                                      <w:sz w:val="21"/>
                                    </w:rPr>
                                    <w:t>的规</w:t>
                                  </w:r>
                                  <w:r>
                                    <w:rPr>
                                      <w:b/>
                                      <w:sz w:val="21"/>
                                    </w:rPr>
                                    <w:t>定；</w:t>
                                  </w:r>
                                </w:p>
                                <w:p>
                                  <w:pPr>
                                    <w:pStyle w:val="31"/>
                                    <w:spacing w:line="269" w:lineRule="exact"/>
                                    <w:ind w:left="326"/>
                                    <w:rPr>
                                      <w:b/>
                                      <w:sz w:val="21"/>
                                    </w:rPr>
                                  </w:pPr>
                                  <w:r>
                                    <w:rPr>
                                      <w:b/>
                                      <w:sz w:val="21"/>
                                    </w:rPr>
                                    <w:t>⑶投标人的业绩符合第二章</w:t>
                                  </w:r>
                                  <w:r>
                                    <w:rPr>
                                      <w:rFonts w:ascii="Arial" w:hAnsi="Arial" w:eastAsia="Arial"/>
                                      <w:b/>
                                      <w:sz w:val="21"/>
                                    </w:rPr>
                                    <w:t>“</w:t>
                                  </w:r>
                                  <w:r>
                                    <w:rPr>
                                      <w:b/>
                                      <w:sz w:val="21"/>
                                    </w:rPr>
                                    <w:t>投标人须知前附表</w:t>
                                  </w:r>
                                  <w:r>
                                    <w:rPr>
                                      <w:rFonts w:ascii="Arial" w:hAnsi="Arial" w:eastAsia="Arial"/>
                                      <w:b/>
                                      <w:sz w:val="21"/>
                                    </w:rPr>
                                    <w:t>”</w:t>
                                  </w:r>
                                  <w:r>
                                    <w:rPr>
                                      <w:b/>
                                      <w:sz w:val="21"/>
                                    </w:rPr>
                                    <w:t xml:space="preserve">附录 </w:t>
                                  </w:r>
                                  <w:r>
                                    <w:rPr>
                                      <w:rFonts w:ascii="Arial" w:hAnsi="Arial" w:eastAsia="Arial"/>
                                      <w:b/>
                                      <w:sz w:val="21"/>
                                    </w:rPr>
                                    <w:t xml:space="preserve">2 </w:t>
                                  </w:r>
                                  <w:r>
                                    <w:rPr>
                                      <w:b/>
                                      <w:sz w:val="21"/>
                                    </w:rPr>
                                    <w:t>的规定；</w:t>
                                  </w:r>
                                </w:p>
                                <w:p>
                                  <w:pPr>
                                    <w:pStyle w:val="31"/>
                                    <w:spacing w:line="232" w:lineRule="exact"/>
                                    <w:ind w:left="326"/>
                                    <w:rPr>
                                      <w:b/>
                                      <w:sz w:val="21"/>
                                    </w:rPr>
                                  </w:pPr>
                                  <w:r>
                                    <w:rPr>
                                      <w:b/>
                                      <w:sz w:val="21"/>
                                    </w:rPr>
                                    <w:t>⑷投标人的主要人员资格符合第二章</w:t>
                                  </w:r>
                                  <w:r>
                                    <w:rPr>
                                      <w:rFonts w:ascii="Arial" w:hAnsi="Arial" w:eastAsia="Arial"/>
                                      <w:b/>
                                      <w:sz w:val="21"/>
                                    </w:rPr>
                                    <w:t>“</w:t>
                                  </w:r>
                                  <w:r>
                                    <w:rPr>
                                      <w:b/>
                                      <w:sz w:val="21"/>
                                    </w:rPr>
                                    <w:t>投标人须知前附表</w:t>
                                  </w:r>
                                  <w:r>
                                    <w:rPr>
                                      <w:rFonts w:ascii="Arial" w:hAnsi="Arial" w:eastAsia="Arial"/>
                                      <w:b/>
                                      <w:sz w:val="21"/>
                                    </w:rPr>
                                    <w:t>”</w:t>
                                  </w:r>
                                  <w:r>
                                    <w:rPr>
                                      <w:b/>
                                      <w:sz w:val="21"/>
                                    </w:rPr>
                                    <w:t xml:space="preserve">附录 </w:t>
                                  </w:r>
                                  <w:r>
                                    <w:rPr>
                                      <w:rFonts w:ascii="Arial" w:hAnsi="Arial" w:eastAsia="Arial"/>
                                      <w:b/>
                                      <w:sz w:val="21"/>
                                    </w:rPr>
                                    <w:t xml:space="preserve">3 </w:t>
                                  </w:r>
                                  <w:r>
                                    <w:rPr>
                                      <w:b/>
                                      <w:sz w:val="21"/>
                                    </w:rPr>
                                    <w:t>的规定；</w:t>
                                  </w:r>
                                </w:p>
                                <w:p>
                                  <w:pPr>
                                    <w:pStyle w:val="31"/>
                                    <w:spacing w:before="50"/>
                                    <w:ind w:left="326"/>
                                    <w:rPr>
                                      <w:b/>
                                      <w:sz w:val="21"/>
                                    </w:rPr>
                                  </w:pPr>
                                  <w:r>
                                    <w:rPr>
                                      <w:b/>
                                      <w:sz w:val="21"/>
                                    </w:rPr>
                                    <w:t>⑸投标人的信誉符合第二章</w:t>
                                  </w:r>
                                  <w:r>
                                    <w:rPr>
                                      <w:rFonts w:ascii="Arial" w:hAnsi="Arial" w:eastAsia="Arial"/>
                                      <w:b/>
                                      <w:sz w:val="21"/>
                                    </w:rPr>
                                    <w:t>“</w:t>
                                  </w:r>
                                  <w:r>
                                    <w:rPr>
                                      <w:b/>
                                      <w:sz w:val="21"/>
                                    </w:rPr>
                                    <w:t>投标人须知前附表</w:t>
                                  </w:r>
                                  <w:r>
                                    <w:rPr>
                                      <w:rFonts w:ascii="Arial" w:hAnsi="Arial" w:eastAsia="Arial"/>
                                      <w:b/>
                                      <w:sz w:val="21"/>
                                    </w:rPr>
                                    <w:t>”</w:t>
                                  </w:r>
                                  <w:r>
                                    <w:rPr>
                                      <w:b/>
                                      <w:sz w:val="21"/>
                                    </w:rPr>
                                    <w:t>附录</w:t>
                                  </w:r>
                                  <w:r>
                                    <w:rPr>
                                      <w:rFonts w:ascii="Arial" w:hAnsi="Arial" w:eastAsia="Arial"/>
                                      <w:b/>
                                      <w:sz w:val="21"/>
                                    </w:rPr>
                                    <w:t>4</w:t>
                                  </w:r>
                                  <w:r>
                                    <w:rPr>
                                      <w:b/>
                                      <w:sz w:val="21"/>
                                    </w:rPr>
                                    <w:t>的规定；</w:t>
                                  </w:r>
                                </w:p>
                                <w:p>
                                  <w:pPr>
                                    <w:pStyle w:val="31"/>
                                    <w:spacing w:before="50"/>
                                    <w:ind w:left="326"/>
                                    <w:rPr>
                                      <w:rFonts w:hint="eastAsia" w:ascii="宋体" w:hAnsi="宋体" w:eastAsia="宋体" w:cs="宋体"/>
                                      <w:b/>
                                      <w:sz w:val="21"/>
                                      <w:lang w:eastAsia="zh-CN"/>
                                    </w:rPr>
                                  </w:pPr>
                                  <w:r>
                                    <w:rPr>
                                      <w:b/>
                                      <w:sz w:val="21"/>
                                    </w:rPr>
                                    <w:t>⑹</w:t>
                                  </w:r>
                                  <w:r>
                                    <w:rPr>
                                      <w:rFonts w:hint="eastAsia"/>
                                      <w:b/>
                                      <w:sz w:val="21"/>
                                    </w:rPr>
                                    <w:t>投标人不存在第二章“投标人须知”第1.4.3项、第1.4.4项规定的情形</w:t>
                                  </w:r>
                                  <w:r>
                                    <w:rPr>
                                      <w:rFonts w:hint="eastAsia"/>
                                      <w:b/>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03" w:hRule="atLeast"/>
                              </w:trPr>
                              <w:tc>
                                <w:tcPr>
                                  <w:tcW w:w="837" w:type="dxa"/>
                                  <w:tcBorders>
                                    <w:tl2br w:val="nil"/>
                                    <w:tr2bl w:val="nil"/>
                                  </w:tcBorders>
                                  <w:vAlign w:val="top"/>
                                </w:tcPr>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spacing w:before="10"/>
                                    <w:rPr>
                                      <w:sz w:val="17"/>
                                    </w:rPr>
                                  </w:pPr>
                                </w:p>
                                <w:p>
                                  <w:pPr>
                                    <w:pStyle w:val="31"/>
                                    <w:spacing w:before="1"/>
                                    <w:ind w:left="145" w:leftChars="0" w:right="126" w:rightChars="0"/>
                                    <w:jc w:val="center"/>
                                    <w:rPr>
                                      <w:rFonts w:ascii="Arial" w:hAnsi="宋体" w:eastAsia="宋体" w:cs="宋体"/>
                                      <w:sz w:val="21"/>
                                      <w:szCs w:val="22"/>
                                      <w:lang w:val="zh-CN" w:eastAsia="zh-CN" w:bidi="zh-CN"/>
                                    </w:rPr>
                                  </w:pPr>
                                  <w:r>
                                    <w:rPr>
                                      <w:rFonts w:ascii="Arial"/>
                                      <w:sz w:val="21"/>
                                    </w:rPr>
                                    <w:t>2.3</w:t>
                                  </w:r>
                                </w:p>
                              </w:tc>
                              <w:tc>
                                <w:tcPr>
                                  <w:tcW w:w="1097" w:type="dxa"/>
                                  <w:tcBorders>
                                    <w:tl2br w:val="nil"/>
                                    <w:tr2bl w:val="nil"/>
                                  </w:tcBorders>
                                  <w:vAlign w:val="top"/>
                                </w:tcPr>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spacing w:before="10"/>
                                    <w:rPr>
                                      <w:sz w:val="17"/>
                                    </w:rPr>
                                  </w:pPr>
                                </w:p>
                                <w:p>
                                  <w:pPr>
                                    <w:pStyle w:val="31"/>
                                    <w:spacing w:line="249" w:lineRule="auto"/>
                                    <w:ind w:left="170" w:leftChars="0" w:right="135" w:rightChars="0"/>
                                    <w:rPr>
                                      <w:rFonts w:ascii="宋体" w:hAnsi="宋体" w:eastAsia="宋体" w:cs="宋体"/>
                                      <w:sz w:val="21"/>
                                      <w:szCs w:val="22"/>
                                      <w:lang w:val="zh-CN" w:eastAsia="zh-CN" w:bidi="zh-CN"/>
                                    </w:rPr>
                                  </w:pPr>
                                  <w:r>
                                    <w:rPr>
                                      <w:sz w:val="21"/>
                                    </w:rPr>
                                    <w:t>第一信封初步评审</w:t>
                                  </w:r>
                                </w:p>
                              </w:tc>
                              <w:tc>
                                <w:tcPr>
                                  <w:tcW w:w="7244" w:type="dxa"/>
                                  <w:tcBorders>
                                    <w:tl2br w:val="nil"/>
                                    <w:tr2bl w:val="nil"/>
                                  </w:tcBorders>
                                  <w:vAlign w:val="top"/>
                                </w:tcPr>
                                <w:p>
                                  <w:pPr>
                                    <w:numPr>
                                      <w:ilvl w:val="0"/>
                                      <w:numId w:val="7"/>
                                    </w:numPr>
                                    <w:spacing w:line="280" w:lineRule="exact"/>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投标文件按照招标文件规定的格式、内容填写，字迹清晰可辨；</w:t>
                                  </w:r>
                                </w:p>
                                <w:p>
                                  <w:pPr>
                                    <w:spacing w:line="280" w:lineRule="exact"/>
                                    <w:ind w:firstLine="211"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1"/>
                                      <w:szCs w:val="21"/>
                                    </w:rPr>
                                    <w:t>⑵投标文件上法定代表人电子章、投标人单位电子公章盖章齐全，符合招标文件规定；</w:t>
                                  </w:r>
                                </w:p>
                                <w:p>
                                  <w:pPr>
                                    <w:spacing w:line="280" w:lineRule="exact"/>
                                    <w:ind w:firstLine="219" w:firstLineChars="104"/>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⑶投标人按照第二章“投标人须知”第3.4.1项和第3.4.2项规定的金额、形式、时间和账户等要求提供了投标保证金；</w:t>
                                  </w:r>
                                </w:p>
                                <w:p>
                                  <w:pPr>
                                    <w:spacing w:line="280" w:lineRule="exact"/>
                                    <w:ind w:firstLine="219" w:firstLineChars="104"/>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⑷投标人按照第二章“投标人须知”第3.7.4项的规定，提供了法定代表人的授权委托书或法定代表人身份证明；</w:t>
                                  </w:r>
                                </w:p>
                                <w:p>
                                  <w:pPr>
                                    <w:spacing w:line="280" w:lineRule="exact"/>
                                    <w:ind w:firstLine="219" w:firstLineChars="104"/>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⑸投标人</w:t>
                                  </w:r>
                                  <w:r>
                                    <w:rPr>
                                      <w:rFonts w:hint="eastAsia" w:asciiTheme="majorEastAsia" w:hAnsiTheme="majorEastAsia" w:eastAsiaTheme="majorEastAsia" w:cstheme="majorEastAsia"/>
                                      <w:b/>
                                      <w:sz w:val="21"/>
                                      <w:szCs w:val="21"/>
                                      <w:lang w:eastAsia="zh-CN"/>
                                    </w:rPr>
                                    <w:t>是独家投标</w:t>
                                  </w:r>
                                  <w:r>
                                    <w:rPr>
                                      <w:rFonts w:hint="eastAsia" w:asciiTheme="majorEastAsia" w:hAnsiTheme="majorEastAsia" w:eastAsiaTheme="majorEastAsia" w:cstheme="majorEastAsia"/>
                                      <w:b/>
                                      <w:sz w:val="21"/>
                                      <w:szCs w:val="21"/>
                                    </w:rPr>
                                    <w:t>；</w:t>
                                  </w:r>
                                </w:p>
                                <w:p>
                                  <w:pPr>
                                    <w:spacing w:line="280" w:lineRule="exact"/>
                                    <w:ind w:firstLine="219" w:firstLineChars="104"/>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fldChar w:fldCharType="begin"/>
                                  </w:r>
                                  <w:r>
                                    <w:rPr>
                                      <w:rFonts w:hint="eastAsia" w:asciiTheme="majorEastAsia" w:hAnsiTheme="majorEastAsia" w:eastAsiaTheme="majorEastAsia" w:cstheme="majorEastAsia"/>
                                      <w:b/>
                                      <w:sz w:val="21"/>
                                      <w:szCs w:val="21"/>
                                    </w:rPr>
                                    <w:instrText xml:space="preserve"> = 6 \* GB2 </w:instrText>
                                  </w:r>
                                  <w:r>
                                    <w:rPr>
                                      <w:rFonts w:hint="eastAsia" w:asciiTheme="majorEastAsia" w:hAnsiTheme="majorEastAsia" w:eastAsiaTheme="majorEastAsia" w:cstheme="majorEastAsia"/>
                                      <w:b/>
                                      <w:sz w:val="21"/>
                                      <w:szCs w:val="21"/>
                                    </w:rPr>
                                    <w:fldChar w:fldCharType="separate"/>
                                  </w:r>
                                  <w:r>
                                    <w:rPr>
                                      <w:rFonts w:hint="eastAsia" w:asciiTheme="majorEastAsia" w:hAnsiTheme="majorEastAsia" w:eastAsiaTheme="majorEastAsia" w:cstheme="majorEastAsia"/>
                                      <w:b/>
                                      <w:sz w:val="21"/>
                                      <w:szCs w:val="21"/>
                                    </w:rPr>
                                    <w:t>⑹</w:t>
                                  </w:r>
                                  <w:r>
                                    <w:rPr>
                                      <w:rFonts w:hint="eastAsia" w:asciiTheme="majorEastAsia" w:hAnsiTheme="majorEastAsia" w:eastAsiaTheme="majorEastAsia" w:cstheme="majorEastAsia"/>
                                      <w:b/>
                                      <w:sz w:val="21"/>
                                      <w:szCs w:val="21"/>
                                    </w:rPr>
                                    <w:fldChar w:fldCharType="end"/>
                                  </w:r>
                                  <w:r>
                                    <w:rPr>
                                      <w:rFonts w:hint="eastAsia" w:asciiTheme="majorEastAsia" w:hAnsiTheme="majorEastAsia" w:eastAsiaTheme="majorEastAsia" w:cstheme="majorEastAsia"/>
                                      <w:b/>
                                      <w:sz w:val="21"/>
                                      <w:szCs w:val="21"/>
                                    </w:rPr>
                                    <w:t>投标人按第六章“投标文件格式”的规定填写了“拟分包项目情况表”，且符合第二章“投标人须知”第1.11款规定；</w:t>
                                  </w:r>
                                </w:p>
                                <w:p>
                                  <w:pPr>
                                    <w:spacing w:line="280" w:lineRule="exact"/>
                                    <w:ind w:firstLine="219" w:firstLineChars="104"/>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fldChar w:fldCharType="begin"/>
                                  </w:r>
                                  <w:r>
                                    <w:rPr>
                                      <w:rFonts w:hint="eastAsia" w:asciiTheme="majorEastAsia" w:hAnsiTheme="majorEastAsia" w:eastAsiaTheme="majorEastAsia" w:cstheme="majorEastAsia"/>
                                      <w:b/>
                                      <w:sz w:val="21"/>
                                      <w:szCs w:val="21"/>
                                    </w:rPr>
                                    <w:instrText xml:space="preserve"> = 7 \* GB2 </w:instrText>
                                  </w:r>
                                  <w:r>
                                    <w:rPr>
                                      <w:rFonts w:hint="eastAsia" w:asciiTheme="majorEastAsia" w:hAnsiTheme="majorEastAsia" w:eastAsiaTheme="majorEastAsia" w:cstheme="majorEastAsia"/>
                                      <w:b/>
                                      <w:sz w:val="21"/>
                                      <w:szCs w:val="21"/>
                                    </w:rPr>
                                    <w:fldChar w:fldCharType="separate"/>
                                  </w:r>
                                  <w:r>
                                    <w:rPr>
                                      <w:rFonts w:hint="eastAsia" w:asciiTheme="majorEastAsia" w:hAnsiTheme="majorEastAsia" w:eastAsiaTheme="majorEastAsia" w:cstheme="majorEastAsia"/>
                                      <w:b/>
                                      <w:sz w:val="21"/>
                                      <w:szCs w:val="21"/>
                                    </w:rPr>
                                    <w:t>⑺</w:t>
                                  </w:r>
                                  <w:r>
                                    <w:rPr>
                                      <w:rFonts w:hint="eastAsia" w:asciiTheme="majorEastAsia" w:hAnsiTheme="majorEastAsia" w:eastAsiaTheme="majorEastAsia" w:cstheme="majorEastAsia"/>
                                      <w:b/>
                                      <w:sz w:val="21"/>
                                      <w:szCs w:val="21"/>
                                    </w:rPr>
                                    <w:fldChar w:fldCharType="end"/>
                                  </w:r>
                                  <w:r>
                                    <w:rPr>
                                      <w:rFonts w:hint="eastAsia" w:asciiTheme="majorEastAsia" w:hAnsiTheme="majorEastAsia" w:eastAsiaTheme="majorEastAsia" w:cstheme="majorEastAsia"/>
                                      <w:b/>
                                      <w:sz w:val="21"/>
                                      <w:szCs w:val="21"/>
                                    </w:rPr>
                                    <w:t>投标文件载明的招标项目完成期限未超过招标文件规定的时限；</w:t>
                                  </w:r>
                                </w:p>
                                <w:p>
                                  <w:pPr>
                                    <w:spacing w:line="280" w:lineRule="exact"/>
                                    <w:ind w:firstLine="219" w:firstLineChars="104"/>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⑻投标文件中未出现有关投标报价的内容；</w:t>
                                  </w:r>
                                </w:p>
                                <w:p>
                                  <w:pPr>
                                    <w:spacing w:line="280" w:lineRule="exact"/>
                                    <w:ind w:firstLine="219" w:firstLineChars="104"/>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⑼投标文件没有对招标人的权利提出削弱性或限制性要求，没有对投标人的责任和义务提出实质性修改；</w:t>
                                  </w:r>
                                </w:p>
                                <w:p>
                                  <w:pPr>
                                    <w:snapToGrid w:val="0"/>
                                    <w:spacing w:line="280" w:lineRule="exact"/>
                                    <w:ind w:firstLine="211"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1"/>
                                      <w:szCs w:val="21"/>
                                    </w:rPr>
                                    <w:t>⑽投标人不存在《中华人民共和国招标投标法实施条例》(国务院令第613号)中规定的任何一种串通投标或弄虚作假或其他违法行为的</w:t>
                                  </w:r>
                                  <w:r>
                                    <w:rPr>
                                      <w:rFonts w:hint="eastAsia" w:asciiTheme="majorEastAsia" w:hAnsiTheme="majorEastAsia" w:eastAsiaTheme="majorEastAsia" w:cstheme="majorEastAsia"/>
                                      <w:sz w:val="21"/>
                                      <w:szCs w:val="21"/>
                                    </w:rPr>
                                    <w:t>，包括（但不限于）：</w:t>
                                  </w:r>
                                </w:p>
                                <w:p>
                                  <w:pPr>
                                    <w:snapToGrid w:val="0"/>
                                    <w:spacing w:line="280" w:lineRule="exact"/>
                                    <w:ind w:firstLine="422" w:firstLineChars="200"/>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a.不同投标人的投标文件由同一单位或者个人编制包括但不限于同一项目不同投标人的电子投标文件的文件制作机器码或文件创建标识码相同的；不同投标人从同一投标单位或同一自然人的IP地址下载招标文件、上传投标文件、购买保函或参加投标活动的人员为同一标段其他投标人的在职人员的；不同投标人通过同一单位或者个人账户购买保函的）；</w:t>
                                  </w:r>
                                </w:p>
                                <w:p>
                                  <w:pPr>
                                    <w:snapToGrid w:val="0"/>
                                    <w:spacing w:line="28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b.不同投标人委托同一单位或者个人办理投标事宜；</w:t>
                                  </w:r>
                                </w:p>
                                <w:p>
                                  <w:pPr>
                                    <w:snapToGrid w:val="0"/>
                                    <w:spacing w:line="28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c.不同投标人的投标文件载明的项目管理成员为同一人；</w:t>
                                  </w:r>
                                </w:p>
                                <w:p>
                                  <w:pPr>
                                    <w:snapToGrid w:val="0"/>
                                    <w:spacing w:line="28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d.不同投标人的投标文件异常一致或者投标报价呈规律性差异；</w:t>
                                  </w:r>
                                </w:p>
                                <w:p>
                                  <w:pPr>
                                    <w:snapToGrid w:val="0"/>
                                    <w:spacing w:line="28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e.不同投标人的投标文件相互混装；</w:t>
                                  </w:r>
                                </w:p>
                                <w:p>
                                  <w:pPr>
                                    <w:snapToGrid w:val="0"/>
                                    <w:spacing w:line="28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f.不同投标人的投标保证金从同一单位或者个人的账户转出。</w:t>
                                  </w:r>
                                </w:p>
                                <w:p>
                                  <w:pPr>
                                    <w:pStyle w:val="31"/>
                                    <w:spacing w:before="11" w:line="245" w:lineRule="exact"/>
                                    <w:ind w:left="0" w:leftChars="0" w:right="0" w:rightChars="0" w:firstLine="211" w:firstLineChars="100"/>
                                    <w:rPr>
                                      <w:rFonts w:ascii="宋体" w:hAnsi="宋体" w:eastAsia="宋体" w:cs="宋体"/>
                                      <w:b/>
                                      <w:sz w:val="21"/>
                                      <w:szCs w:val="22"/>
                                      <w:lang w:val="zh-CN" w:eastAsia="zh-CN" w:bidi="zh-CN"/>
                                    </w:rPr>
                                  </w:pPr>
                                  <w:r>
                                    <w:rPr>
                                      <w:rFonts w:hint="eastAsia" w:asciiTheme="majorEastAsia" w:hAnsiTheme="majorEastAsia" w:eastAsiaTheme="majorEastAsia" w:cstheme="majorEastAsia"/>
                                      <w:b/>
                                      <w:sz w:val="21"/>
                                      <w:szCs w:val="21"/>
                                      <w:lang w:val="zh-CN" w:eastAsia="zh-CN" w:bidi="zh-CN"/>
                                    </w:rPr>
                                    <w:fldChar w:fldCharType="begin"/>
                                  </w:r>
                                  <w:r>
                                    <w:rPr>
                                      <w:rFonts w:hint="eastAsia" w:asciiTheme="majorEastAsia" w:hAnsiTheme="majorEastAsia" w:eastAsiaTheme="majorEastAsia" w:cstheme="majorEastAsia"/>
                                      <w:b/>
                                      <w:sz w:val="21"/>
                                      <w:szCs w:val="21"/>
                                      <w:lang w:val="zh-CN" w:eastAsia="zh-CN" w:bidi="zh-CN"/>
                                    </w:rPr>
                                    <w:instrText xml:space="preserve"> = 11 \* GB2 </w:instrText>
                                  </w:r>
                                  <w:r>
                                    <w:rPr>
                                      <w:rFonts w:hint="eastAsia" w:asciiTheme="majorEastAsia" w:hAnsiTheme="majorEastAsia" w:eastAsiaTheme="majorEastAsia" w:cstheme="majorEastAsia"/>
                                      <w:b/>
                                      <w:sz w:val="21"/>
                                      <w:szCs w:val="21"/>
                                      <w:lang w:val="zh-CN" w:eastAsia="zh-CN" w:bidi="zh-CN"/>
                                    </w:rPr>
                                    <w:fldChar w:fldCharType="separate"/>
                                  </w:r>
                                  <w:r>
                                    <w:rPr>
                                      <w:rFonts w:hint="eastAsia" w:asciiTheme="majorEastAsia" w:hAnsiTheme="majorEastAsia" w:eastAsiaTheme="majorEastAsia" w:cstheme="majorEastAsia"/>
                                      <w:b/>
                                      <w:sz w:val="21"/>
                                      <w:szCs w:val="21"/>
                                      <w:lang w:val="zh-CN" w:eastAsia="zh-CN" w:bidi="zh-CN"/>
                                    </w:rPr>
                                    <w:t>⑾</w:t>
                                  </w:r>
                                  <w:r>
                                    <w:rPr>
                                      <w:rFonts w:hint="eastAsia" w:asciiTheme="majorEastAsia" w:hAnsiTheme="majorEastAsia" w:eastAsiaTheme="majorEastAsia" w:cstheme="majorEastAsia"/>
                                      <w:b/>
                                      <w:sz w:val="21"/>
                                      <w:szCs w:val="21"/>
                                      <w:lang w:val="zh-CN" w:eastAsia="zh-CN" w:bidi="zh-CN"/>
                                    </w:rPr>
                                    <w:fldChar w:fldCharType="end"/>
                                  </w:r>
                                  <w:r>
                                    <w:rPr>
                                      <w:rFonts w:hint="eastAsia" w:asciiTheme="majorEastAsia" w:hAnsiTheme="majorEastAsia" w:eastAsiaTheme="majorEastAsia" w:cstheme="majorEastAsia"/>
                                      <w:b/>
                                      <w:sz w:val="21"/>
                                      <w:szCs w:val="21"/>
                                      <w:lang w:val="zh-CN" w:eastAsia="zh-CN" w:bidi="zh-CN"/>
                                    </w:rPr>
                                    <w:t>投标文件未附有招标人不能接受的条件。</w:t>
                                  </w:r>
                                </w:p>
                              </w:tc>
                            </w:tr>
                          </w:tbl>
                          <w:p>
                            <w:pPr>
                              <w:pStyle w:val="2"/>
                            </w:pPr>
                          </w:p>
                        </w:txbxContent>
                      </wps:txbx>
                      <wps:bodyPr vert="horz" lIns="0" tIns="0" rIns="0" bIns="0" anchor="t" anchorCtr="0" upright="1"/>
                    </wps:wsp>
                  </a:graphicData>
                </a:graphic>
              </wp:anchor>
            </w:drawing>
          </mc:Choice>
          <mc:Fallback>
            <w:pict>
              <v:shape id="_x0000_s1026" o:spid="_x0000_s1026" o:spt="202" type="#_x0000_t202" style="position:absolute;left:0pt;margin-left:61.65pt;margin-top:52.85pt;height:646.75pt;width:475.55pt;mso-position-horizontal-relative:page;z-index:251666432;mso-width-relative:page;mso-height-relative:page;" filled="f" stroked="f" coordsize="21600,21600" o:gfxdata="UEsDBAoAAAAAAIdO4kAAAAAAAAAAAAAAAAAEAAAAZHJzL1BLAwQUAAAACACHTuJAZgL9wNoAAAAN&#10;AQAADwAAAGRycy9kb3ducmV2LnhtbE2PzU7DMBCE70i8g7VI3KjdpLRNiFMhBCckRBoOPTqxm1iN&#10;1yF2f3h7tie4zWg/zc4Um4sb2MlMwXqUMJ8JYAZbry12Er7qt4c1sBAVajV4NBJ+TIBNeXtTqFz7&#10;M1bmtI0doxAMuZLQxzjmnIe2N06FmR8N0m3vJ6ci2anjelJnCncDT4RYcqcs0odejealN+1he3QS&#10;nndYvdrvj+az2le2rjOB78uDlPd3c/EELJpL/IPhWp+qQ0mdGn9EHdhAPklTQkmIxxWwKyFWiwWw&#10;hlSaZQnwsuD/V5S/UEsDBBQAAAAIAIdO4kCRcdDB1QEAAKgDAAAOAAAAZHJzL2Uyb0RvYy54bWyt&#10;U82O0zAQviPxDpbvNGmXXUrUdCWoFiEhQFp4ANdxGku2xxq7TcoDwBtw4sKd5+pzMM5P94fLHrg4&#10;45nxN/N9M1ldd9awg8KgwZV8Pss5U05Cpd2u5F+/3LxYchaicJUw4FTJjyrw6/XzZ6vWF2oBDZhK&#10;ISMQF4rWl7yJ0RdZFmSjrAgz8MpRsAa0ItIVd1mFoiV0a7JFnl9lLWDlEaQKgbybIchHRHwKINS1&#10;lmoDcm+ViwMqKiMiUQqN9oGv+27rWsn4qa6DisyUnJjG/qQiZG/Tma1Xotih8I2WYwviKS084mSF&#10;dlT0DLURUbA96n+grJYIAeo4k2CzgUivCLGY54+0uW2EVz0Xkjr4s+jh/8HKj4fPyHRFm0CSOGFp&#10;4qefP06//px+f2fkI4FaHwrKu/WUGbs30FHy5A/kTLy7Gm36EiNGccI6nuVVXWSSnFf5xeuXy0vO&#10;JMWWi/nFq8VlwsnunnsM8Z0Cy5JRcqT59bKKw4cQh9QpJVVzcKON6Wdo3AMHYQ4e1S/B+DoxGTpO&#10;Vuy23UhvC9WR2NFvQVUbwG+cmfeOdE47Mxk4GdvJEE5ScskjZ4P5Ng67tfeodw1h9UJlqRoNsKc6&#10;LlvakPt3su//YO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gL9wNoAAAANAQAADwAAAAAAAAAB&#10;ACAAAAAiAAAAZHJzL2Rvd25yZXYueG1sUEsBAhQAFAAAAAgAh07iQJFx0MHVAQAAqAMAAA4AAAAA&#10;AAAAAQAgAAAAKQEAAGRycy9lMm9Eb2MueG1sUEsFBgAAAAAGAAYAWQEAAHAFAAAAAA==&#10;">
                <v:fill on="f" focussize="0,0"/>
                <v:stroke on="f"/>
                <v:imagedata o:title=""/>
                <o:lock v:ext="edit" aspectratio="f"/>
                <v:textbox inset="0mm,0mm,0mm,0mm">
                  <w:txbxContent>
                    <w:tbl>
                      <w:tblPr>
                        <w:tblStyle w:val="26"/>
                        <w:tblW w:w="0" w:type="auto"/>
                        <w:tblInd w:w="1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37"/>
                        <w:gridCol w:w="1097"/>
                        <w:gridCol w:w="724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37" w:type="dxa"/>
                            <w:tcBorders>
                              <w:tl2br w:val="nil"/>
                              <w:tr2bl w:val="nil"/>
                            </w:tcBorders>
                          </w:tcPr>
                          <w:p>
                            <w:pPr>
                              <w:pStyle w:val="31"/>
                              <w:spacing w:before="156"/>
                              <w:ind w:left="94" w:right="78"/>
                              <w:jc w:val="center"/>
                              <w:rPr>
                                <w:b/>
                                <w:sz w:val="21"/>
                              </w:rPr>
                            </w:pPr>
                            <w:r>
                              <w:rPr>
                                <w:b/>
                                <w:sz w:val="21"/>
                              </w:rPr>
                              <w:t>条款号</w:t>
                            </w:r>
                          </w:p>
                        </w:tc>
                        <w:tc>
                          <w:tcPr>
                            <w:tcW w:w="1097" w:type="dxa"/>
                            <w:tcBorders>
                              <w:tl2br w:val="nil"/>
                              <w:tr2bl w:val="nil"/>
                            </w:tcBorders>
                          </w:tcPr>
                          <w:p>
                            <w:pPr>
                              <w:pStyle w:val="31"/>
                              <w:spacing w:before="156"/>
                              <w:ind w:left="156"/>
                              <w:rPr>
                                <w:b/>
                                <w:sz w:val="21"/>
                              </w:rPr>
                            </w:pPr>
                            <w:r>
                              <w:rPr>
                                <w:b/>
                                <w:sz w:val="21"/>
                              </w:rPr>
                              <w:t>条款名称</w:t>
                            </w:r>
                          </w:p>
                        </w:tc>
                        <w:tc>
                          <w:tcPr>
                            <w:tcW w:w="7244" w:type="dxa"/>
                            <w:tcBorders>
                              <w:tl2br w:val="nil"/>
                              <w:tr2bl w:val="nil"/>
                            </w:tcBorders>
                          </w:tcPr>
                          <w:p>
                            <w:pPr>
                              <w:pStyle w:val="31"/>
                              <w:spacing w:before="156"/>
                              <w:ind w:left="2787" w:right="2745"/>
                              <w:jc w:val="center"/>
                              <w:rPr>
                                <w:b/>
                                <w:sz w:val="21"/>
                              </w:rPr>
                            </w:pPr>
                            <w:r>
                              <w:rPr>
                                <w:b/>
                                <w:sz w:val="21"/>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03" w:hRule="atLeast"/>
                        </w:trPr>
                        <w:tc>
                          <w:tcPr>
                            <w:tcW w:w="837" w:type="dxa"/>
                            <w:tcBorders>
                              <w:tl2br w:val="nil"/>
                              <w:tr2bl w:val="nil"/>
                            </w:tcBorders>
                            <w:vAlign w:val="center"/>
                          </w:tcPr>
                          <w:p>
                            <w:pPr>
                              <w:pStyle w:val="31"/>
                              <w:ind w:left="94" w:right="78"/>
                              <w:jc w:val="center"/>
                              <w:rPr>
                                <w:rFonts w:ascii="Arial"/>
                                <w:sz w:val="21"/>
                              </w:rPr>
                            </w:pPr>
                            <w:r>
                              <w:rPr>
                                <w:rFonts w:ascii="Arial"/>
                                <w:sz w:val="21"/>
                              </w:rPr>
                              <w:t>2.2</w:t>
                            </w:r>
                          </w:p>
                        </w:tc>
                        <w:tc>
                          <w:tcPr>
                            <w:tcW w:w="1097" w:type="dxa"/>
                            <w:tcBorders>
                              <w:tl2br w:val="nil"/>
                              <w:tr2bl w:val="nil"/>
                            </w:tcBorders>
                            <w:vAlign w:val="center"/>
                          </w:tcPr>
                          <w:p>
                            <w:pPr>
                              <w:pStyle w:val="31"/>
                              <w:spacing w:line="278" w:lineRule="auto"/>
                              <w:ind w:left="158" w:right="121"/>
                              <w:jc w:val="both"/>
                              <w:rPr>
                                <w:sz w:val="21"/>
                              </w:rPr>
                            </w:pPr>
                            <w:r>
                              <w:rPr>
                                <w:sz w:val="21"/>
                              </w:rPr>
                              <w:t>第一信封资格审查</w:t>
                            </w:r>
                          </w:p>
                        </w:tc>
                        <w:tc>
                          <w:tcPr>
                            <w:tcW w:w="7244" w:type="dxa"/>
                            <w:tcBorders>
                              <w:tl2br w:val="nil"/>
                              <w:tr2bl w:val="nil"/>
                            </w:tcBorders>
                          </w:tcPr>
                          <w:p>
                            <w:pPr>
                              <w:pStyle w:val="31"/>
                              <w:spacing w:before="158" w:line="278" w:lineRule="auto"/>
                              <w:ind w:left="118" w:right="73" w:firstLine="211"/>
                              <w:rPr>
                                <w:b/>
                                <w:sz w:val="21"/>
                              </w:rPr>
                            </w:pPr>
                            <w:r>
                              <w:rPr>
                                <w:b/>
                                <w:spacing w:val="-8"/>
                                <w:sz w:val="21"/>
                              </w:rPr>
                              <w:t>⑴投标人具备有效的营业执照和基本账户开户许可证</w:t>
                            </w:r>
                            <w:r>
                              <w:rPr>
                                <w:b/>
                                <w:sz w:val="21"/>
                              </w:rPr>
                              <w:t>（</w:t>
                            </w:r>
                            <w:r>
                              <w:rPr>
                                <w:b/>
                                <w:spacing w:val="-3"/>
                                <w:sz w:val="21"/>
                              </w:rPr>
                              <w:t>或基本账户开户银行出</w:t>
                            </w:r>
                            <w:r>
                              <w:rPr>
                                <w:b/>
                                <w:spacing w:val="-2"/>
                                <w:w w:val="100"/>
                                <w:sz w:val="21"/>
                              </w:rPr>
                              <w:t>具的能体现基本账号证明材料</w:t>
                            </w:r>
                            <w:r>
                              <w:rPr>
                                <w:b/>
                                <w:spacing w:val="-106"/>
                                <w:w w:val="100"/>
                                <w:sz w:val="21"/>
                              </w:rPr>
                              <w:t>）</w:t>
                            </w:r>
                            <w:r>
                              <w:rPr>
                                <w:b/>
                                <w:w w:val="100"/>
                                <w:sz w:val="21"/>
                              </w:rPr>
                              <w:t>；</w:t>
                            </w:r>
                          </w:p>
                          <w:p>
                            <w:pPr>
                              <w:pStyle w:val="31"/>
                              <w:spacing w:line="278" w:lineRule="auto"/>
                              <w:ind w:left="118" w:right="73" w:firstLine="208"/>
                              <w:rPr>
                                <w:b/>
                                <w:sz w:val="21"/>
                              </w:rPr>
                            </w:pPr>
                            <w:r>
                              <w:rPr>
                                <w:b/>
                                <w:spacing w:val="-1"/>
                                <w:sz w:val="21"/>
                              </w:rPr>
                              <w:t>⑵投标人的资质证书有效且等级符合第二章</w:t>
                            </w:r>
                            <w:r>
                              <w:rPr>
                                <w:rFonts w:ascii="Arial" w:hAnsi="Arial" w:eastAsia="Arial"/>
                                <w:b/>
                                <w:spacing w:val="-3"/>
                                <w:sz w:val="21"/>
                              </w:rPr>
                              <w:t>“</w:t>
                            </w:r>
                            <w:r>
                              <w:rPr>
                                <w:b/>
                                <w:spacing w:val="-2"/>
                                <w:sz w:val="21"/>
                              </w:rPr>
                              <w:t>投标人须知前附表</w:t>
                            </w:r>
                            <w:r>
                              <w:rPr>
                                <w:rFonts w:ascii="Arial" w:hAnsi="Arial" w:eastAsia="Arial"/>
                                <w:b/>
                                <w:spacing w:val="-3"/>
                                <w:sz w:val="21"/>
                              </w:rPr>
                              <w:t>”</w:t>
                            </w:r>
                            <w:r>
                              <w:rPr>
                                <w:b/>
                                <w:spacing w:val="1"/>
                                <w:sz w:val="21"/>
                              </w:rPr>
                              <w:t xml:space="preserve">附录 </w:t>
                            </w:r>
                            <w:r>
                              <w:rPr>
                                <w:rFonts w:ascii="Arial" w:hAnsi="Arial" w:eastAsia="Arial"/>
                                <w:b/>
                                <w:sz w:val="21"/>
                              </w:rPr>
                              <w:t xml:space="preserve">1 </w:t>
                            </w:r>
                            <w:r>
                              <w:rPr>
                                <w:b/>
                                <w:spacing w:val="-7"/>
                                <w:sz w:val="21"/>
                              </w:rPr>
                              <w:t>的规</w:t>
                            </w:r>
                            <w:r>
                              <w:rPr>
                                <w:b/>
                                <w:sz w:val="21"/>
                              </w:rPr>
                              <w:t>定；</w:t>
                            </w:r>
                          </w:p>
                          <w:p>
                            <w:pPr>
                              <w:pStyle w:val="31"/>
                              <w:spacing w:line="269" w:lineRule="exact"/>
                              <w:ind w:left="326"/>
                              <w:rPr>
                                <w:b/>
                                <w:sz w:val="21"/>
                              </w:rPr>
                            </w:pPr>
                            <w:r>
                              <w:rPr>
                                <w:b/>
                                <w:sz w:val="21"/>
                              </w:rPr>
                              <w:t>⑶投标人的业绩符合第二章</w:t>
                            </w:r>
                            <w:r>
                              <w:rPr>
                                <w:rFonts w:ascii="Arial" w:hAnsi="Arial" w:eastAsia="Arial"/>
                                <w:b/>
                                <w:sz w:val="21"/>
                              </w:rPr>
                              <w:t>“</w:t>
                            </w:r>
                            <w:r>
                              <w:rPr>
                                <w:b/>
                                <w:sz w:val="21"/>
                              </w:rPr>
                              <w:t>投标人须知前附表</w:t>
                            </w:r>
                            <w:r>
                              <w:rPr>
                                <w:rFonts w:ascii="Arial" w:hAnsi="Arial" w:eastAsia="Arial"/>
                                <w:b/>
                                <w:sz w:val="21"/>
                              </w:rPr>
                              <w:t>”</w:t>
                            </w:r>
                            <w:r>
                              <w:rPr>
                                <w:b/>
                                <w:sz w:val="21"/>
                              </w:rPr>
                              <w:t xml:space="preserve">附录 </w:t>
                            </w:r>
                            <w:r>
                              <w:rPr>
                                <w:rFonts w:ascii="Arial" w:hAnsi="Arial" w:eastAsia="Arial"/>
                                <w:b/>
                                <w:sz w:val="21"/>
                              </w:rPr>
                              <w:t xml:space="preserve">2 </w:t>
                            </w:r>
                            <w:r>
                              <w:rPr>
                                <w:b/>
                                <w:sz w:val="21"/>
                              </w:rPr>
                              <w:t>的规定；</w:t>
                            </w:r>
                          </w:p>
                          <w:p>
                            <w:pPr>
                              <w:pStyle w:val="31"/>
                              <w:spacing w:line="232" w:lineRule="exact"/>
                              <w:ind w:left="326"/>
                              <w:rPr>
                                <w:b/>
                                <w:sz w:val="21"/>
                              </w:rPr>
                            </w:pPr>
                            <w:r>
                              <w:rPr>
                                <w:b/>
                                <w:sz w:val="21"/>
                              </w:rPr>
                              <w:t>⑷投标人的主要人员资格符合第二章</w:t>
                            </w:r>
                            <w:r>
                              <w:rPr>
                                <w:rFonts w:ascii="Arial" w:hAnsi="Arial" w:eastAsia="Arial"/>
                                <w:b/>
                                <w:sz w:val="21"/>
                              </w:rPr>
                              <w:t>“</w:t>
                            </w:r>
                            <w:r>
                              <w:rPr>
                                <w:b/>
                                <w:sz w:val="21"/>
                              </w:rPr>
                              <w:t>投标人须知前附表</w:t>
                            </w:r>
                            <w:r>
                              <w:rPr>
                                <w:rFonts w:ascii="Arial" w:hAnsi="Arial" w:eastAsia="Arial"/>
                                <w:b/>
                                <w:sz w:val="21"/>
                              </w:rPr>
                              <w:t>”</w:t>
                            </w:r>
                            <w:r>
                              <w:rPr>
                                <w:b/>
                                <w:sz w:val="21"/>
                              </w:rPr>
                              <w:t xml:space="preserve">附录 </w:t>
                            </w:r>
                            <w:r>
                              <w:rPr>
                                <w:rFonts w:ascii="Arial" w:hAnsi="Arial" w:eastAsia="Arial"/>
                                <w:b/>
                                <w:sz w:val="21"/>
                              </w:rPr>
                              <w:t xml:space="preserve">3 </w:t>
                            </w:r>
                            <w:r>
                              <w:rPr>
                                <w:b/>
                                <w:sz w:val="21"/>
                              </w:rPr>
                              <w:t>的规定；</w:t>
                            </w:r>
                          </w:p>
                          <w:p>
                            <w:pPr>
                              <w:pStyle w:val="31"/>
                              <w:spacing w:before="50"/>
                              <w:ind w:left="326"/>
                              <w:rPr>
                                <w:b/>
                                <w:sz w:val="21"/>
                              </w:rPr>
                            </w:pPr>
                            <w:r>
                              <w:rPr>
                                <w:b/>
                                <w:sz w:val="21"/>
                              </w:rPr>
                              <w:t>⑸投标人的信誉符合第二章</w:t>
                            </w:r>
                            <w:r>
                              <w:rPr>
                                <w:rFonts w:ascii="Arial" w:hAnsi="Arial" w:eastAsia="Arial"/>
                                <w:b/>
                                <w:sz w:val="21"/>
                              </w:rPr>
                              <w:t>“</w:t>
                            </w:r>
                            <w:r>
                              <w:rPr>
                                <w:b/>
                                <w:sz w:val="21"/>
                              </w:rPr>
                              <w:t>投标人须知前附表</w:t>
                            </w:r>
                            <w:r>
                              <w:rPr>
                                <w:rFonts w:ascii="Arial" w:hAnsi="Arial" w:eastAsia="Arial"/>
                                <w:b/>
                                <w:sz w:val="21"/>
                              </w:rPr>
                              <w:t>”</w:t>
                            </w:r>
                            <w:r>
                              <w:rPr>
                                <w:b/>
                                <w:sz w:val="21"/>
                              </w:rPr>
                              <w:t>附录</w:t>
                            </w:r>
                            <w:r>
                              <w:rPr>
                                <w:rFonts w:ascii="Arial" w:hAnsi="Arial" w:eastAsia="Arial"/>
                                <w:b/>
                                <w:sz w:val="21"/>
                              </w:rPr>
                              <w:t>4</w:t>
                            </w:r>
                            <w:r>
                              <w:rPr>
                                <w:b/>
                                <w:sz w:val="21"/>
                              </w:rPr>
                              <w:t>的规定；</w:t>
                            </w:r>
                          </w:p>
                          <w:p>
                            <w:pPr>
                              <w:pStyle w:val="31"/>
                              <w:spacing w:before="50"/>
                              <w:ind w:left="326"/>
                              <w:rPr>
                                <w:rFonts w:hint="eastAsia" w:ascii="宋体" w:hAnsi="宋体" w:eastAsia="宋体" w:cs="宋体"/>
                                <w:b/>
                                <w:sz w:val="21"/>
                                <w:lang w:eastAsia="zh-CN"/>
                              </w:rPr>
                            </w:pPr>
                            <w:r>
                              <w:rPr>
                                <w:b/>
                                <w:sz w:val="21"/>
                              </w:rPr>
                              <w:t>⑹</w:t>
                            </w:r>
                            <w:r>
                              <w:rPr>
                                <w:rFonts w:hint="eastAsia"/>
                                <w:b/>
                                <w:sz w:val="21"/>
                              </w:rPr>
                              <w:t>投标人不存在第二章“投标人须知”第1.4.3项、第1.4.4项规定的情形</w:t>
                            </w:r>
                            <w:r>
                              <w:rPr>
                                <w:rFonts w:hint="eastAsia"/>
                                <w:b/>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03" w:hRule="atLeast"/>
                        </w:trPr>
                        <w:tc>
                          <w:tcPr>
                            <w:tcW w:w="837" w:type="dxa"/>
                            <w:tcBorders>
                              <w:tl2br w:val="nil"/>
                              <w:tr2bl w:val="nil"/>
                            </w:tcBorders>
                            <w:vAlign w:val="top"/>
                          </w:tcPr>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rPr>
                                <w:sz w:val="24"/>
                              </w:rPr>
                            </w:pPr>
                          </w:p>
                          <w:p>
                            <w:pPr>
                              <w:pStyle w:val="31"/>
                              <w:spacing w:before="10"/>
                              <w:rPr>
                                <w:sz w:val="17"/>
                              </w:rPr>
                            </w:pPr>
                          </w:p>
                          <w:p>
                            <w:pPr>
                              <w:pStyle w:val="31"/>
                              <w:spacing w:before="1"/>
                              <w:ind w:left="145" w:leftChars="0" w:right="126" w:rightChars="0"/>
                              <w:jc w:val="center"/>
                              <w:rPr>
                                <w:rFonts w:ascii="Arial" w:hAnsi="宋体" w:eastAsia="宋体" w:cs="宋体"/>
                                <w:sz w:val="21"/>
                                <w:szCs w:val="22"/>
                                <w:lang w:val="zh-CN" w:eastAsia="zh-CN" w:bidi="zh-CN"/>
                              </w:rPr>
                            </w:pPr>
                            <w:r>
                              <w:rPr>
                                <w:rFonts w:ascii="Arial"/>
                                <w:sz w:val="21"/>
                              </w:rPr>
                              <w:t>2.3</w:t>
                            </w:r>
                          </w:p>
                        </w:tc>
                        <w:tc>
                          <w:tcPr>
                            <w:tcW w:w="1097" w:type="dxa"/>
                            <w:tcBorders>
                              <w:tl2br w:val="nil"/>
                              <w:tr2bl w:val="nil"/>
                            </w:tcBorders>
                            <w:vAlign w:val="top"/>
                          </w:tcPr>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rPr>
                                <w:sz w:val="20"/>
                              </w:rPr>
                            </w:pPr>
                          </w:p>
                          <w:p>
                            <w:pPr>
                              <w:pStyle w:val="31"/>
                              <w:spacing w:before="10"/>
                              <w:rPr>
                                <w:sz w:val="17"/>
                              </w:rPr>
                            </w:pPr>
                          </w:p>
                          <w:p>
                            <w:pPr>
                              <w:pStyle w:val="31"/>
                              <w:spacing w:line="249" w:lineRule="auto"/>
                              <w:ind w:left="170" w:leftChars="0" w:right="135" w:rightChars="0"/>
                              <w:rPr>
                                <w:rFonts w:ascii="宋体" w:hAnsi="宋体" w:eastAsia="宋体" w:cs="宋体"/>
                                <w:sz w:val="21"/>
                                <w:szCs w:val="22"/>
                                <w:lang w:val="zh-CN" w:eastAsia="zh-CN" w:bidi="zh-CN"/>
                              </w:rPr>
                            </w:pPr>
                            <w:r>
                              <w:rPr>
                                <w:sz w:val="21"/>
                              </w:rPr>
                              <w:t>第一信封初步评审</w:t>
                            </w:r>
                          </w:p>
                        </w:tc>
                        <w:tc>
                          <w:tcPr>
                            <w:tcW w:w="7244" w:type="dxa"/>
                            <w:tcBorders>
                              <w:tl2br w:val="nil"/>
                              <w:tr2bl w:val="nil"/>
                            </w:tcBorders>
                            <w:vAlign w:val="top"/>
                          </w:tcPr>
                          <w:p>
                            <w:pPr>
                              <w:numPr>
                                <w:ilvl w:val="0"/>
                                <w:numId w:val="7"/>
                              </w:numPr>
                              <w:spacing w:line="280" w:lineRule="exact"/>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投标文件按照招标文件规定的格式、内容填写，字迹清晰可辨；</w:t>
                            </w:r>
                          </w:p>
                          <w:p>
                            <w:pPr>
                              <w:spacing w:line="280" w:lineRule="exact"/>
                              <w:ind w:firstLine="211"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1"/>
                                <w:szCs w:val="21"/>
                              </w:rPr>
                              <w:t>⑵投标文件上法定代表人电子章、投标人单位电子公章盖章齐全，符合招标文件规定；</w:t>
                            </w:r>
                          </w:p>
                          <w:p>
                            <w:pPr>
                              <w:spacing w:line="280" w:lineRule="exact"/>
                              <w:ind w:firstLine="219" w:firstLineChars="104"/>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⑶投标人按照第二章“投标人须知”第3.4.1项和第3.4.2项规定的金额、形式、时间和账户等要求提供了投标保证金；</w:t>
                            </w:r>
                          </w:p>
                          <w:p>
                            <w:pPr>
                              <w:spacing w:line="280" w:lineRule="exact"/>
                              <w:ind w:firstLine="219" w:firstLineChars="104"/>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⑷投标人按照第二章“投标人须知”第3.7.4项的规定，提供了法定代表人的授权委托书或法定代表人身份证明；</w:t>
                            </w:r>
                          </w:p>
                          <w:p>
                            <w:pPr>
                              <w:spacing w:line="280" w:lineRule="exact"/>
                              <w:ind w:firstLine="219" w:firstLineChars="104"/>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⑸投标人</w:t>
                            </w:r>
                            <w:r>
                              <w:rPr>
                                <w:rFonts w:hint="eastAsia" w:asciiTheme="majorEastAsia" w:hAnsiTheme="majorEastAsia" w:eastAsiaTheme="majorEastAsia" w:cstheme="majorEastAsia"/>
                                <w:b/>
                                <w:sz w:val="21"/>
                                <w:szCs w:val="21"/>
                                <w:lang w:eastAsia="zh-CN"/>
                              </w:rPr>
                              <w:t>是独家投标</w:t>
                            </w:r>
                            <w:r>
                              <w:rPr>
                                <w:rFonts w:hint="eastAsia" w:asciiTheme="majorEastAsia" w:hAnsiTheme="majorEastAsia" w:eastAsiaTheme="majorEastAsia" w:cstheme="majorEastAsia"/>
                                <w:b/>
                                <w:sz w:val="21"/>
                                <w:szCs w:val="21"/>
                              </w:rPr>
                              <w:t>；</w:t>
                            </w:r>
                          </w:p>
                          <w:p>
                            <w:pPr>
                              <w:spacing w:line="280" w:lineRule="exact"/>
                              <w:ind w:firstLine="219" w:firstLineChars="104"/>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fldChar w:fldCharType="begin"/>
                            </w:r>
                            <w:r>
                              <w:rPr>
                                <w:rFonts w:hint="eastAsia" w:asciiTheme="majorEastAsia" w:hAnsiTheme="majorEastAsia" w:eastAsiaTheme="majorEastAsia" w:cstheme="majorEastAsia"/>
                                <w:b/>
                                <w:sz w:val="21"/>
                                <w:szCs w:val="21"/>
                              </w:rPr>
                              <w:instrText xml:space="preserve"> = 6 \* GB2 </w:instrText>
                            </w:r>
                            <w:r>
                              <w:rPr>
                                <w:rFonts w:hint="eastAsia" w:asciiTheme="majorEastAsia" w:hAnsiTheme="majorEastAsia" w:eastAsiaTheme="majorEastAsia" w:cstheme="majorEastAsia"/>
                                <w:b/>
                                <w:sz w:val="21"/>
                                <w:szCs w:val="21"/>
                              </w:rPr>
                              <w:fldChar w:fldCharType="separate"/>
                            </w:r>
                            <w:r>
                              <w:rPr>
                                <w:rFonts w:hint="eastAsia" w:asciiTheme="majorEastAsia" w:hAnsiTheme="majorEastAsia" w:eastAsiaTheme="majorEastAsia" w:cstheme="majorEastAsia"/>
                                <w:b/>
                                <w:sz w:val="21"/>
                                <w:szCs w:val="21"/>
                              </w:rPr>
                              <w:t>⑹</w:t>
                            </w:r>
                            <w:r>
                              <w:rPr>
                                <w:rFonts w:hint="eastAsia" w:asciiTheme="majorEastAsia" w:hAnsiTheme="majorEastAsia" w:eastAsiaTheme="majorEastAsia" w:cstheme="majorEastAsia"/>
                                <w:b/>
                                <w:sz w:val="21"/>
                                <w:szCs w:val="21"/>
                              </w:rPr>
                              <w:fldChar w:fldCharType="end"/>
                            </w:r>
                            <w:r>
                              <w:rPr>
                                <w:rFonts w:hint="eastAsia" w:asciiTheme="majorEastAsia" w:hAnsiTheme="majorEastAsia" w:eastAsiaTheme="majorEastAsia" w:cstheme="majorEastAsia"/>
                                <w:b/>
                                <w:sz w:val="21"/>
                                <w:szCs w:val="21"/>
                              </w:rPr>
                              <w:t>投标人按第六章“投标文件格式”的规定填写了“拟分包项目情况表”，且符合第二章“投标人须知”第1.11款规定；</w:t>
                            </w:r>
                          </w:p>
                          <w:p>
                            <w:pPr>
                              <w:spacing w:line="280" w:lineRule="exact"/>
                              <w:ind w:firstLine="219" w:firstLineChars="104"/>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fldChar w:fldCharType="begin"/>
                            </w:r>
                            <w:r>
                              <w:rPr>
                                <w:rFonts w:hint="eastAsia" w:asciiTheme="majorEastAsia" w:hAnsiTheme="majorEastAsia" w:eastAsiaTheme="majorEastAsia" w:cstheme="majorEastAsia"/>
                                <w:b/>
                                <w:sz w:val="21"/>
                                <w:szCs w:val="21"/>
                              </w:rPr>
                              <w:instrText xml:space="preserve"> = 7 \* GB2 </w:instrText>
                            </w:r>
                            <w:r>
                              <w:rPr>
                                <w:rFonts w:hint="eastAsia" w:asciiTheme="majorEastAsia" w:hAnsiTheme="majorEastAsia" w:eastAsiaTheme="majorEastAsia" w:cstheme="majorEastAsia"/>
                                <w:b/>
                                <w:sz w:val="21"/>
                                <w:szCs w:val="21"/>
                              </w:rPr>
                              <w:fldChar w:fldCharType="separate"/>
                            </w:r>
                            <w:r>
                              <w:rPr>
                                <w:rFonts w:hint="eastAsia" w:asciiTheme="majorEastAsia" w:hAnsiTheme="majorEastAsia" w:eastAsiaTheme="majorEastAsia" w:cstheme="majorEastAsia"/>
                                <w:b/>
                                <w:sz w:val="21"/>
                                <w:szCs w:val="21"/>
                              </w:rPr>
                              <w:t>⑺</w:t>
                            </w:r>
                            <w:r>
                              <w:rPr>
                                <w:rFonts w:hint="eastAsia" w:asciiTheme="majorEastAsia" w:hAnsiTheme="majorEastAsia" w:eastAsiaTheme="majorEastAsia" w:cstheme="majorEastAsia"/>
                                <w:b/>
                                <w:sz w:val="21"/>
                                <w:szCs w:val="21"/>
                              </w:rPr>
                              <w:fldChar w:fldCharType="end"/>
                            </w:r>
                            <w:r>
                              <w:rPr>
                                <w:rFonts w:hint="eastAsia" w:asciiTheme="majorEastAsia" w:hAnsiTheme="majorEastAsia" w:eastAsiaTheme="majorEastAsia" w:cstheme="majorEastAsia"/>
                                <w:b/>
                                <w:sz w:val="21"/>
                                <w:szCs w:val="21"/>
                              </w:rPr>
                              <w:t>投标文件载明的招标项目完成期限未超过招标文件规定的时限；</w:t>
                            </w:r>
                          </w:p>
                          <w:p>
                            <w:pPr>
                              <w:spacing w:line="280" w:lineRule="exact"/>
                              <w:ind w:firstLine="219" w:firstLineChars="104"/>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⑻投标文件中未出现有关投标报价的内容；</w:t>
                            </w:r>
                          </w:p>
                          <w:p>
                            <w:pPr>
                              <w:spacing w:line="280" w:lineRule="exact"/>
                              <w:ind w:firstLine="219" w:firstLineChars="104"/>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⑼投标文件没有对招标人的权利提出削弱性或限制性要求，没有对投标人的责任和义务提出实质性修改；</w:t>
                            </w:r>
                          </w:p>
                          <w:p>
                            <w:pPr>
                              <w:snapToGrid w:val="0"/>
                              <w:spacing w:line="280" w:lineRule="exact"/>
                              <w:ind w:firstLine="211"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 w:val="21"/>
                                <w:szCs w:val="21"/>
                              </w:rPr>
                              <w:t>⑽投标人不存在《中华人民共和国招标投标法实施条例》(国务院令第613号)中规定的任何一种串通投标或弄虚作假或其他违法行为的</w:t>
                            </w:r>
                            <w:r>
                              <w:rPr>
                                <w:rFonts w:hint="eastAsia" w:asciiTheme="majorEastAsia" w:hAnsiTheme="majorEastAsia" w:eastAsiaTheme="majorEastAsia" w:cstheme="majorEastAsia"/>
                                <w:sz w:val="21"/>
                                <w:szCs w:val="21"/>
                              </w:rPr>
                              <w:t>，包括（但不限于）：</w:t>
                            </w:r>
                          </w:p>
                          <w:p>
                            <w:pPr>
                              <w:snapToGrid w:val="0"/>
                              <w:spacing w:line="280" w:lineRule="exact"/>
                              <w:ind w:firstLine="422" w:firstLineChars="200"/>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a.不同投标人的投标文件由同一单位或者个人编制包括但不限于同一项目不同投标人的电子投标文件的文件制作机器码或文件创建标识码相同的；不同投标人从同一投标单位或同一自然人的IP地址下载招标文件、上传投标文件、购买保函或参加投标活动的人员为同一标段其他投标人的在职人员的；不同投标人通过同一单位或者个人账户购买保函的）；</w:t>
                            </w:r>
                          </w:p>
                          <w:p>
                            <w:pPr>
                              <w:snapToGrid w:val="0"/>
                              <w:spacing w:line="28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b.不同投标人委托同一单位或者个人办理投标事宜；</w:t>
                            </w:r>
                          </w:p>
                          <w:p>
                            <w:pPr>
                              <w:snapToGrid w:val="0"/>
                              <w:spacing w:line="28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c.不同投标人的投标文件载明的项目管理成员为同一人；</w:t>
                            </w:r>
                          </w:p>
                          <w:p>
                            <w:pPr>
                              <w:snapToGrid w:val="0"/>
                              <w:spacing w:line="28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d.不同投标人的投标文件异常一致或者投标报价呈规律性差异；</w:t>
                            </w:r>
                          </w:p>
                          <w:p>
                            <w:pPr>
                              <w:snapToGrid w:val="0"/>
                              <w:spacing w:line="28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e.不同投标人的投标文件相互混装；</w:t>
                            </w:r>
                          </w:p>
                          <w:p>
                            <w:pPr>
                              <w:snapToGrid w:val="0"/>
                              <w:spacing w:line="280" w:lineRule="exact"/>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f.不同投标人的投标保证金从同一单位或者个人的账户转出。</w:t>
                            </w:r>
                          </w:p>
                          <w:p>
                            <w:pPr>
                              <w:pStyle w:val="31"/>
                              <w:spacing w:before="11" w:line="245" w:lineRule="exact"/>
                              <w:ind w:left="0" w:leftChars="0" w:right="0" w:rightChars="0" w:firstLine="211" w:firstLineChars="100"/>
                              <w:rPr>
                                <w:rFonts w:ascii="宋体" w:hAnsi="宋体" w:eastAsia="宋体" w:cs="宋体"/>
                                <w:b/>
                                <w:sz w:val="21"/>
                                <w:szCs w:val="22"/>
                                <w:lang w:val="zh-CN" w:eastAsia="zh-CN" w:bidi="zh-CN"/>
                              </w:rPr>
                            </w:pPr>
                            <w:r>
                              <w:rPr>
                                <w:rFonts w:hint="eastAsia" w:asciiTheme="majorEastAsia" w:hAnsiTheme="majorEastAsia" w:eastAsiaTheme="majorEastAsia" w:cstheme="majorEastAsia"/>
                                <w:b/>
                                <w:sz w:val="21"/>
                                <w:szCs w:val="21"/>
                                <w:lang w:val="zh-CN" w:eastAsia="zh-CN" w:bidi="zh-CN"/>
                              </w:rPr>
                              <w:fldChar w:fldCharType="begin"/>
                            </w:r>
                            <w:r>
                              <w:rPr>
                                <w:rFonts w:hint="eastAsia" w:asciiTheme="majorEastAsia" w:hAnsiTheme="majorEastAsia" w:eastAsiaTheme="majorEastAsia" w:cstheme="majorEastAsia"/>
                                <w:b/>
                                <w:sz w:val="21"/>
                                <w:szCs w:val="21"/>
                                <w:lang w:val="zh-CN" w:eastAsia="zh-CN" w:bidi="zh-CN"/>
                              </w:rPr>
                              <w:instrText xml:space="preserve"> = 11 \* GB2 </w:instrText>
                            </w:r>
                            <w:r>
                              <w:rPr>
                                <w:rFonts w:hint="eastAsia" w:asciiTheme="majorEastAsia" w:hAnsiTheme="majorEastAsia" w:eastAsiaTheme="majorEastAsia" w:cstheme="majorEastAsia"/>
                                <w:b/>
                                <w:sz w:val="21"/>
                                <w:szCs w:val="21"/>
                                <w:lang w:val="zh-CN" w:eastAsia="zh-CN" w:bidi="zh-CN"/>
                              </w:rPr>
                              <w:fldChar w:fldCharType="separate"/>
                            </w:r>
                            <w:r>
                              <w:rPr>
                                <w:rFonts w:hint="eastAsia" w:asciiTheme="majorEastAsia" w:hAnsiTheme="majorEastAsia" w:eastAsiaTheme="majorEastAsia" w:cstheme="majorEastAsia"/>
                                <w:b/>
                                <w:sz w:val="21"/>
                                <w:szCs w:val="21"/>
                                <w:lang w:val="zh-CN" w:eastAsia="zh-CN" w:bidi="zh-CN"/>
                              </w:rPr>
                              <w:t>⑾</w:t>
                            </w:r>
                            <w:r>
                              <w:rPr>
                                <w:rFonts w:hint="eastAsia" w:asciiTheme="majorEastAsia" w:hAnsiTheme="majorEastAsia" w:eastAsiaTheme="majorEastAsia" w:cstheme="majorEastAsia"/>
                                <w:b/>
                                <w:sz w:val="21"/>
                                <w:szCs w:val="21"/>
                                <w:lang w:val="zh-CN" w:eastAsia="zh-CN" w:bidi="zh-CN"/>
                              </w:rPr>
                              <w:fldChar w:fldCharType="end"/>
                            </w:r>
                            <w:r>
                              <w:rPr>
                                <w:rFonts w:hint="eastAsia" w:asciiTheme="majorEastAsia" w:hAnsiTheme="majorEastAsia" w:eastAsiaTheme="majorEastAsia" w:cstheme="majorEastAsia"/>
                                <w:b/>
                                <w:sz w:val="21"/>
                                <w:szCs w:val="21"/>
                                <w:lang w:val="zh-CN" w:eastAsia="zh-CN" w:bidi="zh-CN"/>
                              </w:rPr>
                              <w:t>投标文件未附有招标人不能接受的条件。</w:t>
                            </w:r>
                          </w:p>
                        </w:tc>
                      </w:tr>
                    </w:tbl>
                    <w:p>
                      <w:pPr>
                        <w:pStyle w:val="2"/>
                      </w:pPr>
                    </w:p>
                  </w:txbxContent>
                </v:textbox>
              </v:shape>
            </w:pict>
          </mc:Fallback>
        </mc:AlternateContent>
      </w:r>
      <w:r>
        <w:rPr>
          <w:rFonts w:hint="eastAsia" w:ascii="黑体" w:hAnsi="黑体" w:eastAsia="黑体"/>
          <w:color w:val="auto"/>
          <w:sz w:val="30"/>
          <w:highlight w:val="none"/>
        </w:rPr>
        <w:t>第三章 评标办法（综合评估法</w:t>
      </w:r>
      <w:r>
        <w:rPr>
          <w:rFonts w:hint="eastAsia" w:ascii="MS PGothic" w:hAnsi="MS PGothic" w:eastAsia="MS PGothic"/>
          <w:color w:val="auto"/>
          <w:sz w:val="30"/>
          <w:highlight w:val="none"/>
        </w:rPr>
        <w:t>Ⅰ</w:t>
      </w:r>
      <w:r>
        <w:rPr>
          <w:rFonts w:hint="eastAsia" w:ascii="黑体" w:hAnsi="黑体" w:eastAsia="黑体"/>
          <w:color w:val="auto"/>
          <w:sz w:val="30"/>
          <w:highlight w:val="none"/>
        </w:rPr>
        <w:t xml:space="preserve">） </w:t>
      </w:r>
      <w:bookmarkStart w:id="133" w:name="评标办法前附表"/>
      <w:bookmarkEnd w:id="133"/>
      <w:r>
        <w:rPr>
          <w:rFonts w:hint="eastAsia" w:ascii="黑体" w:hAnsi="黑体" w:eastAsia="黑体"/>
          <w:b/>
          <w:color w:val="auto"/>
          <w:sz w:val="30"/>
          <w:highlight w:val="none"/>
        </w:rPr>
        <w:t>评标办法前附表</w:t>
      </w:r>
    </w:p>
    <w:p>
      <w:pPr>
        <w:spacing w:after="0" w:line="328" w:lineRule="auto"/>
        <w:jc w:val="left"/>
        <w:rPr>
          <w:rFonts w:hint="eastAsia" w:ascii="黑体" w:hAnsi="黑体" w:eastAsia="黑体"/>
          <w:color w:val="auto"/>
          <w:sz w:val="30"/>
          <w:highlight w:val="none"/>
        </w:rPr>
        <w:sectPr>
          <w:pgSz w:w="11910" w:h="16840"/>
          <w:pgMar w:top="1060" w:right="860" w:bottom="940" w:left="960" w:header="0" w:footer="672" w:gutter="0"/>
          <w:pgBorders>
            <w:top w:val="none" w:sz="0" w:space="0"/>
            <w:left w:val="none" w:sz="0" w:space="0"/>
            <w:bottom w:val="none" w:sz="0" w:space="0"/>
            <w:right w:val="none" w:sz="0" w:space="0"/>
          </w:pgBorders>
          <w:pgNumType w:fmt="decimal"/>
          <w:cols w:space="720" w:num="1"/>
        </w:sectPr>
      </w:pPr>
    </w:p>
    <w:p>
      <w:pPr>
        <w:pStyle w:val="2"/>
        <w:spacing w:before="50" w:after="15"/>
        <w:ind w:right="515"/>
        <w:jc w:val="right"/>
        <w:rPr>
          <w:color w:val="auto"/>
          <w:highlight w:val="none"/>
        </w:rPr>
      </w:pPr>
      <w:r>
        <w:rPr>
          <w:color w:val="auto"/>
          <w:highlight w:val="none"/>
        </w:rPr>
        <w:t>续上表</w:t>
      </w:r>
    </w:p>
    <w:tbl>
      <w:tblPr>
        <w:tblStyle w:val="26"/>
        <w:tblW w:w="0" w:type="auto"/>
        <w:tblInd w:w="35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48"/>
        <w:gridCol w:w="1139"/>
        <w:gridCol w:w="717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8" w:hRule="atLeast"/>
        </w:trPr>
        <w:tc>
          <w:tcPr>
            <w:tcW w:w="948" w:type="dxa"/>
            <w:tcBorders>
              <w:bottom w:val="single" w:color="000000" w:sz="2" w:space="0"/>
              <w:right w:val="single" w:color="000000" w:sz="2" w:space="0"/>
            </w:tcBorders>
            <w:vAlign w:val="center"/>
          </w:tcPr>
          <w:p>
            <w:pPr>
              <w:pStyle w:val="31"/>
              <w:spacing w:before="89"/>
              <w:ind w:left="145" w:right="126"/>
              <w:jc w:val="center"/>
              <w:rPr>
                <w:b/>
                <w:color w:val="auto"/>
                <w:sz w:val="21"/>
                <w:highlight w:val="none"/>
              </w:rPr>
            </w:pPr>
            <w:r>
              <w:rPr>
                <w:b/>
                <w:color w:val="auto"/>
                <w:sz w:val="21"/>
                <w:highlight w:val="none"/>
              </w:rPr>
              <w:t>条款号</w:t>
            </w:r>
          </w:p>
        </w:tc>
        <w:tc>
          <w:tcPr>
            <w:tcW w:w="1139" w:type="dxa"/>
            <w:tcBorders>
              <w:left w:val="single" w:color="000000" w:sz="2" w:space="0"/>
              <w:bottom w:val="single" w:color="000000" w:sz="2" w:space="0"/>
              <w:right w:val="single" w:color="000000" w:sz="2" w:space="0"/>
            </w:tcBorders>
            <w:vAlign w:val="center"/>
          </w:tcPr>
          <w:p>
            <w:pPr>
              <w:pStyle w:val="31"/>
              <w:spacing w:before="89"/>
              <w:ind w:left="170"/>
              <w:jc w:val="center"/>
              <w:rPr>
                <w:b/>
                <w:color w:val="auto"/>
                <w:sz w:val="21"/>
                <w:highlight w:val="none"/>
              </w:rPr>
            </w:pPr>
            <w:r>
              <w:rPr>
                <w:b/>
                <w:color w:val="auto"/>
                <w:sz w:val="21"/>
                <w:highlight w:val="none"/>
              </w:rPr>
              <w:t>条款名称</w:t>
            </w:r>
          </w:p>
        </w:tc>
        <w:tc>
          <w:tcPr>
            <w:tcW w:w="7172" w:type="dxa"/>
            <w:tcBorders>
              <w:left w:val="single" w:color="000000" w:sz="2" w:space="0"/>
              <w:bottom w:val="single" w:color="000000" w:sz="2" w:space="0"/>
            </w:tcBorders>
            <w:vAlign w:val="center"/>
          </w:tcPr>
          <w:p>
            <w:pPr>
              <w:pStyle w:val="31"/>
              <w:spacing w:before="128"/>
              <w:ind w:right="2315" w:rightChars="0"/>
              <w:jc w:val="center"/>
              <w:rPr>
                <w:b/>
                <w:color w:val="auto"/>
                <w:sz w:val="21"/>
                <w:highlight w:val="none"/>
              </w:rPr>
            </w:pPr>
            <w:r>
              <w:rPr>
                <w:b/>
                <w:color w:val="auto"/>
                <w:sz w:val="21"/>
                <w:highlight w:val="none"/>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61" w:hRule="atLeast"/>
        </w:trPr>
        <w:tc>
          <w:tcPr>
            <w:tcW w:w="948" w:type="dxa"/>
            <w:tcBorders>
              <w:top w:val="single" w:color="000000" w:sz="2" w:space="0"/>
              <w:bottom w:val="single" w:color="000000" w:sz="2" w:space="0"/>
              <w:right w:val="single" w:color="000000" w:sz="2" w:space="0"/>
            </w:tcBorders>
            <w:vAlign w:val="center"/>
          </w:tcPr>
          <w:p>
            <w:pPr>
              <w:pStyle w:val="31"/>
              <w:spacing w:before="1"/>
              <w:ind w:left="144" w:leftChars="0" w:right="126" w:rightChars="0"/>
              <w:jc w:val="center"/>
              <w:rPr>
                <w:rFonts w:ascii="Arial" w:hAnsi="宋体" w:eastAsia="宋体" w:cs="宋体"/>
                <w:color w:val="auto"/>
                <w:sz w:val="21"/>
                <w:szCs w:val="22"/>
                <w:highlight w:val="none"/>
                <w:lang w:val="zh-CN" w:eastAsia="zh-CN" w:bidi="zh-CN"/>
              </w:rPr>
            </w:pPr>
            <w:r>
              <w:rPr>
                <w:rFonts w:ascii="Arial"/>
                <w:color w:val="auto"/>
                <w:sz w:val="21"/>
                <w:highlight w:val="none"/>
              </w:rPr>
              <w:t>2.5</w:t>
            </w:r>
          </w:p>
        </w:tc>
        <w:tc>
          <w:tcPr>
            <w:tcW w:w="1139" w:type="dxa"/>
            <w:tcBorders>
              <w:top w:val="single" w:color="000000" w:sz="2" w:space="0"/>
              <w:left w:val="single" w:color="000000" w:sz="2" w:space="0"/>
              <w:bottom w:val="single" w:color="000000" w:sz="2" w:space="0"/>
              <w:right w:val="single" w:color="000000" w:sz="2" w:space="0"/>
            </w:tcBorders>
            <w:vAlign w:val="center"/>
          </w:tcPr>
          <w:p>
            <w:pPr>
              <w:pStyle w:val="31"/>
              <w:spacing w:line="285" w:lineRule="auto"/>
              <w:ind w:left="170" w:leftChars="0" w:right="135" w:rightChars="0"/>
              <w:jc w:val="center"/>
              <w:rPr>
                <w:rFonts w:ascii="宋体" w:hAnsi="宋体" w:eastAsia="宋体" w:cs="宋体"/>
                <w:color w:val="auto"/>
                <w:sz w:val="21"/>
                <w:szCs w:val="22"/>
                <w:highlight w:val="none"/>
                <w:lang w:val="zh-CN" w:eastAsia="zh-CN" w:bidi="zh-CN"/>
              </w:rPr>
            </w:pPr>
            <w:r>
              <w:rPr>
                <w:color w:val="auto"/>
                <w:sz w:val="21"/>
                <w:highlight w:val="none"/>
              </w:rPr>
              <w:t>第一信封详细评审</w:t>
            </w:r>
          </w:p>
        </w:tc>
        <w:tc>
          <w:tcPr>
            <w:tcW w:w="7172" w:type="dxa"/>
            <w:tcBorders>
              <w:top w:val="single" w:color="000000" w:sz="2" w:space="0"/>
              <w:left w:val="single" w:color="000000" w:sz="2" w:space="0"/>
              <w:bottom w:val="single" w:color="000000" w:sz="2" w:space="0"/>
            </w:tcBorders>
            <w:vAlign w:val="center"/>
          </w:tcPr>
          <w:p>
            <w:pPr>
              <w:pStyle w:val="31"/>
              <w:spacing w:before="50" w:line="285" w:lineRule="auto"/>
              <w:ind w:left="121" w:right="70" w:firstLine="106"/>
              <w:jc w:val="both"/>
              <w:rPr>
                <w:rFonts w:hint="eastAsia"/>
                <w:color w:val="auto"/>
                <w:spacing w:val="-7"/>
                <w:sz w:val="21"/>
                <w:highlight w:val="none"/>
              </w:rPr>
            </w:pPr>
            <w:r>
              <w:rPr>
                <w:rFonts w:hint="eastAsia"/>
                <w:color w:val="auto"/>
                <w:spacing w:val="-7"/>
                <w:sz w:val="21"/>
                <w:highlight w:val="none"/>
              </w:rPr>
              <w:t>评审因素                                                 评分值</w:t>
            </w:r>
          </w:p>
          <w:p>
            <w:pPr>
              <w:pStyle w:val="31"/>
              <w:spacing w:before="50" w:line="285" w:lineRule="auto"/>
              <w:ind w:left="121" w:right="70" w:firstLine="106"/>
              <w:jc w:val="both"/>
              <w:rPr>
                <w:rFonts w:hint="eastAsia"/>
                <w:color w:val="auto"/>
                <w:spacing w:val="-7"/>
                <w:sz w:val="21"/>
                <w:highlight w:val="none"/>
              </w:rPr>
            </w:pPr>
            <w:r>
              <w:rPr>
                <w:rFonts w:hint="eastAsia"/>
                <w:color w:val="auto"/>
                <w:spacing w:val="-7"/>
                <w:sz w:val="21"/>
                <w:highlight w:val="none"/>
              </w:rPr>
              <w:t xml:space="preserve">（1）投标文件第一信封（商务文件）：                     </w:t>
            </w:r>
            <w:r>
              <w:rPr>
                <w:rFonts w:hint="eastAsia"/>
                <w:color w:val="auto"/>
                <w:spacing w:val="-7"/>
                <w:sz w:val="21"/>
                <w:highlight w:val="none"/>
                <w:lang w:val="en-US" w:eastAsia="zh-CN"/>
              </w:rPr>
              <w:t xml:space="preserve"> </w:t>
            </w:r>
            <w:r>
              <w:rPr>
                <w:rFonts w:hint="eastAsia"/>
                <w:color w:val="auto"/>
                <w:spacing w:val="-7"/>
                <w:sz w:val="21"/>
                <w:highlight w:val="none"/>
              </w:rPr>
              <w:t>40分</w:t>
            </w:r>
          </w:p>
          <w:p>
            <w:pPr>
              <w:pStyle w:val="31"/>
              <w:spacing w:before="50" w:line="285" w:lineRule="auto"/>
              <w:ind w:left="121" w:right="70" w:firstLine="106"/>
              <w:jc w:val="both"/>
              <w:rPr>
                <w:rFonts w:hint="eastAsia"/>
                <w:color w:val="auto"/>
                <w:spacing w:val="-7"/>
                <w:sz w:val="21"/>
                <w:highlight w:val="none"/>
              </w:rPr>
            </w:pPr>
            <w:r>
              <w:rPr>
                <w:rFonts w:hint="eastAsia"/>
                <w:color w:val="auto"/>
                <w:spacing w:val="-7"/>
                <w:sz w:val="21"/>
                <w:highlight w:val="none"/>
              </w:rPr>
              <w:t>a.投标人与本项目相关的具体业绩                           20分</w:t>
            </w:r>
          </w:p>
          <w:p>
            <w:pPr>
              <w:pStyle w:val="31"/>
              <w:spacing w:before="50" w:line="285" w:lineRule="auto"/>
              <w:ind w:left="121" w:right="70" w:firstLine="106"/>
              <w:jc w:val="both"/>
              <w:rPr>
                <w:rFonts w:hint="eastAsia"/>
                <w:color w:val="auto"/>
                <w:spacing w:val="-7"/>
                <w:sz w:val="21"/>
                <w:highlight w:val="none"/>
              </w:rPr>
            </w:pPr>
            <w:r>
              <w:rPr>
                <w:rFonts w:hint="eastAsia"/>
                <w:color w:val="auto"/>
                <w:spacing w:val="-7"/>
                <w:sz w:val="21"/>
                <w:highlight w:val="none"/>
              </w:rPr>
              <w:t>b.拟投入本项目的人员资格和能力                           1</w:t>
            </w:r>
            <w:r>
              <w:rPr>
                <w:rFonts w:hint="eastAsia"/>
                <w:color w:val="auto"/>
                <w:spacing w:val="-7"/>
                <w:sz w:val="21"/>
                <w:highlight w:val="none"/>
                <w:lang w:val="en-US" w:eastAsia="zh-CN"/>
              </w:rPr>
              <w:t>4</w:t>
            </w:r>
            <w:r>
              <w:rPr>
                <w:rFonts w:hint="eastAsia"/>
                <w:color w:val="auto"/>
                <w:spacing w:val="-7"/>
                <w:sz w:val="21"/>
                <w:highlight w:val="none"/>
              </w:rPr>
              <w:t>.5分</w:t>
            </w:r>
          </w:p>
          <w:p>
            <w:pPr>
              <w:pStyle w:val="31"/>
              <w:spacing w:before="50" w:line="285" w:lineRule="auto"/>
              <w:ind w:left="121" w:right="70" w:firstLine="106"/>
              <w:jc w:val="both"/>
              <w:rPr>
                <w:rFonts w:hint="eastAsia"/>
                <w:color w:val="auto"/>
                <w:spacing w:val="-7"/>
                <w:sz w:val="21"/>
                <w:highlight w:val="none"/>
              </w:rPr>
            </w:pPr>
            <w:r>
              <w:rPr>
                <w:rFonts w:hint="eastAsia"/>
                <w:color w:val="auto"/>
                <w:spacing w:val="-7"/>
                <w:sz w:val="21"/>
                <w:highlight w:val="none"/>
              </w:rPr>
              <w:t xml:space="preserve">c.投标人的信誉                                            </w:t>
            </w:r>
            <w:r>
              <w:rPr>
                <w:rFonts w:hint="eastAsia"/>
                <w:color w:val="auto"/>
                <w:spacing w:val="-7"/>
                <w:sz w:val="21"/>
                <w:highlight w:val="none"/>
                <w:lang w:val="en-US" w:eastAsia="zh-CN"/>
              </w:rPr>
              <w:t>5</w:t>
            </w:r>
            <w:r>
              <w:rPr>
                <w:rFonts w:hint="eastAsia"/>
                <w:color w:val="auto"/>
                <w:spacing w:val="-7"/>
                <w:sz w:val="21"/>
                <w:highlight w:val="none"/>
              </w:rPr>
              <w:t>.5分</w:t>
            </w:r>
          </w:p>
          <w:p>
            <w:pPr>
              <w:pStyle w:val="31"/>
              <w:spacing w:before="50" w:line="285" w:lineRule="auto"/>
              <w:ind w:right="70"/>
              <w:jc w:val="both"/>
              <w:rPr>
                <w:rFonts w:hint="eastAsia"/>
                <w:color w:val="auto"/>
                <w:spacing w:val="-7"/>
                <w:sz w:val="21"/>
                <w:highlight w:val="none"/>
              </w:rPr>
            </w:pPr>
            <w:r>
              <w:rPr>
                <w:rFonts w:hint="eastAsia"/>
                <w:color w:val="auto"/>
                <w:spacing w:val="-7"/>
                <w:sz w:val="21"/>
                <w:highlight w:val="none"/>
              </w:rPr>
              <w:t>（2）投标文件一信封（技术文件）：</w:t>
            </w:r>
            <w:r>
              <w:rPr>
                <w:rFonts w:hint="eastAsia"/>
                <w:color w:val="auto"/>
                <w:spacing w:val="-7"/>
                <w:sz w:val="21"/>
                <w:highlight w:val="none"/>
              </w:rPr>
              <w:tab/>
            </w:r>
            <w:r>
              <w:rPr>
                <w:rFonts w:hint="eastAsia"/>
                <w:color w:val="auto"/>
                <w:spacing w:val="-7"/>
                <w:sz w:val="21"/>
                <w:highlight w:val="none"/>
              </w:rPr>
              <w:t xml:space="preserve">                        50分</w:t>
            </w:r>
          </w:p>
          <w:p>
            <w:pPr>
              <w:pStyle w:val="31"/>
              <w:spacing w:before="50" w:line="285" w:lineRule="auto"/>
              <w:ind w:right="70" w:firstLine="196" w:firstLineChars="100"/>
              <w:jc w:val="both"/>
              <w:rPr>
                <w:rFonts w:hint="eastAsia"/>
                <w:color w:val="auto"/>
                <w:spacing w:val="-7"/>
                <w:sz w:val="21"/>
                <w:highlight w:val="none"/>
              </w:rPr>
            </w:pPr>
            <w:r>
              <w:rPr>
                <w:rFonts w:hint="eastAsia"/>
                <w:color w:val="auto"/>
                <w:spacing w:val="-7"/>
                <w:sz w:val="21"/>
                <w:highlight w:val="none"/>
              </w:rPr>
              <w:t>d.对招标项目的理解和总体设计思路</w:t>
            </w:r>
            <w:r>
              <w:rPr>
                <w:rFonts w:hint="eastAsia"/>
                <w:color w:val="auto"/>
                <w:spacing w:val="-7"/>
                <w:sz w:val="21"/>
                <w:highlight w:val="none"/>
              </w:rPr>
              <w:tab/>
            </w:r>
            <w:r>
              <w:rPr>
                <w:rFonts w:hint="eastAsia"/>
                <w:color w:val="auto"/>
                <w:spacing w:val="-7"/>
                <w:sz w:val="21"/>
                <w:highlight w:val="none"/>
              </w:rPr>
              <w:t xml:space="preserve">                        15分</w:t>
            </w:r>
          </w:p>
          <w:p>
            <w:pPr>
              <w:pStyle w:val="31"/>
              <w:spacing w:before="50" w:line="285" w:lineRule="auto"/>
              <w:ind w:left="121" w:right="70" w:firstLine="106"/>
              <w:jc w:val="both"/>
              <w:rPr>
                <w:rFonts w:hint="eastAsia"/>
                <w:color w:val="auto"/>
                <w:spacing w:val="-7"/>
                <w:sz w:val="21"/>
                <w:highlight w:val="none"/>
              </w:rPr>
            </w:pPr>
            <w:r>
              <w:rPr>
                <w:rFonts w:hint="eastAsia"/>
                <w:color w:val="auto"/>
                <w:spacing w:val="-7"/>
                <w:sz w:val="21"/>
                <w:highlight w:val="none"/>
              </w:rPr>
              <w:t>e.对招标项目的特点、关键技术问题的认识及其对策措施       13分</w:t>
            </w:r>
          </w:p>
          <w:p>
            <w:pPr>
              <w:pStyle w:val="31"/>
              <w:spacing w:before="50" w:line="285" w:lineRule="auto"/>
              <w:ind w:left="121" w:right="70" w:firstLine="106"/>
              <w:jc w:val="both"/>
              <w:rPr>
                <w:rFonts w:hint="eastAsia"/>
                <w:color w:val="auto"/>
                <w:spacing w:val="-7"/>
                <w:sz w:val="21"/>
                <w:highlight w:val="none"/>
              </w:rPr>
            </w:pPr>
            <w:r>
              <w:rPr>
                <w:rFonts w:hint="eastAsia"/>
                <w:color w:val="auto"/>
                <w:spacing w:val="-7"/>
                <w:sz w:val="21"/>
                <w:highlight w:val="none"/>
              </w:rPr>
              <w:t>f.编制工作量及计划安排</w:t>
            </w:r>
            <w:r>
              <w:rPr>
                <w:rFonts w:hint="eastAsia"/>
                <w:color w:val="auto"/>
                <w:spacing w:val="-7"/>
                <w:sz w:val="21"/>
                <w:highlight w:val="none"/>
              </w:rPr>
              <w:tab/>
            </w:r>
            <w:r>
              <w:rPr>
                <w:rFonts w:hint="eastAsia"/>
                <w:color w:val="auto"/>
                <w:spacing w:val="-7"/>
                <w:sz w:val="21"/>
                <w:highlight w:val="none"/>
              </w:rPr>
              <w:t xml:space="preserve">                                8分</w:t>
            </w:r>
          </w:p>
          <w:p>
            <w:pPr>
              <w:pStyle w:val="31"/>
              <w:spacing w:before="50" w:line="285" w:lineRule="auto"/>
              <w:ind w:left="121" w:right="70" w:firstLine="106"/>
              <w:jc w:val="both"/>
              <w:rPr>
                <w:rFonts w:hint="eastAsia"/>
                <w:color w:val="auto"/>
                <w:spacing w:val="-7"/>
                <w:sz w:val="21"/>
                <w:highlight w:val="none"/>
              </w:rPr>
            </w:pPr>
            <w:r>
              <w:rPr>
                <w:rFonts w:hint="eastAsia"/>
                <w:color w:val="auto"/>
                <w:spacing w:val="-7"/>
                <w:sz w:val="21"/>
                <w:highlight w:val="none"/>
              </w:rPr>
              <w:t>g.内容编制的质量保证措施、进度保证措施</w:t>
            </w:r>
            <w:r>
              <w:rPr>
                <w:rFonts w:hint="eastAsia"/>
                <w:color w:val="auto"/>
                <w:spacing w:val="-7"/>
                <w:sz w:val="21"/>
                <w:highlight w:val="none"/>
              </w:rPr>
              <w:tab/>
            </w:r>
            <w:r>
              <w:rPr>
                <w:rFonts w:hint="eastAsia"/>
                <w:color w:val="auto"/>
                <w:spacing w:val="-7"/>
                <w:sz w:val="21"/>
                <w:highlight w:val="none"/>
              </w:rPr>
              <w:t xml:space="preserve">                 7分</w:t>
            </w:r>
          </w:p>
          <w:p>
            <w:pPr>
              <w:pStyle w:val="31"/>
              <w:spacing w:before="50" w:line="285" w:lineRule="auto"/>
              <w:ind w:left="121" w:right="70" w:firstLine="106"/>
              <w:jc w:val="both"/>
              <w:rPr>
                <w:rFonts w:hint="eastAsia"/>
                <w:color w:val="auto"/>
                <w:spacing w:val="-7"/>
                <w:sz w:val="21"/>
                <w:highlight w:val="none"/>
              </w:rPr>
            </w:pPr>
            <w:r>
              <w:rPr>
                <w:rFonts w:hint="eastAsia"/>
                <w:color w:val="auto"/>
                <w:spacing w:val="-7"/>
                <w:sz w:val="21"/>
                <w:highlight w:val="none"/>
              </w:rPr>
              <w:t>h. 后续服务的安排及保证措施</w:t>
            </w:r>
            <w:r>
              <w:rPr>
                <w:rFonts w:hint="eastAsia"/>
                <w:color w:val="auto"/>
                <w:spacing w:val="-7"/>
                <w:sz w:val="21"/>
                <w:highlight w:val="none"/>
              </w:rPr>
              <w:tab/>
            </w:r>
            <w:r>
              <w:rPr>
                <w:rFonts w:hint="eastAsia"/>
                <w:color w:val="auto"/>
                <w:spacing w:val="-7"/>
                <w:sz w:val="21"/>
                <w:highlight w:val="none"/>
              </w:rPr>
              <w:t xml:space="preserve">                        7分</w:t>
            </w:r>
          </w:p>
          <w:p>
            <w:pPr>
              <w:pStyle w:val="31"/>
              <w:spacing w:before="50" w:line="285" w:lineRule="auto"/>
              <w:ind w:right="70"/>
              <w:jc w:val="left"/>
              <w:rPr>
                <w:color w:val="auto"/>
                <w:sz w:val="21"/>
                <w:highlight w:val="none"/>
              </w:rPr>
            </w:pPr>
            <w:r>
              <w:rPr>
                <w:color w:val="auto"/>
                <w:spacing w:val="-7"/>
                <w:sz w:val="21"/>
                <w:highlight w:val="none"/>
              </w:rPr>
              <w:t>（</w:t>
            </w:r>
            <w:r>
              <w:rPr>
                <w:rFonts w:ascii="Arial" w:eastAsia="Arial"/>
                <w:color w:val="auto"/>
                <w:spacing w:val="-7"/>
                <w:sz w:val="21"/>
                <w:highlight w:val="none"/>
              </w:rPr>
              <w:t>3</w:t>
            </w:r>
            <w:r>
              <w:rPr>
                <w:color w:val="auto"/>
                <w:spacing w:val="-7"/>
                <w:sz w:val="21"/>
                <w:highlight w:val="none"/>
              </w:rPr>
              <w:t>）</w:t>
            </w:r>
            <w:r>
              <w:rPr>
                <w:color w:val="auto"/>
                <w:spacing w:val="-8"/>
                <w:sz w:val="21"/>
                <w:highlight w:val="none"/>
              </w:rPr>
              <w:t>评审要求：投标文件第一信封</w:t>
            </w:r>
            <w:r>
              <w:rPr>
                <w:color w:val="auto"/>
                <w:sz w:val="21"/>
                <w:highlight w:val="none"/>
              </w:rPr>
              <w:t>（</w:t>
            </w:r>
            <w:r>
              <w:rPr>
                <w:color w:val="auto"/>
                <w:spacing w:val="-3"/>
                <w:sz w:val="21"/>
                <w:highlight w:val="none"/>
              </w:rPr>
              <w:t>商务文件</w:t>
            </w:r>
            <w:r>
              <w:rPr>
                <w:color w:val="auto"/>
                <w:spacing w:val="-17"/>
                <w:sz w:val="21"/>
                <w:highlight w:val="none"/>
              </w:rPr>
              <w:t>）</w:t>
            </w:r>
            <w:r>
              <w:rPr>
                <w:color w:val="auto"/>
                <w:spacing w:val="-5"/>
                <w:sz w:val="21"/>
                <w:highlight w:val="none"/>
              </w:rPr>
              <w:t>由评委统一打分；投标文件</w:t>
            </w:r>
            <w:r>
              <w:rPr>
                <w:color w:val="auto"/>
                <w:spacing w:val="-8"/>
                <w:sz w:val="21"/>
                <w:highlight w:val="none"/>
              </w:rPr>
              <w:t>第一信封</w:t>
            </w:r>
            <w:r>
              <w:rPr>
                <w:color w:val="auto"/>
                <w:spacing w:val="-3"/>
                <w:sz w:val="21"/>
                <w:highlight w:val="none"/>
              </w:rPr>
              <w:t>（</w:t>
            </w:r>
            <w:r>
              <w:rPr>
                <w:color w:val="auto"/>
                <w:spacing w:val="-2"/>
                <w:sz w:val="21"/>
                <w:highlight w:val="none"/>
              </w:rPr>
              <w:t>技术文件</w:t>
            </w:r>
            <w:r>
              <w:rPr>
                <w:color w:val="auto"/>
                <w:spacing w:val="-29"/>
                <w:sz w:val="21"/>
                <w:highlight w:val="none"/>
              </w:rPr>
              <w:t>）</w:t>
            </w:r>
            <w:r>
              <w:rPr>
                <w:color w:val="auto"/>
                <w:spacing w:val="-6"/>
                <w:sz w:val="21"/>
                <w:highlight w:val="none"/>
              </w:rPr>
              <w:t>则由各评委单独打分。所有评委评分去掉一个最高分和一个最低分后的算术平均值为第一个信封</w:t>
            </w:r>
            <w:r>
              <w:rPr>
                <w:color w:val="auto"/>
                <w:sz w:val="21"/>
                <w:highlight w:val="none"/>
              </w:rPr>
              <w:t>（</w:t>
            </w:r>
            <w:r>
              <w:rPr>
                <w:color w:val="auto"/>
                <w:spacing w:val="-3"/>
                <w:sz w:val="21"/>
                <w:highlight w:val="none"/>
              </w:rPr>
              <w:t>技术文件</w:t>
            </w:r>
            <w:r>
              <w:rPr>
                <w:color w:val="auto"/>
                <w:spacing w:val="-27"/>
                <w:sz w:val="21"/>
                <w:highlight w:val="none"/>
              </w:rPr>
              <w:t>）</w:t>
            </w:r>
            <w:r>
              <w:rPr>
                <w:color w:val="auto"/>
                <w:spacing w:val="-8"/>
                <w:sz w:val="21"/>
                <w:highlight w:val="none"/>
              </w:rPr>
              <w:t>的最终得分</w:t>
            </w:r>
            <w:r>
              <w:rPr>
                <w:color w:val="auto"/>
                <w:spacing w:val="-3"/>
                <w:sz w:val="21"/>
                <w:highlight w:val="none"/>
              </w:rPr>
              <w:t>评委打分</w:t>
            </w:r>
          </w:p>
          <w:p>
            <w:pPr>
              <w:pStyle w:val="31"/>
              <w:spacing w:line="242" w:lineRule="exact"/>
              <w:ind w:left="121" w:leftChars="0" w:right="0" w:rightChars="0"/>
              <w:jc w:val="left"/>
              <w:rPr>
                <w:rFonts w:ascii="宋体" w:hAnsi="宋体" w:eastAsia="宋体" w:cs="宋体"/>
                <w:color w:val="auto"/>
                <w:sz w:val="21"/>
                <w:szCs w:val="22"/>
                <w:highlight w:val="none"/>
                <w:lang w:val="zh-CN" w:eastAsia="zh-CN" w:bidi="zh-CN"/>
              </w:rPr>
            </w:pPr>
            <w:r>
              <w:rPr>
                <w:color w:val="auto"/>
                <w:sz w:val="21"/>
                <w:highlight w:val="none"/>
              </w:rPr>
              <w:t>保留一位小数，计算结果保留两位小数）；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00" w:hRule="atLeast"/>
        </w:trPr>
        <w:tc>
          <w:tcPr>
            <w:tcW w:w="948" w:type="dxa"/>
            <w:tcBorders>
              <w:top w:val="single" w:color="000000" w:sz="2" w:space="0"/>
              <w:bottom w:val="single" w:color="000000" w:sz="2" w:space="0"/>
              <w:right w:val="single" w:color="000000" w:sz="2" w:space="0"/>
            </w:tcBorders>
            <w:vAlign w:val="center"/>
          </w:tcPr>
          <w:p>
            <w:pPr>
              <w:pStyle w:val="31"/>
              <w:ind w:left="228" w:leftChars="0" w:right="208" w:rightChars="0"/>
              <w:jc w:val="center"/>
              <w:rPr>
                <w:rFonts w:ascii="Arial" w:hAnsi="宋体" w:eastAsia="宋体" w:cs="宋体"/>
                <w:color w:val="auto"/>
                <w:sz w:val="21"/>
                <w:szCs w:val="22"/>
                <w:highlight w:val="none"/>
                <w:lang w:val="zh-CN" w:eastAsia="zh-CN" w:bidi="zh-CN"/>
              </w:rPr>
            </w:pPr>
            <w:r>
              <w:rPr>
                <w:rFonts w:ascii="宋体" w:hAnsi="宋体" w:eastAsia="宋体" w:cs="Times New Roman"/>
                <w:color w:val="auto"/>
                <w:sz w:val="21"/>
                <w:szCs w:val="21"/>
                <w:highlight w:val="none"/>
                <w:lang w:val="en-US" w:eastAsia="zh-CN" w:bidi="ar-SA"/>
              </w:rPr>
              <w:t>2.7</w:t>
            </w:r>
          </w:p>
        </w:tc>
        <w:tc>
          <w:tcPr>
            <w:tcW w:w="1139" w:type="dxa"/>
            <w:tcBorders>
              <w:top w:val="single" w:color="000000" w:sz="2" w:space="0"/>
              <w:left w:val="single" w:color="000000" w:sz="2" w:space="0"/>
              <w:bottom w:val="single" w:color="000000" w:sz="2" w:space="0"/>
              <w:right w:val="single" w:color="000000" w:sz="2" w:space="0"/>
            </w:tcBorders>
            <w:vAlign w:val="center"/>
          </w:tcPr>
          <w:p>
            <w:pPr>
              <w:pStyle w:val="31"/>
              <w:spacing w:before="160" w:line="278" w:lineRule="auto"/>
              <w:ind w:left="198" w:leftChars="0" w:right="165" w:rightChars="0"/>
              <w:jc w:val="center"/>
              <w:rPr>
                <w:rFonts w:ascii="宋体" w:hAnsi="宋体" w:eastAsia="宋体" w:cs="宋体"/>
                <w:color w:val="auto"/>
                <w:sz w:val="21"/>
                <w:szCs w:val="22"/>
                <w:highlight w:val="none"/>
                <w:lang w:val="zh-CN" w:eastAsia="zh-CN" w:bidi="zh-CN"/>
              </w:rPr>
            </w:pPr>
            <w:r>
              <w:rPr>
                <w:color w:val="auto"/>
                <w:sz w:val="21"/>
                <w:highlight w:val="none"/>
              </w:rPr>
              <w:t>第二信封初步评审</w:t>
            </w:r>
          </w:p>
        </w:tc>
        <w:tc>
          <w:tcPr>
            <w:tcW w:w="7172" w:type="dxa"/>
            <w:tcBorders>
              <w:top w:val="single" w:color="000000" w:sz="2" w:space="0"/>
              <w:left w:val="single" w:color="000000" w:sz="2" w:space="0"/>
              <w:bottom w:val="single" w:color="000000" w:sz="2" w:space="0"/>
            </w:tcBorders>
            <w:vAlign w:val="center"/>
          </w:tcPr>
          <w:p>
            <w:pPr>
              <w:pStyle w:val="31"/>
              <w:spacing w:before="46"/>
              <w:ind w:left="114" w:leftChars="0" w:right="0" w:rightChars="0"/>
              <w:jc w:val="both"/>
              <w:rPr>
                <w:rFonts w:hint="eastAsia" w:ascii="宋体" w:hAnsi="宋体" w:eastAsia="宋体" w:cs="宋体"/>
                <w:b/>
                <w:color w:val="auto"/>
                <w:sz w:val="21"/>
                <w:szCs w:val="22"/>
                <w:highlight w:val="none"/>
                <w:lang w:val="zh-CN" w:eastAsia="zh-CN" w:bidi="zh-CN"/>
              </w:rPr>
            </w:pPr>
            <w:r>
              <w:rPr>
                <w:rFonts w:hint="eastAsia" w:ascii="宋体" w:hAnsi="宋体" w:eastAsia="宋体" w:cs="宋体"/>
                <w:b/>
                <w:color w:val="auto"/>
                <w:sz w:val="21"/>
                <w:szCs w:val="22"/>
                <w:highlight w:val="none"/>
                <w:lang w:val="zh-CN" w:eastAsia="zh-CN" w:bidi="zh-CN"/>
              </w:rPr>
              <w:t>（1）第二信封（报价文件）按照招标文件规定的格式、内容填写，字迹清晰可辨，内容齐全完整；</w:t>
            </w:r>
          </w:p>
          <w:p>
            <w:pPr>
              <w:pStyle w:val="31"/>
              <w:spacing w:before="46"/>
              <w:ind w:left="114" w:leftChars="0" w:right="114" w:rightChars="52"/>
              <w:jc w:val="both"/>
              <w:rPr>
                <w:rFonts w:hint="eastAsia" w:ascii="宋体" w:hAnsi="宋体" w:eastAsia="宋体" w:cs="宋体"/>
                <w:b/>
                <w:color w:val="auto"/>
                <w:sz w:val="21"/>
                <w:szCs w:val="22"/>
                <w:highlight w:val="none"/>
                <w:lang w:val="zh-CN" w:eastAsia="zh-CN" w:bidi="zh-CN"/>
              </w:rPr>
            </w:pPr>
            <w:r>
              <w:rPr>
                <w:rFonts w:hint="eastAsia" w:ascii="宋体" w:hAnsi="宋体" w:eastAsia="宋体" w:cs="宋体"/>
                <w:b/>
                <w:color w:val="auto"/>
                <w:sz w:val="21"/>
                <w:szCs w:val="22"/>
                <w:highlight w:val="none"/>
                <w:lang w:val="zh-CN" w:eastAsia="zh-CN" w:bidi="zh-CN"/>
              </w:rPr>
              <w:t>（2）第二信封（报价文件）中法定代表人电子章、投标人的单位电子公章盖章齐全，符合招标文件规定；</w:t>
            </w:r>
          </w:p>
          <w:p>
            <w:pPr>
              <w:pStyle w:val="31"/>
              <w:spacing w:before="46"/>
              <w:ind w:left="114" w:leftChars="0" w:right="0" w:rightChars="0"/>
              <w:jc w:val="both"/>
              <w:rPr>
                <w:rFonts w:ascii="宋体" w:hAnsi="宋体" w:eastAsia="宋体" w:cs="宋体"/>
                <w:b/>
                <w:color w:val="auto"/>
                <w:sz w:val="21"/>
                <w:szCs w:val="22"/>
                <w:highlight w:val="none"/>
                <w:lang w:val="zh-CN" w:eastAsia="zh-CN" w:bidi="zh-CN"/>
              </w:rPr>
            </w:pPr>
            <w:r>
              <w:rPr>
                <w:rFonts w:hint="eastAsia" w:ascii="宋体" w:hAnsi="宋体" w:eastAsia="宋体" w:cs="宋体"/>
                <w:b/>
                <w:color w:val="auto"/>
                <w:sz w:val="21"/>
                <w:szCs w:val="22"/>
                <w:highlight w:val="none"/>
                <w:lang w:val="zh-CN" w:eastAsia="zh-CN" w:bidi="zh-CN"/>
              </w:rPr>
              <w:t>（3）在报价函上填写了投标价，投标价不高于招标人公布的最高投标限价，且报价唯一。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05" w:hRule="atLeast"/>
        </w:trPr>
        <w:tc>
          <w:tcPr>
            <w:tcW w:w="948" w:type="dxa"/>
            <w:tcBorders>
              <w:top w:val="single" w:color="000000" w:sz="2" w:space="0"/>
              <w:bottom w:val="single" w:color="000000" w:sz="2" w:space="0"/>
              <w:right w:val="single" w:color="000000" w:sz="2" w:space="0"/>
            </w:tcBorders>
            <w:vAlign w:val="center"/>
          </w:tcPr>
          <w:p>
            <w:pPr>
              <w:pStyle w:val="32"/>
              <w:spacing w:line="300" w:lineRule="exact"/>
              <w:jc w:val="center"/>
              <w:rPr>
                <w:rFonts w:ascii="Arial" w:hAnsi="宋体" w:eastAsia="宋体" w:cs="宋体"/>
                <w:color w:val="auto"/>
                <w:sz w:val="21"/>
                <w:szCs w:val="22"/>
                <w:highlight w:val="none"/>
                <w:lang w:val="zh-CN" w:eastAsia="zh-CN" w:bidi="zh-CN"/>
              </w:rPr>
            </w:pPr>
            <w:r>
              <w:rPr>
                <w:rFonts w:hAnsi="宋体" w:cs="Times New Roman"/>
                <w:color w:val="auto"/>
                <w:sz w:val="21"/>
                <w:szCs w:val="21"/>
                <w:highlight w:val="none"/>
              </w:rPr>
              <w:t xml:space="preserve">2.9 </w:t>
            </w:r>
          </w:p>
        </w:tc>
        <w:tc>
          <w:tcPr>
            <w:tcW w:w="1139" w:type="dxa"/>
            <w:tcBorders>
              <w:top w:val="single" w:color="000000" w:sz="2" w:space="0"/>
              <w:left w:val="single" w:color="000000" w:sz="2" w:space="0"/>
              <w:bottom w:val="single" w:color="000000" w:sz="2" w:space="0"/>
              <w:right w:val="single" w:color="000000" w:sz="2" w:space="0"/>
            </w:tcBorders>
            <w:vAlign w:val="center"/>
          </w:tcPr>
          <w:p>
            <w:pPr>
              <w:pStyle w:val="32"/>
              <w:spacing w:line="300" w:lineRule="exact"/>
              <w:jc w:val="center"/>
              <w:rPr>
                <w:rFonts w:ascii="宋体" w:hAnsi="宋体" w:eastAsia="宋体" w:cs="宋体"/>
                <w:color w:val="auto"/>
                <w:sz w:val="21"/>
                <w:szCs w:val="22"/>
                <w:highlight w:val="none"/>
                <w:lang w:val="zh-CN" w:eastAsia="zh-CN" w:bidi="zh-CN"/>
              </w:rPr>
            </w:pPr>
            <w:r>
              <w:rPr>
                <w:rFonts w:hint="eastAsia" w:hAnsi="宋体"/>
                <w:color w:val="auto"/>
                <w:sz w:val="21"/>
                <w:szCs w:val="21"/>
                <w:highlight w:val="none"/>
              </w:rPr>
              <w:t>第二信封澄清</w:t>
            </w:r>
          </w:p>
        </w:tc>
        <w:tc>
          <w:tcPr>
            <w:tcW w:w="7172" w:type="dxa"/>
            <w:tcBorders>
              <w:top w:val="single" w:color="000000" w:sz="2" w:space="0"/>
              <w:left w:val="single" w:color="000000" w:sz="2" w:space="0"/>
              <w:bottom w:val="single" w:color="000000" w:sz="2" w:space="0"/>
            </w:tcBorders>
            <w:vAlign w:val="center"/>
          </w:tcPr>
          <w:p>
            <w:pPr>
              <w:spacing w:line="300" w:lineRule="exact"/>
              <w:ind w:firstLine="220" w:firstLineChars="100"/>
              <w:jc w:val="left"/>
              <w:rPr>
                <w:rFonts w:hint="eastAsia" w:ascii="宋体" w:hAnsi="宋体"/>
                <w:color w:val="auto"/>
                <w:highlight w:val="none"/>
              </w:rPr>
            </w:pPr>
            <w:r>
              <w:rPr>
                <w:rFonts w:hint="eastAsia" w:ascii="宋体" w:hAnsi="宋体"/>
                <w:color w:val="auto"/>
                <w:highlight w:val="none"/>
              </w:rPr>
              <w:t>第二信封澄清过程中，发生以下任一情形的，作否决投标处理：</w:t>
            </w:r>
          </w:p>
          <w:p>
            <w:pPr>
              <w:spacing w:line="300" w:lineRule="exact"/>
              <w:ind w:firstLine="110" w:firstLineChars="50"/>
              <w:jc w:val="left"/>
              <w:rPr>
                <w:rFonts w:hint="eastAsia"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）投标人拒绝确认算术性修正后的报价；</w:t>
            </w:r>
          </w:p>
          <w:p>
            <w:pPr>
              <w:spacing w:line="300" w:lineRule="exact"/>
              <w:ind w:left="0" w:leftChars="0" w:right="0" w:rightChars="0" w:firstLine="110" w:firstLineChars="50"/>
              <w:jc w:val="left"/>
              <w:rPr>
                <w:rFonts w:hint="eastAsia" w:ascii="宋体" w:hAnsi="宋体" w:eastAsia="宋体" w:cs="宋体"/>
                <w:color w:val="auto"/>
                <w:sz w:val="21"/>
                <w:szCs w:val="22"/>
                <w:highlight w:val="none"/>
                <w:lang w:val="zh-CN" w:eastAsia="zh-CN" w:bidi="zh-CN"/>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）修正后的最终投标报价超过最高投标限价。</w:t>
            </w:r>
            <w:r>
              <w:rPr>
                <w:rFonts w:ascii="宋体" w:hAnsi="宋体"/>
                <w:color w:val="auto"/>
                <w:highlight w:val="non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61" w:hRule="atLeast"/>
        </w:trPr>
        <w:tc>
          <w:tcPr>
            <w:tcW w:w="948" w:type="dxa"/>
            <w:tcBorders>
              <w:top w:val="single" w:color="000000" w:sz="2" w:space="0"/>
              <w:bottom w:val="single" w:color="000000" w:sz="2" w:space="0"/>
              <w:right w:val="single" w:color="000000" w:sz="2" w:space="0"/>
            </w:tcBorders>
            <w:vAlign w:val="center"/>
          </w:tcPr>
          <w:p>
            <w:pPr>
              <w:pStyle w:val="32"/>
              <w:spacing w:line="300" w:lineRule="exact"/>
              <w:jc w:val="center"/>
              <w:rPr>
                <w:rFonts w:ascii="Arial" w:hAnsi="宋体" w:eastAsia="宋体" w:cs="宋体"/>
                <w:color w:val="auto"/>
                <w:sz w:val="21"/>
                <w:szCs w:val="22"/>
                <w:highlight w:val="none"/>
                <w:lang w:val="zh-CN" w:eastAsia="zh-CN" w:bidi="zh-CN"/>
              </w:rPr>
            </w:pPr>
            <w:r>
              <w:rPr>
                <w:rFonts w:hAnsi="宋体" w:cs="Times New Roman"/>
                <w:color w:val="auto"/>
                <w:sz w:val="21"/>
                <w:szCs w:val="21"/>
                <w:highlight w:val="none"/>
              </w:rPr>
              <w:t xml:space="preserve">2.10 </w:t>
            </w:r>
          </w:p>
        </w:tc>
        <w:tc>
          <w:tcPr>
            <w:tcW w:w="1139" w:type="dxa"/>
            <w:tcBorders>
              <w:top w:val="single" w:color="000000" w:sz="2" w:space="0"/>
              <w:left w:val="single" w:color="000000" w:sz="2" w:space="0"/>
              <w:bottom w:val="single" w:color="000000" w:sz="2" w:space="0"/>
              <w:right w:val="single" w:color="000000" w:sz="2" w:space="0"/>
            </w:tcBorders>
            <w:vAlign w:val="center"/>
          </w:tcPr>
          <w:p>
            <w:pPr>
              <w:pStyle w:val="32"/>
              <w:spacing w:line="300" w:lineRule="exact"/>
              <w:jc w:val="center"/>
              <w:rPr>
                <w:rFonts w:ascii="宋体" w:hAnsi="宋体" w:eastAsia="宋体" w:cs="宋体"/>
                <w:color w:val="auto"/>
                <w:sz w:val="21"/>
                <w:szCs w:val="22"/>
                <w:highlight w:val="none"/>
                <w:lang w:val="zh-CN" w:eastAsia="zh-CN" w:bidi="zh-CN"/>
              </w:rPr>
            </w:pPr>
            <w:r>
              <w:rPr>
                <w:rFonts w:hint="eastAsia" w:hAnsi="宋体"/>
                <w:color w:val="auto"/>
                <w:sz w:val="21"/>
                <w:szCs w:val="21"/>
                <w:highlight w:val="none"/>
              </w:rPr>
              <w:t>第二信封详细评审</w:t>
            </w:r>
          </w:p>
        </w:tc>
        <w:tc>
          <w:tcPr>
            <w:tcW w:w="7172" w:type="dxa"/>
            <w:tcBorders>
              <w:top w:val="single" w:color="000000" w:sz="2" w:space="0"/>
              <w:left w:val="single" w:color="000000" w:sz="2" w:space="0"/>
              <w:bottom w:val="single" w:color="000000" w:sz="2" w:space="0"/>
            </w:tcBorders>
            <w:vAlign w:val="center"/>
          </w:tcPr>
          <w:p>
            <w:pPr>
              <w:spacing w:line="300" w:lineRule="exact"/>
              <w:ind w:firstLine="1540" w:firstLineChars="700"/>
              <w:jc w:val="both"/>
              <w:rPr>
                <w:rFonts w:hint="eastAsia" w:ascii="宋体" w:hAnsi="宋体"/>
                <w:color w:val="auto"/>
                <w:highlight w:val="none"/>
              </w:rPr>
            </w:pPr>
            <w:r>
              <w:rPr>
                <w:rFonts w:hint="eastAsia" w:ascii="宋体" w:hAnsi="宋体"/>
                <w:color w:val="auto"/>
                <w:highlight w:val="none"/>
              </w:rPr>
              <w:t>评审因素                            评分值</w:t>
            </w:r>
          </w:p>
          <w:p>
            <w:pPr>
              <w:spacing w:line="300" w:lineRule="exact"/>
              <w:ind w:firstLine="110" w:firstLineChars="50"/>
              <w:jc w:val="both"/>
              <w:rPr>
                <w:rFonts w:hint="eastAsia" w:ascii="宋体" w:hAnsi="宋体"/>
                <w:color w:val="auto"/>
                <w:highlight w:val="none"/>
                <w:u w:val="singl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 xml:space="preserve">）投标文件第二信封（报价文件）：               </w:t>
            </w:r>
            <w:r>
              <w:rPr>
                <w:rFonts w:hint="eastAsia"/>
                <w:b/>
                <w:color w:val="auto"/>
                <w:highlight w:val="none"/>
                <w:lang w:val="en-US" w:eastAsia="zh-CN"/>
              </w:rPr>
              <w:t>1</w:t>
            </w:r>
            <w:r>
              <w:rPr>
                <w:rFonts w:ascii="宋体" w:hAnsi="宋体"/>
                <w:b/>
                <w:color w:val="auto"/>
                <w:highlight w:val="none"/>
              </w:rPr>
              <w:t>0</w:t>
            </w:r>
            <w:r>
              <w:rPr>
                <w:rFonts w:hint="eastAsia" w:ascii="宋体" w:hAnsi="宋体"/>
                <w:b/>
                <w:color w:val="auto"/>
                <w:highlight w:val="none"/>
              </w:rPr>
              <w:t>分</w:t>
            </w:r>
          </w:p>
          <w:p>
            <w:pPr>
              <w:spacing w:line="300" w:lineRule="exact"/>
              <w:ind w:left="0" w:leftChars="0" w:right="0" w:rightChars="0" w:firstLine="220" w:firstLineChars="100"/>
              <w:jc w:val="both"/>
              <w:rPr>
                <w:rFonts w:hint="eastAsia" w:ascii="宋体" w:hAnsi="宋体" w:eastAsia="宋体" w:cs="宋体"/>
                <w:color w:val="auto"/>
                <w:sz w:val="21"/>
                <w:szCs w:val="22"/>
                <w:highlight w:val="none"/>
                <w:lang w:val="zh-CN" w:eastAsia="zh-CN" w:bidi="zh-CN"/>
              </w:rPr>
            </w:pPr>
            <w:r>
              <w:rPr>
                <w:rFonts w:hint="eastAsia" w:ascii="宋体" w:hAnsi="宋体"/>
                <w:color w:val="auto"/>
                <w:highlight w:val="none"/>
              </w:rPr>
              <w:t>i</w:t>
            </w:r>
            <w:r>
              <w:rPr>
                <w:rFonts w:ascii="宋体" w:hAnsi="宋体"/>
                <w:color w:val="auto"/>
                <w:highlight w:val="none"/>
              </w:rPr>
              <w:t>.</w:t>
            </w:r>
            <w:r>
              <w:rPr>
                <w:rFonts w:hint="eastAsia" w:ascii="宋体" w:hAnsi="宋体"/>
                <w:color w:val="auto"/>
                <w:highlight w:val="none"/>
              </w:rPr>
              <w:t xml:space="preserve">投标价                                        </w:t>
            </w:r>
            <w:r>
              <w:rPr>
                <w:rFonts w:ascii="宋体" w:hAnsi="宋体"/>
                <w:color w:val="auto"/>
                <w:highlight w:val="none"/>
              </w:rPr>
              <w:t xml:space="preserve"> </w:t>
            </w:r>
            <w:r>
              <w:rPr>
                <w:rFonts w:hint="eastAsia"/>
                <w:color w:val="auto"/>
                <w:highlight w:val="none"/>
                <w:lang w:val="en-US" w:eastAsia="zh-CN"/>
              </w:rPr>
              <w:t>1</w:t>
            </w:r>
            <w:r>
              <w:rPr>
                <w:rFonts w:ascii="宋体" w:hAnsi="宋体"/>
                <w:color w:val="auto"/>
                <w:highlight w:val="none"/>
              </w:rPr>
              <w:t>0</w:t>
            </w:r>
            <w:r>
              <w:rPr>
                <w:rFonts w:hint="eastAsia" w:ascii="宋体" w:hAnsi="宋体"/>
                <w:color w:val="auto"/>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9" w:hRule="atLeast"/>
        </w:trPr>
        <w:tc>
          <w:tcPr>
            <w:tcW w:w="948" w:type="dxa"/>
            <w:tcBorders>
              <w:top w:val="single" w:color="000000" w:sz="2" w:space="0"/>
              <w:right w:val="single" w:color="000000" w:sz="2" w:space="0"/>
            </w:tcBorders>
            <w:vAlign w:val="center"/>
          </w:tcPr>
          <w:p>
            <w:pPr>
              <w:pStyle w:val="32"/>
              <w:jc w:val="center"/>
              <w:rPr>
                <w:rFonts w:ascii="Arial"/>
                <w:color w:val="auto"/>
                <w:sz w:val="21"/>
                <w:highlight w:val="none"/>
              </w:rPr>
            </w:pPr>
            <w:r>
              <w:rPr>
                <w:rFonts w:hAnsi="宋体" w:cs="Times New Roman"/>
                <w:color w:val="auto"/>
                <w:sz w:val="21"/>
                <w:szCs w:val="21"/>
                <w:highlight w:val="none"/>
              </w:rPr>
              <w:t xml:space="preserve">2.12 </w:t>
            </w:r>
          </w:p>
        </w:tc>
        <w:tc>
          <w:tcPr>
            <w:tcW w:w="1139" w:type="dxa"/>
            <w:tcBorders>
              <w:top w:val="single" w:color="000000" w:sz="2" w:space="0"/>
              <w:left w:val="single" w:color="000000" w:sz="2" w:space="0"/>
              <w:right w:val="single" w:color="000000" w:sz="2" w:space="0"/>
            </w:tcBorders>
            <w:vAlign w:val="center"/>
          </w:tcPr>
          <w:p>
            <w:pPr>
              <w:pStyle w:val="32"/>
              <w:jc w:val="center"/>
              <w:rPr>
                <w:color w:val="auto"/>
                <w:sz w:val="21"/>
                <w:highlight w:val="none"/>
              </w:rPr>
            </w:pPr>
            <w:r>
              <w:rPr>
                <w:rFonts w:hint="eastAsia" w:hAnsi="宋体"/>
                <w:color w:val="auto"/>
                <w:sz w:val="21"/>
                <w:szCs w:val="21"/>
                <w:highlight w:val="none"/>
              </w:rPr>
              <w:t>评标结果</w:t>
            </w:r>
          </w:p>
        </w:tc>
        <w:tc>
          <w:tcPr>
            <w:tcW w:w="7172" w:type="dxa"/>
            <w:tcBorders>
              <w:top w:val="single" w:color="000000" w:sz="2" w:space="0"/>
              <w:left w:val="single" w:color="000000" w:sz="2" w:space="0"/>
            </w:tcBorders>
            <w:vAlign w:val="center"/>
          </w:tcPr>
          <w:p>
            <w:pPr>
              <w:spacing w:line="400" w:lineRule="exact"/>
              <w:ind w:left="0" w:leftChars="0" w:right="0" w:rightChars="0" w:firstLine="110" w:firstLineChars="50"/>
              <w:jc w:val="left"/>
              <w:rPr>
                <w:color w:val="auto"/>
                <w:sz w:val="21"/>
                <w:highlight w:val="none"/>
              </w:rPr>
            </w:pPr>
            <w:r>
              <w:rPr>
                <w:rFonts w:hint="eastAsia" w:ascii="宋体" w:hAnsi="宋体"/>
                <w:color w:val="auto"/>
                <w:highlight w:val="none"/>
              </w:rPr>
              <w:t>推荐的中标候选人的人数为</w:t>
            </w:r>
            <w:r>
              <w:rPr>
                <w:rFonts w:hint="eastAsia" w:ascii="宋体" w:hAnsi="宋体"/>
                <w:color w:val="auto"/>
                <w:szCs w:val="21"/>
                <w:highlight w:val="none"/>
              </w:rPr>
              <w:t>1名</w:t>
            </w:r>
          </w:p>
        </w:tc>
      </w:tr>
    </w:tbl>
    <w:p>
      <w:pPr>
        <w:spacing w:after="0" w:line="242" w:lineRule="exact"/>
        <w:rPr>
          <w:color w:val="auto"/>
          <w:sz w:val="21"/>
          <w:highlight w:val="none"/>
        </w:rPr>
        <w:sectPr>
          <w:pgSz w:w="11910" w:h="16840"/>
          <w:pgMar w:top="1020" w:right="860" w:bottom="940" w:left="960" w:header="0" w:footer="672" w:gutter="0"/>
          <w:pgBorders>
            <w:top w:val="none" w:sz="0" w:space="0"/>
            <w:left w:val="none" w:sz="0" w:space="0"/>
            <w:bottom w:val="none" w:sz="0" w:space="0"/>
            <w:right w:val="none" w:sz="0" w:space="0"/>
          </w:pgBorders>
          <w:pgNumType w:fmt="decimal"/>
          <w:cols w:space="720" w:num="1"/>
        </w:sectPr>
      </w:pPr>
    </w:p>
    <w:p>
      <w:pPr>
        <w:pStyle w:val="2"/>
        <w:spacing w:before="50" w:after="15"/>
        <w:ind w:right="515"/>
        <w:jc w:val="right"/>
        <w:rPr>
          <w:color w:val="auto"/>
          <w:highlight w:val="none"/>
        </w:rPr>
      </w:pPr>
      <w:r>
        <w:rPr>
          <w:color w:val="auto"/>
          <w:highlight w:val="none"/>
        </w:rPr>
        <w:t>续上表</w:t>
      </w:r>
    </w:p>
    <w:tbl>
      <w:tblPr>
        <w:tblStyle w:val="26"/>
        <w:tblW w:w="0" w:type="auto"/>
        <w:tblInd w:w="30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30"/>
        <w:gridCol w:w="1135"/>
        <w:gridCol w:w="1030"/>
        <w:gridCol w:w="1313"/>
        <w:gridCol w:w="1200"/>
        <w:gridCol w:w="428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5208" w:type="dxa"/>
            <w:gridSpan w:val="5"/>
            <w:tcBorders>
              <w:bottom w:val="single" w:color="000000" w:sz="6" w:space="0"/>
              <w:right w:val="single" w:color="000000" w:sz="6" w:space="0"/>
            </w:tcBorders>
          </w:tcPr>
          <w:p>
            <w:pPr>
              <w:pStyle w:val="31"/>
              <w:spacing w:before="22"/>
              <w:ind w:left="1619"/>
              <w:rPr>
                <w:b/>
                <w:color w:val="auto"/>
                <w:sz w:val="21"/>
                <w:highlight w:val="none"/>
              </w:rPr>
            </w:pPr>
            <w:r>
              <w:rPr>
                <w:b/>
                <w:color w:val="auto"/>
                <w:sz w:val="21"/>
                <w:highlight w:val="none"/>
              </w:rPr>
              <w:t>评审因素与评分值</w:t>
            </w:r>
          </w:p>
        </w:tc>
        <w:tc>
          <w:tcPr>
            <w:tcW w:w="4281" w:type="dxa"/>
            <w:vMerge w:val="restart"/>
            <w:tcBorders>
              <w:left w:val="single" w:color="000000" w:sz="6" w:space="0"/>
              <w:bottom w:val="single" w:color="000000" w:sz="6" w:space="0"/>
            </w:tcBorders>
          </w:tcPr>
          <w:p>
            <w:pPr>
              <w:pStyle w:val="31"/>
              <w:spacing w:before="8"/>
              <w:rPr>
                <w:color w:val="auto"/>
                <w:sz w:val="26"/>
                <w:highlight w:val="none"/>
              </w:rPr>
            </w:pPr>
          </w:p>
          <w:p>
            <w:pPr>
              <w:pStyle w:val="31"/>
              <w:ind w:left="1845" w:right="1808"/>
              <w:jc w:val="center"/>
              <w:rPr>
                <w:b/>
                <w:color w:val="auto"/>
                <w:sz w:val="21"/>
                <w:highlight w:val="none"/>
              </w:rPr>
            </w:pPr>
            <w:r>
              <w:rPr>
                <w:b/>
                <w:color w:val="auto"/>
                <w:sz w:val="21"/>
                <w:highlight w:val="none"/>
              </w:rPr>
              <w:t>评分标准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530" w:type="dxa"/>
            <w:tcBorders>
              <w:top w:val="single" w:color="000000" w:sz="6" w:space="0"/>
              <w:bottom w:val="single" w:color="000000" w:sz="6" w:space="0"/>
              <w:right w:val="single" w:color="000000" w:sz="6" w:space="0"/>
            </w:tcBorders>
          </w:tcPr>
          <w:p>
            <w:pPr>
              <w:pStyle w:val="31"/>
              <w:spacing w:before="22"/>
              <w:ind w:left="157"/>
              <w:rPr>
                <w:b/>
                <w:color w:val="auto"/>
                <w:sz w:val="21"/>
                <w:highlight w:val="none"/>
              </w:rPr>
            </w:pPr>
            <w:r>
              <w:rPr>
                <w:b/>
                <w:color w:val="auto"/>
                <w:w w:val="100"/>
                <w:sz w:val="21"/>
                <w:highlight w:val="none"/>
              </w:rPr>
              <w:t>序</w:t>
            </w:r>
          </w:p>
          <w:p>
            <w:pPr>
              <w:pStyle w:val="31"/>
              <w:spacing w:before="43"/>
              <w:ind w:left="157"/>
              <w:rPr>
                <w:b/>
                <w:color w:val="auto"/>
                <w:sz w:val="21"/>
                <w:highlight w:val="none"/>
              </w:rPr>
            </w:pPr>
            <w:r>
              <w:rPr>
                <w:b/>
                <w:color w:val="auto"/>
                <w:w w:val="100"/>
                <w:sz w:val="21"/>
                <w:highlight w:val="none"/>
              </w:rPr>
              <w:t>号</w:t>
            </w:r>
          </w:p>
        </w:tc>
        <w:tc>
          <w:tcPr>
            <w:tcW w:w="1135" w:type="dxa"/>
            <w:tcBorders>
              <w:top w:val="single" w:color="000000" w:sz="6" w:space="0"/>
              <w:left w:val="single" w:color="000000" w:sz="6" w:space="0"/>
              <w:bottom w:val="single" w:color="000000" w:sz="6" w:space="0"/>
              <w:right w:val="single" w:color="000000" w:sz="6" w:space="0"/>
            </w:tcBorders>
          </w:tcPr>
          <w:p>
            <w:pPr>
              <w:pStyle w:val="31"/>
              <w:spacing w:before="178"/>
              <w:ind w:left="153"/>
              <w:rPr>
                <w:b/>
                <w:color w:val="auto"/>
                <w:sz w:val="21"/>
                <w:highlight w:val="none"/>
              </w:rPr>
            </w:pPr>
            <w:r>
              <w:rPr>
                <w:b/>
                <w:color w:val="auto"/>
                <w:sz w:val="21"/>
                <w:highlight w:val="none"/>
              </w:rPr>
              <w:t>评审因素</w:t>
            </w:r>
          </w:p>
        </w:tc>
        <w:tc>
          <w:tcPr>
            <w:tcW w:w="1030" w:type="dxa"/>
            <w:tcBorders>
              <w:top w:val="single" w:color="000000" w:sz="6" w:space="0"/>
              <w:left w:val="single" w:color="000000" w:sz="6" w:space="0"/>
              <w:bottom w:val="single" w:color="000000" w:sz="6" w:space="0"/>
              <w:right w:val="single" w:color="000000" w:sz="6" w:space="0"/>
            </w:tcBorders>
            <w:vAlign w:val="center"/>
          </w:tcPr>
          <w:p>
            <w:pPr>
              <w:pStyle w:val="31"/>
              <w:spacing w:before="22"/>
              <w:jc w:val="center"/>
              <w:rPr>
                <w:b/>
                <w:color w:val="auto"/>
                <w:sz w:val="21"/>
                <w:highlight w:val="none"/>
              </w:rPr>
            </w:pPr>
            <w:r>
              <w:rPr>
                <w:b/>
                <w:color w:val="auto"/>
                <w:sz w:val="21"/>
                <w:highlight w:val="none"/>
              </w:rPr>
              <w:t>评审因素</w:t>
            </w:r>
          </w:p>
          <w:p>
            <w:pPr>
              <w:pStyle w:val="31"/>
              <w:spacing w:before="43"/>
              <w:jc w:val="center"/>
              <w:rPr>
                <w:b/>
                <w:color w:val="auto"/>
                <w:sz w:val="21"/>
                <w:highlight w:val="none"/>
              </w:rPr>
            </w:pPr>
            <w:r>
              <w:rPr>
                <w:b/>
                <w:color w:val="auto"/>
                <w:sz w:val="21"/>
                <w:highlight w:val="none"/>
              </w:rPr>
              <w:t>评分值</w:t>
            </w:r>
          </w:p>
        </w:tc>
        <w:tc>
          <w:tcPr>
            <w:tcW w:w="1313" w:type="dxa"/>
            <w:tcBorders>
              <w:top w:val="single" w:color="000000" w:sz="6" w:space="0"/>
              <w:left w:val="single" w:color="000000" w:sz="6" w:space="0"/>
              <w:bottom w:val="single" w:color="000000" w:sz="6" w:space="0"/>
              <w:right w:val="single" w:color="000000" w:sz="6" w:space="0"/>
            </w:tcBorders>
            <w:vAlign w:val="center"/>
          </w:tcPr>
          <w:p>
            <w:pPr>
              <w:pStyle w:val="31"/>
              <w:spacing w:before="22"/>
              <w:ind w:left="96" w:right="66"/>
              <w:jc w:val="center"/>
              <w:rPr>
                <w:b/>
                <w:color w:val="auto"/>
                <w:sz w:val="21"/>
                <w:highlight w:val="none"/>
              </w:rPr>
            </w:pPr>
            <w:r>
              <w:rPr>
                <w:b/>
                <w:color w:val="auto"/>
                <w:sz w:val="21"/>
                <w:highlight w:val="none"/>
              </w:rPr>
              <w:t>各评审因素</w:t>
            </w:r>
          </w:p>
          <w:p>
            <w:pPr>
              <w:pStyle w:val="31"/>
              <w:spacing w:before="43"/>
              <w:ind w:left="96" w:right="66"/>
              <w:jc w:val="center"/>
              <w:rPr>
                <w:b/>
                <w:color w:val="auto"/>
                <w:sz w:val="21"/>
                <w:highlight w:val="none"/>
              </w:rPr>
            </w:pPr>
            <w:r>
              <w:rPr>
                <w:b/>
                <w:color w:val="auto"/>
                <w:sz w:val="21"/>
                <w:highlight w:val="none"/>
              </w:rPr>
              <w:t>细分项</w:t>
            </w:r>
          </w:p>
        </w:tc>
        <w:tc>
          <w:tcPr>
            <w:tcW w:w="1200" w:type="dxa"/>
            <w:tcBorders>
              <w:top w:val="single" w:color="000000" w:sz="6" w:space="0"/>
              <w:left w:val="single" w:color="000000" w:sz="6" w:space="0"/>
              <w:bottom w:val="single" w:color="000000" w:sz="6" w:space="0"/>
              <w:right w:val="single" w:color="000000" w:sz="6" w:space="0"/>
            </w:tcBorders>
          </w:tcPr>
          <w:p>
            <w:pPr>
              <w:pStyle w:val="31"/>
              <w:spacing w:before="178"/>
              <w:ind w:left="75" w:right="43"/>
              <w:jc w:val="center"/>
              <w:rPr>
                <w:b/>
                <w:color w:val="auto"/>
                <w:sz w:val="21"/>
                <w:highlight w:val="none"/>
              </w:rPr>
            </w:pPr>
            <w:r>
              <w:rPr>
                <w:b/>
                <w:color w:val="auto"/>
                <w:sz w:val="21"/>
                <w:highlight w:val="none"/>
              </w:rPr>
              <w:t>分值</w:t>
            </w:r>
          </w:p>
        </w:tc>
        <w:tc>
          <w:tcPr>
            <w:tcW w:w="4281" w:type="dxa"/>
            <w:vMerge w:val="continue"/>
            <w:tcBorders>
              <w:top w:val="nil"/>
              <w:left w:val="single" w:color="000000" w:sz="6" w:space="0"/>
              <w:bottom w:val="single" w:color="000000" w:sz="6" w:space="0"/>
            </w:tcBorders>
          </w:tcPr>
          <w:p>
            <w:pPr>
              <w:rPr>
                <w:color w:val="auto"/>
                <w:sz w:val="2"/>
                <w:szCs w:val="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39" w:hRule="atLeast"/>
        </w:trPr>
        <w:tc>
          <w:tcPr>
            <w:tcW w:w="530" w:type="dxa"/>
            <w:tcBorders>
              <w:top w:val="single" w:color="000000" w:sz="6" w:space="0"/>
              <w:bottom w:val="single" w:color="000000" w:sz="6" w:space="0"/>
              <w:right w:val="single" w:color="000000" w:sz="6" w:space="0"/>
            </w:tcBorders>
            <w:vAlign w:val="center"/>
          </w:tcPr>
          <w:p>
            <w:pPr>
              <w:pStyle w:val="31"/>
              <w:spacing w:before="3"/>
              <w:jc w:val="both"/>
              <w:rPr>
                <w:color w:val="auto"/>
                <w:sz w:val="20"/>
                <w:highlight w:val="none"/>
              </w:rPr>
            </w:pPr>
          </w:p>
          <w:p>
            <w:pPr>
              <w:pStyle w:val="31"/>
              <w:ind w:left="177"/>
              <w:jc w:val="both"/>
              <w:rPr>
                <w:rFonts w:ascii="Arial"/>
                <w:color w:val="auto"/>
                <w:sz w:val="21"/>
                <w:highlight w:val="none"/>
              </w:rPr>
            </w:pPr>
            <w:r>
              <w:rPr>
                <w:rFonts w:ascii="Arial"/>
                <w:color w:val="auto"/>
                <w:sz w:val="21"/>
                <w:highlight w:val="none"/>
              </w:rPr>
              <w:t>a.</w:t>
            </w: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31"/>
              <w:spacing w:before="142" w:line="278" w:lineRule="auto"/>
              <w:ind w:left="48" w:right="16"/>
              <w:jc w:val="both"/>
              <w:rPr>
                <w:color w:val="auto"/>
                <w:sz w:val="21"/>
                <w:highlight w:val="none"/>
              </w:rPr>
            </w:pPr>
            <w:r>
              <w:rPr>
                <w:color w:val="auto"/>
                <w:sz w:val="21"/>
                <w:highlight w:val="none"/>
              </w:rPr>
              <w:t>投标人与本项目相关的具体业绩</w:t>
            </w:r>
          </w:p>
        </w:tc>
        <w:tc>
          <w:tcPr>
            <w:tcW w:w="1030" w:type="dxa"/>
            <w:tcBorders>
              <w:top w:val="single" w:color="000000" w:sz="6" w:space="0"/>
              <w:left w:val="single" w:color="000000" w:sz="6" w:space="0"/>
              <w:bottom w:val="single" w:color="000000" w:sz="6" w:space="0"/>
              <w:right w:val="single" w:color="000000" w:sz="6" w:space="0"/>
            </w:tcBorders>
            <w:vAlign w:val="center"/>
          </w:tcPr>
          <w:p>
            <w:pPr>
              <w:pStyle w:val="31"/>
              <w:ind w:left="353"/>
              <w:jc w:val="both"/>
              <w:rPr>
                <w:color w:val="auto"/>
                <w:sz w:val="21"/>
                <w:highlight w:val="none"/>
              </w:rPr>
            </w:pPr>
            <w:r>
              <w:rPr>
                <w:rFonts w:ascii="Arial" w:eastAsia="Arial"/>
                <w:color w:val="auto"/>
                <w:sz w:val="21"/>
                <w:highlight w:val="none"/>
              </w:rPr>
              <w:t>2</w:t>
            </w:r>
            <w:r>
              <w:rPr>
                <w:rFonts w:hint="eastAsia" w:ascii="Arial" w:eastAsia="宋体"/>
                <w:color w:val="auto"/>
                <w:sz w:val="21"/>
                <w:highlight w:val="none"/>
                <w:lang w:val="en-US" w:eastAsia="zh-CN"/>
              </w:rPr>
              <w:t>0</w:t>
            </w:r>
            <w:r>
              <w:rPr>
                <w:color w:val="auto"/>
                <w:sz w:val="21"/>
                <w:highlight w:val="none"/>
              </w:rPr>
              <w:t>分</w:t>
            </w:r>
          </w:p>
        </w:tc>
        <w:tc>
          <w:tcPr>
            <w:tcW w:w="1313" w:type="dxa"/>
            <w:tcBorders>
              <w:top w:val="single" w:color="000000" w:sz="6" w:space="0"/>
              <w:left w:val="single" w:color="000000" w:sz="6" w:space="0"/>
              <w:bottom w:val="single" w:color="000000" w:sz="6" w:space="0"/>
              <w:right w:val="single" w:color="000000" w:sz="6" w:space="0"/>
            </w:tcBorders>
            <w:vAlign w:val="center"/>
          </w:tcPr>
          <w:p>
            <w:pPr>
              <w:pStyle w:val="31"/>
              <w:jc w:val="center"/>
              <w:rPr>
                <w:color w:val="auto"/>
                <w:sz w:val="20"/>
                <w:highlight w:val="none"/>
              </w:rPr>
            </w:pPr>
          </w:p>
          <w:p>
            <w:pPr>
              <w:pStyle w:val="31"/>
              <w:spacing w:line="278" w:lineRule="auto"/>
              <w:ind w:left="326" w:right="83" w:hanging="209"/>
              <w:jc w:val="center"/>
              <w:rPr>
                <w:color w:val="auto"/>
                <w:sz w:val="21"/>
                <w:highlight w:val="none"/>
              </w:rPr>
            </w:pPr>
            <w:r>
              <w:rPr>
                <w:color w:val="auto"/>
                <w:sz w:val="21"/>
                <w:highlight w:val="none"/>
              </w:rPr>
              <w:t>类似设计项目业绩</w:t>
            </w:r>
          </w:p>
        </w:tc>
        <w:tc>
          <w:tcPr>
            <w:tcW w:w="1200" w:type="dxa"/>
            <w:tcBorders>
              <w:top w:val="single" w:color="000000" w:sz="6" w:space="0"/>
              <w:left w:val="single" w:color="000000" w:sz="6" w:space="0"/>
              <w:bottom w:val="single" w:color="000000" w:sz="6" w:space="0"/>
              <w:right w:val="single" w:color="000000" w:sz="6" w:space="0"/>
            </w:tcBorders>
            <w:vAlign w:val="center"/>
          </w:tcPr>
          <w:p>
            <w:pPr>
              <w:pStyle w:val="31"/>
              <w:ind w:left="75" w:right="48"/>
              <w:jc w:val="center"/>
              <w:rPr>
                <w:color w:val="auto"/>
                <w:sz w:val="21"/>
                <w:highlight w:val="none"/>
              </w:rPr>
            </w:pPr>
            <w:r>
              <w:rPr>
                <w:rFonts w:hint="eastAsia" w:ascii="Arial" w:eastAsia="宋体"/>
                <w:color w:val="auto"/>
                <w:sz w:val="21"/>
                <w:highlight w:val="none"/>
                <w:lang w:val="en-US" w:eastAsia="zh-CN"/>
              </w:rPr>
              <w:t>19</w:t>
            </w:r>
            <w:r>
              <w:rPr>
                <w:color w:val="auto"/>
                <w:sz w:val="21"/>
                <w:highlight w:val="none"/>
              </w:rPr>
              <w:t>～</w:t>
            </w:r>
            <w:r>
              <w:rPr>
                <w:rFonts w:hint="eastAsia" w:ascii="Arial" w:eastAsia="宋体"/>
                <w:color w:val="auto"/>
                <w:sz w:val="21"/>
                <w:highlight w:val="none"/>
                <w:lang w:val="en-US" w:eastAsia="zh-CN"/>
              </w:rPr>
              <w:t>20</w:t>
            </w:r>
            <w:r>
              <w:rPr>
                <w:color w:val="auto"/>
                <w:w w:val="100"/>
                <w:sz w:val="21"/>
                <w:highlight w:val="none"/>
              </w:rPr>
              <w:t>分</w:t>
            </w:r>
          </w:p>
        </w:tc>
        <w:tc>
          <w:tcPr>
            <w:tcW w:w="4281" w:type="dxa"/>
            <w:tcBorders>
              <w:top w:val="single" w:color="000000" w:sz="6" w:space="0"/>
              <w:left w:val="single" w:color="000000" w:sz="6" w:space="0"/>
              <w:bottom w:val="single" w:color="000000" w:sz="6" w:space="0"/>
            </w:tcBorders>
            <w:vAlign w:val="center"/>
          </w:tcPr>
          <w:p>
            <w:pPr>
              <w:pStyle w:val="31"/>
              <w:spacing w:line="278" w:lineRule="auto"/>
              <w:ind w:left="115" w:right="129" w:hanging="22"/>
              <w:jc w:val="both"/>
              <w:rPr>
                <w:color w:val="auto"/>
                <w:sz w:val="21"/>
                <w:highlight w:val="none"/>
              </w:rPr>
            </w:pPr>
            <w:r>
              <w:rPr>
                <w:color w:val="auto"/>
                <w:sz w:val="21"/>
                <w:highlight w:val="none"/>
              </w:rPr>
              <w:t>满足资格审查条件的，得基本分</w:t>
            </w:r>
            <w:r>
              <w:rPr>
                <w:rFonts w:ascii="Arial" w:eastAsia="Arial"/>
                <w:color w:val="auto"/>
                <w:sz w:val="21"/>
                <w:highlight w:val="none"/>
              </w:rPr>
              <w:t>1</w:t>
            </w:r>
            <w:r>
              <w:rPr>
                <w:rFonts w:hint="eastAsia" w:ascii="Arial" w:eastAsia="宋体"/>
                <w:color w:val="auto"/>
                <w:sz w:val="21"/>
                <w:highlight w:val="none"/>
                <w:lang w:val="en-US" w:eastAsia="zh-CN"/>
              </w:rPr>
              <w:t>9</w:t>
            </w:r>
            <w:r>
              <w:rPr>
                <w:color w:val="auto"/>
                <w:sz w:val="21"/>
                <w:highlight w:val="none"/>
              </w:rPr>
              <w:t>分；除满足资格审查条件外，每增加一个满足资格审查条件的项目业绩（</w:t>
            </w:r>
            <w:r>
              <w:rPr>
                <w:b/>
                <w:bCs/>
                <w:color w:val="auto"/>
                <w:sz w:val="21"/>
                <w:highlight w:val="none"/>
              </w:rPr>
              <w:t>需附证明材料，</w:t>
            </w:r>
            <w:r>
              <w:rPr>
                <w:rFonts w:hint="eastAsia"/>
                <w:b/>
                <w:bCs/>
                <w:color w:val="auto"/>
                <w:sz w:val="21"/>
                <w:highlight w:val="none"/>
              </w:rPr>
              <w:t>同资格审查条件附录2要求</w:t>
            </w:r>
            <w:r>
              <w:rPr>
                <w:color w:val="auto"/>
                <w:sz w:val="21"/>
                <w:highlight w:val="none"/>
              </w:rPr>
              <w:t>）加</w:t>
            </w:r>
            <w:r>
              <w:rPr>
                <w:rFonts w:hint="eastAsia" w:ascii="Arial" w:eastAsia="宋体"/>
                <w:color w:val="auto"/>
                <w:sz w:val="21"/>
                <w:highlight w:val="none"/>
                <w:lang w:val="en-US" w:eastAsia="zh-CN"/>
              </w:rPr>
              <w:t>1</w:t>
            </w:r>
            <w:r>
              <w:rPr>
                <w:color w:val="auto"/>
                <w:sz w:val="21"/>
                <w:highlight w:val="none"/>
              </w:rPr>
              <w:t>分，</w:t>
            </w:r>
            <w:r>
              <w:rPr>
                <w:rFonts w:hint="eastAsia"/>
                <w:color w:val="auto"/>
                <w:sz w:val="21"/>
                <w:highlight w:val="none"/>
                <w:lang w:eastAsia="zh-CN"/>
              </w:rPr>
              <w:t>最多加1分</w:t>
            </w:r>
            <w:r>
              <w:rPr>
                <w:color w:val="auto"/>
                <w:sz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7" w:hRule="atLeast"/>
        </w:trPr>
        <w:tc>
          <w:tcPr>
            <w:tcW w:w="530" w:type="dxa"/>
            <w:vMerge w:val="restart"/>
            <w:tcBorders>
              <w:top w:val="single" w:color="000000" w:sz="6" w:space="0"/>
              <w:bottom w:val="single" w:color="000000" w:sz="6" w:space="0"/>
              <w:right w:val="single" w:color="000000" w:sz="6" w:space="0"/>
            </w:tcBorders>
          </w:tcPr>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spacing w:before="4"/>
              <w:rPr>
                <w:color w:val="auto"/>
                <w:sz w:val="28"/>
                <w:highlight w:val="none"/>
              </w:rPr>
            </w:pPr>
          </w:p>
          <w:p>
            <w:pPr>
              <w:pStyle w:val="31"/>
              <w:ind w:left="177"/>
              <w:rPr>
                <w:rFonts w:ascii="Arial"/>
                <w:color w:val="auto"/>
                <w:sz w:val="21"/>
                <w:highlight w:val="none"/>
              </w:rPr>
            </w:pPr>
            <w:r>
              <w:rPr>
                <w:rFonts w:ascii="Arial"/>
                <w:color w:val="auto"/>
                <w:sz w:val="21"/>
                <w:highlight w:val="none"/>
              </w:rPr>
              <w:t>b.</w:t>
            </w:r>
          </w:p>
        </w:tc>
        <w:tc>
          <w:tcPr>
            <w:tcW w:w="1135" w:type="dxa"/>
            <w:vMerge w:val="restart"/>
            <w:tcBorders>
              <w:top w:val="single" w:color="000000" w:sz="6" w:space="0"/>
              <w:left w:val="single" w:color="000000" w:sz="6" w:space="0"/>
              <w:bottom w:val="single" w:color="000000" w:sz="6" w:space="0"/>
              <w:right w:val="single" w:color="000000" w:sz="6" w:space="0"/>
            </w:tcBorders>
          </w:tcPr>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spacing w:before="178" w:line="278" w:lineRule="auto"/>
              <w:ind w:left="48" w:right="16"/>
              <w:jc w:val="both"/>
              <w:rPr>
                <w:color w:val="auto"/>
                <w:sz w:val="21"/>
                <w:highlight w:val="none"/>
              </w:rPr>
            </w:pPr>
            <w:r>
              <w:rPr>
                <w:color w:val="auto"/>
                <w:sz w:val="21"/>
                <w:highlight w:val="none"/>
              </w:rPr>
              <w:t>拟投入本项目的人员资格和能力</w:t>
            </w:r>
          </w:p>
        </w:tc>
        <w:tc>
          <w:tcPr>
            <w:tcW w:w="1030" w:type="dxa"/>
            <w:vMerge w:val="restart"/>
            <w:tcBorders>
              <w:top w:val="single" w:color="000000" w:sz="6" w:space="0"/>
              <w:left w:val="single" w:color="000000" w:sz="6" w:space="0"/>
              <w:bottom w:val="single" w:color="000000" w:sz="6" w:space="0"/>
              <w:right w:val="single" w:color="000000" w:sz="6" w:space="0"/>
            </w:tcBorders>
            <w:vAlign w:val="center"/>
          </w:tcPr>
          <w:p>
            <w:pPr>
              <w:pStyle w:val="31"/>
              <w:spacing w:before="1"/>
              <w:ind w:firstLine="210" w:firstLineChars="100"/>
              <w:jc w:val="center"/>
              <w:rPr>
                <w:color w:val="auto"/>
                <w:sz w:val="21"/>
                <w:highlight w:val="none"/>
              </w:rPr>
            </w:pPr>
            <w:r>
              <w:rPr>
                <w:rFonts w:hint="eastAsia" w:ascii="Arial" w:eastAsia="宋体"/>
                <w:color w:val="auto"/>
                <w:sz w:val="21"/>
                <w:highlight w:val="none"/>
                <w:lang w:val="en-US" w:eastAsia="zh-CN"/>
              </w:rPr>
              <w:t>1</w:t>
            </w:r>
            <w:r>
              <w:rPr>
                <w:rFonts w:hint="eastAsia" w:ascii="Arial"/>
                <w:color w:val="auto"/>
                <w:sz w:val="21"/>
                <w:highlight w:val="none"/>
                <w:lang w:val="en-US" w:eastAsia="zh-CN"/>
              </w:rPr>
              <w:t>4</w:t>
            </w:r>
            <w:r>
              <w:rPr>
                <w:rFonts w:hint="eastAsia" w:ascii="Arial" w:eastAsia="宋体"/>
                <w:color w:val="auto"/>
                <w:sz w:val="21"/>
                <w:highlight w:val="none"/>
                <w:lang w:val="en-US" w:eastAsia="zh-CN"/>
              </w:rPr>
              <w:t>.5</w:t>
            </w:r>
            <w:r>
              <w:rPr>
                <w:color w:val="auto"/>
                <w:sz w:val="21"/>
                <w:highlight w:val="none"/>
              </w:rPr>
              <w:t>分</w:t>
            </w:r>
          </w:p>
        </w:tc>
        <w:tc>
          <w:tcPr>
            <w:tcW w:w="1313" w:type="dxa"/>
            <w:tcBorders>
              <w:top w:val="single" w:color="000000" w:sz="6" w:space="0"/>
              <w:left w:val="single" w:color="000000" w:sz="6" w:space="0"/>
              <w:bottom w:val="single" w:color="000000" w:sz="6" w:space="0"/>
              <w:right w:val="single" w:color="000000" w:sz="6" w:space="0"/>
            </w:tcBorders>
            <w:vAlign w:val="center"/>
          </w:tcPr>
          <w:p>
            <w:pPr>
              <w:pStyle w:val="31"/>
              <w:spacing w:before="178" w:line="278" w:lineRule="auto"/>
              <w:ind w:left="118" w:right="83"/>
              <w:jc w:val="center"/>
              <w:rPr>
                <w:color w:val="auto"/>
                <w:sz w:val="21"/>
                <w:highlight w:val="none"/>
              </w:rPr>
            </w:pPr>
            <w:r>
              <w:rPr>
                <w:color w:val="auto"/>
                <w:sz w:val="21"/>
                <w:highlight w:val="none"/>
              </w:rPr>
              <w:t>项目负责人任职资格与业绩</w:t>
            </w:r>
          </w:p>
        </w:tc>
        <w:tc>
          <w:tcPr>
            <w:tcW w:w="1200" w:type="dxa"/>
            <w:tcBorders>
              <w:top w:val="single" w:color="000000" w:sz="6" w:space="0"/>
              <w:left w:val="single" w:color="000000" w:sz="6" w:space="0"/>
              <w:bottom w:val="single" w:color="000000" w:sz="6" w:space="0"/>
              <w:right w:val="single" w:color="000000" w:sz="6" w:space="0"/>
            </w:tcBorders>
            <w:vAlign w:val="center"/>
          </w:tcPr>
          <w:p>
            <w:pPr>
              <w:pStyle w:val="31"/>
              <w:ind w:left="115"/>
              <w:jc w:val="center"/>
              <w:rPr>
                <w:color w:val="auto"/>
                <w:sz w:val="21"/>
                <w:highlight w:val="none"/>
              </w:rPr>
            </w:pPr>
            <w:r>
              <w:rPr>
                <w:rFonts w:hint="eastAsia" w:ascii="Arial" w:eastAsia="宋体"/>
                <w:color w:val="auto"/>
                <w:sz w:val="21"/>
                <w:highlight w:val="none"/>
                <w:lang w:val="en-US" w:eastAsia="zh-CN"/>
              </w:rPr>
              <w:t>4</w:t>
            </w:r>
            <w:r>
              <w:rPr>
                <w:color w:val="auto"/>
                <w:sz w:val="21"/>
                <w:highlight w:val="none"/>
              </w:rPr>
              <w:t>～</w:t>
            </w:r>
            <w:r>
              <w:rPr>
                <w:color w:val="auto"/>
                <w:spacing w:val="-82"/>
                <w:sz w:val="21"/>
                <w:highlight w:val="none"/>
              </w:rPr>
              <w:t xml:space="preserve"> </w:t>
            </w:r>
            <w:r>
              <w:rPr>
                <w:rFonts w:hint="eastAsia" w:ascii="Arial" w:eastAsia="宋体"/>
                <w:color w:val="auto"/>
                <w:sz w:val="21"/>
                <w:highlight w:val="none"/>
                <w:lang w:val="en-US" w:eastAsia="zh-CN"/>
              </w:rPr>
              <w:t>5</w:t>
            </w:r>
            <w:r>
              <w:rPr>
                <w:color w:val="auto"/>
                <w:w w:val="100"/>
                <w:sz w:val="21"/>
                <w:highlight w:val="none"/>
              </w:rPr>
              <w:t>分</w:t>
            </w:r>
          </w:p>
        </w:tc>
        <w:tc>
          <w:tcPr>
            <w:tcW w:w="4281" w:type="dxa"/>
            <w:tcBorders>
              <w:top w:val="single" w:color="000000" w:sz="6" w:space="0"/>
              <w:left w:val="single" w:color="000000" w:sz="6" w:space="0"/>
              <w:bottom w:val="single" w:color="000000" w:sz="6" w:space="0"/>
            </w:tcBorders>
          </w:tcPr>
          <w:p>
            <w:pPr>
              <w:pStyle w:val="31"/>
              <w:spacing w:before="22" w:line="278" w:lineRule="auto"/>
              <w:ind w:left="115" w:right="128" w:hanging="22"/>
              <w:jc w:val="both"/>
              <w:rPr>
                <w:color w:val="auto"/>
                <w:sz w:val="21"/>
                <w:highlight w:val="none"/>
              </w:rPr>
            </w:pPr>
            <w:r>
              <w:rPr>
                <w:color w:val="auto"/>
                <w:spacing w:val="-4"/>
                <w:sz w:val="21"/>
                <w:highlight w:val="none"/>
              </w:rPr>
              <w:t>满足资格审查条件的，得基本分</w:t>
            </w:r>
            <w:r>
              <w:rPr>
                <w:rFonts w:hint="eastAsia" w:ascii="Arial" w:eastAsia="宋体"/>
                <w:color w:val="auto"/>
                <w:sz w:val="21"/>
                <w:highlight w:val="none"/>
                <w:lang w:val="en-US" w:eastAsia="zh-CN"/>
              </w:rPr>
              <w:t>4</w:t>
            </w:r>
            <w:r>
              <w:rPr>
                <w:color w:val="auto"/>
                <w:spacing w:val="-5"/>
                <w:sz w:val="21"/>
                <w:highlight w:val="none"/>
              </w:rPr>
              <w:t>分；除满足资</w:t>
            </w:r>
            <w:r>
              <w:rPr>
                <w:color w:val="auto"/>
                <w:sz w:val="21"/>
                <w:highlight w:val="none"/>
              </w:rPr>
              <w:t>格审查条件外，每增加一个满足资格审查条件的项目业绩（</w:t>
            </w:r>
            <w:r>
              <w:rPr>
                <w:b/>
                <w:bCs/>
                <w:color w:val="auto"/>
                <w:sz w:val="21"/>
                <w:highlight w:val="none"/>
              </w:rPr>
              <w:t>需附证明材料，</w:t>
            </w:r>
            <w:r>
              <w:rPr>
                <w:rFonts w:hint="eastAsia"/>
                <w:b/>
                <w:bCs/>
                <w:color w:val="auto"/>
                <w:sz w:val="21"/>
                <w:highlight w:val="none"/>
              </w:rPr>
              <w:t>同资格审查条件附录</w:t>
            </w:r>
            <w:r>
              <w:rPr>
                <w:rFonts w:hint="eastAsia"/>
                <w:b/>
                <w:bCs/>
                <w:color w:val="auto"/>
                <w:sz w:val="21"/>
                <w:highlight w:val="none"/>
                <w:lang w:val="en-US" w:eastAsia="zh-CN"/>
              </w:rPr>
              <w:t>3</w:t>
            </w:r>
            <w:r>
              <w:rPr>
                <w:rFonts w:hint="eastAsia"/>
                <w:b/>
                <w:bCs/>
                <w:color w:val="auto"/>
                <w:sz w:val="21"/>
                <w:highlight w:val="none"/>
              </w:rPr>
              <w:t>要求</w:t>
            </w:r>
            <w:r>
              <w:rPr>
                <w:color w:val="auto"/>
                <w:sz w:val="21"/>
                <w:highlight w:val="none"/>
              </w:rPr>
              <w:t>）加</w:t>
            </w:r>
            <w:r>
              <w:rPr>
                <w:rFonts w:hint="eastAsia" w:ascii="Arial" w:eastAsia="宋体"/>
                <w:color w:val="auto"/>
                <w:sz w:val="21"/>
                <w:highlight w:val="none"/>
                <w:lang w:val="en-US" w:eastAsia="zh-CN"/>
              </w:rPr>
              <w:t>1</w:t>
            </w:r>
            <w:r>
              <w:rPr>
                <w:color w:val="auto"/>
                <w:sz w:val="21"/>
                <w:highlight w:val="none"/>
              </w:rPr>
              <w:t>分，最多加</w:t>
            </w:r>
            <w:r>
              <w:rPr>
                <w:rFonts w:hint="eastAsia" w:ascii="Arial" w:eastAsia="宋体"/>
                <w:color w:val="auto"/>
                <w:sz w:val="21"/>
                <w:highlight w:val="none"/>
                <w:lang w:val="en-US" w:eastAsia="zh-CN"/>
              </w:rPr>
              <w:t>1</w:t>
            </w:r>
            <w:r>
              <w:rPr>
                <w:color w:val="auto"/>
                <w:sz w:val="21"/>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99" w:hRule="atLeast"/>
        </w:trPr>
        <w:tc>
          <w:tcPr>
            <w:tcW w:w="530" w:type="dxa"/>
            <w:vMerge w:val="continue"/>
            <w:tcBorders>
              <w:top w:val="nil"/>
              <w:bottom w:val="single" w:color="000000" w:sz="6" w:space="0"/>
              <w:right w:val="single" w:color="000000" w:sz="6" w:space="0"/>
            </w:tcBorders>
          </w:tcPr>
          <w:p>
            <w:pPr>
              <w:rPr>
                <w:color w:val="auto"/>
                <w:sz w:val="2"/>
                <w:szCs w:val="2"/>
                <w:highlight w:val="none"/>
              </w:rPr>
            </w:pPr>
          </w:p>
        </w:tc>
        <w:tc>
          <w:tcPr>
            <w:tcW w:w="1135" w:type="dxa"/>
            <w:vMerge w:val="continue"/>
            <w:tcBorders>
              <w:top w:val="nil"/>
              <w:left w:val="single" w:color="000000" w:sz="6" w:space="0"/>
              <w:bottom w:val="single" w:color="000000" w:sz="6" w:space="0"/>
              <w:right w:val="single" w:color="000000" w:sz="6" w:space="0"/>
            </w:tcBorders>
          </w:tcPr>
          <w:p>
            <w:pPr>
              <w:rPr>
                <w:color w:val="auto"/>
                <w:sz w:val="2"/>
                <w:szCs w:val="2"/>
                <w:highlight w:val="none"/>
              </w:rPr>
            </w:pPr>
          </w:p>
        </w:tc>
        <w:tc>
          <w:tcPr>
            <w:tcW w:w="1030" w:type="dxa"/>
            <w:vMerge w:val="continue"/>
            <w:tcBorders>
              <w:top w:val="nil"/>
              <w:left w:val="single" w:color="000000" w:sz="6" w:space="0"/>
              <w:bottom w:val="single" w:color="000000" w:sz="6" w:space="0"/>
              <w:right w:val="single" w:color="000000" w:sz="6" w:space="0"/>
            </w:tcBorders>
          </w:tcPr>
          <w:p>
            <w:pPr>
              <w:rPr>
                <w:color w:val="auto"/>
                <w:sz w:val="2"/>
                <w:szCs w:val="2"/>
                <w:highlight w:val="none"/>
              </w:rPr>
            </w:pPr>
          </w:p>
        </w:tc>
        <w:tc>
          <w:tcPr>
            <w:tcW w:w="1313" w:type="dxa"/>
            <w:tcBorders>
              <w:top w:val="single" w:color="000000" w:sz="6" w:space="0"/>
              <w:left w:val="single" w:color="000000" w:sz="6" w:space="0"/>
              <w:bottom w:val="single" w:color="000000" w:sz="6" w:space="0"/>
              <w:right w:val="single" w:color="000000" w:sz="6" w:space="0"/>
            </w:tcBorders>
          </w:tcPr>
          <w:p>
            <w:pPr>
              <w:pStyle w:val="31"/>
              <w:spacing w:before="29" w:line="266" w:lineRule="auto"/>
              <w:ind w:left="118" w:right="83" w:firstLine="156"/>
              <w:rPr>
                <w:color w:val="auto"/>
                <w:sz w:val="21"/>
                <w:highlight w:val="none"/>
              </w:rPr>
            </w:pPr>
            <w:r>
              <w:rPr>
                <w:color w:val="auto"/>
                <w:sz w:val="21"/>
                <w:highlight w:val="none"/>
              </w:rPr>
              <w:t>各分项负</w:t>
            </w:r>
            <w:r>
              <w:rPr>
                <w:color w:val="auto"/>
                <w:spacing w:val="-5"/>
                <w:sz w:val="21"/>
                <w:highlight w:val="none"/>
              </w:rPr>
              <w:t>责人任职资</w:t>
            </w:r>
          </w:p>
          <w:p>
            <w:pPr>
              <w:pStyle w:val="31"/>
              <w:spacing w:before="3" w:line="250" w:lineRule="exact"/>
              <w:ind w:left="223"/>
              <w:rPr>
                <w:color w:val="auto"/>
                <w:sz w:val="21"/>
                <w:highlight w:val="none"/>
              </w:rPr>
            </w:pPr>
            <w:r>
              <w:rPr>
                <w:color w:val="auto"/>
                <w:spacing w:val="-1"/>
                <w:sz w:val="21"/>
                <w:highlight w:val="none"/>
              </w:rPr>
              <w:t>格与业绩</w:t>
            </w:r>
          </w:p>
        </w:tc>
        <w:tc>
          <w:tcPr>
            <w:tcW w:w="1200" w:type="dxa"/>
            <w:tcBorders>
              <w:top w:val="single" w:color="000000" w:sz="6" w:space="0"/>
              <w:left w:val="single" w:color="000000" w:sz="6" w:space="0"/>
              <w:bottom w:val="single" w:color="000000" w:sz="6" w:space="0"/>
              <w:right w:val="single" w:color="000000" w:sz="6" w:space="0"/>
            </w:tcBorders>
            <w:vAlign w:val="center"/>
          </w:tcPr>
          <w:p>
            <w:pPr>
              <w:pStyle w:val="31"/>
              <w:spacing w:before="181"/>
              <w:ind w:left="75" w:right="40"/>
              <w:jc w:val="center"/>
              <w:rPr>
                <w:color w:val="auto"/>
                <w:sz w:val="21"/>
                <w:highlight w:val="none"/>
              </w:rPr>
            </w:pPr>
            <w:r>
              <w:rPr>
                <w:rFonts w:hint="eastAsia" w:ascii="Arial"/>
                <w:color w:val="auto"/>
                <w:sz w:val="21"/>
                <w:highlight w:val="none"/>
                <w:lang w:val="en-US" w:eastAsia="zh-CN"/>
              </w:rPr>
              <w:t>4～5.5</w:t>
            </w:r>
            <w:r>
              <w:rPr>
                <w:color w:val="auto"/>
                <w:w w:val="100"/>
                <w:sz w:val="21"/>
                <w:highlight w:val="none"/>
              </w:rPr>
              <w:t>分</w:t>
            </w:r>
          </w:p>
        </w:tc>
        <w:tc>
          <w:tcPr>
            <w:tcW w:w="4281" w:type="dxa"/>
            <w:tcBorders>
              <w:top w:val="single" w:color="000000" w:sz="6" w:space="0"/>
              <w:left w:val="single" w:color="000000" w:sz="6" w:space="0"/>
              <w:bottom w:val="single" w:color="000000" w:sz="6" w:space="0"/>
            </w:tcBorders>
          </w:tcPr>
          <w:p>
            <w:pPr>
              <w:pStyle w:val="31"/>
              <w:spacing w:before="44" w:line="247" w:lineRule="auto"/>
              <w:ind w:left="115" w:right="73"/>
              <w:rPr>
                <w:color w:val="auto"/>
                <w:sz w:val="21"/>
                <w:highlight w:val="none"/>
              </w:rPr>
            </w:pPr>
            <w:r>
              <w:rPr>
                <w:color w:val="auto"/>
                <w:sz w:val="21"/>
                <w:highlight w:val="none"/>
              </w:rPr>
              <w:t>满足资格审查条件的，得基本分</w:t>
            </w:r>
            <w:r>
              <w:rPr>
                <w:rFonts w:hint="eastAsia" w:ascii="Arial"/>
                <w:color w:val="auto"/>
                <w:sz w:val="21"/>
                <w:highlight w:val="none"/>
                <w:lang w:val="en-US" w:eastAsia="zh-CN"/>
              </w:rPr>
              <w:t>4</w:t>
            </w:r>
            <w:r>
              <w:rPr>
                <w:color w:val="auto"/>
                <w:spacing w:val="-3"/>
                <w:sz w:val="21"/>
                <w:highlight w:val="none"/>
              </w:rPr>
              <w:t>分；各分项负</w:t>
            </w:r>
            <w:r>
              <w:rPr>
                <w:color w:val="auto"/>
                <w:spacing w:val="-7"/>
                <w:sz w:val="21"/>
                <w:highlight w:val="none"/>
              </w:rPr>
              <w:t>责人每有一人提高职称等级的，加</w:t>
            </w:r>
            <w:r>
              <w:rPr>
                <w:rFonts w:hint="eastAsia" w:ascii="Arial" w:eastAsia="宋体"/>
                <w:color w:val="auto"/>
                <w:spacing w:val="-3"/>
                <w:sz w:val="21"/>
                <w:highlight w:val="none"/>
                <w:lang w:val="en-US" w:eastAsia="zh-CN"/>
              </w:rPr>
              <w:t>0.5</w:t>
            </w:r>
            <w:r>
              <w:rPr>
                <w:color w:val="auto"/>
                <w:spacing w:val="-11"/>
                <w:sz w:val="21"/>
                <w:highlight w:val="none"/>
              </w:rPr>
              <w:t>分，最多加</w:t>
            </w:r>
            <w:r>
              <w:rPr>
                <w:rFonts w:hint="eastAsia" w:ascii="Arial" w:eastAsia="宋体"/>
                <w:color w:val="auto"/>
                <w:spacing w:val="-13"/>
                <w:sz w:val="21"/>
                <w:highlight w:val="none"/>
                <w:lang w:val="en-US" w:eastAsia="zh-CN"/>
              </w:rPr>
              <w:t>1.5</w:t>
            </w:r>
            <w:r>
              <w:rPr>
                <w:color w:val="auto"/>
                <w:sz w:val="21"/>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6" w:hRule="atLeast"/>
        </w:trPr>
        <w:tc>
          <w:tcPr>
            <w:tcW w:w="530" w:type="dxa"/>
            <w:vMerge w:val="continue"/>
            <w:tcBorders>
              <w:top w:val="nil"/>
              <w:bottom w:val="single" w:color="000000" w:sz="6" w:space="0"/>
              <w:right w:val="single" w:color="000000" w:sz="6" w:space="0"/>
            </w:tcBorders>
          </w:tcPr>
          <w:p>
            <w:pPr>
              <w:rPr>
                <w:color w:val="auto"/>
                <w:sz w:val="2"/>
                <w:szCs w:val="2"/>
                <w:highlight w:val="none"/>
              </w:rPr>
            </w:pPr>
          </w:p>
        </w:tc>
        <w:tc>
          <w:tcPr>
            <w:tcW w:w="1135" w:type="dxa"/>
            <w:vMerge w:val="continue"/>
            <w:tcBorders>
              <w:top w:val="nil"/>
              <w:left w:val="single" w:color="000000" w:sz="6" w:space="0"/>
              <w:bottom w:val="single" w:color="000000" w:sz="6" w:space="0"/>
              <w:right w:val="single" w:color="000000" w:sz="6" w:space="0"/>
            </w:tcBorders>
          </w:tcPr>
          <w:p>
            <w:pPr>
              <w:rPr>
                <w:color w:val="auto"/>
                <w:sz w:val="2"/>
                <w:szCs w:val="2"/>
                <w:highlight w:val="none"/>
              </w:rPr>
            </w:pPr>
          </w:p>
        </w:tc>
        <w:tc>
          <w:tcPr>
            <w:tcW w:w="1030" w:type="dxa"/>
            <w:vMerge w:val="continue"/>
            <w:tcBorders>
              <w:top w:val="nil"/>
              <w:left w:val="single" w:color="000000" w:sz="6" w:space="0"/>
              <w:bottom w:val="single" w:color="000000" w:sz="6" w:space="0"/>
              <w:right w:val="single" w:color="000000" w:sz="6" w:space="0"/>
            </w:tcBorders>
          </w:tcPr>
          <w:p>
            <w:pPr>
              <w:rPr>
                <w:color w:val="auto"/>
                <w:sz w:val="2"/>
                <w:szCs w:val="2"/>
                <w:highlight w:val="none"/>
              </w:rPr>
            </w:pPr>
          </w:p>
        </w:tc>
        <w:tc>
          <w:tcPr>
            <w:tcW w:w="1313" w:type="dxa"/>
            <w:tcBorders>
              <w:top w:val="single" w:color="000000" w:sz="6" w:space="0"/>
              <w:left w:val="single" w:color="000000" w:sz="6" w:space="0"/>
              <w:bottom w:val="single" w:color="000000" w:sz="6" w:space="0"/>
              <w:right w:val="single" w:color="000000" w:sz="6" w:space="0"/>
            </w:tcBorders>
            <w:vAlign w:val="center"/>
          </w:tcPr>
          <w:p>
            <w:pPr>
              <w:pStyle w:val="32"/>
              <w:spacing w:line="240" w:lineRule="exact"/>
              <w:jc w:val="center"/>
              <w:rPr>
                <w:color w:val="auto"/>
                <w:sz w:val="21"/>
                <w:highlight w:val="none"/>
              </w:rPr>
            </w:pPr>
            <w:r>
              <w:rPr>
                <w:rFonts w:hint="eastAsia" w:hAnsi="宋体"/>
                <w:color w:val="auto"/>
                <w:sz w:val="21"/>
                <w:szCs w:val="21"/>
                <w:highlight w:val="none"/>
              </w:rPr>
              <w:t>后续服务负责人任职资格</w:t>
            </w:r>
            <w:r>
              <w:rPr>
                <w:rFonts w:hAnsi="宋体"/>
                <w:color w:val="auto"/>
                <w:sz w:val="21"/>
                <w:szCs w:val="21"/>
                <w:highlight w:val="none"/>
              </w:rPr>
              <w:t xml:space="preserve"> </w:t>
            </w:r>
          </w:p>
        </w:tc>
        <w:tc>
          <w:tcPr>
            <w:tcW w:w="1200" w:type="dxa"/>
            <w:tcBorders>
              <w:top w:val="single" w:color="000000" w:sz="6" w:space="0"/>
              <w:left w:val="single" w:color="000000" w:sz="6" w:space="0"/>
              <w:bottom w:val="single" w:color="000000" w:sz="6" w:space="0"/>
              <w:right w:val="single" w:color="000000" w:sz="6" w:space="0"/>
            </w:tcBorders>
            <w:vAlign w:val="center"/>
          </w:tcPr>
          <w:p>
            <w:pPr>
              <w:pStyle w:val="32"/>
              <w:spacing w:line="240" w:lineRule="exact"/>
              <w:jc w:val="center"/>
              <w:rPr>
                <w:color w:val="auto"/>
                <w:sz w:val="21"/>
                <w:highlight w:val="none"/>
              </w:rPr>
            </w:pPr>
            <w:r>
              <w:rPr>
                <w:rFonts w:hint="eastAsia" w:ascii="Arial" w:hAnsi="宋体" w:eastAsia="宋体" w:cs="宋体"/>
                <w:color w:val="auto"/>
                <w:sz w:val="21"/>
                <w:szCs w:val="22"/>
                <w:highlight w:val="none"/>
                <w:lang w:val="en-US" w:eastAsia="zh-CN" w:bidi="zh-CN"/>
              </w:rPr>
              <w:t>3～4分</w:t>
            </w:r>
          </w:p>
        </w:tc>
        <w:tc>
          <w:tcPr>
            <w:tcW w:w="4281" w:type="dxa"/>
            <w:tcBorders>
              <w:top w:val="single" w:color="000000" w:sz="6" w:space="0"/>
              <w:left w:val="single" w:color="000000" w:sz="6" w:space="0"/>
              <w:bottom w:val="single" w:color="000000" w:sz="6" w:space="0"/>
            </w:tcBorders>
            <w:vAlign w:val="center"/>
          </w:tcPr>
          <w:p>
            <w:pPr>
              <w:pStyle w:val="32"/>
              <w:spacing w:line="240" w:lineRule="exact"/>
              <w:jc w:val="both"/>
              <w:rPr>
                <w:color w:val="auto"/>
                <w:sz w:val="21"/>
                <w:highlight w:val="none"/>
              </w:rPr>
            </w:pPr>
            <w:r>
              <w:rPr>
                <w:rFonts w:hint="eastAsia" w:hAnsi="宋体"/>
                <w:color w:val="auto"/>
                <w:sz w:val="21"/>
                <w:szCs w:val="21"/>
                <w:highlight w:val="none"/>
              </w:rPr>
              <w:t>满足资格审查条件的，得基本分3分；由项目负责人担任的，加</w:t>
            </w:r>
            <w:r>
              <w:rPr>
                <w:rFonts w:hAnsi="宋体"/>
                <w:color w:val="auto"/>
                <w:sz w:val="21"/>
                <w:szCs w:val="21"/>
                <w:highlight w:val="none"/>
              </w:rPr>
              <w:t>1</w:t>
            </w:r>
            <w:r>
              <w:rPr>
                <w:rFonts w:hint="eastAsia" w:hAnsi="宋体"/>
                <w:color w:val="auto"/>
                <w:sz w:val="21"/>
                <w:szCs w:val="21"/>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00" w:hRule="atLeast"/>
        </w:trPr>
        <w:tc>
          <w:tcPr>
            <w:tcW w:w="530" w:type="dxa"/>
            <w:vMerge w:val="restart"/>
            <w:tcBorders>
              <w:top w:val="single" w:color="000000" w:sz="6" w:space="0"/>
              <w:right w:val="single" w:color="000000" w:sz="6" w:space="0"/>
            </w:tcBorders>
          </w:tcPr>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spacing w:before="1"/>
              <w:rPr>
                <w:color w:val="auto"/>
                <w:sz w:val="30"/>
                <w:highlight w:val="none"/>
              </w:rPr>
            </w:pPr>
          </w:p>
          <w:p>
            <w:pPr>
              <w:pStyle w:val="31"/>
              <w:ind w:left="181"/>
              <w:rPr>
                <w:rFonts w:ascii="Arial"/>
                <w:color w:val="auto"/>
                <w:sz w:val="21"/>
                <w:highlight w:val="none"/>
              </w:rPr>
            </w:pPr>
            <w:r>
              <w:rPr>
                <w:rFonts w:ascii="Arial"/>
                <w:color w:val="auto"/>
                <w:sz w:val="21"/>
                <w:highlight w:val="none"/>
              </w:rPr>
              <w:t>c.</w:t>
            </w:r>
          </w:p>
        </w:tc>
        <w:tc>
          <w:tcPr>
            <w:tcW w:w="1135" w:type="dxa"/>
            <w:vMerge w:val="restart"/>
            <w:tcBorders>
              <w:top w:val="single" w:color="000000" w:sz="6" w:space="0"/>
              <w:left w:val="single" w:color="000000" w:sz="6" w:space="0"/>
              <w:right w:val="single" w:color="000000" w:sz="6" w:space="0"/>
            </w:tcBorders>
          </w:tcPr>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spacing w:before="170" w:line="266" w:lineRule="auto"/>
              <w:ind w:left="364" w:right="121" w:hanging="212"/>
              <w:rPr>
                <w:color w:val="auto"/>
                <w:sz w:val="21"/>
                <w:highlight w:val="none"/>
              </w:rPr>
            </w:pPr>
            <w:r>
              <w:rPr>
                <w:color w:val="auto"/>
                <w:sz w:val="21"/>
                <w:highlight w:val="none"/>
              </w:rPr>
              <w:t>投标人的信誉</w:t>
            </w:r>
          </w:p>
        </w:tc>
        <w:tc>
          <w:tcPr>
            <w:tcW w:w="1030" w:type="dxa"/>
            <w:vMerge w:val="restart"/>
            <w:tcBorders>
              <w:top w:val="single" w:color="000000" w:sz="6" w:space="0"/>
              <w:left w:val="single" w:color="000000" w:sz="6" w:space="0"/>
              <w:right w:val="single" w:color="000000" w:sz="6" w:space="0"/>
            </w:tcBorders>
          </w:tcPr>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9"/>
                <w:highlight w:val="none"/>
              </w:rPr>
            </w:pPr>
          </w:p>
          <w:p>
            <w:pPr>
              <w:pStyle w:val="31"/>
              <w:spacing w:before="1"/>
              <w:ind w:left="353"/>
              <w:rPr>
                <w:rFonts w:hint="default" w:eastAsia="宋体"/>
                <w:color w:val="auto"/>
                <w:sz w:val="21"/>
                <w:highlight w:val="none"/>
                <w:lang w:val="en-US" w:eastAsia="zh-CN"/>
              </w:rPr>
            </w:pPr>
            <w:r>
              <w:rPr>
                <w:rFonts w:hint="eastAsia" w:ascii="Arial"/>
                <w:color w:val="auto"/>
                <w:sz w:val="21"/>
                <w:highlight w:val="none"/>
                <w:lang w:val="en-US" w:eastAsia="zh-CN"/>
              </w:rPr>
              <w:t>5</w:t>
            </w:r>
            <w:r>
              <w:rPr>
                <w:rFonts w:hint="eastAsia" w:ascii="Arial" w:eastAsia="宋体"/>
                <w:color w:val="auto"/>
                <w:sz w:val="21"/>
                <w:highlight w:val="none"/>
                <w:lang w:val="en-US" w:eastAsia="zh-CN"/>
              </w:rPr>
              <w:t>.5</w:t>
            </w:r>
            <w:r>
              <w:rPr>
                <w:color w:val="auto"/>
                <w:sz w:val="21"/>
                <w:highlight w:val="none"/>
              </w:rPr>
              <w:t>分</w:t>
            </w:r>
          </w:p>
        </w:tc>
        <w:tc>
          <w:tcPr>
            <w:tcW w:w="1313" w:type="dxa"/>
            <w:tcBorders>
              <w:top w:val="single" w:color="000000" w:sz="6" w:space="0"/>
              <w:left w:val="single" w:color="000000" w:sz="6" w:space="0"/>
              <w:right w:val="single" w:color="000000" w:sz="6" w:space="0"/>
            </w:tcBorders>
            <w:vAlign w:val="center"/>
          </w:tcPr>
          <w:p>
            <w:pPr>
              <w:pStyle w:val="32"/>
              <w:spacing w:line="240" w:lineRule="exact"/>
              <w:jc w:val="center"/>
              <w:rPr>
                <w:rFonts w:hint="eastAsia" w:hAnsi="宋体"/>
                <w:color w:val="auto"/>
                <w:sz w:val="21"/>
                <w:szCs w:val="21"/>
                <w:highlight w:val="none"/>
              </w:rPr>
            </w:pPr>
          </w:p>
          <w:p>
            <w:pPr>
              <w:pStyle w:val="32"/>
              <w:spacing w:line="240" w:lineRule="exact"/>
              <w:jc w:val="center"/>
              <w:rPr>
                <w:rFonts w:hint="eastAsia" w:hAnsi="宋体"/>
                <w:color w:val="auto"/>
                <w:sz w:val="21"/>
                <w:szCs w:val="21"/>
                <w:highlight w:val="none"/>
              </w:rPr>
            </w:pPr>
          </w:p>
          <w:p>
            <w:pPr>
              <w:pStyle w:val="32"/>
              <w:spacing w:line="240" w:lineRule="exact"/>
              <w:jc w:val="center"/>
              <w:rPr>
                <w:rFonts w:hint="eastAsia" w:hAnsi="宋体"/>
                <w:color w:val="auto"/>
                <w:sz w:val="21"/>
                <w:szCs w:val="21"/>
                <w:highlight w:val="none"/>
              </w:rPr>
            </w:pPr>
          </w:p>
          <w:p>
            <w:pPr>
              <w:pStyle w:val="32"/>
              <w:spacing w:line="240" w:lineRule="exact"/>
              <w:jc w:val="center"/>
              <w:rPr>
                <w:rFonts w:hint="eastAsia" w:hAnsi="宋体"/>
                <w:color w:val="auto"/>
                <w:sz w:val="21"/>
                <w:szCs w:val="21"/>
                <w:highlight w:val="none"/>
              </w:rPr>
            </w:pPr>
          </w:p>
          <w:p>
            <w:pPr>
              <w:pStyle w:val="32"/>
              <w:spacing w:line="240" w:lineRule="exact"/>
              <w:jc w:val="center"/>
              <w:rPr>
                <w:rFonts w:hint="eastAsia" w:hAnsi="宋体"/>
                <w:color w:val="auto"/>
                <w:sz w:val="21"/>
                <w:szCs w:val="21"/>
                <w:highlight w:val="none"/>
              </w:rPr>
            </w:pPr>
          </w:p>
          <w:p>
            <w:pPr>
              <w:pStyle w:val="32"/>
              <w:spacing w:line="240" w:lineRule="exact"/>
              <w:jc w:val="center"/>
              <w:rPr>
                <w:rFonts w:hint="eastAsia" w:hAnsi="宋体"/>
                <w:color w:val="auto"/>
                <w:sz w:val="21"/>
                <w:szCs w:val="21"/>
                <w:highlight w:val="none"/>
              </w:rPr>
            </w:pPr>
          </w:p>
          <w:p>
            <w:pPr>
              <w:pStyle w:val="32"/>
              <w:spacing w:line="240" w:lineRule="exact"/>
              <w:jc w:val="center"/>
              <w:rPr>
                <w:color w:val="auto"/>
                <w:sz w:val="21"/>
                <w:highlight w:val="none"/>
              </w:rPr>
            </w:pPr>
            <w:r>
              <w:rPr>
                <w:color w:val="auto"/>
                <w:sz w:val="21"/>
                <w:highlight w:val="none"/>
              </w:rPr>
              <mc:AlternateContent>
                <mc:Choice Requires="wps">
                  <w:drawing>
                    <wp:anchor distT="0" distB="0" distL="114300" distR="114300" simplePos="0" relativeHeight="251671552" behindDoc="0" locked="0" layoutInCell="1" allowOverlap="1">
                      <wp:simplePos x="0" y="0"/>
                      <wp:positionH relativeFrom="column">
                        <wp:posOffset>88900</wp:posOffset>
                      </wp:positionH>
                      <wp:positionV relativeFrom="paragraph">
                        <wp:posOffset>-648970</wp:posOffset>
                      </wp:positionV>
                      <wp:extent cx="635" cy="635"/>
                      <wp:effectExtent l="0" t="0" r="0" b="0"/>
                      <wp:wrapNone/>
                      <wp:docPr id="2" name="墨迹 2"/>
                      <wp:cNvGraphicFramePr/>
                      <a:graphic xmlns:a="http://schemas.openxmlformats.org/drawingml/2006/main">
                        <a:graphicData uri="http://schemas.microsoft.com/office/word/2010/wordprocessingInk">
                          <mc:AlternateContent xmlns:a14="http://schemas.microsoft.com/office/drawing/2010/main">
                            <mc:Choice Requires="a14">
                              <w14:contentPart bwMode="clr" r:id="rId12">
                                <w14:nvContentPartPr>
                                  <w14:cNvPr id="2" name="墨迹 2"/>
                                  <w14:cNvContentPartPr/>
                                </w14:nvContentPartPr>
                                <w14:xfrm>
                                  <a:off x="2608580" y="4910455"/>
                                  <a:ext cx="635" cy="635"/>
                                </w14:xfrm>
                              </w14:contentPart>
                            </mc:Choice>
                          </mc:AlternateContent>
                        </a:graphicData>
                      </a:graphic>
                    </wp:anchor>
                  </w:drawing>
                </mc:Choice>
                <mc:Fallback>
                  <w:pict>
                    <v:shape id="_x0000_s1026" o:spid="_x0000_s1026" o:spt="75" style="position:absolute;left:0pt;margin-left:7pt;margin-top:-51.1pt;height:0.05pt;width:0.05pt;z-index:251671552;mso-width-relative:page;mso-height-relative:page;" coordsize="21600,21600" o:gfxdata="UEsDBAoAAAAAAIdO4kAAAAAAAAAAAAAAAAAEAAAAZHJzL1BLAwQUAAAACACHTuJA7/khsNgAAAAL&#10;AQAADwAAAGRycy9kb3ducmV2LnhtbE2PQUsDMRSE74L/ITzBW5tkWUS3my0itAcRiq0I3tJNmiwm&#10;L0uStqu/3hQPepx5w7xv2uXkHTnpmIaAAvicAdHYBzWgEfC2W83ugaQsUUkXUAv40gmW3fVVKxsV&#10;zviqT9tsSCnB1EgBNuexoTT1VnuZ5mHUWG6HEL3MRUZDVZTnUu4drRi7o14OWD5YOeonq/vP7dEL&#10;eDEfD5vvOL2vpWWP9dq4zerZCXF7w9kCSNZT/gvDBb+gQ1eY9uGIKhFXdF2mZAEzzqoKyCVRcyD7&#10;X4cD7Vr6f0P3A1BLAwQUAAAACACHTuJAWu8ykY4BAAB2AwAADgAAAGRycy9lMm9Eb2MueG1srVNN&#10;TgIxGN2beIeme5kfgeCEGRYSExYiCz1A7bRM47SdfC0MXMeVV3DlaUw8ht8wIKAxIcZN0/Z13vd+&#10;MsPRSpdkKcApa1IadUJKhOE2V2ae0of7m4sBJc4zk7PSGpHStXB0lJ2fDesqEbEtbJkLIEhiXFJX&#10;KS28r5IgcLwQmrmOrYRBUFrQzOMR5kEOrEZ2XQZxGPaD2kJegeXCObwdtyDdMsIphFZKxcXY8oUW&#10;xresIErm0ZIrVOVotlErpeD+TkonPClTik79ZsUhuH9s1iAbsmQOrCoU30pgp0j45kkzZXDoF9WY&#10;eUYWoH5QacXBOit9h1sdtEY2iaCLKPyWzcQ8NU6iLl9Awq3x6HbGwO/S3wB/GaFLtF/f2hz75SX8&#10;c/gEEpWnFCZ5tJdvltd7AzPY25ouZ0Ca9zElhmlU9P788vH2SuKmnJ356fHniARb6DfilQTdNIIZ&#10;kxWy98NBb4C1r1PavYrCbq/Xli9WnnB80L/sUcIRbTYH/C3PbtpBCyjhqO/DcyPv4HfJPgFQSwME&#10;CgAAAAAAh07iQAAAAAAAAAAAAAAAAAgAAABkcnMvaW5rL1BLAwQUAAAACACHTuJAd79ebboBAAAY&#10;BAAAEAAAAGRycy9pbmsvaW5rMS54bWydU1FrpDAQfi/0P4T0oS+txrhalbp9KxTuoNy2cPdodVZD&#10;NVmSWHf//cWo2UK9eyiI6Ey+b775ZnL/cOxa9AFSMcFzHHgEI+ClqBivc/z68nibYKR0wauiFRxy&#10;fAKFH7aXF/eMv3dtZt7IMHA1fnVtjhutD5nvD8PgDaEnZO1TQkL/ib///IG3M6qCPeNMm5JqCZWC&#10;azjqkSxjVY5LfSTuvOHeiV6W4NJjRJbnE1oWJTwK2RXaMTYF59AiXnRG92+M9OlgPpipU4PEqDcK&#10;lCnUYX8d8uf/EN92nP278rMUB5CawbnJSdKcOKFy+rfqJpkSlGj70RmMPoq2N4Jp4oWbeBPFcUrT&#10;INw45YG/ov0rt2nj+9xzk7PQzx3NGTeaxUPNOjAL0x3crLQySzWGd1rataKE0tvAPOlLEGVRmIXJ&#10;OIOl1rQJC9+b7FXjuN7keeY24/qdehxYpRtnHfFIRFPqHPvs1xq6AVY3+tvwUrTCLNY8t6t9QmJC&#10;ztu1VpHVXEh4NmNXvQSHtajZDwtz7qxcHbuBaL5Av2Cf4yt7e5BFTgHrW0BoHKO7uyTapDfX5Jos&#10;llsGV8KMdPs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HkYvJ24AAAAIQEAABkAAABkcnMvX3JlbHMvZTJvRG9jLnhtbC5yZWxzhc+xasQwDAbg&#10;vdB3MNobJR3KUeJkOQ6ylhRuNY6SmMSysZzSe/t67MHBDRqE0PdLbf/rd/VDSVxgDU1VgyK2YXK8&#10;aPgeL28nUJINT2YPTBpuJNB3ry/tF+0mlyVZXRRVFBYNa87xE1HsSt5IFSJxmcwheZNLmxaMxm5m&#10;IXyv6w9M/w3o7kw1TBrSMDWgxlssyc/tMM/O0jnYwxPnBxFoD8nBX/1eUJMWyhocb1iqqcqhgF2L&#10;d491f1BLAwQUAAAACACHTuJAAxUp2gUBAAAtAgAAEwAAAFtDb250ZW50X1R5cGVzXS54bWyVkcFO&#10;wzAQRO9I/IPlK0qc9oAQatIDKUdAqHyAZW8Sq/ba8prQ/j1O2l4QpeLgg70zb0br1XrvLBshkvFY&#10;80VZcQaovDbY1/xj+1w8cEZJopbWI9T8AMTXze3NansIQCy7kWo+pBQehSA1gJNU+gCYJ52PTqZ8&#10;jb0IUu1kD2JZVfdCeUyAqUgTgzerFjr5aRPb7PPzsUkES5w9HYVTVs1lCNYomXJTMaL+kVKcEsrs&#10;nDU0mEB3uQYXvyZMk8sBJ99rXk00GtibjOlFulxD6EhC+y+MMJZ/Q6aWjgrfdUZB2UZqs+0dxnOr&#10;S3RY+tar/8I3s+sa2+BO5LO4Qs8SZ88sMX928w1QSwECFAAUAAAACACHTuJAAxUp2gUBAAAtAgAA&#10;EwAAAAAAAAABACAAAAAkBwAAW0NvbnRlbnRfVHlwZXNdLnhtbFBLAQIUAAoAAAAAAIdO4kAAAAAA&#10;AAAAAAAAAAAGAAAAAAAAAAAAEAAAAO8EAABfcmVscy9QSwECFAAUAAAACACHTuJAihRmPNEAAACU&#10;AQAACwAAAAAAAAABACAAAAATBQAAX3JlbHMvLnJlbHNQSwECFAAKAAAAAACHTuJAAAAAAAAAAAAA&#10;AAAABAAAAAAAAAAAABAAAAAAAAAAZHJzL1BLAQIUAAoAAAAAAIdO4kAAAAAAAAAAAAAAAAAKAAAA&#10;AAAAAAAAEAAAAA0GAABkcnMvX3JlbHMvUEsBAhQAFAAAAAgAh07iQHkYvJ24AAAAIQEAABkAAAAA&#10;AAAAAQAgAAAANQYAAGRycy9fcmVscy9lMm9Eb2MueG1sLnJlbHNQSwECFAAUAAAACACHTuJA7/kh&#10;sNgAAAALAQAADwAAAAAAAAABACAAAAAiAAAAZHJzL2Rvd25yZXYueG1sUEsBAhQAFAAAAAgAh07i&#10;QFrvMpGOAQAAdgMAAA4AAAAAAAAAAQAgAAAAJwEAAGRycy9lMm9Eb2MueG1sUEsBAhQACgAAAAAA&#10;h07iQAAAAAAAAAAAAAAAAAgAAAAAAAAAAAAQAAAA4QIAAGRycy9pbmsvUEsBAhQAFAAAAAgAh07i&#10;QHe/Xm26AQAAGAQAABAAAAAAAAAAAQAgAAAABwMAAGRycy9pbmsvaW5rMS54bWxQSwUGAAAAAAoA&#10;CgBMAgAAWggAAAAA&#10;">
                      <v:imagedata r:id="rId13" o:title=""/>
                      <o:lock v:ext="edit"/>
                    </v:shape>
                  </w:pict>
                </mc:Fallback>
              </mc:AlternateContent>
            </w:r>
            <w:r>
              <w:rPr>
                <w:rFonts w:hint="eastAsia" w:hAnsi="宋体"/>
                <w:color w:val="auto"/>
                <w:sz w:val="21"/>
                <w:szCs w:val="21"/>
                <w:highlight w:val="none"/>
              </w:rPr>
              <w:t>信息公开</w:t>
            </w:r>
          </w:p>
        </w:tc>
        <w:tc>
          <w:tcPr>
            <w:tcW w:w="1200" w:type="dxa"/>
            <w:tcBorders>
              <w:top w:val="single" w:color="000000" w:sz="6" w:space="0"/>
              <w:left w:val="single" w:color="000000" w:sz="6" w:space="0"/>
              <w:right w:val="single" w:color="000000" w:sz="6" w:space="0"/>
            </w:tcBorders>
            <w:vAlign w:val="center"/>
          </w:tcPr>
          <w:p>
            <w:pPr>
              <w:pStyle w:val="32"/>
              <w:spacing w:line="240" w:lineRule="exact"/>
              <w:jc w:val="center"/>
              <w:rPr>
                <w:rFonts w:hint="default" w:hAnsi="宋体" w:eastAsia="宋体"/>
                <w:color w:val="auto"/>
                <w:sz w:val="21"/>
                <w:szCs w:val="21"/>
                <w:highlight w:val="none"/>
                <w:lang w:val="en-US" w:eastAsia="zh-CN"/>
              </w:rPr>
            </w:pPr>
            <w:r>
              <w:rPr>
                <w:rFonts w:hAnsi="宋体" w:cs="Times New Roman"/>
                <w:color w:val="auto"/>
                <w:sz w:val="21"/>
                <w:szCs w:val="21"/>
                <w:highlight w:val="none"/>
              </w:rPr>
              <w:t>0</w:t>
            </w:r>
            <w:r>
              <w:rPr>
                <w:rFonts w:hint="eastAsia" w:hAnsi="宋体"/>
                <w:color w:val="auto"/>
                <w:sz w:val="21"/>
                <w:szCs w:val="21"/>
                <w:highlight w:val="none"/>
              </w:rPr>
              <w:t>～</w:t>
            </w:r>
            <w:r>
              <w:rPr>
                <w:rFonts w:hint="eastAsia" w:hAnsi="宋体" w:cs="宋体g彇...."/>
                <w:color w:val="auto"/>
                <w:sz w:val="21"/>
                <w:szCs w:val="21"/>
                <w:highlight w:val="none"/>
              </w:rPr>
              <w:t>4</w:t>
            </w:r>
            <w:r>
              <w:rPr>
                <w:rFonts w:hint="eastAsia" w:hAnsi="宋体"/>
                <w:color w:val="auto"/>
                <w:sz w:val="21"/>
                <w:szCs w:val="21"/>
                <w:highlight w:val="none"/>
              </w:rPr>
              <w:t>分</w:t>
            </w:r>
          </w:p>
        </w:tc>
        <w:tc>
          <w:tcPr>
            <w:tcW w:w="4281" w:type="dxa"/>
            <w:tcBorders>
              <w:top w:val="single" w:color="000000" w:sz="6" w:space="0"/>
              <w:left w:val="single" w:color="000000" w:sz="6" w:space="0"/>
              <w:bottom w:val="single" w:color="000000" w:sz="6" w:space="0"/>
            </w:tcBorders>
            <w:vAlign w:val="center"/>
          </w:tcPr>
          <w:p>
            <w:pPr>
              <w:pStyle w:val="32"/>
              <w:spacing w:line="240" w:lineRule="exact"/>
              <w:ind w:firstLine="420" w:firstLineChars="200"/>
              <w:jc w:val="both"/>
              <w:rPr>
                <w:rFonts w:hint="eastAsia"/>
                <w:color w:val="auto"/>
                <w:sz w:val="21"/>
                <w:szCs w:val="21"/>
                <w:highlight w:val="none"/>
              </w:rPr>
            </w:pPr>
            <w:r>
              <w:rPr>
                <w:rFonts w:hint="eastAsia"/>
                <w:color w:val="auto"/>
                <w:sz w:val="21"/>
                <w:szCs w:val="21"/>
                <w:highlight w:val="none"/>
              </w:rPr>
              <w:t>投标人在浙江交通网诚信信息系统中向社会公开信息的，得</w:t>
            </w:r>
            <w:r>
              <w:rPr>
                <w:rFonts w:hint="eastAsia" w:ascii="宋体g彇...." w:eastAsia="宋体g彇...." w:cs="宋体g彇...."/>
                <w:color w:val="auto"/>
                <w:sz w:val="21"/>
                <w:szCs w:val="21"/>
                <w:highlight w:val="none"/>
              </w:rPr>
              <w:t>2</w:t>
            </w:r>
            <w:r>
              <w:rPr>
                <w:rFonts w:hint="eastAsia"/>
                <w:color w:val="auto"/>
                <w:sz w:val="21"/>
                <w:szCs w:val="21"/>
                <w:highlight w:val="none"/>
              </w:rPr>
              <w:t>分；</w:t>
            </w:r>
          </w:p>
          <w:p>
            <w:pPr>
              <w:pStyle w:val="32"/>
              <w:spacing w:line="240" w:lineRule="exact"/>
              <w:jc w:val="both"/>
              <w:rPr>
                <w:rFonts w:hint="eastAsia"/>
                <w:color w:val="auto"/>
                <w:sz w:val="21"/>
                <w:szCs w:val="21"/>
                <w:highlight w:val="none"/>
              </w:rPr>
            </w:pPr>
            <w:r>
              <w:rPr>
                <w:color w:val="auto"/>
                <w:sz w:val="21"/>
                <w:szCs w:val="21"/>
                <w:highlight w:val="none"/>
              </w:rPr>
              <w:t xml:space="preserve"> </w:t>
            </w:r>
            <w:r>
              <w:rPr>
                <w:rFonts w:hint="eastAsia"/>
                <w:color w:val="auto"/>
                <w:sz w:val="21"/>
                <w:szCs w:val="21"/>
                <w:highlight w:val="none"/>
              </w:rPr>
              <w:t xml:space="preserve">   项目负责人的职称等相关证书信息在浙江交通网诚信信息系统中公开的，得</w:t>
            </w:r>
            <w:r>
              <w:rPr>
                <w:rFonts w:hint="eastAsia" w:ascii="宋体g彇...." w:eastAsia="宋体g彇...." w:cs="宋体g彇...."/>
                <w:color w:val="auto"/>
                <w:sz w:val="21"/>
                <w:szCs w:val="21"/>
                <w:highlight w:val="none"/>
              </w:rPr>
              <w:t>1</w:t>
            </w:r>
            <w:r>
              <w:rPr>
                <w:rFonts w:hint="eastAsia"/>
                <w:color w:val="auto"/>
                <w:sz w:val="21"/>
                <w:szCs w:val="21"/>
                <w:highlight w:val="none"/>
              </w:rPr>
              <w:t>分；</w:t>
            </w:r>
          </w:p>
          <w:p>
            <w:pPr>
              <w:pStyle w:val="32"/>
              <w:spacing w:line="240" w:lineRule="exact"/>
              <w:ind w:firstLine="360"/>
              <w:jc w:val="both"/>
              <w:rPr>
                <w:rFonts w:hint="eastAsia"/>
                <w:color w:val="auto"/>
                <w:sz w:val="21"/>
                <w:szCs w:val="21"/>
                <w:highlight w:val="none"/>
              </w:rPr>
            </w:pPr>
            <w:r>
              <w:rPr>
                <w:rFonts w:hint="eastAsia"/>
                <w:color w:val="auto"/>
                <w:sz w:val="21"/>
                <w:szCs w:val="21"/>
                <w:highlight w:val="none"/>
              </w:rPr>
              <w:t>其他所有分项负责人的职称等相关证书信息在浙江交通网诚信信息系统中公开的，得</w:t>
            </w:r>
            <w:r>
              <w:rPr>
                <w:rFonts w:hint="eastAsia" w:ascii="宋体g彇...." w:eastAsia="宋体g彇...." w:cs="宋体g彇...."/>
                <w:color w:val="auto"/>
                <w:sz w:val="21"/>
                <w:szCs w:val="21"/>
                <w:highlight w:val="none"/>
              </w:rPr>
              <w:t>1</w:t>
            </w:r>
            <w:r>
              <w:rPr>
                <w:rFonts w:hint="eastAsia"/>
                <w:color w:val="auto"/>
                <w:sz w:val="21"/>
                <w:szCs w:val="21"/>
                <w:highlight w:val="none"/>
              </w:rPr>
              <w:t>分，否则不得分。</w:t>
            </w:r>
          </w:p>
          <w:p>
            <w:pPr>
              <w:pStyle w:val="32"/>
              <w:spacing w:line="240" w:lineRule="exact"/>
              <w:ind w:firstLine="211" w:firstLineChars="100"/>
              <w:jc w:val="both"/>
              <w:rPr>
                <w:color w:val="auto"/>
                <w:sz w:val="21"/>
                <w:highlight w:val="none"/>
              </w:rPr>
            </w:pPr>
            <w:r>
              <w:rPr>
                <w:rFonts w:hint="eastAsia"/>
                <w:b/>
                <w:bCs/>
                <w:color w:val="auto"/>
                <w:sz w:val="21"/>
                <w:szCs w:val="21"/>
                <w:highlight w:val="none"/>
              </w:rPr>
              <w:t>以上信息公开内容均应提供查询结果打印件，否则视为未公开。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18" w:hRule="atLeast"/>
        </w:trPr>
        <w:tc>
          <w:tcPr>
            <w:tcW w:w="530" w:type="dxa"/>
            <w:vMerge w:val="continue"/>
            <w:tcBorders>
              <w:right w:val="single" w:color="000000" w:sz="6" w:space="0"/>
            </w:tcBorders>
          </w:tcPr>
          <w:p>
            <w:pPr>
              <w:rPr>
                <w:color w:val="auto"/>
                <w:sz w:val="2"/>
                <w:szCs w:val="2"/>
                <w:highlight w:val="none"/>
              </w:rPr>
            </w:pPr>
          </w:p>
        </w:tc>
        <w:tc>
          <w:tcPr>
            <w:tcW w:w="1135" w:type="dxa"/>
            <w:vMerge w:val="continue"/>
            <w:tcBorders>
              <w:left w:val="single" w:color="000000" w:sz="6" w:space="0"/>
              <w:right w:val="single" w:color="000000" w:sz="6" w:space="0"/>
            </w:tcBorders>
          </w:tcPr>
          <w:p>
            <w:pPr>
              <w:rPr>
                <w:color w:val="auto"/>
                <w:sz w:val="2"/>
                <w:szCs w:val="2"/>
                <w:highlight w:val="none"/>
              </w:rPr>
            </w:pPr>
          </w:p>
        </w:tc>
        <w:tc>
          <w:tcPr>
            <w:tcW w:w="1030" w:type="dxa"/>
            <w:vMerge w:val="continue"/>
            <w:tcBorders>
              <w:left w:val="single" w:color="000000" w:sz="6" w:space="0"/>
              <w:right w:val="single" w:color="000000" w:sz="6" w:space="0"/>
            </w:tcBorders>
          </w:tcPr>
          <w:p>
            <w:pPr>
              <w:rPr>
                <w:color w:val="auto"/>
                <w:sz w:val="2"/>
                <w:szCs w:val="2"/>
                <w:highlight w:val="none"/>
              </w:rPr>
            </w:pPr>
          </w:p>
        </w:tc>
        <w:tc>
          <w:tcPr>
            <w:tcW w:w="1313" w:type="dxa"/>
            <w:tcBorders>
              <w:top w:val="single" w:color="000000" w:sz="6" w:space="0"/>
              <w:left w:val="single" w:color="000000" w:sz="6" w:space="0"/>
              <w:bottom w:val="single" w:color="000000" w:sz="6" w:space="0"/>
              <w:right w:val="single" w:color="000000" w:sz="6" w:space="0"/>
            </w:tcBorders>
            <w:vAlign w:val="center"/>
          </w:tcPr>
          <w:p>
            <w:pPr>
              <w:spacing w:before="156" w:beforeLines="50" w:line="240" w:lineRule="exact"/>
              <w:ind w:left="0" w:leftChars="0" w:right="0" w:rightChars="0"/>
              <w:jc w:val="center"/>
              <w:rPr>
                <w:color w:val="auto"/>
                <w:sz w:val="21"/>
                <w:highlight w:val="none"/>
              </w:rPr>
            </w:pPr>
            <w:r>
              <w:rPr>
                <w:rFonts w:hint="eastAsia" w:ascii="宋体" w:hAnsi="宋体" w:cs="宋体"/>
                <w:color w:val="auto"/>
                <w:kern w:val="0"/>
                <w:szCs w:val="24"/>
                <w:highlight w:val="none"/>
              </w:rPr>
              <w:t>信用评价</w:t>
            </w:r>
          </w:p>
        </w:tc>
        <w:tc>
          <w:tcPr>
            <w:tcW w:w="1200" w:type="dxa"/>
            <w:tcBorders>
              <w:top w:val="single" w:color="000000" w:sz="6" w:space="0"/>
              <w:left w:val="single" w:color="000000" w:sz="6" w:space="0"/>
              <w:bottom w:val="single" w:color="000000" w:sz="6" w:space="0"/>
              <w:right w:val="single" w:color="000000" w:sz="6" w:space="0"/>
            </w:tcBorders>
            <w:vAlign w:val="center"/>
          </w:tcPr>
          <w:p>
            <w:pPr>
              <w:spacing w:before="156" w:beforeLines="50" w:line="240" w:lineRule="exact"/>
              <w:ind w:left="0" w:leftChars="0" w:right="0" w:rightChars="0"/>
              <w:jc w:val="center"/>
              <w:rPr>
                <w:color w:val="auto"/>
                <w:sz w:val="21"/>
                <w:highlight w:val="none"/>
              </w:rPr>
            </w:pPr>
            <w:r>
              <w:rPr>
                <w:rFonts w:hint="eastAsia" w:ascii="宋体" w:hAnsi="宋体"/>
                <w:color w:val="auto"/>
                <w:kern w:val="0"/>
                <w:szCs w:val="21"/>
                <w:highlight w:val="none"/>
              </w:rPr>
              <w:t>0～1.5分</w:t>
            </w:r>
          </w:p>
        </w:tc>
        <w:tc>
          <w:tcPr>
            <w:tcW w:w="4281" w:type="dxa"/>
            <w:tcBorders>
              <w:top w:val="single" w:color="000000" w:sz="6" w:space="0"/>
              <w:left w:val="single" w:color="000000" w:sz="6" w:space="0"/>
              <w:bottom w:val="single" w:color="000000" w:sz="6" w:space="0"/>
            </w:tcBorders>
            <w:vAlign w:val="center"/>
          </w:tcPr>
          <w:p>
            <w:pPr>
              <w:pStyle w:val="32"/>
              <w:spacing w:line="240" w:lineRule="exact"/>
              <w:ind w:firstLine="420" w:firstLineChars="200"/>
              <w:rPr>
                <w:color w:val="auto"/>
                <w:sz w:val="21"/>
                <w:highlight w:val="none"/>
              </w:rPr>
            </w:pPr>
            <w:r>
              <w:rPr>
                <w:rFonts w:hint="eastAsia"/>
                <w:color w:val="auto"/>
                <w:sz w:val="21"/>
                <w:szCs w:val="21"/>
                <w:highlight w:val="none"/>
              </w:rPr>
              <w:t>近三年在浙江省交通运输主管部门发布的企业信用评价中，投标人若只有近一年被评为AA的，得0.5分；若有近二年被评为AA的，得1分；若三个年度都评为AA的，得1.5分；最多得1.5分。</w:t>
            </w:r>
            <w:r>
              <w:rPr>
                <w:rFonts w:hint="eastAsia"/>
                <w:b/>
                <w:bCs/>
                <w:color w:val="auto"/>
                <w:sz w:val="21"/>
                <w:szCs w:val="21"/>
                <w:highlight w:val="none"/>
              </w:rPr>
              <w:t>（以投标截止时间前浙江省交通运输厅发布的最近三年的设计企业信用评价结果为准）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74" w:hRule="atLeast"/>
        </w:trPr>
        <w:tc>
          <w:tcPr>
            <w:tcW w:w="530" w:type="dxa"/>
            <w:vMerge w:val="continue"/>
            <w:tcBorders>
              <w:right w:val="single" w:color="000000" w:sz="6" w:space="0"/>
            </w:tcBorders>
          </w:tcPr>
          <w:p>
            <w:pPr>
              <w:rPr>
                <w:color w:val="auto"/>
                <w:sz w:val="2"/>
                <w:szCs w:val="2"/>
                <w:highlight w:val="none"/>
              </w:rPr>
            </w:pPr>
          </w:p>
        </w:tc>
        <w:tc>
          <w:tcPr>
            <w:tcW w:w="1135" w:type="dxa"/>
            <w:vMerge w:val="continue"/>
            <w:tcBorders>
              <w:left w:val="single" w:color="000000" w:sz="6" w:space="0"/>
              <w:right w:val="single" w:color="000000" w:sz="6" w:space="0"/>
            </w:tcBorders>
          </w:tcPr>
          <w:p>
            <w:pPr>
              <w:rPr>
                <w:color w:val="auto"/>
                <w:sz w:val="2"/>
                <w:szCs w:val="2"/>
                <w:highlight w:val="none"/>
              </w:rPr>
            </w:pPr>
          </w:p>
        </w:tc>
        <w:tc>
          <w:tcPr>
            <w:tcW w:w="1030" w:type="dxa"/>
            <w:vMerge w:val="continue"/>
            <w:tcBorders>
              <w:left w:val="single" w:color="000000" w:sz="6" w:space="0"/>
              <w:right w:val="single" w:color="000000" w:sz="6" w:space="0"/>
            </w:tcBorders>
          </w:tcPr>
          <w:p>
            <w:pPr>
              <w:rPr>
                <w:color w:val="auto"/>
                <w:sz w:val="2"/>
                <w:szCs w:val="2"/>
                <w:highlight w:val="none"/>
              </w:rPr>
            </w:pPr>
          </w:p>
        </w:tc>
        <w:tc>
          <w:tcPr>
            <w:tcW w:w="1313" w:type="dxa"/>
            <w:tcBorders>
              <w:top w:val="single" w:color="000000" w:sz="6" w:space="0"/>
              <w:left w:val="single" w:color="000000" w:sz="6" w:space="0"/>
              <w:right w:val="single" w:color="000000" w:sz="6" w:space="0"/>
            </w:tcBorders>
            <w:vAlign w:val="center"/>
          </w:tcPr>
          <w:p>
            <w:pPr>
              <w:pStyle w:val="32"/>
              <w:spacing w:line="240" w:lineRule="exact"/>
              <w:jc w:val="center"/>
              <w:rPr>
                <w:rFonts w:hint="eastAsia" w:ascii="宋体" w:hAnsi="宋体" w:eastAsia="宋体" w:cs="宋体"/>
                <w:color w:val="auto"/>
                <w:sz w:val="21"/>
                <w:szCs w:val="21"/>
                <w:highlight w:val="none"/>
                <w:lang w:val="en-US" w:eastAsia="zh-CN" w:bidi="ar-SA"/>
              </w:rPr>
            </w:pPr>
            <w:r>
              <w:rPr>
                <w:rFonts w:hint="eastAsia" w:hAnsi="宋体"/>
                <w:color w:val="auto"/>
                <w:sz w:val="21"/>
                <w:szCs w:val="21"/>
                <w:highlight w:val="none"/>
              </w:rPr>
              <w:t>不良信誉扣分</w:t>
            </w:r>
          </w:p>
        </w:tc>
        <w:tc>
          <w:tcPr>
            <w:tcW w:w="1200" w:type="dxa"/>
            <w:tcBorders>
              <w:top w:val="single" w:color="000000" w:sz="6" w:space="0"/>
              <w:left w:val="single" w:color="000000" w:sz="6" w:space="0"/>
              <w:right w:val="single" w:color="000000" w:sz="6" w:space="0"/>
            </w:tcBorders>
            <w:vAlign w:val="center"/>
          </w:tcPr>
          <w:p>
            <w:pPr>
              <w:pStyle w:val="32"/>
              <w:spacing w:line="240" w:lineRule="exact"/>
              <w:jc w:val="center"/>
              <w:rPr>
                <w:rFonts w:hint="eastAsia" w:ascii="宋体" w:hAnsi="宋体" w:eastAsia="宋体" w:cs="Times New Roman"/>
                <w:color w:val="auto"/>
                <w:sz w:val="21"/>
                <w:szCs w:val="21"/>
                <w:highlight w:val="none"/>
                <w:lang w:val="en-US" w:eastAsia="zh-CN" w:bidi="ar-SA"/>
              </w:rPr>
            </w:pPr>
            <w:r>
              <w:rPr>
                <w:rFonts w:hint="eastAsia" w:hAnsi="宋体" w:cs="Times New Roman"/>
                <w:color w:val="auto"/>
                <w:sz w:val="21"/>
                <w:szCs w:val="21"/>
                <w:highlight w:val="none"/>
              </w:rPr>
              <w:t>-2</w:t>
            </w:r>
            <w:r>
              <w:rPr>
                <w:rFonts w:hint="eastAsia" w:hAnsi="宋体"/>
                <w:color w:val="auto"/>
                <w:sz w:val="21"/>
                <w:szCs w:val="21"/>
                <w:highlight w:val="none"/>
              </w:rPr>
              <w:t>～</w:t>
            </w:r>
            <w:r>
              <w:rPr>
                <w:rFonts w:hint="eastAsia" w:hAnsi="宋体" w:cs="Times New Roman"/>
                <w:color w:val="auto"/>
                <w:sz w:val="21"/>
                <w:szCs w:val="21"/>
                <w:highlight w:val="none"/>
              </w:rPr>
              <w:t>0</w:t>
            </w:r>
            <w:r>
              <w:rPr>
                <w:rFonts w:hint="eastAsia" w:hAnsi="宋体"/>
                <w:color w:val="auto"/>
                <w:sz w:val="21"/>
                <w:szCs w:val="21"/>
                <w:highlight w:val="none"/>
              </w:rPr>
              <w:t>分</w:t>
            </w:r>
          </w:p>
        </w:tc>
        <w:tc>
          <w:tcPr>
            <w:tcW w:w="4281" w:type="dxa"/>
            <w:tcBorders>
              <w:top w:val="single" w:color="000000" w:sz="6" w:space="0"/>
              <w:left w:val="single" w:color="000000" w:sz="6" w:space="0"/>
            </w:tcBorders>
            <w:vAlign w:val="center"/>
          </w:tcPr>
          <w:p>
            <w:pPr>
              <w:pStyle w:val="32"/>
              <w:spacing w:line="240" w:lineRule="exact"/>
              <w:ind w:firstLine="420" w:firstLineChars="200"/>
              <w:rPr>
                <w:rFonts w:hint="eastAsia" w:hAnsi="宋体"/>
                <w:color w:val="auto"/>
                <w:sz w:val="21"/>
                <w:szCs w:val="21"/>
                <w:highlight w:val="none"/>
              </w:rPr>
            </w:pPr>
            <w:r>
              <w:rPr>
                <w:rFonts w:hint="eastAsia" w:hAnsi="宋体"/>
                <w:color w:val="auto"/>
                <w:sz w:val="21"/>
                <w:szCs w:val="21"/>
                <w:highlight w:val="none"/>
              </w:rPr>
              <w:t>自</w:t>
            </w:r>
            <w:r>
              <w:rPr>
                <w:rFonts w:hint="eastAsia" w:hAnsi="宋体"/>
                <w:color w:val="auto"/>
                <w:sz w:val="21"/>
                <w:szCs w:val="21"/>
                <w:highlight w:val="none"/>
                <w:lang w:eastAsia="zh-CN"/>
              </w:rPr>
              <w:t>20</w:t>
            </w:r>
            <w:r>
              <w:rPr>
                <w:rFonts w:hint="eastAsia" w:hAnsi="宋体"/>
                <w:color w:val="auto"/>
                <w:sz w:val="21"/>
                <w:szCs w:val="21"/>
                <w:highlight w:val="none"/>
                <w:lang w:val="en-US" w:eastAsia="zh-CN"/>
              </w:rPr>
              <w:t>22</w:t>
            </w:r>
            <w:r>
              <w:rPr>
                <w:rFonts w:hint="eastAsia" w:hAnsi="宋体"/>
                <w:color w:val="auto"/>
                <w:sz w:val="21"/>
                <w:szCs w:val="21"/>
                <w:highlight w:val="none"/>
                <w:lang w:eastAsia="zh-CN"/>
              </w:rPr>
              <w:t>年7月1日</w:t>
            </w:r>
            <w:r>
              <w:rPr>
                <w:rFonts w:hint="eastAsia" w:hAnsi="宋体"/>
                <w:color w:val="auto"/>
                <w:sz w:val="21"/>
                <w:szCs w:val="21"/>
                <w:highlight w:val="none"/>
              </w:rPr>
              <w:t>以来，被交通运输部、浙江省交通运输厅、浙江省发展和改革委员会三部门以外的省级及以上单位（部门）书面通报限制投标，并在处罚期内的，如实填报的扣1分；</w:t>
            </w:r>
          </w:p>
          <w:p>
            <w:pPr>
              <w:pStyle w:val="32"/>
              <w:spacing w:line="240" w:lineRule="exact"/>
              <w:ind w:firstLine="420" w:firstLineChars="200"/>
              <w:rPr>
                <w:rFonts w:hint="eastAsia" w:hAnsi="宋体"/>
                <w:color w:val="auto"/>
                <w:sz w:val="21"/>
                <w:szCs w:val="21"/>
                <w:highlight w:val="none"/>
              </w:rPr>
            </w:pPr>
            <w:r>
              <w:rPr>
                <w:rFonts w:hint="eastAsia" w:hAnsi="宋体"/>
                <w:color w:val="auto"/>
                <w:sz w:val="21"/>
                <w:szCs w:val="21"/>
                <w:highlight w:val="none"/>
              </w:rPr>
              <w:t>自</w:t>
            </w:r>
            <w:r>
              <w:rPr>
                <w:rFonts w:hint="eastAsia" w:hAnsi="宋体"/>
                <w:color w:val="auto"/>
                <w:sz w:val="21"/>
                <w:szCs w:val="21"/>
                <w:highlight w:val="none"/>
                <w:lang w:eastAsia="zh-CN"/>
              </w:rPr>
              <w:t>20</w:t>
            </w:r>
            <w:r>
              <w:rPr>
                <w:rFonts w:hint="eastAsia" w:hAnsi="宋体"/>
                <w:color w:val="auto"/>
                <w:sz w:val="21"/>
                <w:szCs w:val="21"/>
                <w:highlight w:val="none"/>
                <w:lang w:val="en-US" w:eastAsia="zh-CN"/>
              </w:rPr>
              <w:t>20</w:t>
            </w:r>
            <w:r>
              <w:rPr>
                <w:rFonts w:hint="eastAsia" w:hAnsi="宋体"/>
                <w:color w:val="auto"/>
                <w:sz w:val="21"/>
                <w:szCs w:val="21"/>
                <w:highlight w:val="none"/>
                <w:lang w:eastAsia="zh-CN"/>
              </w:rPr>
              <w:t>年7月1日</w:t>
            </w:r>
            <w:r>
              <w:rPr>
                <w:rFonts w:hint="eastAsia" w:hAnsi="宋体"/>
                <w:color w:val="auto"/>
                <w:sz w:val="21"/>
                <w:szCs w:val="21"/>
                <w:highlight w:val="none"/>
              </w:rPr>
              <w:t>以来，投标人或拟委任的项目负责人在工程建设领域中，有行贿行为未构成犯罪的，如实填报的扣1分；</w:t>
            </w:r>
          </w:p>
          <w:p>
            <w:pPr>
              <w:pStyle w:val="32"/>
              <w:spacing w:line="240" w:lineRule="exact"/>
              <w:ind w:firstLine="422" w:firstLineChars="200"/>
              <w:jc w:val="both"/>
              <w:rPr>
                <w:rFonts w:hint="eastAsia" w:ascii="宋体" w:hAnsi="Times New Roman" w:eastAsia="宋体" w:cs="宋体"/>
                <w:color w:val="auto"/>
                <w:sz w:val="21"/>
                <w:szCs w:val="21"/>
                <w:highlight w:val="none"/>
                <w:lang w:val="en-US" w:eastAsia="zh-CN" w:bidi="ar-SA"/>
              </w:rPr>
            </w:pPr>
            <w:r>
              <w:rPr>
                <w:rFonts w:hint="eastAsia" w:hAnsi="宋体"/>
                <w:b/>
                <w:color w:val="auto"/>
                <w:sz w:val="21"/>
                <w:szCs w:val="21"/>
                <w:highlight w:val="none"/>
              </w:rPr>
              <w:t>有上述行为隐瞒不报的，一经查实，作否决投标处理，并视为投标人提供虚假材料。</w:t>
            </w:r>
          </w:p>
        </w:tc>
      </w:tr>
    </w:tbl>
    <w:p>
      <w:pPr>
        <w:spacing w:after="0" w:line="268" w:lineRule="exact"/>
        <w:rPr>
          <w:color w:val="auto"/>
          <w:sz w:val="21"/>
          <w:highlight w:val="none"/>
        </w:rPr>
        <w:sectPr>
          <w:pgSz w:w="11910" w:h="16840"/>
          <w:pgMar w:top="1280" w:right="860" w:bottom="860" w:left="960" w:header="0" w:footer="672" w:gutter="0"/>
          <w:pgBorders>
            <w:top w:val="none" w:sz="0" w:space="0"/>
            <w:left w:val="none" w:sz="0" w:space="0"/>
            <w:bottom w:val="none" w:sz="0" w:space="0"/>
            <w:right w:val="none" w:sz="0" w:space="0"/>
          </w:pgBorders>
          <w:pgNumType w:fmt="decimal"/>
          <w:cols w:space="720" w:num="1"/>
        </w:sectPr>
      </w:pPr>
    </w:p>
    <w:p>
      <w:pPr>
        <w:tabs>
          <w:tab w:val="left" w:pos="2025"/>
        </w:tabs>
        <w:spacing w:line="380" w:lineRule="exact"/>
        <w:ind w:right="105" w:firstLine="440" w:firstLineChars="200"/>
        <w:jc w:val="right"/>
        <w:rPr>
          <w:rFonts w:hint="eastAsia" w:cs="宋体"/>
          <w:color w:val="auto"/>
          <w:kern w:val="0"/>
          <w:szCs w:val="21"/>
          <w:highlight w:val="none"/>
        </w:rPr>
      </w:pPr>
      <w:r>
        <w:rPr>
          <w:rFonts w:hint="eastAsia" w:cs="宋体"/>
          <w:color w:val="auto"/>
          <w:kern w:val="0"/>
          <w:szCs w:val="21"/>
          <w:highlight w:val="none"/>
        </w:rPr>
        <w:t>续上表</w:t>
      </w:r>
    </w:p>
    <w:tbl>
      <w:tblPr>
        <w:tblStyle w:val="26"/>
        <w:tblW w:w="0" w:type="auto"/>
        <w:jc w:val="center"/>
        <w:tblLayout w:type="fixed"/>
        <w:tblCellMar>
          <w:top w:w="0" w:type="dxa"/>
          <w:left w:w="108" w:type="dxa"/>
          <w:bottom w:w="0" w:type="dxa"/>
          <w:right w:w="108" w:type="dxa"/>
        </w:tblCellMar>
      </w:tblPr>
      <w:tblGrid>
        <w:gridCol w:w="738"/>
        <w:gridCol w:w="1437"/>
        <w:gridCol w:w="1083"/>
        <w:gridCol w:w="1282"/>
        <w:gridCol w:w="1133"/>
        <w:gridCol w:w="3691"/>
      </w:tblGrid>
      <w:tr>
        <w:tblPrEx>
          <w:tblCellMar>
            <w:top w:w="0" w:type="dxa"/>
            <w:left w:w="108" w:type="dxa"/>
            <w:bottom w:w="0" w:type="dxa"/>
            <w:right w:w="108" w:type="dxa"/>
          </w:tblCellMar>
        </w:tblPrEx>
        <w:trPr>
          <w:trHeight w:val="587" w:hRule="atLeast"/>
          <w:jc w:val="center"/>
        </w:trPr>
        <w:tc>
          <w:tcPr>
            <w:tcW w:w="5673" w:type="dxa"/>
            <w:gridSpan w:val="5"/>
            <w:tcBorders>
              <w:top w:val="single" w:color="000000" w:sz="12" w:space="0"/>
              <w:left w:val="single" w:color="000000" w:sz="12" w:space="0"/>
              <w:bottom w:val="single" w:color="auto" w:sz="4" w:space="0"/>
              <w:right w:val="single" w:color="000000" w:sz="4" w:space="0"/>
            </w:tcBorders>
            <w:noWrap w:val="0"/>
            <w:vAlign w:val="center"/>
          </w:tcPr>
          <w:p>
            <w:pPr>
              <w:pStyle w:val="32"/>
              <w:jc w:val="center"/>
              <w:rPr>
                <w:rFonts w:cs="Times New Roman"/>
                <w:color w:val="auto"/>
                <w:highlight w:val="none"/>
              </w:rPr>
            </w:pPr>
            <w:r>
              <w:rPr>
                <w:rFonts w:hint="eastAsia"/>
                <w:b/>
                <w:bCs/>
                <w:color w:val="auto"/>
                <w:sz w:val="21"/>
                <w:szCs w:val="21"/>
                <w:highlight w:val="none"/>
              </w:rPr>
              <w:t>评审因素与评分值</w:t>
            </w:r>
          </w:p>
        </w:tc>
        <w:tc>
          <w:tcPr>
            <w:tcW w:w="3691" w:type="dxa"/>
            <w:vMerge w:val="restart"/>
            <w:tcBorders>
              <w:top w:val="single" w:color="000000" w:sz="12" w:space="0"/>
              <w:left w:val="single" w:color="000000" w:sz="4" w:space="0"/>
              <w:right w:val="single" w:color="000000" w:sz="12" w:space="0"/>
            </w:tcBorders>
            <w:noWrap w:val="0"/>
            <w:vAlign w:val="center"/>
          </w:tcPr>
          <w:p>
            <w:pPr>
              <w:pStyle w:val="32"/>
              <w:jc w:val="center"/>
              <w:rPr>
                <w:rFonts w:hint="eastAsia"/>
                <w:b/>
                <w:bCs/>
                <w:color w:val="auto"/>
                <w:sz w:val="21"/>
                <w:szCs w:val="21"/>
                <w:highlight w:val="none"/>
              </w:rPr>
            </w:pPr>
            <w:r>
              <w:rPr>
                <w:rFonts w:hint="eastAsia"/>
                <w:b/>
                <w:bCs/>
                <w:color w:val="auto"/>
                <w:sz w:val="21"/>
                <w:szCs w:val="21"/>
                <w:highlight w:val="none"/>
              </w:rPr>
              <w:t>评分标准</w:t>
            </w:r>
          </w:p>
        </w:tc>
      </w:tr>
      <w:tr>
        <w:tblPrEx>
          <w:tblCellMar>
            <w:top w:w="0" w:type="dxa"/>
            <w:left w:w="108" w:type="dxa"/>
            <w:bottom w:w="0" w:type="dxa"/>
            <w:right w:w="108" w:type="dxa"/>
          </w:tblCellMar>
        </w:tblPrEx>
        <w:trPr>
          <w:trHeight w:val="771" w:hRule="atLeast"/>
          <w:jc w:val="center"/>
        </w:trPr>
        <w:tc>
          <w:tcPr>
            <w:tcW w:w="738" w:type="dxa"/>
            <w:tcBorders>
              <w:top w:val="single" w:color="auto" w:sz="4" w:space="0"/>
              <w:left w:val="single" w:color="000000" w:sz="12" w:space="0"/>
              <w:bottom w:val="single" w:color="000000" w:sz="6" w:space="0"/>
              <w:right w:val="single" w:color="auto" w:sz="4" w:space="0"/>
            </w:tcBorders>
            <w:noWrap w:val="0"/>
            <w:vAlign w:val="center"/>
          </w:tcPr>
          <w:p>
            <w:pPr>
              <w:pStyle w:val="32"/>
              <w:jc w:val="center"/>
              <w:rPr>
                <w:rFonts w:hint="eastAsia"/>
                <w:b/>
                <w:bCs/>
                <w:color w:val="auto"/>
                <w:sz w:val="21"/>
                <w:szCs w:val="21"/>
                <w:highlight w:val="none"/>
              </w:rPr>
            </w:pPr>
            <w:r>
              <w:rPr>
                <w:rFonts w:hint="eastAsia"/>
                <w:b/>
                <w:bCs/>
                <w:color w:val="auto"/>
                <w:sz w:val="21"/>
                <w:szCs w:val="21"/>
                <w:highlight w:val="none"/>
              </w:rPr>
              <w:t>序号</w:t>
            </w:r>
          </w:p>
        </w:tc>
        <w:tc>
          <w:tcPr>
            <w:tcW w:w="1437" w:type="dxa"/>
            <w:tcBorders>
              <w:top w:val="single" w:color="auto" w:sz="4" w:space="0"/>
              <w:left w:val="single" w:color="auto" w:sz="4" w:space="0"/>
              <w:bottom w:val="single" w:color="000000" w:sz="6" w:space="0"/>
            </w:tcBorders>
            <w:noWrap w:val="0"/>
            <w:vAlign w:val="center"/>
          </w:tcPr>
          <w:p>
            <w:pPr>
              <w:pStyle w:val="32"/>
              <w:jc w:val="center"/>
              <w:rPr>
                <w:rFonts w:hint="eastAsia"/>
                <w:b/>
                <w:bCs/>
                <w:color w:val="auto"/>
                <w:sz w:val="21"/>
                <w:szCs w:val="21"/>
                <w:highlight w:val="none"/>
              </w:rPr>
            </w:pPr>
            <w:r>
              <w:rPr>
                <w:rFonts w:hint="eastAsia"/>
                <w:b/>
                <w:bCs/>
                <w:color w:val="auto"/>
                <w:sz w:val="21"/>
                <w:szCs w:val="21"/>
                <w:highlight w:val="none"/>
              </w:rPr>
              <w:t>评审因素</w:t>
            </w:r>
          </w:p>
        </w:tc>
        <w:tc>
          <w:tcPr>
            <w:tcW w:w="1083" w:type="dxa"/>
            <w:tcBorders>
              <w:top w:val="single" w:color="auto" w:sz="4" w:space="0"/>
              <w:left w:val="single" w:color="auto" w:sz="4" w:space="0"/>
              <w:bottom w:val="single" w:color="000000" w:sz="6" w:space="0"/>
            </w:tcBorders>
            <w:noWrap w:val="0"/>
            <w:vAlign w:val="center"/>
          </w:tcPr>
          <w:p>
            <w:pPr>
              <w:pStyle w:val="32"/>
              <w:jc w:val="center"/>
              <w:rPr>
                <w:rFonts w:hint="eastAsia"/>
                <w:b/>
                <w:bCs/>
                <w:color w:val="auto"/>
                <w:sz w:val="21"/>
                <w:szCs w:val="21"/>
                <w:highlight w:val="none"/>
              </w:rPr>
            </w:pPr>
            <w:r>
              <w:rPr>
                <w:rFonts w:hint="eastAsia"/>
                <w:b/>
                <w:bCs/>
                <w:color w:val="auto"/>
                <w:sz w:val="21"/>
                <w:szCs w:val="21"/>
                <w:highlight w:val="none"/>
              </w:rPr>
              <w:t>评审因素评分值</w:t>
            </w:r>
          </w:p>
        </w:tc>
        <w:tc>
          <w:tcPr>
            <w:tcW w:w="1282" w:type="dxa"/>
            <w:tcBorders>
              <w:top w:val="single" w:color="auto" w:sz="4" w:space="0"/>
              <w:left w:val="single" w:color="auto" w:sz="4" w:space="0"/>
              <w:bottom w:val="single" w:color="000000" w:sz="6" w:space="0"/>
              <w:right w:val="single" w:color="auto" w:sz="4" w:space="0"/>
            </w:tcBorders>
            <w:noWrap w:val="0"/>
            <w:vAlign w:val="center"/>
          </w:tcPr>
          <w:p>
            <w:pPr>
              <w:pStyle w:val="32"/>
              <w:jc w:val="center"/>
              <w:rPr>
                <w:rFonts w:hint="eastAsia"/>
                <w:b/>
                <w:bCs/>
                <w:color w:val="auto"/>
                <w:sz w:val="21"/>
                <w:szCs w:val="21"/>
                <w:highlight w:val="none"/>
              </w:rPr>
            </w:pPr>
            <w:r>
              <w:rPr>
                <w:rFonts w:hint="eastAsia"/>
                <w:b/>
                <w:bCs/>
                <w:color w:val="auto"/>
                <w:sz w:val="21"/>
                <w:szCs w:val="21"/>
                <w:highlight w:val="none"/>
              </w:rPr>
              <w:t>各评审因素细分项</w:t>
            </w:r>
          </w:p>
        </w:tc>
        <w:tc>
          <w:tcPr>
            <w:tcW w:w="1133" w:type="dxa"/>
            <w:tcBorders>
              <w:top w:val="single" w:color="auto" w:sz="4" w:space="0"/>
              <w:left w:val="single" w:color="auto" w:sz="4" w:space="0"/>
              <w:bottom w:val="single" w:color="000000" w:sz="6" w:space="0"/>
              <w:right w:val="single" w:color="000000" w:sz="4" w:space="0"/>
            </w:tcBorders>
            <w:noWrap w:val="0"/>
            <w:vAlign w:val="center"/>
          </w:tcPr>
          <w:p>
            <w:pPr>
              <w:pStyle w:val="32"/>
              <w:jc w:val="center"/>
              <w:rPr>
                <w:rFonts w:hint="eastAsia"/>
                <w:b/>
                <w:bCs/>
                <w:color w:val="auto"/>
                <w:sz w:val="21"/>
                <w:szCs w:val="21"/>
                <w:highlight w:val="none"/>
              </w:rPr>
            </w:pPr>
            <w:r>
              <w:rPr>
                <w:rFonts w:hint="eastAsia"/>
                <w:b/>
                <w:bCs/>
                <w:color w:val="auto"/>
                <w:sz w:val="21"/>
                <w:szCs w:val="21"/>
                <w:highlight w:val="none"/>
              </w:rPr>
              <w:t>分值</w:t>
            </w:r>
          </w:p>
        </w:tc>
        <w:tc>
          <w:tcPr>
            <w:tcW w:w="3691" w:type="dxa"/>
            <w:vMerge w:val="continue"/>
            <w:tcBorders>
              <w:left w:val="single" w:color="000000" w:sz="4" w:space="0"/>
              <w:bottom w:val="single" w:color="000000" w:sz="6" w:space="0"/>
              <w:right w:val="single" w:color="000000" w:sz="12" w:space="0"/>
            </w:tcBorders>
            <w:noWrap w:val="0"/>
            <w:vAlign w:val="center"/>
          </w:tcPr>
          <w:p>
            <w:pPr>
              <w:pStyle w:val="32"/>
              <w:rPr>
                <w:color w:val="auto"/>
                <w:sz w:val="21"/>
                <w:szCs w:val="21"/>
                <w:highlight w:val="none"/>
              </w:rPr>
            </w:pPr>
          </w:p>
        </w:tc>
      </w:tr>
      <w:tr>
        <w:tblPrEx>
          <w:tblCellMar>
            <w:top w:w="0" w:type="dxa"/>
            <w:left w:w="108" w:type="dxa"/>
            <w:bottom w:w="0" w:type="dxa"/>
            <w:right w:w="108" w:type="dxa"/>
          </w:tblCellMar>
        </w:tblPrEx>
        <w:trPr>
          <w:trHeight w:val="1379" w:hRule="atLeast"/>
          <w:jc w:val="center"/>
        </w:trPr>
        <w:tc>
          <w:tcPr>
            <w:tcW w:w="738" w:type="dxa"/>
            <w:vMerge w:val="restart"/>
            <w:tcBorders>
              <w:top w:val="single" w:color="000000" w:sz="6" w:space="0"/>
              <w:left w:val="single" w:color="000000" w:sz="12" w:space="0"/>
              <w:bottom w:val="single" w:color="000000" w:sz="6" w:space="0"/>
              <w:right w:val="single" w:color="000000" w:sz="6" w:space="0"/>
            </w:tcBorders>
            <w:noWrap w:val="0"/>
            <w:vAlign w:val="center"/>
          </w:tcPr>
          <w:p>
            <w:pPr>
              <w:pStyle w:val="32"/>
              <w:jc w:val="center"/>
              <w:rPr>
                <w:rFonts w:ascii="Times New Roman" w:cs="Times New Roman"/>
                <w:color w:val="auto"/>
                <w:sz w:val="21"/>
                <w:szCs w:val="21"/>
                <w:highlight w:val="none"/>
              </w:rPr>
            </w:pPr>
            <w:r>
              <w:rPr>
                <w:rFonts w:ascii="Times New Roman" w:cs="Times New Roman"/>
                <w:color w:val="auto"/>
                <w:sz w:val="21"/>
                <w:szCs w:val="21"/>
                <w:highlight w:val="none"/>
              </w:rPr>
              <w:t>d.</w:t>
            </w:r>
          </w:p>
        </w:tc>
        <w:tc>
          <w:tcPr>
            <w:tcW w:w="1437"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32"/>
              <w:jc w:val="center"/>
              <w:rPr>
                <w:color w:val="auto"/>
                <w:sz w:val="21"/>
                <w:szCs w:val="21"/>
                <w:highlight w:val="none"/>
              </w:rPr>
            </w:pPr>
            <w:r>
              <w:rPr>
                <w:rFonts w:hint="eastAsia"/>
                <w:color w:val="auto"/>
                <w:sz w:val="21"/>
                <w:szCs w:val="21"/>
                <w:highlight w:val="none"/>
              </w:rPr>
              <w:t>对招标项目的理解和总体设计思路</w:t>
            </w:r>
          </w:p>
        </w:tc>
        <w:tc>
          <w:tcPr>
            <w:tcW w:w="1083" w:type="dxa"/>
            <w:vMerge w:val="restart"/>
            <w:tcBorders>
              <w:top w:val="single" w:color="000000" w:sz="6" w:space="0"/>
              <w:left w:val="single" w:color="000000" w:sz="6" w:space="0"/>
              <w:bottom w:val="single" w:color="000000" w:sz="6" w:space="0"/>
              <w:right w:val="single" w:color="000000" w:sz="4" w:space="0"/>
            </w:tcBorders>
            <w:noWrap w:val="0"/>
            <w:vAlign w:val="center"/>
          </w:tcPr>
          <w:p>
            <w:pPr>
              <w:pStyle w:val="32"/>
              <w:jc w:val="center"/>
              <w:rPr>
                <w:color w:val="auto"/>
                <w:sz w:val="21"/>
                <w:szCs w:val="21"/>
                <w:highlight w:val="none"/>
              </w:rPr>
            </w:pPr>
            <w:r>
              <w:rPr>
                <w:rFonts w:hint="eastAsia" w:ascii="Times New Roman" w:cs="Times New Roman"/>
                <w:color w:val="auto"/>
                <w:sz w:val="21"/>
                <w:szCs w:val="21"/>
                <w:highlight w:val="none"/>
              </w:rPr>
              <w:t>15</w:t>
            </w:r>
            <w:r>
              <w:rPr>
                <w:rFonts w:hint="eastAsia"/>
                <w:color w:val="auto"/>
                <w:sz w:val="21"/>
                <w:szCs w:val="21"/>
                <w:highlight w:val="none"/>
              </w:rPr>
              <w:t>分</w:t>
            </w:r>
          </w:p>
        </w:tc>
        <w:tc>
          <w:tcPr>
            <w:tcW w:w="1282" w:type="dxa"/>
            <w:tcBorders>
              <w:top w:val="single" w:color="000000" w:sz="6" w:space="0"/>
              <w:left w:val="single" w:color="000000" w:sz="4" w:space="0"/>
              <w:bottom w:val="single" w:color="000000" w:sz="6" w:space="0"/>
              <w:right w:val="single" w:color="auto" w:sz="4" w:space="0"/>
            </w:tcBorders>
            <w:noWrap w:val="0"/>
            <w:vAlign w:val="center"/>
          </w:tcPr>
          <w:p>
            <w:pPr>
              <w:pStyle w:val="32"/>
              <w:jc w:val="center"/>
              <w:rPr>
                <w:color w:val="auto"/>
                <w:sz w:val="21"/>
                <w:szCs w:val="21"/>
                <w:highlight w:val="none"/>
              </w:rPr>
            </w:pPr>
            <w:r>
              <w:rPr>
                <w:rFonts w:hint="eastAsia"/>
                <w:color w:val="auto"/>
                <w:sz w:val="21"/>
                <w:szCs w:val="21"/>
                <w:highlight w:val="none"/>
              </w:rPr>
              <w:t>对招标项目的理解</w:t>
            </w:r>
          </w:p>
        </w:tc>
        <w:tc>
          <w:tcPr>
            <w:tcW w:w="1133" w:type="dxa"/>
            <w:tcBorders>
              <w:top w:val="single" w:color="000000" w:sz="6" w:space="0"/>
              <w:left w:val="single" w:color="auto" w:sz="4" w:space="0"/>
              <w:bottom w:val="single" w:color="000000" w:sz="6" w:space="0"/>
              <w:right w:val="single" w:color="000000" w:sz="4" w:space="0"/>
            </w:tcBorders>
            <w:noWrap w:val="0"/>
            <w:vAlign w:val="center"/>
          </w:tcPr>
          <w:p>
            <w:pPr>
              <w:pStyle w:val="32"/>
              <w:jc w:val="center"/>
              <w:rPr>
                <w:color w:val="auto"/>
                <w:sz w:val="21"/>
                <w:szCs w:val="21"/>
                <w:highlight w:val="none"/>
              </w:rPr>
            </w:pPr>
            <w:r>
              <w:rPr>
                <w:rFonts w:hint="eastAsia" w:ascii="Times New Roman" w:cs="Times New Roman"/>
                <w:color w:val="auto"/>
                <w:sz w:val="21"/>
                <w:szCs w:val="21"/>
                <w:highlight w:val="none"/>
              </w:rPr>
              <w:t>6.5</w:t>
            </w:r>
            <w:r>
              <w:rPr>
                <w:rFonts w:hint="eastAsia"/>
                <w:color w:val="auto"/>
                <w:sz w:val="21"/>
                <w:szCs w:val="21"/>
                <w:highlight w:val="none"/>
              </w:rPr>
              <w:t>～</w:t>
            </w:r>
            <w:r>
              <w:rPr>
                <w:rFonts w:hint="eastAsia" w:ascii="Times New Roman" w:cs="Times New Roman"/>
                <w:color w:val="auto"/>
                <w:sz w:val="21"/>
                <w:szCs w:val="21"/>
                <w:highlight w:val="none"/>
              </w:rPr>
              <w:t>7</w:t>
            </w:r>
            <w:r>
              <w:rPr>
                <w:rFonts w:hint="eastAsia"/>
                <w:color w:val="auto"/>
                <w:sz w:val="21"/>
                <w:szCs w:val="21"/>
                <w:highlight w:val="none"/>
              </w:rPr>
              <w:t>分</w:t>
            </w:r>
          </w:p>
        </w:tc>
        <w:tc>
          <w:tcPr>
            <w:tcW w:w="3691" w:type="dxa"/>
            <w:tcBorders>
              <w:top w:val="single" w:color="000000" w:sz="6" w:space="0"/>
              <w:left w:val="single" w:color="000000" w:sz="4" w:space="0"/>
              <w:bottom w:val="single" w:color="000000" w:sz="6" w:space="0"/>
              <w:right w:val="single" w:color="000000" w:sz="12" w:space="0"/>
            </w:tcBorders>
            <w:noWrap w:val="0"/>
            <w:vAlign w:val="center"/>
          </w:tcPr>
          <w:p>
            <w:pPr>
              <w:pStyle w:val="32"/>
              <w:jc w:val="both"/>
              <w:rPr>
                <w:color w:val="auto"/>
                <w:sz w:val="21"/>
                <w:szCs w:val="21"/>
                <w:highlight w:val="none"/>
              </w:rPr>
            </w:pPr>
            <w:r>
              <w:rPr>
                <w:rFonts w:hint="eastAsia"/>
                <w:color w:val="auto"/>
                <w:sz w:val="21"/>
                <w:szCs w:val="21"/>
                <w:highlight w:val="none"/>
              </w:rPr>
              <w:t>对本项目功能、特点、重点、难点等理解一般的，得6.5～6.6分；较好的，得6.7～6.8分；理解深刻、有独到见解的，得6.9～7分；</w:t>
            </w:r>
            <w:r>
              <w:rPr>
                <w:color w:val="auto"/>
                <w:sz w:val="21"/>
                <w:szCs w:val="21"/>
                <w:highlight w:val="none"/>
              </w:rPr>
              <w:t xml:space="preserve"> </w:t>
            </w:r>
          </w:p>
        </w:tc>
      </w:tr>
      <w:tr>
        <w:tblPrEx>
          <w:tblCellMar>
            <w:top w:w="0" w:type="dxa"/>
            <w:left w:w="108" w:type="dxa"/>
            <w:bottom w:w="0" w:type="dxa"/>
            <w:right w:w="108" w:type="dxa"/>
          </w:tblCellMar>
        </w:tblPrEx>
        <w:trPr>
          <w:trHeight w:val="1130" w:hRule="atLeast"/>
          <w:jc w:val="center"/>
        </w:trPr>
        <w:tc>
          <w:tcPr>
            <w:tcW w:w="738" w:type="dxa"/>
            <w:vMerge w:val="continue"/>
            <w:tcBorders>
              <w:top w:val="single" w:color="000000" w:sz="6" w:space="0"/>
              <w:left w:val="single" w:color="000000" w:sz="12" w:space="0"/>
              <w:bottom w:val="single" w:color="000000" w:sz="6" w:space="0"/>
              <w:right w:val="single" w:color="000000" w:sz="6" w:space="0"/>
            </w:tcBorders>
            <w:noWrap w:val="0"/>
            <w:vAlign w:val="center"/>
          </w:tcPr>
          <w:p>
            <w:pPr>
              <w:pStyle w:val="32"/>
              <w:jc w:val="center"/>
              <w:rPr>
                <w:rFonts w:cs="Times New Roman"/>
                <w:color w:val="auto"/>
                <w:highlight w:val="none"/>
              </w:rPr>
            </w:pPr>
          </w:p>
        </w:tc>
        <w:tc>
          <w:tcPr>
            <w:tcW w:w="1437" w:type="dxa"/>
            <w:vMerge w:val="continue"/>
            <w:tcBorders>
              <w:top w:val="single" w:color="000000" w:sz="6" w:space="0"/>
              <w:left w:val="single" w:color="000000" w:sz="6" w:space="0"/>
              <w:bottom w:val="single" w:color="000000" w:sz="6" w:space="0"/>
              <w:right w:val="single" w:color="000000" w:sz="6" w:space="0"/>
            </w:tcBorders>
            <w:noWrap w:val="0"/>
            <w:vAlign w:val="center"/>
          </w:tcPr>
          <w:p>
            <w:pPr>
              <w:pStyle w:val="32"/>
              <w:rPr>
                <w:rFonts w:cs="Times New Roman"/>
                <w:color w:val="auto"/>
                <w:highlight w:val="none"/>
              </w:rPr>
            </w:pPr>
          </w:p>
        </w:tc>
        <w:tc>
          <w:tcPr>
            <w:tcW w:w="1083" w:type="dxa"/>
            <w:vMerge w:val="continue"/>
            <w:tcBorders>
              <w:top w:val="single" w:color="000000" w:sz="6" w:space="0"/>
              <w:left w:val="single" w:color="000000" w:sz="6" w:space="0"/>
              <w:bottom w:val="single" w:color="000000" w:sz="6" w:space="0"/>
              <w:right w:val="single" w:color="000000" w:sz="4" w:space="0"/>
            </w:tcBorders>
            <w:noWrap w:val="0"/>
            <w:vAlign w:val="center"/>
          </w:tcPr>
          <w:p>
            <w:pPr>
              <w:pStyle w:val="32"/>
              <w:jc w:val="center"/>
              <w:rPr>
                <w:rFonts w:cs="Times New Roman"/>
                <w:color w:val="auto"/>
                <w:highlight w:val="none"/>
              </w:rPr>
            </w:pPr>
          </w:p>
        </w:tc>
        <w:tc>
          <w:tcPr>
            <w:tcW w:w="1282" w:type="dxa"/>
            <w:tcBorders>
              <w:top w:val="single" w:color="000000" w:sz="6" w:space="0"/>
              <w:left w:val="single" w:color="000000" w:sz="4" w:space="0"/>
              <w:bottom w:val="single" w:color="000000" w:sz="6" w:space="0"/>
              <w:right w:val="single" w:color="000000" w:sz="4" w:space="0"/>
            </w:tcBorders>
            <w:noWrap w:val="0"/>
            <w:vAlign w:val="center"/>
          </w:tcPr>
          <w:p>
            <w:pPr>
              <w:pStyle w:val="32"/>
              <w:jc w:val="center"/>
              <w:rPr>
                <w:color w:val="auto"/>
                <w:sz w:val="21"/>
                <w:szCs w:val="21"/>
                <w:highlight w:val="none"/>
              </w:rPr>
            </w:pPr>
            <w:r>
              <w:rPr>
                <w:rFonts w:hint="eastAsia"/>
                <w:color w:val="auto"/>
                <w:sz w:val="21"/>
                <w:szCs w:val="21"/>
                <w:highlight w:val="none"/>
              </w:rPr>
              <w:t>总体设计思路</w:t>
            </w:r>
            <w:r>
              <w:rPr>
                <w:color w:val="auto"/>
                <w:sz w:val="21"/>
                <w:szCs w:val="21"/>
                <w:highlight w:val="none"/>
              </w:rPr>
              <w:t xml:space="preserve"> </w:t>
            </w:r>
          </w:p>
        </w:tc>
        <w:tc>
          <w:tcPr>
            <w:tcW w:w="1133" w:type="dxa"/>
            <w:tcBorders>
              <w:top w:val="single" w:color="000000" w:sz="6" w:space="0"/>
              <w:left w:val="single" w:color="000000" w:sz="4" w:space="0"/>
              <w:bottom w:val="single" w:color="000000" w:sz="6" w:space="0"/>
              <w:right w:val="single" w:color="000000" w:sz="4" w:space="0"/>
            </w:tcBorders>
            <w:noWrap w:val="0"/>
            <w:vAlign w:val="center"/>
          </w:tcPr>
          <w:p>
            <w:pPr>
              <w:pStyle w:val="32"/>
              <w:jc w:val="center"/>
              <w:rPr>
                <w:color w:val="auto"/>
                <w:sz w:val="21"/>
                <w:szCs w:val="21"/>
                <w:highlight w:val="none"/>
              </w:rPr>
            </w:pPr>
            <w:r>
              <w:rPr>
                <w:rFonts w:hint="eastAsia" w:ascii="Times New Roman" w:cs="Times New Roman"/>
                <w:color w:val="auto"/>
                <w:sz w:val="21"/>
                <w:szCs w:val="21"/>
                <w:highlight w:val="none"/>
              </w:rPr>
              <w:t>7.5</w:t>
            </w:r>
            <w:r>
              <w:rPr>
                <w:rFonts w:hint="eastAsia"/>
                <w:color w:val="auto"/>
                <w:sz w:val="21"/>
                <w:szCs w:val="21"/>
                <w:highlight w:val="none"/>
              </w:rPr>
              <w:t>～</w:t>
            </w:r>
            <w:r>
              <w:rPr>
                <w:rFonts w:hint="eastAsia" w:ascii="Times New Roman" w:cs="Times New Roman"/>
                <w:color w:val="auto"/>
                <w:sz w:val="21"/>
                <w:szCs w:val="21"/>
                <w:highlight w:val="none"/>
              </w:rPr>
              <w:t>8</w:t>
            </w:r>
            <w:r>
              <w:rPr>
                <w:rFonts w:hint="eastAsia"/>
                <w:color w:val="auto"/>
                <w:sz w:val="21"/>
                <w:szCs w:val="21"/>
                <w:highlight w:val="none"/>
              </w:rPr>
              <w:t>分</w:t>
            </w:r>
          </w:p>
        </w:tc>
        <w:tc>
          <w:tcPr>
            <w:tcW w:w="3691" w:type="dxa"/>
            <w:tcBorders>
              <w:top w:val="single" w:color="000000" w:sz="6" w:space="0"/>
              <w:left w:val="single" w:color="000000" w:sz="4" w:space="0"/>
              <w:bottom w:val="single" w:color="000000" w:sz="6" w:space="0"/>
              <w:right w:val="single" w:color="000000" w:sz="12" w:space="0"/>
            </w:tcBorders>
            <w:noWrap w:val="0"/>
            <w:vAlign w:val="center"/>
          </w:tcPr>
          <w:p>
            <w:pPr>
              <w:pStyle w:val="32"/>
              <w:jc w:val="both"/>
              <w:rPr>
                <w:color w:val="auto"/>
                <w:sz w:val="21"/>
                <w:szCs w:val="21"/>
                <w:highlight w:val="none"/>
              </w:rPr>
            </w:pPr>
            <w:r>
              <w:rPr>
                <w:rFonts w:hint="eastAsia"/>
                <w:color w:val="auto"/>
                <w:sz w:val="21"/>
                <w:szCs w:val="21"/>
                <w:highlight w:val="none"/>
              </w:rPr>
              <w:t>总体设计思路一般的，得7.5～7.6分；较清晰的，得7.7～7.8分；清晰的，得7.9～8分；</w:t>
            </w:r>
            <w:r>
              <w:rPr>
                <w:color w:val="auto"/>
                <w:sz w:val="21"/>
                <w:szCs w:val="21"/>
                <w:highlight w:val="none"/>
              </w:rPr>
              <w:t xml:space="preserve"> </w:t>
            </w:r>
          </w:p>
        </w:tc>
      </w:tr>
      <w:tr>
        <w:tblPrEx>
          <w:tblCellMar>
            <w:top w:w="0" w:type="dxa"/>
            <w:left w:w="108" w:type="dxa"/>
            <w:bottom w:w="0" w:type="dxa"/>
            <w:right w:w="108" w:type="dxa"/>
          </w:tblCellMar>
        </w:tblPrEx>
        <w:trPr>
          <w:trHeight w:val="2254" w:hRule="atLeast"/>
          <w:jc w:val="center"/>
        </w:trPr>
        <w:tc>
          <w:tcPr>
            <w:tcW w:w="738" w:type="dxa"/>
            <w:tcBorders>
              <w:top w:val="single" w:color="000000" w:sz="6" w:space="0"/>
              <w:left w:val="single" w:color="000000" w:sz="12" w:space="0"/>
              <w:bottom w:val="single" w:color="000000" w:sz="6" w:space="0"/>
              <w:right w:val="single" w:color="000000" w:sz="6" w:space="0"/>
            </w:tcBorders>
            <w:noWrap w:val="0"/>
            <w:vAlign w:val="center"/>
          </w:tcPr>
          <w:p>
            <w:pPr>
              <w:pStyle w:val="32"/>
              <w:jc w:val="center"/>
              <w:rPr>
                <w:rFonts w:ascii="Times New Roman" w:cs="Times New Roman"/>
                <w:color w:val="auto"/>
                <w:sz w:val="21"/>
                <w:szCs w:val="21"/>
                <w:highlight w:val="none"/>
              </w:rPr>
            </w:pPr>
            <w:r>
              <w:rPr>
                <w:rFonts w:ascii="Times New Roman" w:cs="Times New Roman"/>
                <w:color w:val="auto"/>
                <w:sz w:val="21"/>
                <w:szCs w:val="21"/>
                <w:highlight w:val="none"/>
              </w:rPr>
              <w:t>e.</w:t>
            </w:r>
          </w:p>
        </w:tc>
        <w:tc>
          <w:tcPr>
            <w:tcW w:w="1437" w:type="dxa"/>
            <w:tcBorders>
              <w:top w:val="single" w:color="000000" w:sz="6" w:space="0"/>
              <w:left w:val="single" w:color="000000" w:sz="6" w:space="0"/>
              <w:bottom w:val="single" w:color="000000" w:sz="6" w:space="0"/>
              <w:right w:val="single" w:color="000000" w:sz="6" w:space="0"/>
            </w:tcBorders>
            <w:noWrap w:val="0"/>
            <w:vAlign w:val="center"/>
          </w:tcPr>
          <w:p>
            <w:pPr>
              <w:pStyle w:val="32"/>
              <w:jc w:val="center"/>
              <w:rPr>
                <w:color w:val="auto"/>
                <w:sz w:val="21"/>
                <w:szCs w:val="21"/>
                <w:highlight w:val="none"/>
              </w:rPr>
            </w:pPr>
            <w:r>
              <w:rPr>
                <w:rFonts w:hint="eastAsia"/>
                <w:color w:val="auto"/>
                <w:sz w:val="21"/>
                <w:szCs w:val="21"/>
                <w:highlight w:val="none"/>
              </w:rPr>
              <w:t>对招标项目的特点、关键技术问题的认识及其对策措施</w:t>
            </w:r>
          </w:p>
        </w:tc>
        <w:tc>
          <w:tcPr>
            <w:tcW w:w="1083" w:type="dxa"/>
            <w:tcBorders>
              <w:top w:val="single" w:color="000000" w:sz="6" w:space="0"/>
              <w:left w:val="single" w:color="000000" w:sz="6" w:space="0"/>
              <w:bottom w:val="single" w:color="000000" w:sz="6" w:space="0"/>
              <w:right w:val="single" w:color="000000" w:sz="4" w:space="0"/>
            </w:tcBorders>
            <w:noWrap w:val="0"/>
            <w:vAlign w:val="center"/>
          </w:tcPr>
          <w:p>
            <w:pPr>
              <w:pStyle w:val="32"/>
              <w:jc w:val="center"/>
              <w:rPr>
                <w:color w:val="auto"/>
                <w:sz w:val="21"/>
                <w:szCs w:val="21"/>
                <w:highlight w:val="none"/>
              </w:rPr>
            </w:pPr>
            <w:r>
              <w:rPr>
                <w:rFonts w:hint="eastAsia" w:ascii="Times New Roman" w:cs="Times New Roman"/>
                <w:color w:val="auto"/>
                <w:sz w:val="21"/>
                <w:szCs w:val="21"/>
                <w:highlight w:val="none"/>
              </w:rPr>
              <w:t>13</w:t>
            </w:r>
            <w:r>
              <w:rPr>
                <w:rFonts w:hint="eastAsia"/>
                <w:color w:val="auto"/>
                <w:sz w:val="21"/>
                <w:szCs w:val="21"/>
                <w:highlight w:val="none"/>
              </w:rPr>
              <w:t>分</w:t>
            </w:r>
          </w:p>
        </w:tc>
        <w:tc>
          <w:tcPr>
            <w:tcW w:w="1282" w:type="dxa"/>
            <w:tcBorders>
              <w:top w:val="single" w:color="000000" w:sz="6" w:space="0"/>
              <w:left w:val="single" w:color="000000" w:sz="4" w:space="0"/>
              <w:bottom w:val="single" w:color="000000" w:sz="6" w:space="0"/>
              <w:right w:val="single" w:color="000000" w:sz="4" w:space="0"/>
            </w:tcBorders>
            <w:noWrap w:val="0"/>
            <w:vAlign w:val="center"/>
          </w:tcPr>
          <w:p>
            <w:pPr>
              <w:pStyle w:val="32"/>
              <w:jc w:val="center"/>
              <w:rPr>
                <w:color w:val="auto"/>
                <w:sz w:val="21"/>
                <w:szCs w:val="21"/>
                <w:highlight w:val="none"/>
              </w:rPr>
            </w:pPr>
            <w:r>
              <w:rPr>
                <w:rFonts w:hint="eastAsia"/>
                <w:color w:val="auto"/>
                <w:sz w:val="21"/>
                <w:szCs w:val="21"/>
                <w:highlight w:val="none"/>
              </w:rPr>
              <w:t>对招标项目的特点、关键技术问题的认识及其对策措施</w:t>
            </w:r>
          </w:p>
        </w:tc>
        <w:tc>
          <w:tcPr>
            <w:tcW w:w="1133" w:type="dxa"/>
            <w:tcBorders>
              <w:top w:val="single" w:color="000000" w:sz="6" w:space="0"/>
              <w:left w:val="single" w:color="000000" w:sz="4" w:space="0"/>
              <w:bottom w:val="single" w:color="000000" w:sz="6" w:space="0"/>
              <w:right w:val="single" w:color="000000" w:sz="4" w:space="0"/>
            </w:tcBorders>
            <w:noWrap w:val="0"/>
            <w:vAlign w:val="center"/>
          </w:tcPr>
          <w:p>
            <w:pPr>
              <w:pStyle w:val="32"/>
              <w:jc w:val="center"/>
              <w:rPr>
                <w:color w:val="auto"/>
                <w:sz w:val="21"/>
                <w:szCs w:val="21"/>
                <w:highlight w:val="none"/>
              </w:rPr>
            </w:pPr>
            <w:r>
              <w:rPr>
                <w:rFonts w:hint="eastAsia" w:ascii="Times New Roman" w:cs="Times New Roman"/>
                <w:color w:val="auto"/>
                <w:sz w:val="21"/>
                <w:szCs w:val="21"/>
                <w:highlight w:val="none"/>
              </w:rPr>
              <w:t>12.5</w:t>
            </w:r>
            <w:r>
              <w:rPr>
                <w:rFonts w:hint="eastAsia"/>
                <w:color w:val="auto"/>
                <w:sz w:val="21"/>
                <w:szCs w:val="21"/>
                <w:highlight w:val="none"/>
              </w:rPr>
              <w:t>～</w:t>
            </w:r>
            <w:r>
              <w:rPr>
                <w:rFonts w:hint="eastAsia" w:ascii="Times New Roman" w:cs="Times New Roman"/>
                <w:color w:val="auto"/>
                <w:sz w:val="21"/>
                <w:szCs w:val="21"/>
                <w:highlight w:val="none"/>
              </w:rPr>
              <w:t>13</w:t>
            </w:r>
            <w:r>
              <w:rPr>
                <w:rFonts w:hint="eastAsia"/>
                <w:color w:val="auto"/>
                <w:sz w:val="21"/>
                <w:szCs w:val="21"/>
                <w:highlight w:val="none"/>
              </w:rPr>
              <w:t>分</w:t>
            </w:r>
          </w:p>
        </w:tc>
        <w:tc>
          <w:tcPr>
            <w:tcW w:w="3691" w:type="dxa"/>
            <w:tcBorders>
              <w:top w:val="single" w:color="000000" w:sz="6" w:space="0"/>
              <w:left w:val="single" w:color="000000" w:sz="4" w:space="0"/>
              <w:bottom w:val="single" w:color="000000" w:sz="6" w:space="0"/>
              <w:right w:val="single" w:color="000000" w:sz="12" w:space="0"/>
            </w:tcBorders>
            <w:noWrap w:val="0"/>
            <w:vAlign w:val="center"/>
          </w:tcPr>
          <w:p>
            <w:pPr>
              <w:pStyle w:val="32"/>
              <w:rPr>
                <w:color w:val="auto"/>
                <w:sz w:val="21"/>
                <w:szCs w:val="21"/>
                <w:highlight w:val="none"/>
              </w:rPr>
            </w:pPr>
            <w:r>
              <w:rPr>
                <w:rFonts w:hint="eastAsia"/>
                <w:color w:val="auto"/>
                <w:sz w:val="21"/>
                <w:szCs w:val="21"/>
                <w:highlight w:val="none"/>
              </w:rPr>
              <w:t>对招标项目的特点及关键性技术问题把握一般，所提出的措施一般的，得12.5～12.6分；把握基本准确，所提出的措施基本有效可行的，得12.7～12.8分；把握准确，所提出的措施有效可行的，得12.9～13分。</w:t>
            </w:r>
            <w:r>
              <w:rPr>
                <w:color w:val="auto"/>
                <w:sz w:val="21"/>
                <w:szCs w:val="21"/>
                <w:highlight w:val="none"/>
              </w:rPr>
              <w:t xml:space="preserve"> </w:t>
            </w:r>
          </w:p>
        </w:tc>
      </w:tr>
      <w:tr>
        <w:tblPrEx>
          <w:tblCellMar>
            <w:top w:w="0" w:type="dxa"/>
            <w:left w:w="108" w:type="dxa"/>
            <w:bottom w:w="0" w:type="dxa"/>
            <w:right w:w="108" w:type="dxa"/>
          </w:tblCellMar>
        </w:tblPrEx>
        <w:trPr>
          <w:trHeight w:val="2353" w:hRule="atLeast"/>
          <w:jc w:val="center"/>
        </w:trPr>
        <w:tc>
          <w:tcPr>
            <w:tcW w:w="738" w:type="dxa"/>
            <w:tcBorders>
              <w:top w:val="single" w:color="000000" w:sz="6" w:space="0"/>
              <w:left w:val="single" w:color="000000" w:sz="12" w:space="0"/>
              <w:bottom w:val="single" w:color="000000" w:sz="6" w:space="0"/>
              <w:right w:val="single" w:color="000000" w:sz="6" w:space="0"/>
            </w:tcBorders>
            <w:noWrap w:val="0"/>
            <w:vAlign w:val="center"/>
          </w:tcPr>
          <w:p>
            <w:pPr>
              <w:pStyle w:val="32"/>
              <w:jc w:val="center"/>
              <w:rPr>
                <w:rFonts w:hint="eastAsia" w:ascii="Times New Roman" w:cs="Times New Roman"/>
                <w:color w:val="auto"/>
                <w:sz w:val="21"/>
                <w:szCs w:val="21"/>
                <w:highlight w:val="none"/>
              </w:rPr>
            </w:pPr>
            <w:r>
              <w:rPr>
                <w:rFonts w:hint="eastAsia" w:ascii="Times New Roman" w:cs="Times New Roman"/>
                <w:color w:val="auto"/>
                <w:sz w:val="21"/>
                <w:szCs w:val="21"/>
                <w:highlight w:val="none"/>
              </w:rPr>
              <w:t>f</w:t>
            </w:r>
            <w:r>
              <w:rPr>
                <w:rFonts w:ascii="Times New Roman" w:cs="Times New Roman"/>
                <w:color w:val="auto"/>
                <w:sz w:val="21"/>
                <w:szCs w:val="21"/>
                <w:highlight w:val="none"/>
              </w:rPr>
              <w:t>.</w:t>
            </w:r>
          </w:p>
        </w:tc>
        <w:tc>
          <w:tcPr>
            <w:tcW w:w="1437" w:type="dxa"/>
            <w:tcBorders>
              <w:top w:val="single" w:color="000000" w:sz="6" w:space="0"/>
              <w:left w:val="single" w:color="000000" w:sz="6" w:space="0"/>
              <w:bottom w:val="single" w:color="000000" w:sz="6" w:space="0"/>
              <w:right w:val="single" w:color="000000" w:sz="6" w:space="0"/>
            </w:tcBorders>
            <w:noWrap w:val="0"/>
            <w:vAlign w:val="center"/>
          </w:tcPr>
          <w:p>
            <w:pPr>
              <w:pStyle w:val="32"/>
              <w:jc w:val="center"/>
              <w:rPr>
                <w:color w:val="auto"/>
                <w:sz w:val="21"/>
                <w:szCs w:val="21"/>
                <w:highlight w:val="none"/>
              </w:rPr>
            </w:pPr>
            <w:r>
              <w:rPr>
                <w:rFonts w:hint="eastAsia"/>
                <w:color w:val="auto"/>
                <w:sz w:val="21"/>
                <w:szCs w:val="21"/>
                <w:highlight w:val="none"/>
              </w:rPr>
              <w:t>编制工作量及计划安排</w:t>
            </w:r>
          </w:p>
        </w:tc>
        <w:tc>
          <w:tcPr>
            <w:tcW w:w="1083" w:type="dxa"/>
            <w:tcBorders>
              <w:top w:val="single" w:color="000000" w:sz="6" w:space="0"/>
              <w:left w:val="single" w:color="000000" w:sz="6" w:space="0"/>
              <w:bottom w:val="single" w:color="000000" w:sz="6" w:space="0"/>
              <w:right w:val="single" w:color="000000" w:sz="4" w:space="0"/>
            </w:tcBorders>
            <w:noWrap w:val="0"/>
            <w:vAlign w:val="center"/>
          </w:tcPr>
          <w:p>
            <w:pPr>
              <w:pStyle w:val="32"/>
              <w:jc w:val="center"/>
              <w:rPr>
                <w:color w:val="auto"/>
                <w:sz w:val="21"/>
                <w:szCs w:val="21"/>
                <w:highlight w:val="none"/>
              </w:rPr>
            </w:pPr>
            <w:r>
              <w:rPr>
                <w:rFonts w:hint="eastAsia" w:ascii="Times New Roman" w:cs="Times New Roman"/>
                <w:color w:val="auto"/>
                <w:sz w:val="21"/>
                <w:szCs w:val="21"/>
                <w:highlight w:val="none"/>
              </w:rPr>
              <w:t>8</w:t>
            </w:r>
            <w:r>
              <w:rPr>
                <w:rFonts w:hint="eastAsia"/>
                <w:color w:val="auto"/>
                <w:sz w:val="21"/>
                <w:szCs w:val="21"/>
                <w:highlight w:val="none"/>
              </w:rPr>
              <w:t>分</w:t>
            </w:r>
          </w:p>
        </w:tc>
        <w:tc>
          <w:tcPr>
            <w:tcW w:w="1282" w:type="dxa"/>
            <w:tcBorders>
              <w:top w:val="single" w:color="000000" w:sz="6" w:space="0"/>
              <w:left w:val="single" w:color="000000" w:sz="4" w:space="0"/>
              <w:bottom w:val="single" w:color="000000" w:sz="6" w:space="0"/>
              <w:right w:val="single" w:color="000000" w:sz="4" w:space="0"/>
            </w:tcBorders>
            <w:noWrap w:val="0"/>
            <w:vAlign w:val="center"/>
          </w:tcPr>
          <w:p>
            <w:pPr>
              <w:pStyle w:val="32"/>
              <w:jc w:val="center"/>
              <w:rPr>
                <w:color w:val="auto"/>
                <w:sz w:val="21"/>
                <w:szCs w:val="21"/>
                <w:highlight w:val="none"/>
              </w:rPr>
            </w:pPr>
            <w:r>
              <w:rPr>
                <w:rFonts w:hint="eastAsia"/>
                <w:color w:val="auto"/>
                <w:sz w:val="21"/>
                <w:szCs w:val="21"/>
                <w:highlight w:val="none"/>
              </w:rPr>
              <w:t>编制工作量及计划安排</w:t>
            </w:r>
          </w:p>
        </w:tc>
        <w:tc>
          <w:tcPr>
            <w:tcW w:w="1133" w:type="dxa"/>
            <w:tcBorders>
              <w:top w:val="single" w:color="000000" w:sz="6" w:space="0"/>
              <w:left w:val="single" w:color="000000" w:sz="4" w:space="0"/>
              <w:bottom w:val="single" w:color="000000" w:sz="6" w:space="0"/>
              <w:right w:val="single" w:color="000000" w:sz="4" w:space="0"/>
            </w:tcBorders>
            <w:noWrap w:val="0"/>
            <w:vAlign w:val="center"/>
          </w:tcPr>
          <w:p>
            <w:pPr>
              <w:pStyle w:val="32"/>
              <w:ind w:firstLine="105" w:firstLineChars="50"/>
              <w:rPr>
                <w:color w:val="auto"/>
                <w:sz w:val="21"/>
                <w:szCs w:val="21"/>
                <w:highlight w:val="none"/>
              </w:rPr>
            </w:pPr>
            <w:r>
              <w:rPr>
                <w:rFonts w:hint="eastAsia" w:ascii="Times New Roman" w:cs="Times New Roman"/>
                <w:color w:val="auto"/>
                <w:sz w:val="21"/>
                <w:szCs w:val="21"/>
                <w:highlight w:val="none"/>
              </w:rPr>
              <w:t>7.5</w:t>
            </w:r>
            <w:r>
              <w:rPr>
                <w:rFonts w:hint="eastAsia"/>
                <w:color w:val="auto"/>
                <w:sz w:val="21"/>
                <w:szCs w:val="21"/>
                <w:highlight w:val="none"/>
              </w:rPr>
              <w:t>～</w:t>
            </w:r>
            <w:r>
              <w:rPr>
                <w:rFonts w:hint="eastAsia" w:ascii="Times New Roman" w:cs="Times New Roman"/>
                <w:color w:val="auto"/>
                <w:sz w:val="21"/>
                <w:szCs w:val="21"/>
                <w:highlight w:val="none"/>
              </w:rPr>
              <w:t>8</w:t>
            </w:r>
            <w:r>
              <w:rPr>
                <w:rFonts w:hint="eastAsia"/>
                <w:color w:val="auto"/>
                <w:sz w:val="21"/>
                <w:szCs w:val="21"/>
                <w:highlight w:val="none"/>
              </w:rPr>
              <w:t>分</w:t>
            </w:r>
          </w:p>
        </w:tc>
        <w:tc>
          <w:tcPr>
            <w:tcW w:w="3691" w:type="dxa"/>
            <w:tcBorders>
              <w:top w:val="single" w:color="000000" w:sz="6" w:space="0"/>
              <w:left w:val="single" w:color="000000" w:sz="4" w:space="0"/>
              <w:bottom w:val="single" w:color="000000" w:sz="6" w:space="0"/>
              <w:right w:val="single" w:color="000000" w:sz="12" w:space="0"/>
            </w:tcBorders>
            <w:noWrap w:val="0"/>
            <w:vAlign w:val="center"/>
          </w:tcPr>
          <w:p>
            <w:pPr>
              <w:pStyle w:val="32"/>
              <w:rPr>
                <w:color w:val="auto"/>
                <w:sz w:val="21"/>
                <w:szCs w:val="21"/>
                <w:highlight w:val="none"/>
              </w:rPr>
            </w:pPr>
            <w:r>
              <w:rPr>
                <w:rFonts w:hint="eastAsia"/>
                <w:color w:val="auto"/>
                <w:sz w:val="21"/>
                <w:szCs w:val="21"/>
                <w:highlight w:val="none"/>
              </w:rPr>
              <w:t>工作量及计划安排符合招标文件要求，内容一般，表述也一般的，得7.5～7.6分；较充实，表述较清晰，基本合理可行的，得7.7～7.8分；工作量及计划安排内容充实，表述清晰，合理可行的，得7.9～8分。</w:t>
            </w:r>
          </w:p>
        </w:tc>
      </w:tr>
      <w:tr>
        <w:tblPrEx>
          <w:tblCellMar>
            <w:top w:w="0" w:type="dxa"/>
            <w:left w:w="108" w:type="dxa"/>
            <w:bottom w:w="0" w:type="dxa"/>
            <w:right w:w="108" w:type="dxa"/>
          </w:tblCellMar>
        </w:tblPrEx>
        <w:trPr>
          <w:trHeight w:val="1701" w:hRule="atLeast"/>
          <w:jc w:val="center"/>
        </w:trPr>
        <w:tc>
          <w:tcPr>
            <w:tcW w:w="738" w:type="dxa"/>
            <w:tcBorders>
              <w:top w:val="single" w:color="000000" w:sz="6" w:space="0"/>
              <w:left w:val="single" w:color="000000" w:sz="12" w:space="0"/>
              <w:bottom w:val="single" w:color="000000" w:sz="6" w:space="0"/>
              <w:right w:val="single" w:color="000000" w:sz="6" w:space="0"/>
            </w:tcBorders>
            <w:noWrap w:val="0"/>
            <w:vAlign w:val="center"/>
          </w:tcPr>
          <w:p>
            <w:pPr>
              <w:pStyle w:val="32"/>
              <w:jc w:val="center"/>
              <w:rPr>
                <w:rFonts w:hint="eastAsia" w:ascii="Times New Roman" w:cs="Times New Roman"/>
                <w:color w:val="auto"/>
                <w:sz w:val="21"/>
                <w:szCs w:val="21"/>
                <w:highlight w:val="none"/>
              </w:rPr>
            </w:pPr>
            <w:r>
              <w:rPr>
                <w:rFonts w:hint="eastAsia" w:ascii="Times New Roman" w:cs="Times New Roman"/>
                <w:color w:val="auto"/>
                <w:sz w:val="21"/>
                <w:szCs w:val="21"/>
                <w:highlight w:val="none"/>
              </w:rPr>
              <w:t>g</w:t>
            </w:r>
            <w:r>
              <w:rPr>
                <w:rFonts w:ascii="Times New Roman" w:cs="Times New Roman"/>
                <w:color w:val="auto"/>
                <w:sz w:val="21"/>
                <w:szCs w:val="21"/>
                <w:highlight w:val="none"/>
              </w:rPr>
              <w:t>.</w:t>
            </w:r>
          </w:p>
        </w:tc>
        <w:tc>
          <w:tcPr>
            <w:tcW w:w="1437" w:type="dxa"/>
            <w:tcBorders>
              <w:top w:val="single" w:color="000000" w:sz="6" w:space="0"/>
              <w:left w:val="single" w:color="000000" w:sz="6" w:space="0"/>
              <w:bottom w:val="single" w:color="000000" w:sz="6" w:space="0"/>
              <w:right w:val="single" w:color="000000" w:sz="6" w:space="0"/>
            </w:tcBorders>
            <w:noWrap w:val="0"/>
            <w:vAlign w:val="center"/>
          </w:tcPr>
          <w:p>
            <w:pPr>
              <w:pStyle w:val="32"/>
              <w:jc w:val="center"/>
              <w:rPr>
                <w:color w:val="auto"/>
                <w:sz w:val="21"/>
                <w:szCs w:val="21"/>
                <w:highlight w:val="none"/>
              </w:rPr>
            </w:pPr>
            <w:r>
              <w:rPr>
                <w:rFonts w:hint="eastAsia"/>
                <w:color w:val="auto"/>
                <w:sz w:val="21"/>
                <w:szCs w:val="21"/>
                <w:highlight w:val="none"/>
              </w:rPr>
              <w:t>内容编制的质量保证措施、进度保证措施</w:t>
            </w:r>
          </w:p>
        </w:tc>
        <w:tc>
          <w:tcPr>
            <w:tcW w:w="1083" w:type="dxa"/>
            <w:tcBorders>
              <w:top w:val="single" w:color="000000" w:sz="6" w:space="0"/>
              <w:left w:val="single" w:color="000000" w:sz="6" w:space="0"/>
              <w:bottom w:val="single" w:color="000000" w:sz="6" w:space="0"/>
              <w:right w:val="single" w:color="000000" w:sz="4" w:space="0"/>
            </w:tcBorders>
            <w:noWrap w:val="0"/>
            <w:vAlign w:val="center"/>
          </w:tcPr>
          <w:p>
            <w:pPr>
              <w:pStyle w:val="32"/>
              <w:jc w:val="center"/>
              <w:rPr>
                <w:color w:val="auto"/>
                <w:sz w:val="21"/>
                <w:szCs w:val="21"/>
                <w:highlight w:val="none"/>
              </w:rPr>
            </w:pPr>
            <w:r>
              <w:rPr>
                <w:rFonts w:hint="eastAsia" w:ascii="Times New Roman" w:cs="Times New Roman"/>
                <w:color w:val="auto"/>
                <w:sz w:val="21"/>
                <w:szCs w:val="21"/>
                <w:highlight w:val="none"/>
              </w:rPr>
              <w:t>7</w:t>
            </w:r>
            <w:r>
              <w:rPr>
                <w:rFonts w:hint="eastAsia"/>
                <w:color w:val="auto"/>
                <w:sz w:val="21"/>
                <w:szCs w:val="21"/>
                <w:highlight w:val="none"/>
              </w:rPr>
              <w:t>分</w:t>
            </w:r>
          </w:p>
        </w:tc>
        <w:tc>
          <w:tcPr>
            <w:tcW w:w="1282" w:type="dxa"/>
            <w:tcBorders>
              <w:top w:val="single" w:color="000000" w:sz="6" w:space="0"/>
              <w:left w:val="single" w:color="000000" w:sz="4" w:space="0"/>
              <w:bottom w:val="single" w:color="000000" w:sz="6" w:space="0"/>
              <w:right w:val="single" w:color="000000" w:sz="4" w:space="0"/>
            </w:tcBorders>
            <w:noWrap w:val="0"/>
            <w:vAlign w:val="center"/>
          </w:tcPr>
          <w:p>
            <w:pPr>
              <w:pStyle w:val="32"/>
              <w:jc w:val="center"/>
              <w:rPr>
                <w:color w:val="auto"/>
                <w:sz w:val="21"/>
                <w:szCs w:val="21"/>
                <w:highlight w:val="none"/>
              </w:rPr>
            </w:pPr>
            <w:r>
              <w:rPr>
                <w:rFonts w:hint="eastAsia"/>
                <w:color w:val="auto"/>
                <w:sz w:val="21"/>
                <w:szCs w:val="21"/>
                <w:highlight w:val="none"/>
              </w:rPr>
              <w:t>内容编制的质量保证措施、进度保证措施</w:t>
            </w:r>
          </w:p>
        </w:tc>
        <w:tc>
          <w:tcPr>
            <w:tcW w:w="1133" w:type="dxa"/>
            <w:tcBorders>
              <w:top w:val="single" w:color="000000" w:sz="6" w:space="0"/>
              <w:left w:val="single" w:color="000000" w:sz="4" w:space="0"/>
              <w:bottom w:val="single" w:color="000000" w:sz="6" w:space="0"/>
              <w:right w:val="single" w:color="000000" w:sz="4" w:space="0"/>
            </w:tcBorders>
            <w:noWrap w:val="0"/>
            <w:vAlign w:val="center"/>
          </w:tcPr>
          <w:p>
            <w:pPr>
              <w:pStyle w:val="32"/>
              <w:ind w:firstLine="105" w:firstLineChars="50"/>
              <w:rPr>
                <w:color w:val="auto"/>
                <w:sz w:val="21"/>
                <w:szCs w:val="21"/>
                <w:highlight w:val="none"/>
              </w:rPr>
            </w:pPr>
            <w:r>
              <w:rPr>
                <w:rFonts w:hint="eastAsia" w:ascii="Times New Roman" w:cs="Times New Roman"/>
                <w:color w:val="auto"/>
                <w:sz w:val="21"/>
                <w:szCs w:val="21"/>
                <w:highlight w:val="none"/>
              </w:rPr>
              <w:t>6.5</w:t>
            </w:r>
            <w:r>
              <w:rPr>
                <w:rFonts w:hint="eastAsia"/>
                <w:color w:val="auto"/>
                <w:sz w:val="21"/>
                <w:szCs w:val="21"/>
                <w:highlight w:val="none"/>
              </w:rPr>
              <w:t>～</w:t>
            </w:r>
            <w:r>
              <w:rPr>
                <w:rFonts w:hint="eastAsia" w:ascii="Times New Roman" w:cs="Times New Roman"/>
                <w:color w:val="auto"/>
                <w:sz w:val="21"/>
                <w:szCs w:val="21"/>
                <w:highlight w:val="none"/>
              </w:rPr>
              <w:t>7</w:t>
            </w:r>
            <w:r>
              <w:rPr>
                <w:rFonts w:hint="eastAsia"/>
                <w:color w:val="auto"/>
                <w:sz w:val="21"/>
                <w:szCs w:val="21"/>
                <w:highlight w:val="none"/>
              </w:rPr>
              <w:t>分</w:t>
            </w:r>
          </w:p>
        </w:tc>
        <w:tc>
          <w:tcPr>
            <w:tcW w:w="3691" w:type="dxa"/>
            <w:tcBorders>
              <w:top w:val="single" w:color="000000" w:sz="6" w:space="0"/>
              <w:left w:val="single" w:color="000000" w:sz="4" w:space="0"/>
              <w:bottom w:val="single" w:color="000000" w:sz="6" w:space="0"/>
              <w:right w:val="single" w:color="000000" w:sz="12" w:space="0"/>
            </w:tcBorders>
            <w:noWrap w:val="0"/>
            <w:vAlign w:val="center"/>
          </w:tcPr>
          <w:p>
            <w:pPr>
              <w:pStyle w:val="32"/>
              <w:rPr>
                <w:color w:val="auto"/>
                <w:sz w:val="21"/>
                <w:szCs w:val="21"/>
                <w:highlight w:val="none"/>
              </w:rPr>
            </w:pPr>
            <w:r>
              <w:rPr>
                <w:rFonts w:hint="eastAsia"/>
                <w:color w:val="auto"/>
                <w:sz w:val="21"/>
                <w:szCs w:val="21"/>
                <w:highlight w:val="none"/>
              </w:rPr>
              <w:t>满足工作进度和质量要求、进度保证措施和质量保证措施一般的，得6.5～6.6分；基本可行的，得6.7～6.8分；可行的，得6.9～7分。</w:t>
            </w:r>
          </w:p>
        </w:tc>
      </w:tr>
      <w:tr>
        <w:tblPrEx>
          <w:tblCellMar>
            <w:top w:w="0" w:type="dxa"/>
            <w:left w:w="108" w:type="dxa"/>
            <w:bottom w:w="0" w:type="dxa"/>
            <w:right w:w="108" w:type="dxa"/>
          </w:tblCellMar>
        </w:tblPrEx>
        <w:trPr>
          <w:trHeight w:val="1698" w:hRule="atLeast"/>
          <w:jc w:val="center"/>
        </w:trPr>
        <w:tc>
          <w:tcPr>
            <w:tcW w:w="738" w:type="dxa"/>
            <w:tcBorders>
              <w:top w:val="single" w:color="000000" w:sz="6" w:space="0"/>
              <w:left w:val="single" w:color="000000" w:sz="12" w:space="0"/>
              <w:bottom w:val="single" w:color="000000" w:sz="12" w:space="0"/>
              <w:right w:val="single" w:color="000000" w:sz="6" w:space="0"/>
            </w:tcBorders>
            <w:noWrap w:val="0"/>
            <w:vAlign w:val="center"/>
          </w:tcPr>
          <w:p>
            <w:pPr>
              <w:pStyle w:val="32"/>
              <w:jc w:val="center"/>
              <w:rPr>
                <w:rFonts w:ascii="Times New Roman" w:cs="Times New Roman"/>
                <w:color w:val="auto"/>
                <w:sz w:val="21"/>
                <w:szCs w:val="21"/>
                <w:highlight w:val="none"/>
              </w:rPr>
            </w:pPr>
            <w:r>
              <w:rPr>
                <w:rFonts w:hint="eastAsia" w:ascii="Times New Roman" w:cs="Times New Roman"/>
                <w:color w:val="auto"/>
                <w:sz w:val="21"/>
                <w:szCs w:val="21"/>
                <w:highlight w:val="none"/>
              </w:rPr>
              <w:t>h</w:t>
            </w:r>
            <w:r>
              <w:rPr>
                <w:rFonts w:ascii="Times New Roman" w:cs="Times New Roman"/>
                <w:color w:val="auto"/>
                <w:sz w:val="21"/>
                <w:szCs w:val="21"/>
                <w:highlight w:val="none"/>
              </w:rPr>
              <w:t>.</w:t>
            </w:r>
          </w:p>
        </w:tc>
        <w:tc>
          <w:tcPr>
            <w:tcW w:w="1437" w:type="dxa"/>
            <w:tcBorders>
              <w:top w:val="single" w:color="000000" w:sz="6" w:space="0"/>
              <w:left w:val="single" w:color="000000" w:sz="6" w:space="0"/>
              <w:bottom w:val="single" w:color="000000" w:sz="12" w:space="0"/>
              <w:right w:val="single" w:color="000000" w:sz="6" w:space="0"/>
            </w:tcBorders>
            <w:noWrap w:val="0"/>
            <w:vAlign w:val="center"/>
          </w:tcPr>
          <w:p>
            <w:pPr>
              <w:pStyle w:val="32"/>
              <w:jc w:val="center"/>
              <w:rPr>
                <w:color w:val="auto"/>
                <w:sz w:val="21"/>
                <w:szCs w:val="21"/>
                <w:highlight w:val="none"/>
              </w:rPr>
            </w:pPr>
            <w:r>
              <w:rPr>
                <w:rFonts w:hint="eastAsia"/>
                <w:color w:val="auto"/>
                <w:sz w:val="21"/>
                <w:szCs w:val="21"/>
                <w:highlight w:val="none"/>
              </w:rPr>
              <w:t>后续服务的安排及保证措施</w:t>
            </w:r>
          </w:p>
        </w:tc>
        <w:tc>
          <w:tcPr>
            <w:tcW w:w="1083" w:type="dxa"/>
            <w:tcBorders>
              <w:top w:val="single" w:color="000000" w:sz="6" w:space="0"/>
              <w:left w:val="single" w:color="000000" w:sz="6" w:space="0"/>
              <w:bottom w:val="single" w:color="000000" w:sz="12" w:space="0"/>
              <w:right w:val="single" w:color="000000" w:sz="4" w:space="0"/>
            </w:tcBorders>
            <w:noWrap w:val="0"/>
            <w:vAlign w:val="center"/>
          </w:tcPr>
          <w:p>
            <w:pPr>
              <w:pStyle w:val="32"/>
              <w:jc w:val="center"/>
              <w:rPr>
                <w:color w:val="auto"/>
                <w:sz w:val="21"/>
                <w:szCs w:val="21"/>
                <w:highlight w:val="none"/>
              </w:rPr>
            </w:pPr>
            <w:r>
              <w:rPr>
                <w:rFonts w:hint="eastAsia" w:ascii="Times New Roman" w:cs="Times New Roman"/>
                <w:color w:val="auto"/>
                <w:sz w:val="21"/>
                <w:szCs w:val="21"/>
                <w:highlight w:val="none"/>
              </w:rPr>
              <w:t>7</w:t>
            </w:r>
            <w:r>
              <w:rPr>
                <w:rFonts w:hint="eastAsia"/>
                <w:color w:val="auto"/>
                <w:sz w:val="21"/>
                <w:szCs w:val="21"/>
                <w:highlight w:val="none"/>
              </w:rPr>
              <w:t>分</w:t>
            </w:r>
          </w:p>
        </w:tc>
        <w:tc>
          <w:tcPr>
            <w:tcW w:w="1282" w:type="dxa"/>
            <w:tcBorders>
              <w:top w:val="single" w:color="000000" w:sz="6" w:space="0"/>
              <w:left w:val="single" w:color="000000" w:sz="4" w:space="0"/>
              <w:bottom w:val="single" w:color="000000" w:sz="12" w:space="0"/>
              <w:right w:val="single" w:color="000000" w:sz="4" w:space="0"/>
            </w:tcBorders>
            <w:noWrap w:val="0"/>
            <w:vAlign w:val="center"/>
          </w:tcPr>
          <w:p>
            <w:pPr>
              <w:pStyle w:val="32"/>
              <w:jc w:val="center"/>
              <w:rPr>
                <w:color w:val="auto"/>
                <w:sz w:val="21"/>
                <w:szCs w:val="21"/>
                <w:highlight w:val="none"/>
              </w:rPr>
            </w:pPr>
            <w:r>
              <w:rPr>
                <w:rFonts w:hint="eastAsia"/>
                <w:color w:val="auto"/>
                <w:sz w:val="21"/>
                <w:szCs w:val="21"/>
                <w:highlight w:val="none"/>
              </w:rPr>
              <w:t>后续服务的安排及保证措施</w:t>
            </w:r>
          </w:p>
        </w:tc>
        <w:tc>
          <w:tcPr>
            <w:tcW w:w="1133" w:type="dxa"/>
            <w:tcBorders>
              <w:top w:val="single" w:color="000000" w:sz="6" w:space="0"/>
              <w:left w:val="single" w:color="000000" w:sz="4" w:space="0"/>
              <w:bottom w:val="single" w:color="000000" w:sz="12" w:space="0"/>
              <w:right w:val="single" w:color="000000" w:sz="4" w:space="0"/>
            </w:tcBorders>
            <w:noWrap w:val="0"/>
            <w:vAlign w:val="center"/>
          </w:tcPr>
          <w:p>
            <w:pPr>
              <w:pStyle w:val="32"/>
              <w:ind w:firstLine="105" w:firstLineChars="50"/>
              <w:rPr>
                <w:color w:val="auto"/>
                <w:sz w:val="21"/>
                <w:szCs w:val="21"/>
                <w:highlight w:val="none"/>
              </w:rPr>
            </w:pPr>
            <w:r>
              <w:rPr>
                <w:rFonts w:hint="eastAsia" w:ascii="Times New Roman" w:cs="Times New Roman"/>
                <w:color w:val="auto"/>
                <w:sz w:val="21"/>
                <w:szCs w:val="21"/>
                <w:highlight w:val="none"/>
              </w:rPr>
              <w:t>6.5</w:t>
            </w:r>
            <w:r>
              <w:rPr>
                <w:rFonts w:hint="eastAsia"/>
                <w:color w:val="auto"/>
                <w:sz w:val="21"/>
                <w:szCs w:val="21"/>
                <w:highlight w:val="none"/>
              </w:rPr>
              <w:t>～</w:t>
            </w:r>
            <w:r>
              <w:rPr>
                <w:rFonts w:hint="eastAsia" w:ascii="Times New Roman" w:cs="Times New Roman"/>
                <w:color w:val="auto"/>
                <w:sz w:val="21"/>
                <w:szCs w:val="21"/>
                <w:highlight w:val="none"/>
              </w:rPr>
              <w:t>7</w:t>
            </w:r>
            <w:r>
              <w:rPr>
                <w:rFonts w:hint="eastAsia"/>
                <w:color w:val="auto"/>
                <w:sz w:val="21"/>
                <w:szCs w:val="21"/>
                <w:highlight w:val="none"/>
              </w:rPr>
              <w:t>分</w:t>
            </w:r>
          </w:p>
        </w:tc>
        <w:tc>
          <w:tcPr>
            <w:tcW w:w="3691" w:type="dxa"/>
            <w:tcBorders>
              <w:top w:val="single" w:color="000000" w:sz="6" w:space="0"/>
              <w:left w:val="single" w:color="000000" w:sz="4" w:space="0"/>
              <w:bottom w:val="single" w:color="000000" w:sz="12" w:space="0"/>
              <w:right w:val="single" w:color="000000" w:sz="12" w:space="0"/>
            </w:tcBorders>
            <w:noWrap w:val="0"/>
            <w:vAlign w:val="center"/>
          </w:tcPr>
          <w:p>
            <w:pPr>
              <w:pStyle w:val="32"/>
              <w:jc w:val="both"/>
              <w:rPr>
                <w:color w:val="auto"/>
                <w:sz w:val="21"/>
                <w:szCs w:val="21"/>
                <w:highlight w:val="none"/>
              </w:rPr>
            </w:pPr>
            <w:r>
              <w:rPr>
                <w:rFonts w:hint="eastAsia"/>
                <w:color w:val="auto"/>
                <w:sz w:val="21"/>
                <w:szCs w:val="21"/>
                <w:highlight w:val="none"/>
              </w:rPr>
              <w:t>后续服务安排及措施，一般的，得6.5～6.6分；较好的，得6.7～6.8分；好的，得6.9～7分。</w:t>
            </w:r>
          </w:p>
        </w:tc>
      </w:tr>
    </w:tbl>
    <w:p>
      <w:pPr>
        <w:spacing w:after="0" w:line="266" w:lineRule="auto"/>
        <w:jc w:val="both"/>
        <w:rPr>
          <w:color w:val="auto"/>
          <w:sz w:val="21"/>
          <w:highlight w:val="none"/>
        </w:rPr>
        <w:sectPr>
          <w:pgSz w:w="11910" w:h="16840"/>
          <w:pgMar w:top="1020" w:right="860" w:bottom="860" w:left="960" w:header="0" w:footer="672" w:gutter="0"/>
          <w:pgBorders>
            <w:top w:val="none" w:sz="0" w:space="0"/>
            <w:left w:val="none" w:sz="0" w:space="0"/>
            <w:bottom w:val="none" w:sz="0" w:space="0"/>
            <w:right w:val="none" w:sz="0" w:space="0"/>
          </w:pgBorders>
          <w:cols w:space="720" w:num="1"/>
        </w:sectPr>
      </w:pPr>
    </w:p>
    <w:p>
      <w:pPr>
        <w:pStyle w:val="2"/>
        <w:spacing w:before="50" w:after="15"/>
        <w:ind w:right="515"/>
        <w:jc w:val="right"/>
        <w:rPr>
          <w:color w:val="auto"/>
          <w:highlight w:val="none"/>
        </w:rPr>
      </w:pPr>
      <w:r>
        <w:rPr>
          <w:color w:val="auto"/>
          <w:highlight w:val="none"/>
        </w:rPr>
        <w:t>续上表</w:t>
      </w:r>
    </w:p>
    <w:tbl>
      <w:tblPr>
        <w:tblStyle w:val="26"/>
        <w:tblW w:w="0" w:type="auto"/>
        <w:tblInd w:w="30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1"/>
        <w:gridCol w:w="1107"/>
        <w:gridCol w:w="1136"/>
        <w:gridCol w:w="1594"/>
        <w:gridCol w:w="1200"/>
        <w:gridCol w:w="375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5738" w:type="dxa"/>
            <w:gridSpan w:val="5"/>
            <w:tcBorders>
              <w:bottom w:val="single" w:color="000000" w:sz="6" w:space="0"/>
              <w:right w:val="single" w:color="000000" w:sz="6" w:space="0"/>
            </w:tcBorders>
          </w:tcPr>
          <w:p>
            <w:pPr>
              <w:pStyle w:val="31"/>
              <w:spacing w:before="24"/>
              <w:ind w:left="2236"/>
              <w:rPr>
                <w:b/>
                <w:color w:val="auto"/>
                <w:sz w:val="21"/>
                <w:highlight w:val="none"/>
              </w:rPr>
            </w:pPr>
            <w:r>
              <w:rPr>
                <w:b/>
                <w:color w:val="auto"/>
                <w:sz w:val="21"/>
                <w:highlight w:val="none"/>
              </w:rPr>
              <w:t>评审因素与评分值</w:t>
            </w:r>
          </w:p>
        </w:tc>
        <w:tc>
          <w:tcPr>
            <w:tcW w:w="3754" w:type="dxa"/>
            <w:vMerge w:val="restart"/>
            <w:tcBorders>
              <w:left w:val="single" w:color="000000" w:sz="6" w:space="0"/>
              <w:bottom w:val="single" w:color="000000" w:sz="6" w:space="0"/>
            </w:tcBorders>
          </w:tcPr>
          <w:p>
            <w:pPr>
              <w:pStyle w:val="31"/>
              <w:spacing w:before="10"/>
              <w:rPr>
                <w:color w:val="auto"/>
                <w:sz w:val="26"/>
                <w:highlight w:val="none"/>
              </w:rPr>
            </w:pPr>
          </w:p>
          <w:p>
            <w:pPr>
              <w:pStyle w:val="31"/>
              <w:ind w:left="1442" w:right="1406"/>
              <w:jc w:val="center"/>
              <w:rPr>
                <w:b/>
                <w:color w:val="auto"/>
                <w:sz w:val="21"/>
                <w:highlight w:val="none"/>
              </w:rPr>
            </w:pPr>
            <w:r>
              <w:rPr>
                <w:b/>
                <w:color w:val="auto"/>
                <w:sz w:val="21"/>
                <w:highlight w:val="none"/>
              </w:rPr>
              <w:t>评分标准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701" w:type="dxa"/>
            <w:tcBorders>
              <w:top w:val="single" w:color="000000" w:sz="6" w:space="0"/>
              <w:bottom w:val="single" w:color="000000" w:sz="6" w:space="0"/>
              <w:right w:val="single" w:color="000000" w:sz="6" w:space="0"/>
            </w:tcBorders>
          </w:tcPr>
          <w:p>
            <w:pPr>
              <w:pStyle w:val="31"/>
              <w:spacing w:before="178"/>
              <w:ind w:left="118" w:right="97"/>
              <w:jc w:val="center"/>
              <w:rPr>
                <w:b/>
                <w:color w:val="auto"/>
                <w:sz w:val="21"/>
                <w:highlight w:val="none"/>
              </w:rPr>
            </w:pPr>
            <w:r>
              <w:rPr>
                <w:b/>
                <w:color w:val="auto"/>
                <w:sz w:val="21"/>
                <w:highlight w:val="none"/>
              </w:rPr>
              <w:t>序号</w:t>
            </w:r>
          </w:p>
        </w:tc>
        <w:tc>
          <w:tcPr>
            <w:tcW w:w="1107" w:type="dxa"/>
            <w:tcBorders>
              <w:top w:val="single" w:color="000000" w:sz="6" w:space="0"/>
              <w:left w:val="single" w:color="000000" w:sz="6" w:space="0"/>
              <w:bottom w:val="single" w:color="000000" w:sz="6" w:space="0"/>
              <w:right w:val="single" w:color="000000" w:sz="6" w:space="0"/>
            </w:tcBorders>
          </w:tcPr>
          <w:p>
            <w:pPr>
              <w:pStyle w:val="31"/>
              <w:spacing w:before="178"/>
              <w:ind w:right="106"/>
              <w:jc w:val="right"/>
              <w:rPr>
                <w:b/>
                <w:color w:val="auto"/>
                <w:sz w:val="21"/>
                <w:highlight w:val="none"/>
              </w:rPr>
            </w:pPr>
            <w:r>
              <w:rPr>
                <w:b/>
                <w:color w:val="auto"/>
                <w:sz w:val="21"/>
                <w:highlight w:val="none"/>
              </w:rPr>
              <w:t>评审因素</w:t>
            </w:r>
          </w:p>
        </w:tc>
        <w:tc>
          <w:tcPr>
            <w:tcW w:w="1136" w:type="dxa"/>
            <w:tcBorders>
              <w:top w:val="single" w:color="000000" w:sz="6" w:space="0"/>
              <w:left w:val="single" w:color="000000" w:sz="6" w:space="0"/>
              <w:bottom w:val="single" w:color="000000" w:sz="6" w:space="0"/>
              <w:right w:val="single" w:color="000000" w:sz="6" w:space="0"/>
            </w:tcBorders>
          </w:tcPr>
          <w:p>
            <w:pPr>
              <w:pStyle w:val="31"/>
              <w:spacing w:before="22"/>
              <w:ind w:left="152"/>
              <w:rPr>
                <w:b/>
                <w:color w:val="auto"/>
                <w:sz w:val="21"/>
                <w:highlight w:val="none"/>
              </w:rPr>
            </w:pPr>
            <w:r>
              <w:rPr>
                <w:b/>
                <w:color w:val="auto"/>
                <w:sz w:val="21"/>
                <w:highlight w:val="none"/>
              </w:rPr>
              <w:t>评审因素</w:t>
            </w:r>
          </w:p>
          <w:p>
            <w:pPr>
              <w:pStyle w:val="31"/>
              <w:spacing w:before="43"/>
              <w:ind w:left="255"/>
              <w:rPr>
                <w:b/>
                <w:color w:val="auto"/>
                <w:sz w:val="21"/>
                <w:highlight w:val="none"/>
              </w:rPr>
            </w:pPr>
            <w:r>
              <w:rPr>
                <w:b/>
                <w:color w:val="auto"/>
                <w:sz w:val="21"/>
                <w:highlight w:val="none"/>
              </w:rPr>
              <w:t>评分值</w:t>
            </w:r>
          </w:p>
        </w:tc>
        <w:tc>
          <w:tcPr>
            <w:tcW w:w="1594" w:type="dxa"/>
            <w:tcBorders>
              <w:top w:val="single" w:color="000000" w:sz="6" w:space="0"/>
              <w:left w:val="single" w:color="000000" w:sz="6" w:space="0"/>
              <w:bottom w:val="single" w:color="000000" w:sz="6" w:space="0"/>
              <w:right w:val="single" w:color="000000" w:sz="6" w:space="0"/>
            </w:tcBorders>
          </w:tcPr>
          <w:p>
            <w:pPr>
              <w:pStyle w:val="31"/>
              <w:spacing w:before="22"/>
              <w:ind w:left="149" w:right="124"/>
              <w:jc w:val="center"/>
              <w:rPr>
                <w:b/>
                <w:color w:val="auto"/>
                <w:sz w:val="21"/>
                <w:highlight w:val="none"/>
              </w:rPr>
            </w:pPr>
            <w:r>
              <w:rPr>
                <w:b/>
                <w:color w:val="auto"/>
                <w:sz w:val="21"/>
                <w:highlight w:val="none"/>
              </w:rPr>
              <w:t>各评审因素细</w:t>
            </w:r>
          </w:p>
          <w:p>
            <w:pPr>
              <w:pStyle w:val="31"/>
              <w:spacing w:before="43"/>
              <w:ind w:left="149" w:right="124"/>
              <w:jc w:val="center"/>
              <w:rPr>
                <w:b/>
                <w:color w:val="auto"/>
                <w:sz w:val="21"/>
                <w:highlight w:val="none"/>
              </w:rPr>
            </w:pPr>
            <w:r>
              <w:rPr>
                <w:b/>
                <w:color w:val="auto"/>
                <w:sz w:val="21"/>
                <w:highlight w:val="none"/>
              </w:rPr>
              <w:t>分项</w:t>
            </w:r>
          </w:p>
        </w:tc>
        <w:tc>
          <w:tcPr>
            <w:tcW w:w="1200" w:type="dxa"/>
            <w:tcBorders>
              <w:top w:val="single" w:color="000000" w:sz="6" w:space="0"/>
              <w:left w:val="single" w:color="000000" w:sz="6" w:space="0"/>
              <w:bottom w:val="single" w:color="000000" w:sz="6" w:space="0"/>
              <w:right w:val="single" w:color="000000" w:sz="6" w:space="0"/>
            </w:tcBorders>
          </w:tcPr>
          <w:p>
            <w:pPr>
              <w:pStyle w:val="31"/>
              <w:spacing w:before="178"/>
              <w:ind w:left="393"/>
              <w:rPr>
                <w:b/>
                <w:color w:val="auto"/>
                <w:sz w:val="21"/>
                <w:highlight w:val="none"/>
              </w:rPr>
            </w:pPr>
            <w:r>
              <w:rPr>
                <w:b/>
                <w:color w:val="auto"/>
                <w:sz w:val="21"/>
                <w:highlight w:val="none"/>
              </w:rPr>
              <w:t>分值</w:t>
            </w:r>
          </w:p>
        </w:tc>
        <w:tc>
          <w:tcPr>
            <w:tcW w:w="3754" w:type="dxa"/>
            <w:vMerge w:val="continue"/>
            <w:tcBorders>
              <w:top w:val="nil"/>
              <w:left w:val="single" w:color="000000" w:sz="6" w:space="0"/>
              <w:bottom w:val="single" w:color="000000" w:sz="6" w:space="0"/>
            </w:tcBorders>
          </w:tcPr>
          <w:p>
            <w:pPr>
              <w:rPr>
                <w:color w:val="auto"/>
                <w:sz w:val="2"/>
                <w:szCs w:val="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trPr>
        <w:tc>
          <w:tcPr>
            <w:tcW w:w="701" w:type="dxa"/>
            <w:vMerge w:val="restart"/>
            <w:tcBorders>
              <w:top w:val="single" w:color="000000" w:sz="6" w:space="0"/>
              <w:bottom w:val="single" w:color="000000" w:sz="6" w:space="0"/>
              <w:right w:val="single" w:color="000000" w:sz="6" w:space="0"/>
            </w:tcBorders>
          </w:tcPr>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spacing w:before="5"/>
              <w:rPr>
                <w:color w:val="auto"/>
                <w:sz w:val="20"/>
                <w:highlight w:val="none"/>
              </w:rPr>
            </w:pPr>
          </w:p>
          <w:p>
            <w:pPr>
              <w:pStyle w:val="31"/>
              <w:ind w:left="118" w:right="95"/>
              <w:jc w:val="center"/>
              <w:rPr>
                <w:rFonts w:ascii="Arial"/>
                <w:color w:val="auto"/>
                <w:sz w:val="21"/>
                <w:highlight w:val="none"/>
              </w:rPr>
            </w:pPr>
            <w:r>
              <w:rPr>
                <w:rFonts w:ascii="Arial"/>
                <w:color w:val="auto"/>
                <w:sz w:val="21"/>
                <w:highlight w:val="none"/>
              </w:rPr>
              <w:t>i.</w:t>
            </w:r>
          </w:p>
        </w:tc>
        <w:tc>
          <w:tcPr>
            <w:tcW w:w="1107" w:type="dxa"/>
            <w:vMerge w:val="restart"/>
            <w:tcBorders>
              <w:top w:val="single" w:color="000000" w:sz="6" w:space="0"/>
              <w:left w:val="single" w:color="000000" w:sz="6" w:space="0"/>
              <w:bottom w:val="single" w:color="000000" w:sz="6" w:space="0"/>
              <w:right w:val="single" w:color="000000" w:sz="6" w:space="0"/>
            </w:tcBorders>
          </w:tcPr>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spacing w:before="7"/>
              <w:rPr>
                <w:color w:val="auto"/>
                <w:sz w:val="27"/>
                <w:highlight w:val="none"/>
              </w:rPr>
            </w:pPr>
          </w:p>
          <w:p>
            <w:pPr>
              <w:pStyle w:val="31"/>
              <w:ind w:left="244"/>
              <w:rPr>
                <w:color w:val="auto"/>
                <w:sz w:val="21"/>
                <w:highlight w:val="none"/>
              </w:rPr>
            </w:pPr>
            <w:r>
              <w:rPr>
                <w:color w:val="auto"/>
                <w:sz w:val="21"/>
                <w:highlight w:val="none"/>
              </w:rPr>
              <w:t>投标价</w:t>
            </w:r>
          </w:p>
        </w:tc>
        <w:tc>
          <w:tcPr>
            <w:tcW w:w="1136" w:type="dxa"/>
            <w:vMerge w:val="restart"/>
            <w:tcBorders>
              <w:top w:val="single" w:color="000000" w:sz="6" w:space="0"/>
              <w:left w:val="single" w:color="000000" w:sz="6" w:space="0"/>
              <w:bottom w:val="single" w:color="000000" w:sz="6" w:space="0"/>
              <w:right w:val="single" w:color="000000" w:sz="6" w:space="0"/>
            </w:tcBorders>
          </w:tcPr>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spacing w:before="7"/>
              <w:rPr>
                <w:color w:val="auto"/>
                <w:sz w:val="19"/>
                <w:highlight w:val="none"/>
              </w:rPr>
            </w:pPr>
          </w:p>
          <w:p>
            <w:pPr>
              <w:pStyle w:val="31"/>
              <w:ind w:left="351"/>
              <w:rPr>
                <w:color w:val="auto"/>
                <w:sz w:val="21"/>
                <w:highlight w:val="none"/>
              </w:rPr>
            </w:pPr>
            <w:r>
              <w:rPr>
                <w:rFonts w:hint="eastAsia" w:ascii="Arial"/>
                <w:color w:val="auto"/>
                <w:sz w:val="21"/>
                <w:highlight w:val="none"/>
                <w:lang w:val="en-US" w:eastAsia="zh-CN"/>
              </w:rPr>
              <w:t>1</w:t>
            </w:r>
            <w:r>
              <w:rPr>
                <w:rFonts w:ascii="Arial" w:eastAsia="Arial"/>
                <w:color w:val="auto"/>
                <w:sz w:val="21"/>
                <w:highlight w:val="none"/>
              </w:rPr>
              <w:t>0</w:t>
            </w:r>
            <w:r>
              <w:rPr>
                <w:color w:val="auto"/>
                <w:sz w:val="21"/>
                <w:highlight w:val="none"/>
              </w:rPr>
              <w:t>分</w:t>
            </w:r>
          </w:p>
        </w:tc>
        <w:tc>
          <w:tcPr>
            <w:tcW w:w="6548" w:type="dxa"/>
            <w:gridSpan w:val="3"/>
            <w:tcBorders>
              <w:top w:val="single" w:color="000000" w:sz="6" w:space="0"/>
              <w:left w:val="single" w:color="000000" w:sz="6" w:space="0"/>
              <w:bottom w:val="single" w:color="000000" w:sz="6" w:space="0"/>
            </w:tcBorders>
            <w:vAlign w:val="center"/>
          </w:tcPr>
          <w:p>
            <w:pPr>
              <w:pStyle w:val="31"/>
              <w:spacing w:before="48"/>
              <w:ind w:left="113"/>
              <w:jc w:val="left"/>
              <w:rPr>
                <w:color w:val="auto"/>
                <w:sz w:val="21"/>
                <w:highlight w:val="none"/>
              </w:rPr>
            </w:pPr>
            <w:r>
              <w:rPr>
                <w:color w:val="auto"/>
                <w:spacing w:val="-10"/>
                <w:sz w:val="21"/>
                <w:highlight w:val="none"/>
              </w:rPr>
              <w:t>投标价的确定：</w:t>
            </w:r>
            <w:r>
              <w:rPr>
                <w:rFonts w:hint="eastAsia"/>
                <w:color w:val="auto"/>
                <w:spacing w:val="-10"/>
                <w:sz w:val="21"/>
                <w:highlight w:val="none"/>
              </w:rPr>
              <w:t>投标价=报价函费率报价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61" w:hRule="atLeast"/>
        </w:trPr>
        <w:tc>
          <w:tcPr>
            <w:tcW w:w="701" w:type="dxa"/>
            <w:vMerge w:val="continue"/>
            <w:tcBorders>
              <w:top w:val="nil"/>
              <w:bottom w:val="single" w:color="000000" w:sz="6" w:space="0"/>
              <w:right w:val="single" w:color="000000" w:sz="6" w:space="0"/>
            </w:tcBorders>
          </w:tcPr>
          <w:p>
            <w:pPr>
              <w:rPr>
                <w:color w:val="auto"/>
                <w:sz w:val="2"/>
                <w:szCs w:val="2"/>
                <w:highlight w:val="none"/>
              </w:rPr>
            </w:pPr>
          </w:p>
        </w:tc>
        <w:tc>
          <w:tcPr>
            <w:tcW w:w="1107" w:type="dxa"/>
            <w:vMerge w:val="continue"/>
            <w:tcBorders>
              <w:top w:val="nil"/>
              <w:left w:val="single" w:color="000000" w:sz="6" w:space="0"/>
              <w:bottom w:val="single" w:color="000000" w:sz="6" w:space="0"/>
              <w:right w:val="single" w:color="000000" w:sz="6" w:space="0"/>
            </w:tcBorders>
          </w:tcPr>
          <w:p>
            <w:pPr>
              <w:rPr>
                <w:color w:val="auto"/>
                <w:sz w:val="2"/>
                <w:szCs w:val="2"/>
                <w:highlight w:val="none"/>
              </w:rPr>
            </w:pPr>
          </w:p>
        </w:tc>
        <w:tc>
          <w:tcPr>
            <w:tcW w:w="1136" w:type="dxa"/>
            <w:vMerge w:val="continue"/>
            <w:tcBorders>
              <w:top w:val="nil"/>
              <w:left w:val="single" w:color="000000" w:sz="6" w:space="0"/>
              <w:bottom w:val="single" w:color="000000" w:sz="6" w:space="0"/>
              <w:right w:val="single" w:color="000000" w:sz="6" w:space="0"/>
            </w:tcBorders>
          </w:tcPr>
          <w:p>
            <w:pPr>
              <w:rPr>
                <w:color w:val="auto"/>
                <w:sz w:val="2"/>
                <w:szCs w:val="2"/>
                <w:highlight w:val="none"/>
              </w:rPr>
            </w:pPr>
          </w:p>
        </w:tc>
        <w:tc>
          <w:tcPr>
            <w:tcW w:w="6548" w:type="dxa"/>
            <w:gridSpan w:val="3"/>
            <w:tcBorders>
              <w:top w:val="single" w:color="000000" w:sz="6" w:space="0"/>
              <w:left w:val="single" w:color="000000" w:sz="6" w:space="0"/>
              <w:bottom w:val="single" w:color="000000" w:sz="6" w:space="0"/>
            </w:tcBorders>
          </w:tcPr>
          <w:p>
            <w:pPr>
              <w:pStyle w:val="31"/>
              <w:spacing w:before="25" w:line="278" w:lineRule="auto"/>
              <w:ind w:left="113" w:right="76" w:firstLine="314"/>
              <w:jc w:val="both"/>
              <w:rPr>
                <w:color w:val="auto"/>
                <w:sz w:val="21"/>
                <w:highlight w:val="none"/>
              </w:rPr>
            </w:pPr>
            <w:r>
              <w:rPr>
                <w:color w:val="auto"/>
                <w:spacing w:val="-8"/>
                <w:sz w:val="21"/>
                <w:highlight w:val="none"/>
              </w:rPr>
              <w:t>评标基准价的确定：按第一信封</w:t>
            </w:r>
            <w:r>
              <w:rPr>
                <w:color w:val="auto"/>
                <w:spacing w:val="-3"/>
                <w:sz w:val="21"/>
                <w:highlight w:val="none"/>
              </w:rPr>
              <w:t>（商务及技术文件</w:t>
            </w:r>
            <w:r>
              <w:rPr>
                <w:color w:val="auto"/>
                <w:spacing w:val="-24"/>
                <w:sz w:val="21"/>
                <w:highlight w:val="none"/>
              </w:rPr>
              <w:t>）</w:t>
            </w:r>
            <w:r>
              <w:rPr>
                <w:color w:val="auto"/>
                <w:spacing w:val="-3"/>
                <w:sz w:val="21"/>
                <w:highlight w:val="none"/>
              </w:rPr>
              <w:t>评审得分由高</w:t>
            </w:r>
            <w:r>
              <w:rPr>
                <w:color w:val="auto"/>
                <w:spacing w:val="-1"/>
                <w:sz w:val="21"/>
                <w:highlight w:val="none"/>
              </w:rPr>
              <w:t>到低的顺序，对投标人的第二信封</w:t>
            </w:r>
            <w:r>
              <w:rPr>
                <w:color w:val="auto"/>
                <w:sz w:val="21"/>
                <w:highlight w:val="none"/>
              </w:rPr>
              <w:t>（报价文件）</w:t>
            </w:r>
            <w:r>
              <w:rPr>
                <w:color w:val="auto"/>
                <w:spacing w:val="-4"/>
                <w:sz w:val="21"/>
                <w:highlight w:val="none"/>
              </w:rPr>
              <w:t>通过初步评审及算术</w:t>
            </w:r>
            <w:r>
              <w:rPr>
                <w:color w:val="auto"/>
                <w:sz w:val="21"/>
                <w:highlight w:val="none"/>
              </w:rPr>
              <w:t>性修正后投标报价不低于最高限价的</w:t>
            </w:r>
            <w:r>
              <w:rPr>
                <w:rFonts w:ascii="Arial" w:eastAsia="Arial"/>
                <w:color w:val="auto"/>
                <w:sz w:val="21"/>
                <w:highlight w:val="none"/>
              </w:rPr>
              <w:t>60%</w:t>
            </w:r>
            <w:r>
              <w:rPr>
                <w:color w:val="auto"/>
                <w:sz w:val="21"/>
                <w:highlight w:val="none"/>
              </w:rPr>
              <w:t>（含）</w:t>
            </w:r>
            <w:r>
              <w:rPr>
                <w:color w:val="auto"/>
                <w:spacing w:val="-2"/>
                <w:sz w:val="21"/>
                <w:highlight w:val="none"/>
              </w:rPr>
              <w:t>的前三名</w:t>
            </w:r>
            <w:r>
              <w:rPr>
                <w:color w:val="auto"/>
                <w:sz w:val="21"/>
                <w:highlight w:val="none"/>
              </w:rPr>
              <w:t>（</w:t>
            </w:r>
            <w:r>
              <w:rPr>
                <w:color w:val="auto"/>
                <w:spacing w:val="-4"/>
                <w:sz w:val="21"/>
                <w:highlight w:val="none"/>
              </w:rPr>
              <w:t>若不足三</w:t>
            </w:r>
            <w:r>
              <w:rPr>
                <w:color w:val="auto"/>
                <w:sz w:val="21"/>
                <w:highlight w:val="none"/>
              </w:rPr>
              <w:t>名，则选取相应数量）</w:t>
            </w:r>
            <w:r>
              <w:rPr>
                <w:color w:val="auto"/>
                <w:spacing w:val="-4"/>
                <w:sz w:val="21"/>
                <w:highlight w:val="none"/>
              </w:rPr>
              <w:t>投标人的投标价作算术平均，将该平均值作为</w:t>
            </w:r>
          </w:p>
          <w:p>
            <w:pPr>
              <w:pStyle w:val="31"/>
              <w:spacing w:line="268" w:lineRule="exact"/>
              <w:ind w:left="113"/>
              <w:rPr>
                <w:color w:val="auto"/>
                <w:sz w:val="21"/>
                <w:highlight w:val="none"/>
              </w:rPr>
            </w:pPr>
            <w:r>
              <w:rPr>
                <w:color w:val="auto"/>
                <w:sz w:val="21"/>
                <w:highlight w:val="none"/>
              </w:rPr>
              <w:t>评标基准价。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9" w:hRule="atLeast"/>
        </w:trPr>
        <w:tc>
          <w:tcPr>
            <w:tcW w:w="701" w:type="dxa"/>
            <w:vMerge w:val="continue"/>
            <w:tcBorders>
              <w:top w:val="nil"/>
              <w:bottom w:val="single" w:color="000000" w:sz="6" w:space="0"/>
              <w:right w:val="single" w:color="000000" w:sz="6" w:space="0"/>
            </w:tcBorders>
          </w:tcPr>
          <w:p>
            <w:pPr>
              <w:rPr>
                <w:color w:val="auto"/>
                <w:sz w:val="2"/>
                <w:szCs w:val="2"/>
                <w:highlight w:val="none"/>
              </w:rPr>
            </w:pPr>
          </w:p>
        </w:tc>
        <w:tc>
          <w:tcPr>
            <w:tcW w:w="1107" w:type="dxa"/>
            <w:vMerge w:val="continue"/>
            <w:tcBorders>
              <w:top w:val="nil"/>
              <w:left w:val="single" w:color="000000" w:sz="6" w:space="0"/>
              <w:bottom w:val="single" w:color="000000" w:sz="6" w:space="0"/>
              <w:right w:val="single" w:color="000000" w:sz="6" w:space="0"/>
            </w:tcBorders>
          </w:tcPr>
          <w:p>
            <w:pPr>
              <w:rPr>
                <w:color w:val="auto"/>
                <w:sz w:val="2"/>
                <w:szCs w:val="2"/>
                <w:highlight w:val="none"/>
              </w:rPr>
            </w:pPr>
          </w:p>
        </w:tc>
        <w:tc>
          <w:tcPr>
            <w:tcW w:w="1136" w:type="dxa"/>
            <w:vMerge w:val="continue"/>
            <w:tcBorders>
              <w:top w:val="nil"/>
              <w:left w:val="single" w:color="000000" w:sz="6" w:space="0"/>
              <w:bottom w:val="single" w:color="000000" w:sz="6" w:space="0"/>
              <w:right w:val="single" w:color="000000" w:sz="6" w:space="0"/>
            </w:tcBorders>
          </w:tcPr>
          <w:p>
            <w:pPr>
              <w:rPr>
                <w:color w:val="auto"/>
                <w:sz w:val="2"/>
                <w:szCs w:val="2"/>
                <w:highlight w:val="none"/>
              </w:rPr>
            </w:pPr>
          </w:p>
        </w:tc>
        <w:tc>
          <w:tcPr>
            <w:tcW w:w="6548" w:type="dxa"/>
            <w:gridSpan w:val="3"/>
            <w:tcBorders>
              <w:top w:val="single" w:color="000000" w:sz="6" w:space="0"/>
              <w:left w:val="single" w:color="000000" w:sz="6" w:space="0"/>
              <w:bottom w:val="single" w:color="000000" w:sz="6" w:space="0"/>
            </w:tcBorders>
          </w:tcPr>
          <w:p>
            <w:pPr>
              <w:pStyle w:val="31"/>
              <w:spacing w:before="22"/>
              <w:ind w:left="427"/>
              <w:rPr>
                <w:color w:val="auto"/>
                <w:sz w:val="21"/>
                <w:highlight w:val="none"/>
              </w:rPr>
            </w:pPr>
            <w:r>
              <w:rPr>
                <w:color w:val="auto"/>
                <w:sz w:val="21"/>
                <w:highlight w:val="none"/>
              </w:rPr>
              <w:t>投标价得分计算公式为（保留两位小数）：</w:t>
            </w:r>
          </w:p>
          <w:p>
            <w:pPr>
              <w:pStyle w:val="31"/>
              <w:numPr>
                <w:ilvl w:val="0"/>
                <w:numId w:val="8"/>
              </w:numPr>
              <w:tabs>
                <w:tab w:val="left" w:pos="969"/>
              </w:tabs>
              <w:spacing w:before="43" w:after="0" w:line="278" w:lineRule="auto"/>
              <w:ind w:left="113" w:right="81" w:firstLine="314"/>
              <w:jc w:val="left"/>
              <w:rPr>
                <w:color w:val="auto"/>
                <w:sz w:val="21"/>
                <w:highlight w:val="none"/>
              </w:rPr>
            </w:pPr>
            <w:r>
              <w:rPr>
                <w:color w:val="auto"/>
                <w:spacing w:val="-6"/>
                <w:sz w:val="21"/>
                <w:highlight w:val="none"/>
              </w:rPr>
              <w:t>如果投标人的投标价＞评标基准价，则投标价得分</w:t>
            </w:r>
            <w:r>
              <w:rPr>
                <w:rFonts w:ascii="Arial" w:hAnsi="Arial" w:eastAsia="Arial"/>
                <w:color w:val="auto"/>
                <w:sz w:val="21"/>
                <w:highlight w:val="none"/>
              </w:rPr>
              <w:t>=F</w:t>
            </w:r>
            <w:r>
              <w:rPr>
                <w:color w:val="auto"/>
                <w:sz w:val="21"/>
                <w:highlight w:val="none"/>
              </w:rPr>
              <w:t>－</w:t>
            </w:r>
            <w:r>
              <w:rPr>
                <w:rFonts w:hint="eastAsia"/>
                <w:color w:val="auto"/>
                <w:sz w:val="21"/>
                <w:highlight w:val="none"/>
                <w:lang w:eastAsia="zh-CN"/>
              </w:rPr>
              <w:t>（</w:t>
            </w:r>
            <w:r>
              <w:rPr>
                <w:color w:val="auto"/>
                <w:spacing w:val="-3"/>
                <w:sz w:val="21"/>
                <w:highlight w:val="none"/>
              </w:rPr>
              <w:t>投标人投标价</w:t>
            </w:r>
            <w:r>
              <w:rPr>
                <w:rFonts w:ascii="Arial" w:hAnsi="Arial" w:eastAsia="Arial"/>
                <w:color w:val="auto"/>
                <w:spacing w:val="-3"/>
                <w:sz w:val="21"/>
                <w:highlight w:val="none"/>
              </w:rPr>
              <w:t>—</w:t>
            </w:r>
            <w:r>
              <w:rPr>
                <w:color w:val="auto"/>
                <w:spacing w:val="-3"/>
                <w:sz w:val="21"/>
                <w:highlight w:val="none"/>
              </w:rPr>
              <w:t>评标基准价</w:t>
            </w:r>
            <w:r>
              <w:rPr>
                <w:rFonts w:hint="eastAsia"/>
                <w:color w:val="auto"/>
                <w:spacing w:val="-3"/>
                <w:sz w:val="21"/>
                <w:highlight w:val="none"/>
                <w:lang w:eastAsia="zh-CN"/>
              </w:rPr>
              <w:t>）</w:t>
            </w:r>
            <w:r>
              <w:rPr>
                <w:rFonts w:ascii="Arial" w:hAnsi="Arial" w:eastAsia="Arial"/>
                <w:color w:val="auto"/>
                <w:sz w:val="21"/>
                <w:highlight w:val="none"/>
              </w:rPr>
              <w:t>/</w:t>
            </w:r>
            <w:r>
              <w:rPr>
                <w:color w:val="auto"/>
                <w:spacing w:val="-3"/>
                <w:sz w:val="21"/>
                <w:highlight w:val="none"/>
              </w:rPr>
              <w:t>评标基准价</w:t>
            </w:r>
            <w:r>
              <w:rPr>
                <w:rFonts w:ascii="Arial" w:hAnsi="Arial" w:eastAsia="Arial"/>
                <w:color w:val="auto"/>
                <w:sz w:val="21"/>
                <w:highlight w:val="none"/>
              </w:rPr>
              <w:t>×100×E1</w:t>
            </w:r>
            <w:r>
              <w:rPr>
                <w:color w:val="auto"/>
                <w:sz w:val="21"/>
                <w:highlight w:val="none"/>
              </w:rPr>
              <w:t>；</w:t>
            </w:r>
          </w:p>
          <w:p>
            <w:pPr>
              <w:pStyle w:val="31"/>
              <w:numPr>
                <w:ilvl w:val="0"/>
                <w:numId w:val="8"/>
              </w:numPr>
              <w:tabs>
                <w:tab w:val="left" w:pos="969"/>
              </w:tabs>
              <w:spacing w:before="0" w:after="0" w:line="278" w:lineRule="auto"/>
              <w:ind w:left="113" w:right="76" w:firstLine="314"/>
              <w:jc w:val="left"/>
              <w:rPr>
                <w:color w:val="auto"/>
                <w:sz w:val="21"/>
                <w:highlight w:val="none"/>
              </w:rPr>
            </w:pPr>
            <w:r>
              <w:rPr>
                <w:color w:val="auto"/>
                <w:spacing w:val="-3"/>
                <w:sz w:val="21"/>
                <w:highlight w:val="none"/>
              </w:rPr>
              <w:t>如果投标人的投标价</w:t>
            </w:r>
            <w:r>
              <w:rPr>
                <w:rFonts w:ascii="Arial" w:hAnsi="Arial" w:eastAsia="Arial"/>
                <w:color w:val="auto"/>
                <w:sz w:val="21"/>
                <w:highlight w:val="none"/>
              </w:rPr>
              <w:t>≤</w:t>
            </w:r>
            <w:r>
              <w:rPr>
                <w:color w:val="auto"/>
                <w:spacing w:val="-3"/>
                <w:sz w:val="21"/>
                <w:highlight w:val="none"/>
              </w:rPr>
              <w:t>评标基准价，则投标价得分</w:t>
            </w:r>
            <w:r>
              <w:rPr>
                <w:rFonts w:ascii="Arial" w:hAnsi="Arial" w:eastAsia="Arial"/>
                <w:color w:val="auto"/>
                <w:sz w:val="21"/>
                <w:highlight w:val="none"/>
              </w:rPr>
              <w:t>=F</w:t>
            </w:r>
            <w:r>
              <w:rPr>
                <w:color w:val="auto"/>
                <w:sz w:val="21"/>
                <w:highlight w:val="none"/>
              </w:rPr>
              <w:t>＋</w:t>
            </w:r>
            <w:r>
              <w:rPr>
                <w:rFonts w:hint="eastAsia"/>
                <w:color w:val="auto"/>
                <w:sz w:val="21"/>
                <w:highlight w:val="none"/>
                <w:lang w:eastAsia="zh-CN"/>
              </w:rPr>
              <w:t>（</w:t>
            </w:r>
            <w:r>
              <w:rPr>
                <w:color w:val="auto"/>
                <w:sz w:val="21"/>
                <w:highlight w:val="none"/>
              </w:rPr>
              <w:t>投标</w:t>
            </w:r>
            <w:r>
              <w:rPr>
                <w:color w:val="auto"/>
                <w:spacing w:val="-1"/>
                <w:sz w:val="21"/>
                <w:highlight w:val="none"/>
              </w:rPr>
              <w:t>人投标价</w:t>
            </w:r>
            <w:r>
              <w:rPr>
                <w:rFonts w:ascii="Arial" w:hAnsi="Arial" w:eastAsia="Arial"/>
                <w:color w:val="auto"/>
                <w:spacing w:val="-3"/>
                <w:sz w:val="21"/>
                <w:highlight w:val="none"/>
              </w:rPr>
              <w:t>—</w:t>
            </w:r>
            <w:r>
              <w:rPr>
                <w:color w:val="auto"/>
                <w:spacing w:val="-3"/>
                <w:sz w:val="21"/>
                <w:highlight w:val="none"/>
              </w:rPr>
              <w:t>评标基准价</w:t>
            </w:r>
            <w:r>
              <w:rPr>
                <w:rFonts w:hint="eastAsia"/>
                <w:color w:val="auto"/>
                <w:spacing w:val="-3"/>
                <w:sz w:val="21"/>
                <w:highlight w:val="none"/>
                <w:lang w:eastAsia="zh-CN"/>
              </w:rPr>
              <w:t>）</w:t>
            </w:r>
            <w:r>
              <w:rPr>
                <w:rFonts w:ascii="Arial" w:hAnsi="Arial" w:eastAsia="Arial"/>
                <w:color w:val="auto"/>
                <w:sz w:val="21"/>
                <w:highlight w:val="none"/>
              </w:rPr>
              <w:t>/</w:t>
            </w:r>
            <w:r>
              <w:rPr>
                <w:color w:val="auto"/>
                <w:spacing w:val="-3"/>
                <w:sz w:val="21"/>
                <w:highlight w:val="none"/>
              </w:rPr>
              <w:t>评标基准价</w:t>
            </w:r>
            <w:r>
              <w:rPr>
                <w:rFonts w:ascii="Arial" w:hAnsi="Arial" w:eastAsia="Arial"/>
                <w:color w:val="auto"/>
                <w:sz w:val="21"/>
                <w:highlight w:val="none"/>
              </w:rPr>
              <w:t>×100×E2</w:t>
            </w:r>
            <w:r>
              <w:rPr>
                <w:color w:val="auto"/>
                <w:sz w:val="21"/>
                <w:highlight w:val="none"/>
              </w:rPr>
              <w:t>；</w:t>
            </w:r>
          </w:p>
          <w:p>
            <w:pPr>
              <w:pStyle w:val="31"/>
              <w:spacing w:line="269" w:lineRule="exact"/>
              <w:ind w:left="427"/>
              <w:rPr>
                <w:color w:val="auto"/>
                <w:sz w:val="21"/>
                <w:highlight w:val="none"/>
              </w:rPr>
            </w:pPr>
            <w:r>
              <w:rPr>
                <w:color w:val="auto"/>
                <w:sz w:val="21"/>
                <w:highlight w:val="none"/>
              </w:rPr>
              <w:t>其中：</w:t>
            </w:r>
            <w:r>
              <w:rPr>
                <w:rFonts w:ascii="Arial" w:eastAsia="Arial"/>
                <w:color w:val="auto"/>
                <w:sz w:val="21"/>
                <w:highlight w:val="none"/>
              </w:rPr>
              <w:t>F=10</w:t>
            </w:r>
            <w:r>
              <w:rPr>
                <w:color w:val="auto"/>
                <w:sz w:val="21"/>
                <w:highlight w:val="none"/>
              </w:rPr>
              <w:t>；</w:t>
            </w:r>
            <w:r>
              <w:rPr>
                <w:rFonts w:ascii="Arial" w:eastAsia="Arial"/>
                <w:color w:val="auto"/>
                <w:sz w:val="21"/>
                <w:highlight w:val="none"/>
              </w:rPr>
              <w:t>E1=0.</w:t>
            </w:r>
            <w:r>
              <w:rPr>
                <w:rFonts w:hint="eastAsia" w:ascii="Arial"/>
                <w:color w:val="auto"/>
                <w:sz w:val="21"/>
                <w:highlight w:val="none"/>
                <w:lang w:val="en-US" w:eastAsia="zh-CN"/>
              </w:rPr>
              <w:t>4</w:t>
            </w:r>
            <w:r>
              <w:rPr>
                <w:color w:val="auto"/>
                <w:sz w:val="21"/>
                <w:highlight w:val="none"/>
              </w:rPr>
              <w:t>；</w:t>
            </w:r>
            <w:r>
              <w:rPr>
                <w:rFonts w:ascii="Arial" w:eastAsia="Arial"/>
                <w:color w:val="auto"/>
                <w:sz w:val="21"/>
                <w:highlight w:val="none"/>
              </w:rPr>
              <w:t>E2 =0.</w:t>
            </w:r>
            <w:r>
              <w:rPr>
                <w:rFonts w:hint="eastAsia" w:ascii="Arial"/>
                <w:color w:val="auto"/>
                <w:sz w:val="21"/>
                <w:highlight w:val="none"/>
                <w:lang w:val="en-US" w:eastAsia="zh-CN"/>
              </w:rPr>
              <w:t>2</w:t>
            </w:r>
            <w:r>
              <w:rPr>
                <w:color w:val="auto"/>
                <w:sz w:val="21"/>
                <w:highlight w:val="none"/>
              </w:rPr>
              <w:t>。</w:t>
            </w:r>
          </w:p>
          <w:p>
            <w:pPr>
              <w:pStyle w:val="31"/>
              <w:spacing w:before="43" w:line="278" w:lineRule="auto"/>
              <w:ind w:left="113" w:right="76" w:firstLine="314"/>
              <w:jc w:val="both"/>
              <w:rPr>
                <w:color w:val="auto"/>
                <w:sz w:val="21"/>
                <w:highlight w:val="none"/>
              </w:rPr>
            </w:pPr>
            <w:r>
              <w:rPr>
                <w:color w:val="auto"/>
                <w:spacing w:val="-5"/>
                <w:sz w:val="21"/>
                <w:highlight w:val="none"/>
              </w:rPr>
              <w:t>其中，</w:t>
            </w:r>
            <w:r>
              <w:rPr>
                <w:rFonts w:ascii="Arial" w:eastAsia="Arial"/>
                <w:color w:val="auto"/>
                <w:spacing w:val="-11"/>
                <w:sz w:val="21"/>
                <w:highlight w:val="none"/>
              </w:rPr>
              <w:t>F</w:t>
            </w:r>
            <w:r>
              <w:rPr>
                <w:color w:val="auto"/>
                <w:spacing w:val="-4"/>
                <w:sz w:val="21"/>
                <w:highlight w:val="none"/>
              </w:rPr>
              <w:t>是投标价所占的评分满分值；</w:t>
            </w:r>
            <w:r>
              <w:rPr>
                <w:rFonts w:ascii="Arial" w:eastAsia="Arial"/>
                <w:color w:val="auto"/>
                <w:spacing w:val="-8"/>
                <w:sz w:val="21"/>
                <w:highlight w:val="none"/>
              </w:rPr>
              <w:t>E1</w:t>
            </w:r>
            <w:r>
              <w:rPr>
                <w:color w:val="auto"/>
                <w:spacing w:val="-3"/>
                <w:sz w:val="21"/>
                <w:highlight w:val="none"/>
              </w:rPr>
              <w:t>是投标价每高于评标基准</w:t>
            </w:r>
            <w:r>
              <w:rPr>
                <w:color w:val="auto"/>
                <w:spacing w:val="-4"/>
                <w:sz w:val="21"/>
                <w:highlight w:val="none"/>
              </w:rPr>
              <w:t>价一个百分点的扣分值；</w:t>
            </w:r>
            <w:r>
              <w:rPr>
                <w:rFonts w:ascii="Arial" w:eastAsia="Arial"/>
                <w:color w:val="auto"/>
                <w:spacing w:val="-8"/>
                <w:sz w:val="21"/>
                <w:highlight w:val="none"/>
              </w:rPr>
              <w:t>E2</w:t>
            </w:r>
            <w:r>
              <w:rPr>
                <w:color w:val="auto"/>
                <w:spacing w:val="-3"/>
                <w:sz w:val="21"/>
                <w:highlight w:val="none"/>
              </w:rPr>
              <w:t>是投标价每低于评标基准价一个百分点的扣分值。</w:t>
            </w:r>
          </w:p>
          <w:p>
            <w:pPr>
              <w:pStyle w:val="31"/>
              <w:spacing w:line="269" w:lineRule="exact"/>
              <w:ind w:left="427"/>
              <w:rPr>
                <w:color w:val="auto"/>
                <w:sz w:val="21"/>
                <w:highlight w:val="none"/>
              </w:rPr>
            </w:pPr>
            <w:r>
              <w:rPr>
                <w:color w:val="auto"/>
                <w:sz w:val="21"/>
                <w:highlight w:val="none"/>
              </w:rPr>
              <w:t>投标价得分计算保留两位小数。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4" w:hRule="atLeast"/>
        </w:trPr>
        <w:tc>
          <w:tcPr>
            <w:tcW w:w="9492" w:type="dxa"/>
            <w:gridSpan w:val="6"/>
            <w:tcBorders>
              <w:top w:val="single" w:color="000000" w:sz="6" w:space="0"/>
              <w:bottom w:val="single" w:color="000000" w:sz="6" w:space="0"/>
            </w:tcBorders>
          </w:tcPr>
          <w:p>
            <w:pPr>
              <w:pStyle w:val="31"/>
              <w:spacing w:before="44"/>
              <w:ind w:left="424"/>
              <w:rPr>
                <w:b/>
                <w:color w:val="auto"/>
                <w:sz w:val="21"/>
                <w:highlight w:val="none"/>
              </w:rPr>
            </w:pPr>
            <w:r>
              <w:rPr>
                <w:b/>
                <w:color w:val="auto"/>
                <w:sz w:val="21"/>
                <w:highlight w:val="none"/>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1" w:hRule="atLeast"/>
        </w:trPr>
        <w:tc>
          <w:tcPr>
            <w:tcW w:w="701" w:type="dxa"/>
            <w:tcBorders>
              <w:top w:val="single" w:color="000000" w:sz="6" w:space="0"/>
              <w:bottom w:val="single" w:color="000000" w:sz="6" w:space="0"/>
              <w:right w:val="single" w:color="000000" w:sz="6" w:space="0"/>
            </w:tcBorders>
          </w:tcPr>
          <w:p>
            <w:pPr>
              <w:pStyle w:val="31"/>
              <w:rPr>
                <w:color w:val="auto"/>
                <w:sz w:val="24"/>
                <w:highlight w:val="none"/>
              </w:rPr>
            </w:pPr>
          </w:p>
          <w:p>
            <w:pPr>
              <w:pStyle w:val="31"/>
              <w:spacing w:before="10"/>
              <w:rPr>
                <w:color w:val="auto"/>
                <w:sz w:val="21"/>
                <w:highlight w:val="none"/>
              </w:rPr>
            </w:pPr>
          </w:p>
          <w:p>
            <w:pPr>
              <w:pStyle w:val="31"/>
              <w:spacing w:before="1"/>
              <w:ind w:left="116" w:right="97"/>
              <w:jc w:val="center"/>
              <w:rPr>
                <w:rFonts w:ascii="Arial"/>
                <w:color w:val="auto"/>
                <w:sz w:val="21"/>
                <w:highlight w:val="none"/>
              </w:rPr>
            </w:pPr>
            <w:r>
              <w:rPr>
                <w:rFonts w:ascii="Arial"/>
                <w:color w:val="auto"/>
                <w:sz w:val="21"/>
                <w:highlight w:val="none"/>
              </w:rPr>
              <w:t>2.5</w:t>
            </w:r>
          </w:p>
        </w:tc>
        <w:tc>
          <w:tcPr>
            <w:tcW w:w="1107" w:type="dxa"/>
            <w:tcBorders>
              <w:top w:val="single" w:color="000000" w:sz="6" w:space="0"/>
              <w:left w:val="single" w:color="000000" w:sz="6" w:space="0"/>
              <w:bottom w:val="single" w:color="000000" w:sz="6" w:space="0"/>
              <w:right w:val="single" w:color="000000" w:sz="6" w:space="0"/>
            </w:tcBorders>
          </w:tcPr>
          <w:p>
            <w:pPr>
              <w:pStyle w:val="31"/>
              <w:rPr>
                <w:color w:val="auto"/>
                <w:sz w:val="20"/>
                <w:highlight w:val="none"/>
              </w:rPr>
            </w:pPr>
          </w:p>
          <w:p>
            <w:pPr>
              <w:pStyle w:val="31"/>
              <w:spacing w:before="176" w:line="249" w:lineRule="auto"/>
              <w:ind w:left="138" w:right="108"/>
              <w:rPr>
                <w:color w:val="auto"/>
                <w:sz w:val="21"/>
                <w:highlight w:val="none"/>
              </w:rPr>
            </w:pPr>
            <w:r>
              <w:rPr>
                <w:color w:val="auto"/>
                <w:sz w:val="21"/>
                <w:highlight w:val="none"/>
              </w:rPr>
              <w:t>第一信封详细评审</w:t>
            </w:r>
          </w:p>
        </w:tc>
        <w:tc>
          <w:tcPr>
            <w:tcW w:w="7684" w:type="dxa"/>
            <w:gridSpan w:val="4"/>
            <w:tcBorders>
              <w:top w:val="single" w:color="000000" w:sz="6" w:space="0"/>
              <w:left w:val="single" w:color="000000" w:sz="6" w:space="0"/>
              <w:bottom w:val="single" w:color="000000" w:sz="6" w:space="0"/>
            </w:tcBorders>
          </w:tcPr>
          <w:p>
            <w:pPr>
              <w:pStyle w:val="31"/>
              <w:spacing w:before="13" w:line="249" w:lineRule="auto"/>
              <w:ind w:left="113" w:right="78" w:firstLine="314"/>
              <w:rPr>
                <w:color w:val="auto"/>
                <w:sz w:val="21"/>
                <w:highlight w:val="none"/>
              </w:rPr>
            </w:pPr>
            <w:r>
              <w:rPr>
                <w:color w:val="auto"/>
                <w:spacing w:val="-3"/>
                <w:sz w:val="21"/>
                <w:highlight w:val="none"/>
              </w:rPr>
              <w:t>评标委员会只对通过初步评审的投标文件第一信封</w:t>
            </w:r>
            <w:r>
              <w:rPr>
                <w:color w:val="auto"/>
                <w:sz w:val="21"/>
                <w:highlight w:val="none"/>
              </w:rPr>
              <w:t>（</w:t>
            </w:r>
            <w:r>
              <w:rPr>
                <w:color w:val="auto"/>
                <w:spacing w:val="-2"/>
                <w:sz w:val="21"/>
                <w:highlight w:val="none"/>
              </w:rPr>
              <w:t>商务及技术文件</w:t>
            </w:r>
            <w:r>
              <w:rPr>
                <w:color w:val="auto"/>
                <w:spacing w:val="-3"/>
                <w:sz w:val="21"/>
                <w:highlight w:val="none"/>
              </w:rPr>
              <w:t>）</w:t>
            </w:r>
            <w:r>
              <w:rPr>
                <w:color w:val="auto"/>
                <w:spacing w:val="-2"/>
                <w:sz w:val="21"/>
                <w:highlight w:val="none"/>
              </w:rPr>
              <w:t>进行详</w:t>
            </w:r>
            <w:r>
              <w:rPr>
                <w:color w:val="auto"/>
                <w:spacing w:val="2"/>
                <w:sz w:val="21"/>
                <w:highlight w:val="none"/>
              </w:rPr>
              <w:t>细评审。评标委员会按</w:t>
            </w:r>
            <w:r>
              <w:rPr>
                <w:rFonts w:ascii="Arial" w:hAnsi="Arial" w:eastAsia="Arial"/>
                <w:color w:val="auto"/>
                <w:spacing w:val="3"/>
                <w:sz w:val="21"/>
                <w:highlight w:val="none"/>
              </w:rPr>
              <w:t>“</w:t>
            </w:r>
            <w:r>
              <w:rPr>
                <w:color w:val="auto"/>
                <w:spacing w:val="1"/>
                <w:sz w:val="21"/>
                <w:highlight w:val="none"/>
              </w:rPr>
              <w:t>评标办法前附表</w:t>
            </w:r>
            <w:r>
              <w:rPr>
                <w:rFonts w:ascii="Arial" w:hAnsi="Arial" w:eastAsia="Arial"/>
                <w:color w:val="auto"/>
                <w:spacing w:val="4"/>
                <w:sz w:val="21"/>
                <w:highlight w:val="none"/>
              </w:rPr>
              <w:t>”</w:t>
            </w:r>
            <w:r>
              <w:rPr>
                <w:color w:val="auto"/>
                <w:sz w:val="21"/>
                <w:highlight w:val="none"/>
              </w:rPr>
              <w:t>规定的评审因素和评分值进行独立评分</w:t>
            </w:r>
          </w:p>
          <w:p>
            <w:pPr>
              <w:pStyle w:val="31"/>
              <w:spacing w:before="2" w:line="247" w:lineRule="auto"/>
              <w:ind w:left="114" w:right="74"/>
              <w:rPr>
                <w:color w:val="auto"/>
                <w:sz w:val="21"/>
                <w:highlight w:val="none"/>
              </w:rPr>
            </w:pPr>
            <w:r>
              <w:rPr>
                <w:color w:val="auto"/>
                <w:sz w:val="21"/>
                <w:highlight w:val="none"/>
              </w:rPr>
              <w:t>（</w:t>
            </w:r>
            <w:r>
              <w:rPr>
                <w:color w:val="auto"/>
                <w:spacing w:val="-3"/>
                <w:sz w:val="21"/>
                <w:highlight w:val="none"/>
              </w:rPr>
              <w:t>保留一位小数</w:t>
            </w:r>
            <w:r>
              <w:rPr>
                <w:color w:val="auto"/>
                <w:spacing w:val="-32"/>
                <w:sz w:val="21"/>
                <w:highlight w:val="none"/>
              </w:rPr>
              <w:t>）</w:t>
            </w:r>
            <w:r>
              <w:rPr>
                <w:color w:val="auto"/>
                <w:spacing w:val="-10"/>
                <w:sz w:val="21"/>
                <w:highlight w:val="none"/>
              </w:rPr>
              <w:t>并署名，并且计算出各投标人的商务和技术得分。所有评委评分</w:t>
            </w:r>
            <w:r>
              <w:rPr>
                <w:color w:val="auto"/>
                <w:spacing w:val="-5"/>
                <w:sz w:val="21"/>
                <w:highlight w:val="none"/>
              </w:rPr>
              <w:t>去掉一个最高分和一个最低分后的算术平均值为第一信封</w:t>
            </w:r>
            <w:r>
              <w:rPr>
                <w:color w:val="auto"/>
                <w:sz w:val="21"/>
                <w:highlight w:val="none"/>
              </w:rPr>
              <w:t>（</w:t>
            </w:r>
            <w:r>
              <w:rPr>
                <w:color w:val="auto"/>
                <w:spacing w:val="-3"/>
                <w:sz w:val="21"/>
                <w:highlight w:val="none"/>
              </w:rPr>
              <w:t>商务及技术文件</w:t>
            </w:r>
            <w:r>
              <w:rPr>
                <w:color w:val="auto"/>
                <w:spacing w:val="-51"/>
                <w:sz w:val="21"/>
                <w:highlight w:val="none"/>
              </w:rPr>
              <w:t>）</w:t>
            </w:r>
            <w:r>
              <w:rPr>
                <w:color w:val="auto"/>
                <w:sz w:val="21"/>
                <w:highlight w:val="none"/>
              </w:rPr>
              <w:t>的最</w:t>
            </w:r>
          </w:p>
          <w:p>
            <w:pPr>
              <w:pStyle w:val="31"/>
              <w:spacing w:before="4" w:line="247" w:lineRule="exact"/>
              <w:ind w:left="114"/>
              <w:rPr>
                <w:color w:val="auto"/>
                <w:sz w:val="21"/>
                <w:highlight w:val="none"/>
              </w:rPr>
            </w:pPr>
            <w:r>
              <w:rPr>
                <w:color w:val="auto"/>
                <w:sz w:val="21"/>
                <w:highlight w:val="none"/>
              </w:rPr>
              <w:t>终得分（保留两位小数）。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69" w:hRule="atLeast"/>
        </w:trPr>
        <w:tc>
          <w:tcPr>
            <w:tcW w:w="701" w:type="dxa"/>
            <w:tcBorders>
              <w:top w:val="single" w:color="000000" w:sz="6" w:space="0"/>
              <w:bottom w:val="single" w:color="000000" w:sz="6" w:space="0"/>
              <w:right w:val="single" w:color="000000" w:sz="6" w:space="0"/>
            </w:tcBorders>
          </w:tcPr>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spacing w:before="4"/>
              <w:rPr>
                <w:color w:val="auto"/>
                <w:sz w:val="28"/>
                <w:highlight w:val="none"/>
              </w:rPr>
            </w:pPr>
          </w:p>
          <w:p>
            <w:pPr>
              <w:pStyle w:val="31"/>
              <w:ind w:left="118" w:right="95"/>
              <w:jc w:val="center"/>
              <w:rPr>
                <w:rFonts w:ascii="Arial"/>
                <w:color w:val="auto"/>
                <w:sz w:val="21"/>
                <w:highlight w:val="none"/>
              </w:rPr>
            </w:pPr>
            <w:r>
              <w:rPr>
                <w:rFonts w:ascii="Arial"/>
                <w:color w:val="auto"/>
                <w:sz w:val="21"/>
                <w:highlight w:val="none"/>
              </w:rPr>
              <w:t>2.11</w:t>
            </w:r>
          </w:p>
        </w:tc>
        <w:tc>
          <w:tcPr>
            <w:tcW w:w="1107" w:type="dxa"/>
            <w:tcBorders>
              <w:top w:val="single" w:color="000000" w:sz="6" w:space="0"/>
              <w:left w:val="single" w:color="000000" w:sz="6" w:space="0"/>
              <w:bottom w:val="single" w:color="000000" w:sz="6" w:space="0"/>
              <w:right w:val="single" w:color="000000" w:sz="6" w:space="0"/>
            </w:tcBorders>
          </w:tcPr>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spacing w:before="4"/>
              <w:rPr>
                <w:color w:val="auto"/>
                <w:sz w:val="19"/>
                <w:highlight w:val="none"/>
              </w:rPr>
            </w:pPr>
          </w:p>
          <w:p>
            <w:pPr>
              <w:pStyle w:val="31"/>
              <w:ind w:right="108"/>
              <w:jc w:val="right"/>
              <w:rPr>
                <w:color w:val="auto"/>
                <w:sz w:val="21"/>
                <w:highlight w:val="none"/>
              </w:rPr>
            </w:pPr>
            <w:r>
              <w:rPr>
                <w:color w:val="auto"/>
                <w:sz w:val="21"/>
                <w:highlight w:val="none"/>
              </w:rPr>
              <w:t>评标排序</w:t>
            </w:r>
          </w:p>
        </w:tc>
        <w:tc>
          <w:tcPr>
            <w:tcW w:w="7684" w:type="dxa"/>
            <w:gridSpan w:val="4"/>
            <w:tcBorders>
              <w:top w:val="single" w:color="000000" w:sz="6" w:space="0"/>
              <w:left w:val="single" w:color="000000" w:sz="6" w:space="0"/>
              <w:bottom w:val="single" w:color="000000" w:sz="6" w:space="0"/>
            </w:tcBorders>
          </w:tcPr>
          <w:p>
            <w:pPr>
              <w:pStyle w:val="31"/>
              <w:spacing w:before="13"/>
              <w:ind w:left="114"/>
              <w:rPr>
                <w:color w:val="auto"/>
                <w:sz w:val="21"/>
                <w:highlight w:val="none"/>
              </w:rPr>
            </w:pPr>
            <w:r>
              <w:rPr>
                <w:color w:val="auto"/>
                <w:sz w:val="21"/>
                <w:highlight w:val="none"/>
              </w:rPr>
              <w:t>本款细化为：</w:t>
            </w:r>
          </w:p>
          <w:p>
            <w:pPr>
              <w:pStyle w:val="31"/>
              <w:spacing w:before="9" w:line="249" w:lineRule="auto"/>
              <w:ind w:left="114" w:right="-29" w:firstLine="314"/>
              <w:rPr>
                <w:b/>
                <w:bCs/>
                <w:color w:val="auto"/>
                <w:sz w:val="21"/>
                <w:highlight w:val="none"/>
                <w:u w:val="single"/>
              </w:rPr>
            </w:pPr>
            <w:r>
              <w:rPr>
                <w:rFonts w:ascii="Arial" w:eastAsia="Arial"/>
                <w:color w:val="auto"/>
                <w:sz w:val="21"/>
                <w:highlight w:val="none"/>
              </w:rPr>
              <w:t>2.11</w:t>
            </w:r>
            <w:r>
              <w:rPr>
                <w:rFonts w:ascii="Arial" w:eastAsia="Arial"/>
                <w:color w:val="auto"/>
                <w:spacing w:val="3"/>
                <w:sz w:val="21"/>
                <w:highlight w:val="none"/>
              </w:rPr>
              <w:t xml:space="preserve"> </w:t>
            </w:r>
            <w:r>
              <w:rPr>
                <w:color w:val="auto"/>
                <w:spacing w:val="-8"/>
                <w:sz w:val="21"/>
                <w:highlight w:val="none"/>
              </w:rPr>
              <w:t>评标委员会应当按照评标办法的规定，独立评分并署名。各投标人的综合得分为商务和技术得分与报价得分之和。按照综合得分由高到低的顺序，评标委员</w:t>
            </w:r>
            <w:r>
              <w:rPr>
                <w:color w:val="auto"/>
                <w:spacing w:val="-11"/>
                <w:sz w:val="21"/>
                <w:highlight w:val="none"/>
              </w:rPr>
              <w:t>会对投标人进行排名。如最终综合得分相同时，则投标文件第一信封</w:t>
            </w:r>
            <w:r>
              <w:rPr>
                <w:color w:val="auto"/>
                <w:spacing w:val="-3"/>
                <w:sz w:val="21"/>
                <w:highlight w:val="none"/>
              </w:rPr>
              <w:t>（商务及技术</w:t>
            </w:r>
            <w:r>
              <w:rPr>
                <w:color w:val="auto"/>
                <w:sz w:val="21"/>
                <w:highlight w:val="none"/>
              </w:rPr>
              <w:t>文件</w:t>
            </w:r>
            <w:r>
              <w:rPr>
                <w:color w:val="auto"/>
                <w:spacing w:val="-3"/>
                <w:sz w:val="21"/>
                <w:highlight w:val="none"/>
              </w:rPr>
              <w:t>）得分较高的优先，如投标文件第一信封</w:t>
            </w:r>
            <w:r>
              <w:rPr>
                <w:color w:val="auto"/>
                <w:sz w:val="21"/>
                <w:highlight w:val="none"/>
              </w:rPr>
              <w:t>（</w:t>
            </w:r>
            <w:r>
              <w:rPr>
                <w:color w:val="auto"/>
                <w:spacing w:val="-3"/>
                <w:sz w:val="21"/>
                <w:highlight w:val="none"/>
              </w:rPr>
              <w:t xml:space="preserve">商务及技术文件）得分也相同时， </w:t>
            </w:r>
            <w:r>
              <w:rPr>
                <w:color w:val="auto"/>
                <w:spacing w:val="-17"/>
                <w:sz w:val="21"/>
                <w:highlight w:val="none"/>
              </w:rPr>
              <w:t>以投标价较低者优先，如投标价也相同时，以递交投标文件时间较前的投标人优先。</w:t>
            </w:r>
          </w:p>
          <w:p>
            <w:pPr>
              <w:pStyle w:val="31"/>
              <w:spacing w:before="3" w:line="247" w:lineRule="auto"/>
              <w:ind w:left="113" w:right="86" w:firstLine="314"/>
              <w:rPr>
                <w:color w:val="auto"/>
                <w:sz w:val="21"/>
                <w:highlight w:val="none"/>
              </w:rPr>
            </w:pPr>
            <w:r>
              <w:rPr>
                <w:color w:val="auto"/>
                <w:sz w:val="21"/>
                <w:highlight w:val="none"/>
              </w:rPr>
              <w:t>经评审有效投标文件少于三家，</w:t>
            </w:r>
            <w:r>
              <w:rPr>
                <w:rFonts w:hint="eastAsia"/>
                <w:color w:val="auto"/>
                <w:sz w:val="21"/>
                <w:highlight w:val="none"/>
                <w:lang w:eastAsia="zh-CN"/>
              </w:rPr>
              <w:t>以至于</w:t>
            </w:r>
            <w:r>
              <w:rPr>
                <w:color w:val="auto"/>
                <w:sz w:val="21"/>
                <w:highlight w:val="none"/>
              </w:rPr>
              <w:t>明显缺乏竞争的，经三分之二及以上评委认定，评标委员会可以决定本次招标无效。</w:t>
            </w:r>
          </w:p>
          <w:p>
            <w:pPr>
              <w:pStyle w:val="31"/>
              <w:spacing w:before="4"/>
              <w:ind w:left="428"/>
              <w:rPr>
                <w:color w:val="auto"/>
                <w:sz w:val="21"/>
                <w:highlight w:val="none"/>
              </w:rPr>
            </w:pPr>
            <w:r>
              <w:rPr>
                <w:color w:val="auto"/>
                <w:sz w:val="21"/>
                <w:highlight w:val="none"/>
              </w:rPr>
              <w:t>评标委员会经评审，认为所有投标都不满足招标文件要求的，可以否决所有投</w:t>
            </w:r>
          </w:p>
          <w:p>
            <w:pPr>
              <w:pStyle w:val="31"/>
              <w:spacing w:before="12" w:line="245" w:lineRule="exact"/>
              <w:ind w:left="113"/>
              <w:rPr>
                <w:color w:val="auto"/>
                <w:sz w:val="21"/>
                <w:highlight w:val="none"/>
              </w:rPr>
            </w:pPr>
            <w:r>
              <w:rPr>
                <w:color w:val="auto"/>
                <w:sz w:val="21"/>
                <w:highlight w:val="none"/>
              </w:rPr>
              <w:t>标。所有的投标文件均不能满足招标文件要求，招标人应当重新招标。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83" w:hRule="atLeast"/>
        </w:trPr>
        <w:tc>
          <w:tcPr>
            <w:tcW w:w="701" w:type="dxa"/>
            <w:tcBorders>
              <w:top w:val="single" w:color="000000" w:sz="6" w:space="0"/>
              <w:right w:val="single" w:color="000000" w:sz="6" w:space="0"/>
            </w:tcBorders>
          </w:tcPr>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rPr>
                <w:color w:val="auto"/>
                <w:sz w:val="24"/>
                <w:highlight w:val="none"/>
              </w:rPr>
            </w:pPr>
          </w:p>
          <w:p>
            <w:pPr>
              <w:pStyle w:val="31"/>
              <w:spacing w:before="197"/>
              <w:ind w:left="118" w:right="95"/>
              <w:jc w:val="center"/>
              <w:rPr>
                <w:rFonts w:ascii="Arial"/>
                <w:color w:val="auto"/>
                <w:sz w:val="21"/>
                <w:highlight w:val="none"/>
              </w:rPr>
            </w:pPr>
            <w:r>
              <w:rPr>
                <w:rFonts w:ascii="Arial"/>
                <w:color w:val="auto"/>
                <w:sz w:val="21"/>
                <w:highlight w:val="none"/>
              </w:rPr>
              <w:t>2.12</w:t>
            </w:r>
          </w:p>
        </w:tc>
        <w:tc>
          <w:tcPr>
            <w:tcW w:w="1107" w:type="dxa"/>
            <w:tcBorders>
              <w:top w:val="single" w:color="000000" w:sz="6" w:space="0"/>
              <w:left w:val="single" w:color="000000" w:sz="6" w:space="0"/>
              <w:right w:val="single" w:color="000000" w:sz="6" w:space="0"/>
            </w:tcBorders>
          </w:tcPr>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rPr>
                <w:color w:val="auto"/>
                <w:sz w:val="20"/>
                <w:highlight w:val="none"/>
              </w:rPr>
            </w:pPr>
          </w:p>
          <w:p>
            <w:pPr>
              <w:pStyle w:val="31"/>
              <w:spacing w:before="133"/>
              <w:ind w:right="108"/>
              <w:jc w:val="right"/>
              <w:rPr>
                <w:color w:val="auto"/>
                <w:sz w:val="21"/>
                <w:highlight w:val="none"/>
              </w:rPr>
            </w:pPr>
            <w:r>
              <w:rPr>
                <w:color w:val="auto"/>
                <w:sz w:val="21"/>
                <w:highlight w:val="none"/>
              </w:rPr>
              <w:t>评标结果</w:t>
            </w:r>
          </w:p>
        </w:tc>
        <w:tc>
          <w:tcPr>
            <w:tcW w:w="7684" w:type="dxa"/>
            <w:gridSpan w:val="4"/>
            <w:tcBorders>
              <w:top w:val="single" w:color="000000" w:sz="6" w:space="0"/>
              <w:left w:val="single" w:color="000000" w:sz="6" w:space="0"/>
            </w:tcBorders>
          </w:tcPr>
          <w:p>
            <w:pPr>
              <w:pStyle w:val="31"/>
              <w:spacing w:before="15"/>
              <w:ind w:left="114"/>
              <w:rPr>
                <w:color w:val="auto"/>
                <w:sz w:val="21"/>
                <w:highlight w:val="none"/>
              </w:rPr>
            </w:pPr>
            <w:r>
              <w:rPr>
                <w:color w:val="auto"/>
                <w:sz w:val="21"/>
                <w:highlight w:val="none"/>
              </w:rPr>
              <w:t>本款细化为：</w:t>
            </w:r>
          </w:p>
          <w:p>
            <w:pPr>
              <w:pStyle w:val="31"/>
              <w:spacing w:before="9"/>
              <w:ind w:left="428"/>
              <w:rPr>
                <w:color w:val="auto"/>
                <w:sz w:val="21"/>
                <w:highlight w:val="none"/>
              </w:rPr>
            </w:pPr>
            <w:r>
              <w:rPr>
                <w:rFonts w:ascii="Arial" w:eastAsia="Arial"/>
                <w:color w:val="auto"/>
                <w:sz w:val="21"/>
                <w:highlight w:val="none"/>
              </w:rPr>
              <w:t xml:space="preserve">2.12 </w:t>
            </w:r>
            <w:r>
              <w:rPr>
                <w:color w:val="auto"/>
                <w:sz w:val="21"/>
                <w:highlight w:val="none"/>
              </w:rPr>
              <w:t>评标结果</w:t>
            </w:r>
          </w:p>
          <w:p>
            <w:pPr>
              <w:pStyle w:val="31"/>
              <w:spacing w:before="12" w:line="249" w:lineRule="auto"/>
              <w:ind w:left="114" w:right="155" w:firstLine="314"/>
              <w:rPr>
                <w:color w:val="auto"/>
                <w:sz w:val="21"/>
                <w:highlight w:val="none"/>
              </w:rPr>
            </w:pPr>
            <w:r>
              <w:rPr>
                <w:color w:val="auto"/>
                <w:sz w:val="21"/>
                <w:highlight w:val="none"/>
              </w:rPr>
              <w:t>评标委员会应当在评标工作完成后，按</w:t>
            </w:r>
            <w:r>
              <w:rPr>
                <w:rFonts w:ascii="Arial" w:hAnsi="Arial" w:eastAsia="Arial"/>
                <w:color w:val="auto"/>
                <w:sz w:val="21"/>
                <w:highlight w:val="none"/>
              </w:rPr>
              <w:t>“</w:t>
            </w:r>
            <w:r>
              <w:rPr>
                <w:color w:val="auto"/>
                <w:sz w:val="21"/>
                <w:highlight w:val="none"/>
              </w:rPr>
              <w:t>评标办法前附表</w:t>
            </w:r>
            <w:r>
              <w:rPr>
                <w:rFonts w:ascii="Arial" w:hAnsi="Arial" w:eastAsia="Arial"/>
                <w:color w:val="auto"/>
                <w:sz w:val="21"/>
                <w:highlight w:val="none"/>
              </w:rPr>
              <w:t>”</w:t>
            </w:r>
            <w:r>
              <w:rPr>
                <w:color w:val="auto"/>
                <w:sz w:val="21"/>
                <w:highlight w:val="none"/>
              </w:rPr>
              <w:t>规定的人数推荐中标候选人并向招标人提出书面评标报告。评标报告应包括以下内容：</w:t>
            </w:r>
          </w:p>
          <w:p>
            <w:pPr>
              <w:pStyle w:val="31"/>
              <w:numPr>
                <w:ilvl w:val="0"/>
                <w:numId w:val="9"/>
              </w:numPr>
              <w:tabs>
                <w:tab w:val="left" w:pos="970"/>
              </w:tabs>
              <w:spacing w:before="0" w:after="0" w:line="269" w:lineRule="exact"/>
              <w:ind w:left="969" w:right="0" w:hanging="542"/>
              <w:jc w:val="left"/>
              <w:rPr>
                <w:color w:val="auto"/>
                <w:sz w:val="21"/>
                <w:highlight w:val="none"/>
              </w:rPr>
            </w:pPr>
            <w:r>
              <w:rPr>
                <w:color w:val="auto"/>
                <w:spacing w:val="-3"/>
                <w:sz w:val="21"/>
                <w:highlight w:val="none"/>
              </w:rPr>
              <w:t>评标工作回顾；</w:t>
            </w:r>
          </w:p>
          <w:p>
            <w:pPr>
              <w:pStyle w:val="31"/>
              <w:numPr>
                <w:ilvl w:val="0"/>
                <w:numId w:val="9"/>
              </w:numPr>
              <w:tabs>
                <w:tab w:val="left" w:pos="971"/>
              </w:tabs>
              <w:spacing w:before="12" w:after="0" w:line="240" w:lineRule="auto"/>
              <w:ind w:left="970" w:right="0" w:hanging="543"/>
              <w:jc w:val="left"/>
              <w:rPr>
                <w:color w:val="auto"/>
                <w:sz w:val="21"/>
                <w:highlight w:val="none"/>
              </w:rPr>
            </w:pPr>
            <w:r>
              <w:rPr>
                <w:color w:val="auto"/>
                <w:spacing w:val="-3"/>
                <w:sz w:val="21"/>
                <w:highlight w:val="none"/>
              </w:rPr>
              <w:t>评标委员会组成情况；</w:t>
            </w:r>
          </w:p>
          <w:p>
            <w:pPr>
              <w:pStyle w:val="31"/>
              <w:numPr>
                <w:ilvl w:val="0"/>
                <w:numId w:val="9"/>
              </w:numPr>
              <w:tabs>
                <w:tab w:val="left" w:pos="971"/>
              </w:tabs>
              <w:spacing w:before="12" w:after="0" w:line="240" w:lineRule="auto"/>
              <w:ind w:left="970" w:right="0" w:hanging="542"/>
              <w:jc w:val="left"/>
              <w:rPr>
                <w:color w:val="auto"/>
                <w:sz w:val="21"/>
                <w:highlight w:val="none"/>
              </w:rPr>
            </w:pPr>
            <w:r>
              <w:rPr>
                <w:color w:val="auto"/>
                <w:spacing w:val="-3"/>
                <w:sz w:val="21"/>
                <w:highlight w:val="none"/>
              </w:rPr>
              <w:t>否决投标情况说明；</w:t>
            </w:r>
          </w:p>
          <w:p>
            <w:pPr>
              <w:pStyle w:val="31"/>
              <w:numPr>
                <w:ilvl w:val="0"/>
                <w:numId w:val="9"/>
              </w:numPr>
              <w:tabs>
                <w:tab w:val="left" w:pos="971"/>
              </w:tabs>
              <w:spacing w:before="9" w:after="0" w:line="240" w:lineRule="auto"/>
              <w:ind w:left="970" w:right="0" w:hanging="542"/>
              <w:jc w:val="left"/>
              <w:rPr>
                <w:color w:val="auto"/>
                <w:sz w:val="21"/>
                <w:highlight w:val="none"/>
              </w:rPr>
            </w:pPr>
            <w:r>
              <w:rPr>
                <w:color w:val="auto"/>
                <w:spacing w:val="-3"/>
                <w:sz w:val="21"/>
                <w:highlight w:val="none"/>
              </w:rPr>
              <w:t>澄清、说明事项纪要；</w:t>
            </w:r>
          </w:p>
          <w:p>
            <w:pPr>
              <w:pStyle w:val="31"/>
              <w:numPr>
                <w:ilvl w:val="0"/>
                <w:numId w:val="9"/>
              </w:numPr>
              <w:tabs>
                <w:tab w:val="left" w:pos="971"/>
              </w:tabs>
              <w:spacing w:before="12" w:after="0" w:line="240" w:lineRule="auto"/>
              <w:ind w:left="970" w:right="0" w:hanging="542"/>
              <w:jc w:val="left"/>
              <w:rPr>
                <w:color w:val="auto"/>
                <w:sz w:val="21"/>
                <w:highlight w:val="none"/>
              </w:rPr>
            </w:pPr>
            <w:r>
              <w:rPr>
                <w:color w:val="auto"/>
                <w:spacing w:val="-3"/>
                <w:sz w:val="21"/>
                <w:highlight w:val="none"/>
              </w:rPr>
              <w:t>综合评价后的投标人排序；</w:t>
            </w:r>
          </w:p>
          <w:p>
            <w:pPr>
              <w:pStyle w:val="31"/>
              <w:numPr>
                <w:ilvl w:val="0"/>
                <w:numId w:val="9"/>
              </w:numPr>
              <w:tabs>
                <w:tab w:val="left" w:pos="971"/>
              </w:tabs>
              <w:spacing w:before="12" w:after="0" w:line="240" w:lineRule="auto"/>
              <w:ind w:left="970" w:right="0" w:hanging="542"/>
              <w:jc w:val="left"/>
              <w:rPr>
                <w:color w:val="auto"/>
                <w:sz w:val="21"/>
                <w:highlight w:val="none"/>
              </w:rPr>
            </w:pPr>
            <w:r>
              <w:rPr>
                <w:color w:val="auto"/>
                <w:spacing w:val="-3"/>
                <w:sz w:val="21"/>
                <w:highlight w:val="none"/>
              </w:rPr>
              <w:t>评标结果和推荐的中标候选人；</w:t>
            </w:r>
          </w:p>
          <w:p>
            <w:pPr>
              <w:pStyle w:val="31"/>
              <w:numPr>
                <w:ilvl w:val="0"/>
                <w:numId w:val="9"/>
              </w:numPr>
              <w:tabs>
                <w:tab w:val="left" w:pos="970"/>
              </w:tabs>
              <w:spacing w:before="9" w:after="0" w:line="249" w:lineRule="exact"/>
              <w:ind w:left="969" w:right="0" w:hanging="541"/>
              <w:jc w:val="left"/>
              <w:rPr>
                <w:color w:val="auto"/>
                <w:sz w:val="21"/>
                <w:highlight w:val="none"/>
              </w:rPr>
            </w:pPr>
            <w:r>
              <w:rPr>
                <w:color w:val="auto"/>
                <w:spacing w:val="-3"/>
                <w:sz w:val="21"/>
                <w:highlight w:val="none"/>
              </w:rPr>
              <w:t>附表。</w:t>
            </w:r>
          </w:p>
        </w:tc>
      </w:tr>
    </w:tbl>
    <w:p>
      <w:pPr>
        <w:spacing w:after="0" w:line="249" w:lineRule="exact"/>
        <w:jc w:val="left"/>
        <w:rPr>
          <w:color w:val="auto"/>
          <w:sz w:val="21"/>
          <w:highlight w:val="none"/>
        </w:rPr>
        <w:sectPr>
          <w:footerReference r:id="rId8" w:type="default"/>
          <w:pgSz w:w="11910" w:h="16840"/>
          <w:pgMar w:top="1020" w:right="860" w:bottom="940" w:left="960" w:header="0" w:footer="672" w:gutter="0"/>
          <w:pgBorders>
            <w:top w:val="none" w:sz="0" w:space="0"/>
            <w:left w:val="none" w:sz="0" w:space="0"/>
            <w:bottom w:val="none" w:sz="0" w:space="0"/>
            <w:right w:val="none" w:sz="0" w:space="0"/>
          </w:pgBorders>
          <w:pgNumType w:fmt="decimal"/>
          <w:cols w:space="720" w:num="1"/>
        </w:sectPr>
      </w:pPr>
    </w:p>
    <w:p>
      <w:pPr>
        <w:pStyle w:val="9"/>
        <w:numPr>
          <w:ilvl w:val="0"/>
          <w:numId w:val="10"/>
        </w:numPr>
        <w:tabs>
          <w:tab w:val="left" w:pos="666"/>
        </w:tabs>
        <w:spacing w:before="40" w:after="0" w:line="240" w:lineRule="auto"/>
        <w:ind w:left="665" w:right="0" w:hanging="268"/>
        <w:jc w:val="left"/>
        <w:outlineLvl w:val="1"/>
        <w:rPr>
          <w:color w:val="auto"/>
          <w:highlight w:val="none"/>
        </w:rPr>
      </w:pPr>
      <w:bookmarkStart w:id="134" w:name="1.总则"/>
      <w:bookmarkEnd w:id="134"/>
      <w:bookmarkStart w:id="135" w:name="_bookmark26"/>
      <w:bookmarkEnd w:id="135"/>
      <w:bookmarkStart w:id="136" w:name="_Toc20659"/>
      <w:r>
        <w:rPr>
          <w:color w:val="auto"/>
          <w:highlight w:val="none"/>
        </w:rPr>
        <w:t>总则</w:t>
      </w:r>
      <w:bookmarkEnd w:id="136"/>
    </w:p>
    <w:p>
      <w:pPr>
        <w:pStyle w:val="2"/>
        <w:spacing w:before="11"/>
        <w:rPr>
          <w:rFonts w:ascii="黑体"/>
          <w:color w:val="auto"/>
          <w:sz w:val="34"/>
          <w:highlight w:val="none"/>
        </w:rPr>
      </w:pPr>
    </w:p>
    <w:p>
      <w:pPr>
        <w:spacing w:before="1" w:line="364" w:lineRule="auto"/>
        <w:ind w:left="398" w:right="412" w:firstLine="480"/>
        <w:jc w:val="both"/>
        <w:rPr>
          <w:color w:val="auto"/>
          <w:sz w:val="24"/>
          <w:highlight w:val="none"/>
        </w:rPr>
      </w:pPr>
      <w:r>
        <w:rPr>
          <w:color w:val="auto"/>
          <w:spacing w:val="-3"/>
          <w:sz w:val="24"/>
          <w:highlight w:val="none"/>
        </w:rPr>
        <w:t xml:space="preserve">本次评标采用综合评估法 </w:t>
      </w:r>
      <w:r>
        <w:rPr>
          <w:rFonts w:ascii="Arial" w:eastAsia="Arial"/>
          <w:color w:val="auto"/>
          <w:sz w:val="24"/>
          <w:highlight w:val="none"/>
        </w:rPr>
        <w:t>I</w:t>
      </w:r>
      <w:r>
        <w:rPr>
          <w:color w:val="auto"/>
          <w:spacing w:val="-1"/>
          <w:sz w:val="24"/>
          <w:highlight w:val="none"/>
        </w:rPr>
        <w:t>。评标委员会对满足招标文件实质性要求的投标文件，按</w:t>
      </w:r>
      <w:r>
        <w:rPr>
          <w:color w:val="auto"/>
          <w:spacing w:val="-12"/>
          <w:sz w:val="24"/>
          <w:highlight w:val="none"/>
        </w:rPr>
        <w:t xml:space="preserve">照本章第 </w:t>
      </w:r>
      <w:r>
        <w:rPr>
          <w:rFonts w:ascii="Arial" w:eastAsia="Arial"/>
          <w:color w:val="auto"/>
          <w:sz w:val="24"/>
          <w:highlight w:val="none"/>
        </w:rPr>
        <w:t xml:space="preserve">2 </w:t>
      </w:r>
      <w:r>
        <w:rPr>
          <w:color w:val="auto"/>
          <w:spacing w:val="-7"/>
          <w:sz w:val="24"/>
          <w:highlight w:val="none"/>
        </w:rPr>
        <w:t>条规定的评分标准进行打分，并按得分由高到低顺序推荐中标候选人，或根据</w:t>
      </w:r>
      <w:r>
        <w:rPr>
          <w:color w:val="auto"/>
          <w:sz w:val="24"/>
          <w:highlight w:val="none"/>
        </w:rPr>
        <w:t>招标人授权直接确定中标人。</w:t>
      </w:r>
    </w:p>
    <w:p>
      <w:pPr>
        <w:pStyle w:val="2"/>
        <w:spacing w:before="7"/>
        <w:rPr>
          <w:color w:val="auto"/>
          <w:sz w:val="22"/>
          <w:highlight w:val="none"/>
        </w:rPr>
      </w:pPr>
    </w:p>
    <w:p>
      <w:pPr>
        <w:pStyle w:val="30"/>
        <w:numPr>
          <w:ilvl w:val="0"/>
          <w:numId w:val="10"/>
        </w:numPr>
        <w:tabs>
          <w:tab w:val="left" w:pos="666"/>
        </w:tabs>
        <w:spacing w:before="0" w:after="0" w:line="240" w:lineRule="auto"/>
        <w:ind w:left="665" w:right="0" w:hanging="268"/>
        <w:jc w:val="left"/>
        <w:outlineLvl w:val="1"/>
        <w:rPr>
          <w:rFonts w:hint="eastAsia" w:ascii="黑体" w:eastAsia="黑体"/>
          <w:color w:val="auto"/>
          <w:sz w:val="32"/>
          <w:highlight w:val="none"/>
        </w:rPr>
      </w:pPr>
      <w:bookmarkStart w:id="137" w:name="2.评标程序和评审标准"/>
      <w:bookmarkEnd w:id="137"/>
      <w:bookmarkStart w:id="138" w:name="_bookmark27"/>
      <w:bookmarkEnd w:id="138"/>
      <w:bookmarkStart w:id="139" w:name="_Toc13641"/>
      <w:r>
        <w:rPr>
          <w:rFonts w:hint="eastAsia" w:ascii="黑体" w:eastAsia="黑体"/>
          <w:color w:val="auto"/>
          <w:sz w:val="32"/>
          <w:highlight w:val="none"/>
        </w:rPr>
        <w:t>评标程序和评审标准</w:t>
      </w:r>
      <w:bookmarkEnd w:id="139"/>
    </w:p>
    <w:p>
      <w:pPr>
        <w:pStyle w:val="2"/>
        <w:spacing w:before="12"/>
        <w:rPr>
          <w:rFonts w:ascii="黑体"/>
          <w:color w:val="auto"/>
          <w:sz w:val="34"/>
          <w:highlight w:val="none"/>
        </w:rPr>
      </w:pPr>
    </w:p>
    <w:p>
      <w:pPr>
        <w:pStyle w:val="30"/>
        <w:numPr>
          <w:ilvl w:val="1"/>
          <w:numId w:val="10"/>
        </w:numPr>
        <w:tabs>
          <w:tab w:val="left" w:pos="1335"/>
        </w:tabs>
        <w:spacing w:before="0" w:after="0" w:line="240" w:lineRule="auto"/>
        <w:ind w:left="1334" w:right="0" w:hanging="457"/>
        <w:jc w:val="left"/>
        <w:outlineLvl w:val="2"/>
        <w:rPr>
          <w:rFonts w:hint="eastAsia" w:ascii="黑体" w:eastAsia="黑体"/>
          <w:color w:val="auto"/>
          <w:sz w:val="24"/>
          <w:highlight w:val="none"/>
        </w:rPr>
      </w:pPr>
      <w:bookmarkStart w:id="140" w:name="_Toc29671"/>
      <w:r>
        <w:rPr>
          <w:rFonts w:hint="eastAsia" w:ascii="黑体" w:eastAsia="黑体"/>
          <w:color w:val="auto"/>
          <w:sz w:val="24"/>
          <w:highlight w:val="none"/>
        </w:rPr>
        <w:t>评标程序</w:t>
      </w:r>
      <w:bookmarkEnd w:id="140"/>
    </w:p>
    <w:p>
      <w:pPr>
        <w:spacing w:before="160"/>
        <w:ind w:left="878" w:right="0" w:firstLine="0"/>
        <w:jc w:val="left"/>
        <w:rPr>
          <w:color w:val="auto"/>
          <w:sz w:val="24"/>
          <w:highlight w:val="none"/>
        </w:rPr>
      </w:pPr>
      <w:r>
        <w:rPr>
          <w:color w:val="auto"/>
          <w:sz w:val="24"/>
          <w:highlight w:val="none"/>
        </w:rPr>
        <w:t>评标工作按以下程序进行：</w:t>
      </w:r>
    </w:p>
    <w:p>
      <w:pPr>
        <w:pStyle w:val="30"/>
        <w:numPr>
          <w:ilvl w:val="2"/>
          <w:numId w:val="10"/>
        </w:numPr>
        <w:tabs>
          <w:tab w:val="left" w:pos="1534"/>
        </w:tabs>
        <w:spacing w:before="161" w:after="0" w:line="364" w:lineRule="auto"/>
        <w:ind w:left="878" w:right="6393" w:firstLine="0"/>
        <w:jc w:val="left"/>
        <w:rPr>
          <w:color w:val="auto"/>
          <w:sz w:val="24"/>
          <w:highlight w:val="none"/>
        </w:rPr>
      </w:pPr>
      <w:r>
        <w:rPr>
          <w:color w:val="auto"/>
          <w:spacing w:val="-3"/>
          <w:sz w:val="24"/>
          <w:highlight w:val="none"/>
        </w:rPr>
        <w:t xml:space="preserve">第一信封资格审查； </w:t>
      </w:r>
      <w:r>
        <w:rPr>
          <w:color w:val="auto"/>
          <w:sz w:val="24"/>
          <w:highlight w:val="none"/>
        </w:rPr>
        <w:t>第一信封初步评审；</w:t>
      </w:r>
    </w:p>
    <w:p>
      <w:pPr>
        <w:spacing w:before="1" w:line="364" w:lineRule="auto"/>
        <w:ind w:left="878" w:right="6207" w:firstLine="0"/>
        <w:jc w:val="left"/>
        <w:rPr>
          <w:color w:val="auto"/>
          <w:sz w:val="24"/>
          <w:highlight w:val="none"/>
        </w:rPr>
      </w:pPr>
      <w:r>
        <w:rPr>
          <w:color w:val="auto"/>
          <w:sz w:val="24"/>
          <w:highlight w:val="none"/>
        </w:rPr>
        <w:t>第一信封澄清（如果需要</w:t>
      </w:r>
      <w:r>
        <w:rPr>
          <w:color w:val="auto"/>
          <w:spacing w:val="-130"/>
          <w:sz w:val="24"/>
          <w:highlight w:val="none"/>
        </w:rPr>
        <w:t>）</w:t>
      </w:r>
      <w:r>
        <w:rPr>
          <w:color w:val="auto"/>
          <w:spacing w:val="-10"/>
          <w:sz w:val="24"/>
          <w:highlight w:val="none"/>
        </w:rPr>
        <w:t>；</w:t>
      </w:r>
      <w:r>
        <w:rPr>
          <w:color w:val="auto"/>
          <w:sz w:val="24"/>
          <w:highlight w:val="none"/>
        </w:rPr>
        <w:t>第一信封详细评审。</w:t>
      </w:r>
    </w:p>
    <w:p>
      <w:pPr>
        <w:pStyle w:val="30"/>
        <w:numPr>
          <w:ilvl w:val="2"/>
          <w:numId w:val="10"/>
        </w:numPr>
        <w:tabs>
          <w:tab w:val="left" w:pos="1534"/>
        </w:tabs>
        <w:spacing w:before="1" w:after="0" w:line="364" w:lineRule="auto"/>
        <w:ind w:left="878" w:right="6393" w:firstLine="0"/>
        <w:jc w:val="left"/>
        <w:rPr>
          <w:color w:val="auto"/>
          <w:sz w:val="24"/>
          <w:highlight w:val="none"/>
        </w:rPr>
      </w:pPr>
      <w:r>
        <w:rPr>
          <w:color w:val="auto"/>
          <w:spacing w:val="-3"/>
          <w:sz w:val="24"/>
          <w:highlight w:val="none"/>
        </w:rPr>
        <w:t xml:space="preserve">第二信封资格审查； </w:t>
      </w:r>
      <w:r>
        <w:rPr>
          <w:color w:val="auto"/>
          <w:sz w:val="24"/>
          <w:highlight w:val="none"/>
        </w:rPr>
        <w:t>第二信封初步评审；</w:t>
      </w:r>
    </w:p>
    <w:p>
      <w:pPr>
        <w:spacing w:before="1" w:line="364" w:lineRule="auto"/>
        <w:ind w:left="878" w:right="6207" w:firstLine="0"/>
        <w:jc w:val="left"/>
        <w:rPr>
          <w:color w:val="auto"/>
          <w:sz w:val="24"/>
          <w:highlight w:val="none"/>
        </w:rPr>
      </w:pPr>
      <w:r>
        <w:rPr>
          <w:color w:val="auto"/>
          <w:sz w:val="24"/>
          <w:highlight w:val="none"/>
        </w:rPr>
        <w:t>第二信封澄清（如果需要</w:t>
      </w:r>
      <w:r>
        <w:rPr>
          <w:color w:val="auto"/>
          <w:spacing w:val="-130"/>
          <w:sz w:val="24"/>
          <w:highlight w:val="none"/>
        </w:rPr>
        <w:t>）</w:t>
      </w:r>
      <w:r>
        <w:rPr>
          <w:color w:val="auto"/>
          <w:spacing w:val="-10"/>
          <w:sz w:val="24"/>
          <w:highlight w:val="none"/>
        </w:rPr>
        <w:t>；</w:t>
      </w:r>
      <w:r>
        <w:rPr>
          <w:color w:val="auto"/>
          <w:sz w:val="24"/>
          <w:highlight w:val="none"/>
        </w:rPr>
        <w:t>第二信封详细评审。</w:t>
      </w:r>
    </w:p>
    <w:p>
      <w:pPr>
        <w:pStyle w:val="30"/>
        <w:numPr>
          <w:ilvl w:val="2"/>
          <w:numId w:val="10"/>
        </w:numPr>
        <w:tabs>
          <w:tab w:val="left" w:pos="1534"/>
        </w:tabs>
        <w:spacing w:before="2" w:after="0" w:line="240" w:lineRule="auto"/>
        <w:ind w:left="1533" w:right="0" w:hanging="656"/>
        <w:jc w:val="left"/>
        <w:rPr>
          <w:color w:val="auto"/>
          <w:sz w:val="24"/>
          <w:highlight w:val="none"/>
        </w:rPr>
      </w:pPr>
      <w:r>
        <w:rPr>
          <w:color w:val="auto"/>
          <w:spacing w:val="-1"/>
          <w:sz w:val="24"/>
          <w:highlight w:val="none"/>
        </w:rPr>
        <w:t>综合评价，推荐中标候选人。</w:t>
      </w:r>
    </w:p>
    <w:p>
      <w:pPr>
        <w:pStyle w:val="30"/>
        <w:numPr>
          <w:ilvl w:val="2"/>
          <w:numId w:val="10"/>
        </w:numPr>
        <w:tabs>
          <w:tab w:val="left" w:pos="1534"/>
        </w:tabs>
        <w:spacing w:before="160" w:after="0" w:line="240" w:lineRule="auto"/>
        <w:ind w:left="1533" w:right="0" w:hanging="656"/>
        <w:jc w:val="left"/>
        <w:rPr>
          <w:color w:val="auto"/>
          <w:sz w:val="24"/>
          <w:highlight w:val="none"/>
        </w:rPr>
      </w:pPr>
      <w:r>
        <w:rPr>
          <w:color w:val="auto"/>
          <w:sz w:val="24"/>
          <w:highlight w:val="none"/>
        </w:rPr>
        <w:t>编写评标报告。</w:t>
      </w:r>
    </w:p>
    <w:p>
      <w:pPr>
        <w:pStyle w:val="30"/>
        <w:numPr>
          <w:ilvl w:val="1"/>
          <w:numId w:val="10"/>
        </w:numPr>
        <w:tabs>
          <w:tab w:val="left" w:pos="1335"/>
        </w:tabs>
        <w:spacing w:before="161" w:after="0" w:line="240" w:lineRule="auto"/>
        <w:ind w:left="1334" w:right="0" w:hanging="457"/>
        <w:jc w:val="left"/>
        <w:outlineLvl w:val="2"/>
        <w:rPr>
          <w:rFonts w:hint="eastAsia" w:ascii="黑体" w:eastAsia="黑体"/>
          <w:color w:val="auto"/>
          <w:sz w:val="24"/>
          <w:highlight w:val="none"/>
        </w:rPr>
      </w:pPr>
      <w:bookmarkStart w:id="141" w:name="_Toc12700"/>
      <w:r>
        <w:rPr>
          <w:rFonts w:hint="eastAsia" w:ascii="黑体" w:eastAsia="黑体"/>
          <w:color w:val="auto"/>
          <w:sz w:val="24"/>
          <w:highlight w:val="none"/>
        </w:rPr>
        <w:t>第一信封资格审查</w:t>
      </w:r>
      <w:bookmarkEnd w:id="141"/>
    </w:p>
    <w:p>
      <w:pPr>
        <w:spacing w:before="160" w:line="364" w:lineRule="auto"/>
        <w:ind w:left="398" w:right="332" w:firstLine="480"/>
        <w:jc w:val="left"/>
        <w:rPr>
          <w:color w:val="auto"/>
          <w:sz w:val="24"/>
          <w:highlight w:val="none"/>
        </w:rPr>
      </w:pPr>
      <w:r>
        <w:rPr>
          <w:color w:val="auto"/>
          <w:sz w:val="24"/>
          <w:highlight w:val="none"/>
        </w:rPr>
        <w:t>评标委员会首先对投标人提交的资格审查表进行审查，有一项不符合评审标准的，作否决投标处理。通过资格审查的标准见</w:t>
      </w:r>
      <w:r>
        <w:rPr>
          <w:rFonts w:ascii="Arial" w:hAnsi="Arial" w:eastAsia="Arial"/>
          <w:color w:val="auto"/>
          <w:sz w:val="24"/>
          <w:highlight w:val="none"/>
        </w:rPr>
        <w:t>“</w:t>
      </w:r>
      <w:r>
        <w:rPr>
          <w:color w:val="auto"/>
          <w:sz w:val="24"/>
          <w:highlight w:val="none"/>
        </w:rPr>
        <w:t>评标办法前附表</w:t>
      </w:r>
      <w:r>
        <w:rPr>
          <w:rFonts w:ascii="Arial" w:hAnsi="Arial" w:eastAsia="Arial"/>
          <w:color w:val="auto"/>
          <w:sz w:val="24"/>
          <w:highlight w:val="none"/>
        </w:rPr>
        <w:t>”</w:t>
      </w:r>
      <w:r>
        <w:rPr>
          <w:color w:val="auto"/>
          <w:sz w:val="24"/>
          <w:highlight w:val="none"/>
        </w:rPr>
        <w:t>。</w:t>
      </w:r>
    </w:p>
    <w:p>
      <w:pPr>
        <w:spacing w:before="1" w:line="364" w:lineRule="auto"/>
        <w:ind w:left="398" w:right="371" w:firstLine="480"/>
        <w:jc w:val="left"/>
        <w:rPr>
          <w:color w:val="auto"/>
          <w:sz w:val="24"/>
          <w:highlight w:val="none"/>
        </w:rPr>
      </w:pPr>
      <w:r>
        <w:rPr>
          <w:color w:val="auto"/>
          <w:sz w:val="24"/>
          <w:highlight w:val="none"/>
        </w:rPr>
        <w:t>评标委员会可以要求投标人提交第二章</w:t>
      </w:r>
      <w:r>
        <w:rPr>
          <w:rFonts w:ascii="Arial" w:hAnsi="Arial" w:eastAsia="Arial"/>
          <w:color w:val="auto"/>
          <w:sz w:val="24"/>
          <w:highlight w:val="none"/>
        </w:rPr>
        <w:t>“</w:t>
      </w:r>
      <w:r>
        <w:rPr>
          <w:color w:val="auto"/>
          <w:sz w:val="24"/>
          <w:highlight w:val="none"/>
        </w:rPr>
        <w:t>投标人须知</w:t>
      </w:r>
      <w:r>
        <w:rPr>
          <w:rFonts w:ascii="Arial" w:hAnsi="Arial" w:eastAsia="Arial"/>
          <w:color w:val="auto"/>
          <w:sz w:val="24"/>
          <w:highlight w:val="none"/>
        </w:rPr>
        <w:t>”</w:t>
      </w:r>
      <w:r>
        <w:rPr>
          <w:color w:val="auto"/>
          <w:sz w:val="24"/>
          <w:highlight w:val="none"/>
        </w:rPr>
        <w:t xml:space="preserve">第 </w:t>
      </w:r>
      <w:r>
        <w:rPr>
          <w:rFonts w:ascii="Arial" w:hAnsi="Arial" w:eastAsia="Arial"/>
          <w:color w:val="auto"/>
          <w:sz w:val="24"/>
          <w:highlight w:val="none"/>
        </w:rPr>
        <w:t xml:space="preserve">3.5. I </w:t>
      </w:r>
      <w:r>
        <w:rPr>
          <w:color w:val="auto"/>
          <w:sz w:val="24"/>
          <w:highlight w:val="none"/>
        </w:rPr>
        <w:t>项规定的有关证明和证件的原件，以便核验。</w:t>
      </w:r>
    </w:p>
    <w:p>
      <w:pPr>
        <w:pStyle w:val="30"/>
        <w:numPr>
          <w:ilvl w:val="1"/>
          <w:numId w:val="10"/>
        </w:numPr>
        <w:tabs>
          <w:tab w:val="left" w:pos="1335"/>
        </w:tabs>
        <w:spacing w:before="1" w:after="0" w:line="240" w:lineRule="auto"/>
        <w:ind w:left="1334" w:right="0" w:hanging="457"/>
        <w:jc w:val="left"/>
        <w:outlineLvl w:val="2"/>
        <w:rPr>
          <w:rFonts w:hint="eastAsia" w:ascii="黑体" w:eastAsia="黑体"/>
          <w:color w:val="auto"/>
          <w:sz w:val="24"/>
          <w:highlight w:val="none"/>
        </w:rPr>
      </w:pPr>
      <w:bookmarkStart w:id="142" w:name="_Toc4028"/>
      <w:r>
        <w:rPr>
          <w:rFonts w:hint="eastAsia" w:ascii="黑体" w:eastAsia="黑体"/>
          <w:color w:val="auto"/>
          <w:sz w:val="24"/>
          <w:highlight w:val="none"/>
        </w:rPr>
        <w:t>第一信封初步评审</w:t>
      </w:r>
      <w:bookmarkEnd w:id="142"/>
    </w:p>
    <w:p>
      <w:pPr>
        <w:spacing w:before="161" w:line="364" w:lineRule="auto"/>
        <w:ind w:left="398" w:right="327" w:firstLine="480"/>
        <w:jc w:val="left"/>
        <w:rPr>
          <w:color w:val="auto"/>
          <w:sz w:val="24"/>
          <w:highlight w:val="none"/>
        </w:rPr>
      </w:pPr>
      <w:r>
        <w:rPr>
          <w:color w:val="auto"/>
          <w:sz w:val="24"/>
          <w:highlight w:val="none"/>
        </w:rPr>
        <w:t>评标委员会对通过资格审查的投标文件第一信封（商务及技术文件）进行初步评审， 有一项不符合评审标准的，作否决投标处理。通过初步评审的标准见</w:t>
      </w:r>
      <w:r>
        <w:rPr>
          <w:rFonts w:ascii="Arial" w:hAnsi="Arial" w:eastAsia="Arial"/>
          <w:color w:val="auto"/>
          <w:sz w:val="24"/>
          <w:highlight w:val="none"/>
        </w:rPr>
        <w:t>“</w:t>
      </w:r>
      <w:r>
        <w:rPr>
          <w:color w:val="auto"/>
          <w:sz w:val="24"/>
          <w:highlight w:val="none"/>
        </w:rPr>
        <w:t>评标办法前附表</w:t>
      </w:r>
      <w:r>
        <w:rPr>
          <w:rFonts w:ascii="Arial" w:hAnsi="Arial" w:eastAsia="Arial"/>
          <w:color w:val="auto"/>
          <w:sz w:val="24"/>
          <w:highlight w:val="none"/>
        </w:rPr>
        <w:t>”</w:t>
      </w:r>
      <w:r>
        <w:rPr>
          <w:color w:val="auto"/>
          <w:sz w:val="24"/>
          <w:highlight w:val="none"/>
        </w:rPr>
        <w:t>。</w:t>
      </w:r>
    </w:p>
    <w:p>
      <w:pPr>
        <w:pStyle w:val="30"/>
        <w:numPr>
          <w:ilvl w:val="1"/>
          <w:numId w:val="10"/>
        </w:numPr>
        <w:tabs>
          <w:tab w:val="left" w:pos="1335"/>
        </w:tabs>
        <w:spacing w:before="1" w:after="0" w:line="240" w:lineRule="auto"/>
        <w:ind w:left="1334" w:right="0" w:hanging="457"/>
        <w:jc w:val="left"/>
        <w:outlineLvl w:val="2"/>
        <w:rPr>
          <w:rFonts w:hint="eastAsia" w:ascii="黑体" w:eastAsia="黑体"/>
          <w:color w:val="auto"/>
          <w:sz w:val="24"/>
          <w:highlight w:val="none"/>
        </w:rPr>
      </w:pPr>
      <w:bookmarkStart w:id="143" w:name="_Toc25552"/>
      <w:r>
        <w:rPr>
          <w:rFonts w:hint="eastAsia" w:ascii="黑体" w:eastAsia="黑体"/>
          <w:color w:val="auto"/>
          <w:sz w:val="24"/>
          <w:highlight w:val="none"/>
        </w:rPr>
        <w:t>第一信封澄清</w:t>
      </w:r>
      <w:bookmarkEnd w:id="143"/>
    </w:p>
    <w:p>
      <w:pPr>
        <w:spacing w:before="161" w:line="364" w:lineRule="auto"/>
        <w:ind w:left="398" w:right="407" w:firstLine="480"/>
        <w:jc w:val="left"/>
        <w:rPr>
          <w:color w:val="auto"/>
          <w:sz w:val="24"/>
          <w:highlight w:val="none"/>
        </w:rPr>
      </w:pPr>
      <w:r>
        <w:rPr>
          <w:color w:val="auto"/>
          <w:sz w:val="24"/>
          <w:highlight w:val="none"/>
        </w:rPr>
        <w:t>在评标过程中，评标委员会可以书面形式要求投标人对所提交投标文件中含义不明</w:t>
      </w:r>
      <w:r>
        <w:rPr>
          <w:color w:val="auto"/>
          <w:spacing w:val="-9"/>
          <w:sz w:val="24"/>
          <w:highlight w:val="none"/>
        </w:rPr>
        <w:t>确、对同类问题表述不一致或者有明显文字错误的内容作必要的澄清、说明或者补正。评</w:t>
      </w:r>
    </w:p>
    <w:p>
      <w:pPr>
        <w:spacing w:after="0" w:line="364" w:lineRule="auto"/>
        <w:jc w:val="left"/>
        <w:rPr>
          <w:color w:val="auto"/>
          <w:sz w:val="24"/>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54"/>
        <w:ind w:left="398" w:right="0" w:firstLine="0"/>
        <w:jc w:val="left"/>
        <w:rPr>
          <w:color w:val="auto"/>
          <w:sz w:val="24"/>
          <w:highlight w:val="none"/>
        </w:rPr>
      </w:pPr>
      <w:r>
        <w:rPr>
          <w:color w:val="auto"/>
          <w:sz w:val="24"/>
          <w:highlight w:val="none"/>
        </w:rPr>
        <w:t>标委员会不接受投标人主动提出的澄清、说明或补正。</w:t>
      </w:r>
    </w:p>
    <w:p>
      <w:pPr>
        <w:spacing w:before="161" w:line="364" w:lineRule="auto"/>
        <w:ind w:left="398" w:right="412" w:firstLine="480"/>
        <w:jc w:val="left"/>
        <w:rPr>
          <w:color w:val="auto"/>
          <w:sz w:val="24"/>
          <w:highlight w:val="none"/>
        </w:rPr>
      </w:pPr>
      <w:r>
        <w:rPr>
          <w:color w:val="auto"/>
          <w:spacing w:val="-11"/>
          <w:sz w:val="24"/>
          <w:highlight w:val="none"/>
        </w:rPr>
        <w:t>澄清、说明或者补正应以书面方式进行，并不得超出投标文件的范围或者改变投标文</w:t>
      </w:r>
      <w:r>
        <w:rPr>
          <w:color w:val="auto"/>
          <w:sz w:val="24"/>
          <w:highlight w:val="none"/>
        </w:rPr>
        <w:t>件的实质性内容。投标人的书面澄清、说明和补正属于投标文件的组成部分。</w:t>
      </w:r>
    </w:p>
    <w:p>
      <w:pPr>
        <w:spacing w:before="1" w:line="364" w:lineRule="auto"/>
        <w:ind w:left="398" w:right="292" w:firstLine="480"/>
        <w:jc w:val="left"/>
        <w:rPr>
          <w:color w:val="auto"/>
          <w:sz w:val="24"/>
          <w:highlight w:val="none"/>
        </w:rPr>
      </w:pPr>
      <w:r>
        <w:rPr>
          <w:color w:val="auto"/>
          <w:spacing w:val="-12"/>
          <w:sz w:val="24"/>
          <w:highlight w:val="none"/>
        </w:rPr>
        <w:t>评标委员会对投标人提交的澄清、说明或补正有疑问的，可以要求投标人进一步澄清、</w:t>
      </w:r>
      <w:r>
        <w:rPr>
          <w:color w:val="auto"/>
          <w:spacing w:val="-9"/>
          <w:sz w:val="24"/>
          <w:highlight w:val="none"/>
        </w:rPr>
        <w:t>说明或补正，直至满足评标委员会的要求。凡超出招标文件规定的或给发包人带来未曾要求的利益的变化、偏差或其他因素在评标时不予考虑。</w:t>
      </w:r>
    </w:p>
    <w:p>
      <w:pPr>
        <w:pStyle w:val="30"/>
        <w:numPr>
          <w:ilvl w:val="1"/>
          <w:numId w:val="10"/>
        </w:numPr>
        <w:tabs>
          <w:tab w:val="left" w:pos="1335"/>
        </w:tabs>
        <w:spacing w:before="2" w:after="0" w:line="240" w:lineRule="auto"/>
        <w:ind w:left="1334" w:right="0" w:hanging="457"/>
        <w:jc w:val="left"/>
        <w:outlineLvl w:val="2"/>
        <w:rPr>
          <w:rFonts w:hint="eastAsia" w:ascii="黑体" w:eastAsia="黑体"/>
          <w:color w:val="auto"/>
          <w:sz w:val="24"/>
          <w:highlight w:val="none"/>
        </w:rPr>
      </w:pPr>
      <w:bookmarkStart w:id="144" w:name="_Toc16302"/>
      <w:r>
        <w:rPr>
          <w:rFonts w:hint="eastAsia" w:ascii="黑体" w:eastAsia="黑体"/>
          <w:color w:val="auto"/>
          <w:sz w:val="24"/>
          <w:highlight w:val="none"/>
        </w:rPr>
        <w:t>第一信封详细评审</w:t>
      </w:r>
      <w:bookmarkEnd w:id="144"/>
    </w:p>
    <w:p>
      <w:pPr>
        <w:spacing w:before="160" w:line="364" w:lineRule="auto"/>
        <w:ind w:left="398" w:right="292" w:firstLine="480"/>
        <w:jc w:val="left"/>
        <w:rPr>
          <w:color w:val="auto"/>
          <w:sz w:val="24"/>
          <w:highlight w:val="none"/>
        </w:rPr>
      </w:pPr>
      <w:r>
        <w:rPr>
          <w:color w:val="auto"/>
          <w:spacing w:val="-5"/>
          <w:sz w:val="24"/>
          <w:highlight w:val="none"/>
        </w:rPr>
        <w:t>评标委员会只对通过初步评审的投标文件第一信封</w:t>
      </w:r>
      <w:r>
        <w:rPr>
          <w:color w:val="auto"/>
          <w:sz w:val="24"/>
          <w:highlight w:val="none"/>
        </w:rPr>
        <w:t>（商务及技术文件</w:t>
      </w:r>
      <w:r>
        <w:rPr>
          <w:color w:val="auto"/>
          <w:spacing w:val="-104"/>
          <w:sz w:val="24"/>
          <w:highlight w:val="none"/>
        </w:rPr>
        <w:t>）</w:t>
      </w:r>
      <w:r>
        <w:rPr>
          <w:color w:val="auto"/>
          <w:spacing w:val="-3"/>
          <w:sz w:val="24"/>
          <w:highlight w:val="none"/>
        </w:rPr>
        <w:t>进行详细评审。</w:t>
      </w:r>
      <w:r>
        <w:rPr>
          <w:color w:val="auto"/>
          <w:sz w:val="24"/>
          <w:highlight w:val="none"/>
        </w:rPr>
        <w:t>评标委员会按</w:t>
      </w:r>
      <w:r>
        <w:rPr>
          <w:rFonts w:ascii="Arial" w:hAnsi="Arial" w:eastAsia="Arial"/>
          <w:color w:val="auto"/>
          <w:sz w:val="24"/>
          <w:highlight w:val="none"/>
        </w:rPr>
        <w:t>“</w:t>
      </w:r>
      <w:r>
        <w:rPr>
          <w:color w:val="auto"/>
          <w:sz w:val="24"/>
          <w:highlight w:val="none"/>
        </w:rPr>
        <w:t>评标办法前附表</w:t>
      </w:r>
      <w:r>
        <w:rPr>
          <w:rFonts w:ascii="Arial" w:hAnsi="Arial" w:eastAsia="Arial"/>
          <w:color w:val="auto"/>
          <w:sz w:val="24"/>
          <w:highlight w:val="none"/>
        </w:rPr>
        <w:t>”</w:t>
      </w:r>
      <w:r>
        <w:rPr>
          <w:color w:val="auto"/>
          <w:spacing w:val="-1"/>
          <w:sz w:val="24"/>
          <w:highlight w:val="none"/>
        </w:rPr>
        <w:t>规定的评审因素和评分值进行评分，并计算出各投标人的商务和技术得分。</w:t>
      </w:r>
    </w:p>
    <w:p>
      <w:pPr>
        <w:pStyle w:val="30"/>
        <w:numPr>
          <w:ilvl w:val="1"/>
          <w:numId w:val="10"/>
        </w:numPr>
        <w:tabs>
          <w:tab w:val="left" w:pos="1454"/>
          <w:tab w:val="left" w:pos="1455"/>
        </w:tabs>
        <w:spacing w:before="2" w:after="0" w:line="240" w:lineRule="auto"/>
        <w:ind w:left="1454" w:right="0" w:hanging="577"/>
        <w:jc w:val="left"/>
        <w:outlineLvl w:val="2"/>
        <w:rPr>
          <w:rFonts w:hint="eastAsia" w:ascii="黑体" w:eastAsia="黑体"/>
          <w:color w:val="auto"/>
          <w:sz w:val="24"/>
          <w:highlight w:val="none"/>
        </w:rPr>
      </w:pPr>
      <w:bookmarkStart w:id="145" w:name="_Toc31096"/>
      <w:r>
        <w:rPr>
          <w:rFonts w:hint="eastAsia" w:ascii="黑体" w:eastAsia="黑体"/>
          <w:color w:val="auto"/>
          <w:sz w:val="24"/>
          <w:highlight w:val="none"/>
        </w:rPr>
        <w:t>第二信封开标</w:t>
      </w:r>
      <w:bookmarkEnd w:id="145"/>
    </w:p>
    <w:p>
      <w:pPr>
        <w:spacing w:before="160" w:line="364" w:lineRule="auto"/>
        <w:ind w:left="398" w:right="412" w:firstLine="480"/>
        <w:jc w:val="both"/>
        <w:rPr>
          <w:color w:val="auto"/>
          <w:sz w:val="24"/>
          <w:highlight w:val="none"/>
        </w:rPr>
      </w:pPr>
      <w:r>
        <w:rPr>
          <w:color w:val="auto"/>
          <w:sz w:val="24"/>
          <w:highlight w:val="none"/>
        </w:rPr>
        <w:t>第一信封（商务及技术文件）评审结束后，招标人将按照第二章</w:t>
      </w:r>
      <w:r>
        <w:rPr>
          <w:rFonts w:ascii="Arial" w:hAnsi="Arial" w:eastAsia="Arial"/>
          <w:color w:val="auto"/>
          <w:sz w:val="24"/>
          <w:highlight w:val="none"/>
        </w:rPr>
        <w:t>“</w:t>
      </w:r>
      <w:r>
        <w:rPr>
          <w:color w:val="auto"/>
          <w:sz w:val="24"/>
          <w:highlight w:val="none"/>
        </w:rPr>
        <w:t>投标人须知</w:t>
      </w:r>
      <w:r>
        <w:rPr>
          <w:rFonts w:ascii="Arial" w:hAnsi="Arial" w:eastAsia="Arial"/>
          <w:color w:val="auto"/>
          <w:sz w:val="24"/>
          <w:highlight w:val="none"/>
        </w:rPr>
        <w:t>”</w:t>
      </w:r>
      <w:r>
        <w:rPr>
          <w:color w:val="auto"/>
          <w:spacing w:val="6"/>
          <w:sz w:val="24"/>
          <w:highlight w:val="none"/>
        </w:rPr>
        <w:t xml:space="preserve">第 </w:t>
      </w:r>
      <w:r>
        <w:rPr>
          <w:rFonts w:ascii="Arial" w:hAnsi="Arial" w:eastAsia="Arial"/>
          <w:color w:val="auto"/>
          <w:spacing w:val="-4"/>
          <w:sz w:val="24"/>
          <w:highlight w:val="none"/>
        </w:rPr>
        <w:t xml:space="preserve">5.1 </w:t>
      </w:r>
      <w:r>
        <w:rPr>
          <w:color w:val="auto"/>
          <w:spacing w:val="-3"/>
          <w:sz w:val="24"/>
          <w:highlight w:val="none"/>
        </w:rPr>
        <w:t>款规定的时间和地点对通过投标文件第一信封</w:t>
      </w:r>
      <w:r>
        <w:rPr>
          <w:color w:val="auto"/>
          <w:sz w:val="24"/>
          <w:highlight w:val="none"/>
        </w:rPr>
        <w:t>（商务及技术文件</w:t>
      </w:r>
      <w:r>
        <w:rPr>
          <w:color w:val="auto"/>
          <w:spacing w:val="-44"/>
          <w:sz w:val="24"/>
          <w:highlight w:val="none"/>
        </w:rPr>
        <w:t>）</w:t>
      </w:r>
      <w:r>
        <w:rPr>
          <w:color w:val="auto"/>
          <w:spacing w:val="-2"/>
          <w:sz w:val="24"/>
          <w:highlight w:val="none"/>
        </w:rPr>
        <w:t>评审的投标文件第二信</w:t>
      </w:r>
      <w:r>
        <w:rPr>
          <w:color w:val="auto"/>
          <w:sz w:val="24"/>
          <w:highlight w:val="none"/>
        </w:rPr>
        <w:t>封（报价文件）进行开标。</w:t>
      </w:r>
    </w:p>
    <w:p>
      <w:pPr>
        <w:pStyle w:val="30"/>
        <w:numPr>
          <w:ilvl w:val="1"/>
          <w:numId w:val="10"/>
        </w:numPr>
        <w:tabs>
          <w:tab w:val="left" w:pos="1335"/>
        </w:tabs>
        <w:spacing w:before="2" w:after="0" w:line="240" w:lineRule="auto"/>
        <w:ind w:left="1334" w:right="0" w:hanging="457"/>
        <w:jc w:val="left"/>
        <w:outlineLvl w:val="2"/>
        <w:rPr>
          <w:rFonts w:hint="eastAsia" w:ascii="黑体" w:eastAsia="黑体"/>
          <w:color w:val="auto"/>
          <w:sz w:val="24"/>
          <w:highlight w:val="none"/>
        </w:rPr>
      </w:pPr>
      <w:bookmarkStart w:id="146" w:name="_Toc8928"/>
      <w:r>
        <w:rPr>
          <w:rFonts w:hint="eastAsia" w:ascii="黑体" w:eastAsia="黑体"/>
          <w:color w:val="auto"/>
          <w:sz w:val="24"/>
          <w:highlight w:val="none"/>
        </w:rPr>
        <w:t>第二信封初步评审</w:t>
      </w:r>
      <w:bookmarkEnd w:id="146"/>
    </w:p>
    <w:p>
      <w:pPr>
        <w:spacing w:before="161" w:line="364" w:lineRule="auto"/>
        <w:ind w:left="398" w:right="411" w:firstLine="480"/>
        <w:jc w:val="both"/>
        <w:rPr>
          <w:color w:val="auto"/>
          <w:sz w:val="24"/>
          <w:highlight w:val="none"/>
        </w:rPr>
      </w:pPr>
      <w:r>
        <w:rPr>
          <w:color w:val="auto"/>
          <w:spacing w:val="-7"/>
          <w:sz w:val="24"/>
          <w:highlight w:val="none"/>
        </w:rPr>
        <w:t>评标委员会对通过投标文件第一信封</w:t>
      </w:r>
      <w:r>
        <w:rPr>
          <w:color w:val="auto"/>
          <w:sz w:val="24"/>
          <w:highlight w:val="none"/>
        </w:rPr>
        <w:t>（商务及技术文件</w:t>
      </w:r>
      <w:r>
        <w:rPr>
          <w:color w:val="auto"/>
          <w:spacing w:val="-108"/>
          <w:sz w:val="24"/>
          <w:highlight w:val="none"/>
        </w:rPr>
        <w:t>）</w:t>
      </w:r>
      <w:r>
        <w:rPr>
          <w:color w:val="auto"/>
          <w:spacing w:val="-10"/>
          <w:sz w:val="24"/>
          <w:highlight w:val="none"/>
        </w:rPr>
        <w:t>评审的投标文件第二信封</w:t>
      </w:r>
      <w:r>
        <w:rPr>
          <w:color w:val="auto"/>
          <w:sz w:val="24"/>
          <w:highlight w:val="none"/>
        </w:rPr>
        <w:t>（</w:t>
      </w:r>
      <w:r>
        <w:rPr>
          <w:color w:val="auto"/>
          <w:spacing w:val="-19"/>
          <w:sz w:val="24"/>
          <w:highlight w:val="none"/>
        </w:rPr>
        <w:t>报</w:t>
      </w:r>
      <w:r>
        <w:rPr>
          <w:color w:val="auto"/>
          <w:sz w:val="24"/>
          <w:highlight w:val="none"/>
        </w:rPr>
        <w:t>价文件</w:t>
      </w:r>
      <w:r>
        <w:rPr>
          <w:color w:val="auto"/>
          <w:spacing w:val="-22"/>
          <w:sz w:val="24"/>
          <w:highlight w:val="none"/>
        </w:rPr>
        <w:t>）</w:t>
      </w:r>
      <w:r>
        <w:rPr>
          <w:color w:val="auto"/>
          <w:spacing w:val="-7"/>
          <w:sz w:val="24"/>
          <w:highlight w:val="none"/>
        </w:rPr>
        <w:t>进行初步评审，有一项不符合评审标准的，作否决投标处理。通过初步评审的标</w:t>
      </w:r>
      <w:r>
        <w:rPr>
          <w:color w:val="auto"/>
          <w:sz w:val="24"/>
          <w:highlight w:val="none"/>
        </w:rPr>
        <w:t>准见</w:t>
      </w:r>
      <w:r>
        <w:rPr>
          <w:rFonts w:ascii="Arial" w:hAnsi="Arial" w:eastAsia="Arial"/>
          <w:color w:val="auto"/>
          <w:sz w:val="24"/>
          <w:highlight w:val="none"/>
        </w:rPr>
        <w:t>“</w:t>
      </w:r>
      <w:r>
        <w:rPr>
          <w:color w:val="auto"/>
          <w:sz w:val="24"/>
          <w:highlight w:val="none"/>
        </w:rPr>
        <w:t>评标办法前附表</w:t>
      </w:r>
      <w:r>
        <w:rPr>
          <w:rFonts w:ascii="Arial" w:hAnsi="Arial" w:eastAsia="Arial"/>
          <w:color w:val="auto"/>
          <w:sz w:val="24"/>
          <w:highlight w:val="none"/>
        </w:rPr>
        <w:t>”</w:t>
      </w:r>
      <w:r>
        <w:rPr>
          <w:color w:val="auto"/>
          <w:sz w:val="24"/>
          <w:highlight w:val="none"/>
        </w:rPr>
        <w:t>。</w:t>
      </w:r>
    </w:p>
    <w:p>
      <w:pPr>
        <w:pStyle w:val="30"/>
        <w:numPr>
          <w:ilvl w:val="1"/>
          <w:numId w:val="10"/>
        </w:numPr>
        <w:tabs>
          <w:tab w:val="left" w:pos="1335"/>
        </w:tabs>
        <w:spacing w:before="2" w:after="0" w:line="240" w:lineRule="auto"/>
        <w:ind w:left="1334" w:right="0" w:hanging="457"/>
        <w:jc w:val="left"/>
        <w:outlineLvl w:val="2"/>
        <w:rPr>
          <w:rFonts w:hint="eastAsia" w:ascii="黑体" w:eastAsia="黑体"/>
          <w:color w:val="auto"/>
          <w:sz w:val="24"/>
          <w:highlight w:val="none"/>
        </w:rPr>
      </w:pPr>
      <w:bookmarkStart w:id="147" w:name="_Toc9601"/>
      <w:r>
        <w:rPr>
          <w:rFonts w:hint="eastAsia" w:ascii="黑体" w:eastAsia="黑体"/>
          <w:color w:val="auto"/>
          <w:spacing w:val="-1"/>
          <w:sz w:val="24"/>
          <w:highlight w:val="none"/>
        </w:rPr>
        <w:t>第二信封算术性修正</w:t>
      </w:r>
      <w:bookmarkEnd w:id="147"/>
    </w:p>
    <w:p>
      <w:pPr>
        <w:spacing w:before="160" w:line="364" w:lineRule="auto"/>
        <w:ind w:left="398" w:right="332" w:firstLine="480"/>
        <w:jc w:val="left"/>
        <w:rPr>
          <w:color w:val="auto"/>
          <w:sz w:val="24"/>
          <w:highlight w:val="none"/>
        </w:rPr>
      </w:pPr>
      <w:r>
        <w:rPr>
          <w:color w:val="auto"/>
          <w:sz w:val="24"/>
          <w:highlight w:val="none"/>
        </w:rPr>
        <w:t>评标委员会对通过投标文件第二信封（报价文件）初步评审的投标人的投标报价进行校核，并对其中的算术性错误予以修正。修正的原则如下：</w:t>
      </w:r>
    </w:p>
    <w:p>
      <w:pPr>
        <w:pStyle w:val="30"/>
        <w:numPr>
          <w:ilvl w:val="0"/>
          <w:numId w:val="11"/>
        </w:numPr>
        <w:tabs>
          <w:tab w:val="left" w:pos="1494"/>
        </w:tabs>
        <w:spacing w:before="1" w:after="0" w:line="240" w:lineRule="auto"/>
        <w:ind w:left="1493" w:right="0" w:hanging="616"/>
        <w:jc w:val="left"/>
        <w:rPr>
          <w:color w:val="auto"/>
          <w:sz w:val="24"/>
          <w:highlight w:val="none"/>
        </w:rPr>
      </w:pPr>
      <w:r>
        <w:rPr>
          <w:color w:val="auto"/>
          <w:sz w:val="24"/>
          <w:highlight w:val="none"/>
        </w:rPr>
        <w:t>大写金额与小写金额不一致的，以大写金额为准；</w:t>
      </w:r>
    </w:p>
    <w:p>
      <w:pPr>
        <w:pStyle w:val="30"/>
        <w:numPr>
          <w:ilvl w:val="0"/>
          <w:numId w:val="11"/>
        </w:numPr>
        <w:tabs>
          <w:tab w:val="left" w:pos="1494"/>
        </w:tabs>
        <w:spacing w:before="161" w:after="0" w:line="364" w:lineRule="auto"/>
        <w:ind w:left="398" w:right="417" w:firstLine="480"/>
        <w:jc w:val="left"/>
        <w:rPr>
          <w:color w:val="auto"/>
          <w:sz w:val="24"/>
          <w:highlight w:val="none"/>
        </w:rPr>
      </w:pPr>
      <w:r>
        <w:rPr>
          <w:color w:val="auto"/>
          <w:spacing w:val="-1"/>
          <w:sz w:val="24"/>
          <w:highlight w:val="none"/>
        </w:rPr>
        <w:t>单价金额与数量相乘与合价金额不一致的，以单价金额为准；如果单价金额有</w:t>
      </w:r>
      <w:r>
        <w:rPr>
          <w:color w:val="auto"/>
          <w:sz w:val="24"/>
          <w:highlight w:val="none"/>
        </w:rPr>
        <w:t>明显的小数点位置差错，应以标出的合价金额为准，同时对单价金额予以修正；</w:t>
      </w:r>
    </w:p>
    <w:p>
      <w:pPr>
        <w:pStyle w:val="30"/>
        <w:numPr>
          <w:ilvl w:val="0"/>
          <w:numId w:val="11"/>
        </w:numPr>
        <w:tabs>
          <w:tab w:val="left" w:pos="1494"/>
        </w:tabs>
        <w:spacing w:before="1" w:after="0" w:line="240" w:lineRule="auto"/>
        <w:ind w:left="1493" w:right="0" w:hanging="616"/>
        <w:jc w:val="left"/>
        <w:rPr>
          <w:color w:val="auto"/>
          <w:sz w:val="24"/>
          <w:highlight w:val="none"/>
        </w:rPr>
      </w:pPr>
      <w:r>
        <w:rPr>
          <w:color w:val="auto"/>
          <w:sz w:val="24"/>
          <w:highlight w:val="none"/>
        </w:rPr>
        <w:t>合价金额累计与总价金额不一致的，以合价金额为准，修正总价金额。</w:t>
      </w:r>
    </w:p>
    <w:p>
      <w:pPr>
        <w:pStyle w:val="30"/>
        <w:numPr>
          <w:ilvl w:val="1"/>
          <w:numId w:val="10"/>
        </w:numPr>
        <w:tabs>
          <w:tab w:val="left" w:pos="1335"/>
        </w:tabs>
        <w:spacing w:before="160" w:after="0" w:line="240" w:lineRule="auto"/>
        <w:ind w:left="1334" w:right="0" w:hanging="457"/>
        <w:jc w:val="left"/>
        <w:outlineLvl w:val="2"/>
        <w:rPr>
          <w:rFonts w:hint="eastAsia" w:ascii="黑体" w:eastAsia="黑体"/>
          <w:color w:val="auto"/>
          <w:sz w:val="24"/>
          <w:highlight w:val="none"/>
        </w:rPr>
      </w:pPr>
      <w:bookmarkStart w:id="148" w:name="_Toc22399"/>
      <w:r>
        <w:rPr>
          <w:rFonts w:hint="eastAsia" w:ascii="黑体" w:eastAsia="黑体"/>
          <w:color w:val="auto"/>
          <w:sz w:val="24"/>
          <w:highlight w:val="none"/>
        </w:rPr>
        <w:t>第二信封澄清</w:t>
      </w:r>
      <w:bookmarkEnd w:id="148"/>
    </w:p>
    <w:p>
      <w:pPr>
        <w:spacing w:before="161" w:line="364" w:lineRule="auto"/>
        <w:ind w:left="398" w:right="292" w:firstLine="480"/>
        <w:jc w:val="left"/>
        <w:rPr>
          <w:color w:val="auto"/>
          <w:sz w:val="24"/>
          <w:highlight w:val="none"/>
        </w:rPr>
      </w:pPr>
      <w:r>
        <w:rPr>
          <w:color w:val="auto"/>
          <w:sz w:val="24"/>
          <w:highlight w:val="none"/>
        </w:rPr>
        <w:t xml:space="preserve">算术性修正后的报价如果与投标人原报价不同，评标时将书面通知投标人进行澄清， </w:t>
      </w:r>
      <w:r>
        <w:rPr>
          <w:color w:val="auto"/>
          <w:spacing w:val="-5"/>
          <w:sz w:val="24"/>
          <w:highlight w:val="none"/>
        </w:rPr>
        <w:t>投标人应确认算术性修正后的报价；如投标人拒绝确认，则其投标文件将不予评审，作否</w:t>
      </w:r>
      <w:r>
        <w:rPr>
          <w:color w:val="auto"/>
          <w:spacing w:val="-17"/>
          <w:sz w:val="24"/>
          <w:highlight w:val="none"/>
        </w:rPr>
        <w:t xml:space="preserve">决投标处理，同时没收其投标保证金。修正后的最终投标报价仅作为签订合同的一个依据， </w:t>
      </w:r>
      <w:r>
        <w:rPr>
          <w:color w:val="auto"/>
          <w:sz w:val="24"/>
          <w:highlight w:val="none"/>
        </w:rPr>
        <w:t>不参与投标价得分的计算。</w:t>
      </w:r>
    </w:p>
    <w:p>
      <w:pPr>
        <w:spacing w:before="2"/>
        <w:ind w:left="878" w:right="0" w:firstLine="0"/>
        <w:jc w:val="left"/>
        <w:rPr>
          <w:color w:val="auto"/>
          <w:sz w:val="24"/>
          <w:highlight w:val="none"/>
        </w:rPr>
      </w:pPr>
      <w:r>
        <w:rPr>
          <w:color w:val="auto"/>
          <w:sz w:val="24"/>
          <w:highlight w:val="none"/>
        </w:rPr>
        <w:t>修正后的最终投标报价若超过最高投标限价</w:t>
      </w:r>
      <w:r>
        <w:rPr>
          <w:color w:val="auto"/>
          <w:spacing w:val="2"/>
          <w:sz w:val="24"/>
          <w:highlight w:val="none"/>
        </w:rPr>
        <w:t>（</w:t>
      </w:r>
      <w:r>
        <w:rPr>
          <w:color w:val="auto"/>
          <w:sz w:val="24"/>
          <w:highlight w:val="none"/>
        </w:rPr>
        <w:t>如有</w:t>
      </w:r>
      <w:r>
        <w:rPr>
          <w:color w:val="auto"/>
          <w:spacing w:val="-118"/>
          <w:sz w:val="24"/>
          <w:highlight w:val="none"/>
        </w:rPr>
        <w:t>）</w:t>
      </w:r>
      <w:r>
        <w:rPr>
          <w:color w:val="auto"/>
          <w:sz w:val="24"/>
          <w:highlight w:val="none"/>
        </w:rPr>
        <w:t>，投标人的投标文件作否决投标</w:t>
      </w:r>
    </w:p>
    <w:p>
      <w:pPr>
        <w:spacing w:after="0"/>
        <w:jc w:val="left"/>
        <w:rPr>
          <w:color w:val="auto"/>
          <w:sz w:val="24"/>
          <w:highlight w:val="none"/>
        </w:rPr>
        <w:sectPr>
          <w:pgSz w:w="11910" w:h="16840"/>
          <w:pgMar w:top="1000"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54"/>
        <w:ind w:left="398" w:right="0" w:firstLine="0"/>
        <w:jc w:val="left"/>
        <w:rPr>
          <w:color w:val="auto"/>
          <w:sz w:val="24"/>
          <w:highlight w:val="none"/>
        </w:rPr>
      </w:pPr>
      <w:r>
        <w:rPr>
          <w:color w:val="auto"/>
          <w:sz w:val="24"/>
          <w:highlight w:val="none"/>
        </w:rPr>
        <w:t>处理。</w:t>
      </w:r>
    </w:p>
    <w:p>
      <w:pPr>
        <w:pStyle w:val="30"/>
        <w:numPr>
          <w:ilvl w:val="1"/>
          <w:numId w:val="10"/>
        </w:numPr>
        <w:tabs>
          <w:tab w:val="left" w:pos="1469"/>
        </w:tabs>
        <w:spacing w:before="161" w:after="0" w:line="240" w:lineRule="auto"/>
        <w:ind w:left="1468" w:right="0" w:hanging="591"/>
        <w:jc w:val="left"/>
        <w:outlineLvl w:val="2"/>
        <w:rPr>
          <w:rFonts w:hint="eastAsia" w:ascii="黑体" w:eastAsia="黑体"/>
          <w:color w:val="auto"/>
          <w:sz w:val="24"/>
          <w:highlight w:val="none"/>
        </w:rPr>
      </w:pPr>
      <w:bookmarkStart w:id="149" w:name="_Toc12437"/>
      <w:r>
        <w:rPr>
          <w:rFonts w:hint="eastAsia" w:ascii="黑体" w:eastAsia="黑体"/>
          <w:color w:val="auto"/>
          <w:spacing w:val="-1"/>
          <w:sz w:val="24"/>
          <w:highlight w:val="none"/>
        </w:rPr>
        <w:t>第二信封详细评审</w:t>
      </w:r>
      <w:bookmarkEnd w:id="149"/>
    </w:p>
    <w:p>
      <w:pPr>
        <w:spacing w:before="160" w:line="364" w:lineRule="auto"/>
        <w:ind w:left="398" w:right="332" w:firstLine="480"/>
        <w:jc w:val="left"/>
        <w:rPr>
          <w:color w:val="auto"/>
          <w:sz w:val="24"/>
          <w:highlight w:val="none"/>
        </w:rPr>
      </w:pPr>
      <w:r>
        <w:rPr>
          <w:color w:val="auto"/>
          <w:sz w:val="24"/>
          <w:highlight w:val="none"/>
        </w:rPr>
        <w:t>计算所有通过第二信封（报价文件）初步评审以及算术性修正后的投标人的投标价得分。投标价得分的计算方法见</w:t>
      </w:r>
      <w:r>
        <w:rPr>
          <w:rFonts w:ascii="Arial" w:hAnsi="Arial" w:eastAsia="Arial"/>
          <w:color w:val="auto"/>
          <w:sz w:val="24"/>
          <w:highlight w:val="none"/>
        </w:rPr>
        <w:t>“</w:t>
      </w:r>
      <w:r>
        <w:rPr>
          <w:color w:val="auto"/>
          <w:sz w:val="24"/>
          <w:highlight w:val="none"/>
        </w:rPr>
        <w:t>评标办法前附表</w:t>
      </w:r>
      <w:r>
        <w:rPr>
          <w:rFonts w:ascii="Arial" w:hAnsi="Arial" w:eastAsia="Arial"/>
          <w:color w:val="auto"/>
          <w:sz w:val="24"/>
          <w:highlight w:val="none"/>
        </w:rPr>
        <w:t>”</w:t>
      </w:r>
      <w:r>
        <w:rPr>
          <w:color w:val="auto"/>
          <w:sz w:val="24"/>
          <w:highlight w:val="none"/>
        </w:rPr>
        <w:t>。</w:t>
      </w:r>
    </w:p>
    <w:p>
      <w:pPr>
        <w:pStyle w:val="30"/>
        <w:numPr>
          <w:ilvl w:val="1"/>
          <w:numId w:val="10"/>
        </w:numPr>
        <w:tabs>
          <w:tab w:val="left" w:pos="1450"/>
        </w:tabs>
        <w:spacing w:before="1" w:after="0" w:line="240" w:lineRule="auto"/>
        <w:ind w:left="1449" w:right="0" w:hanging="572"/>
        <w:jc w:val="left"/>
        <w:outlineLvl w:val="2"/>
        <w:rPr>
          <w:rFonts w:hint="eastAsia" w:ascii="黑体" w:eastAsia="黑体"/>
          <w:color w:val="auto"/>
          <w:sz w:val="24"/>
          <w:highlight w:val="none"/>
        </w:rPr>
      </w:pPr>
      <w:bookmarkStart w:id="150" w:name="_Toc16911"/>
      <w:r>
        <w:rPr>
          <w:rFonts w:hint="eastAsia" w:ascii="黑体" w:eastAsia="黑体"/>
          <w:color w:val="auto"/>
          <w:sz w:val="24"/>
          <w:highlight w:val="none"/>
        </w:rPr>
        <w:t>评标排序</w:t>
      </w:r>
      <w:bookmarkEnd w:id="150"/>
    </w:p>
    <w:p>
      <w:pPr>
        <w:spacing w:before="161" w:line="364" w:lineRule="auto"/>
        <w:ind w:left="398" w:right="327" w:firstLine="480"/>
        <w:jc w:val="both"/>
        <w:rPr>
          <w:color w:val="auto"/>
          <w:sz w:val="24"/>
          <w:highlight w:val="none"/>
        </w:rPr>
      </w:pPr>
      <w:r>
        <w:rPr>
          <w:color w:val="auto"/>
          <w:spacing w:val="-5"/>
          <w:sz w:val="24"/>
          <w:highlight w:val="none"/>
        </w:rPr>
        <w:t>评标委员会成员应当按照评标办法的规定，独立评分并署名。各投标人的综合得分为</w:t>
      </w:r>
      <w:r>
        <w:rPr>
          <w:color w:val="auto"/>
          <w:spacing w:val="-10"/>
          <w:sz w:val="24"/>
          <w:highlight w:val="none"/>
        </w:rPr>
        <w:t>商务和技术得分与报价得分之和。按照综合得分由高到低的顺序，评标委员会对投标人进行排名。如最终得分相同时，则投标文件第一信封（商务及技术文件）</w:t>
      </w:r>
      <w:r>
        <w:rPr>
          <w:color w:val="auto"/>
          <w:spacing w:val="-12"/>
          <w:sz w:val="24"/>
          <w:highlight w:val="none"/>
        </w:rPr>
        <w:t>得分较高的优先。</w:t>
      </w:r>
    </w:p>
    <w:p>
      <w:pPr>
        <w:pStyle w:val="30"/>
        <w:numPr>
          <w:ilvl w:val="1"/>
          <w:numId w:val="10"/>
        </w:numPr>
        <w:tabs>
          <w:tab w:val="left" w:pos="1469"/>
        </w:tabs>
        <w:spacing w:before="2" w:after="0" w:line="240" w:lineRule="auto"/>
        <w:ind w:left="1468" w:right="0" w:hanging="591"/>
        <w:jc w:val="left"/>
        <w:outlineLvl w:val="2"/>
        <w:rPr>
          <w:rFonts w:hint="eastAsia" w:ascii="黑体" w:eastAsia="黑体"/>
          <w:color w:val="auto"/>
          <w:sz w:val="24"/>
          <w:highlight w:val="none"/>
        </w:rPr>
      </w:pPr>
      <w:bookmarkStart w:id="151" w:name="_Toc14752"/>
      <w:r>
        <w:rPr>
          <w:rFonts w:hint="eastAsia" w:ascii="黑体" w:eastAsia="黑体"/>
          <w:color w:val="auto"/>
          <w:sz w:val="24"/>
          <w:highlight w:val="none"/>
        </w:rPr>
        <w:t>评标结果</w:t>
      </w:r>
      <w:bookmarkEnd w:id="151"/>
    </w:p>
    <w:p>
      <w:pPr>
        <w:spacing w:before="160" w:line="364" w:lineRule="auto"/>
        <w:ind w:left="398" w:right="412" w:firstLine="480"/>
        <w:jc w:val="left"/>
        <w:rPr>
          <w:color w:val="auto"/>
          <w:sz w:val="24"/>
          <w:highlight w:val="none"/>
        </w:rPr>
      </w:pPr>
      <w:r>
        <w:rPr>
          <w:color w:val="auto"/>
          <w:sz w:val="24"/>
          <w:highlight w:val="none"/>
        </w:rPr>
        <w:t>评标委员会应当在评标工作完成后，按</w:t>
      </w:r>
      <w:r>
        <w:rPr>
          <w:rFonts w:ascii="Arial" w:hAnsi="Arial" w:eastAsia="Arial"/>
          <w:color w:val="auto"/>
          <w:sz w:val="24"/>
          <w:highlight w:val="none"/>
        </w:rPr>
        <w:t>“</w:t>
      </w:r>
      <w:r>
        <w:rPr>
          <w:color w:val="auto"/>
          <w:sz w:val="24"/>
          <w:highlight w:val="none"/>
        </w:rPr>
        <w:t>评标办法前附表</w:t>
      </w:r>
      <w:r>
        <w:rPr>
          <w:rFonts w:ascii="Arial" w:hAnsi="Arial" w:eastAsia="Arial"/>
          <w:color w:val="auto"/>
          <w:sz w:val="24"/>
          <w:highlight w:val="none"/>
        </w:rPr>
        <w:t>”</w:t>
      </w:r>
      <w:r>
        <w:rPr>
          <w:color w:val="auto"/>
          <w:sz w:val="24"/>
          <w:highlight w:val="none"/>
        </w:rPr>
        <w:t>规定的人数推荐中标候选人并向招标人提交书面评标报告。</w:t>
      </w:r>
    </w:p>
    <w:p>
      <w:pPr>
        <w:spacing w:after="0" w:line="364" w:lineRule="auto"/>
        <w:jc w:val="left"/>
        <w:rPr>
          <w:color w:val="auto"/>
          <w:sz w:val="24"/>
          <w:highlight w:val="none"/>
        </w:rPr>
        <w:sectPr>
          <w:pgSz w:w="11910" w:h="16840"/>
          <w:pgMar w:top="1000" w:right="860" w:bottom="940" w:left="960" w:header="0" w:footer="672" w:gutter="0"/>
          <w:pgBorders>
            <w:top w:val="none" w:sz="0" w:space="0"/>
            <w:left w:val="none" w:sz="0" w:space="0"/>
            <w:bottom w:val="none" w:sz="0" w:space="0"/>
            <w:right w:val="none" w:sz="0" w:space="0"/>
          </w:pgBorders>
          <w:pgNumType w:fmt="decimal"/>
          <w:cols w:space="720" w:num="1"/>
        </w:sect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5"/>
        <w:tabs>
          <w:tab w:val="left" w:pos="2349"/>
        </w:tabs>
        <w:spacing w:before="170"/>
        <w:outlineLvl w:val="9"/>
        <w:rPr>
          <w:color w:val="auto"/>
          <w:highlight w:val="none"/>
        </w:rPr>
      </w:pPr>
      <w:bookmarkStart w:id="152" w:name="第四章   合同条款及格式"/>
      <w:bookmarkEnd w:id="152"/>
    </w:p>
    <w:p>
      <w:pPr>
        <w:pStyle w:val="5"/>
        <w:tabs>
          <w:tab w:val="left" w:pos="2349"/>
        </w:tabs>
        <w:spacing w:before="170"/>
        <w:outlineLvl w:val="9"/>
        <w:rPr>
          <w:color w:val="auto"/>
          <w:highlight w:val="none"/>
        </w:rPr>
      </w:pPr>
    </w:p>
    <w:p>
      <w:pPr>
        <w:pStyle w:val="5"/>
        <w:tabs>
          <w:tab w:val="left" w:pos="2349"/>
        </w:tabs>
        <w:spacing w:before="170"/>
        <w:outlineLvl w:val="9"/>
        <w:rPr>
          <w:color w:val="auto"/>
          <w:highlight w:val="none"/>
        </w:rPr>
      </w:pPr>
    </w:p>
    <w:p>
      <w:pPr>
        <w:pStyle w:val="5"/>
        <w:tabs>
          <w:tab w:val="left" w:pos="2349"/>
        </w:tabs>
        <w:spacing w:before="170"/>
        <w:outlineLvl w:val="0"/>
        <w:rPr>
          <w:color w:val="auto"/>
          <w:highlight w:val="none"/>
        </w:rPr>
      </w:pPr>
      <w:bookmarkStart w:id="153" w:name="_Toc2144"/>
      <w:r>
        <w:rPr>
          <w:color w:val="auto"/>
          <w:highlight w:val="none"/>
        </w:rPr>
        <w:t>第四章</w:t>
      </w:r>
      <w:r>
        <w:rPr>
          <w:color w:val="auto"/>
          <w:highlight w:val="none"/>
        </w:rPr>
        <w:tab/>
      </w:r>
      <w:r>
        <w:rPr>
          <w:color w:val="auto"/>
          <w:highlight w:val="none"/>
        </w:rPr>
        <w:t>合同条款及格式</w:t>
      </w:r>
      <w:bookmarkEnd w:id="153"/>
    </w:p>
    <w:p>
      <w:pPr>
        <w:spacing w:after="0"/>
        <w:rPr>
          <w:color w:val="auto"/>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pStyle w:val="8"/>
        <w:tabs>
          <w:tab w:val="left" w:pos="1283"/>
        </w:tabs>
        <w:spacing w:before="28"/>
        <w:ind w:left="0" w:right="18"/>
        <w:outlineLvl w:val="1"/>
        <w:rPr>
          <w:rFonts w:hint="eastAsia" w:ascii="黑体" w:eastAsia="黑体"/>
          <w:color w:val="auto"/>
          <w:highlight w:val="none"/>
        </w:rPr>
      </w:pPr>
      <w:bookmarkStart w:id="154" w:name="第一节  通用合同条款"/>
      <w:bookmarkEnd w:id="154"/>
      <w:bookmarkStart w:id="155" w:name="_Toc3965"/>
      <w:r>
        <w:rPr>
          <w:rFonts w:hint="eastAsia" w:ascii="黑体" w:eastAsia="黑体"/>
          <w:color w:val="auto"/>
          <w:highlight w:val="none"/>
        </w:rPr>
        <w:t>第一节</w:t>
      </w:r>
      <w:r>
        <w:rPr>
          <w:rFonts w:hint="eastAsia" w:ascii="黑体" w:eastAsia="黑体"/>
          <w:color w:val="auto"/>
          <w:highlight w:val="none"/>
        </w:rPr>
        <w:tab/>
      </w:r>
      <w:r>
        <w:rPr>
          <w:rFonts w:hint="eastAsia" w:ascii="黑体" w:eastAsia="黑体"/>
          <w:color w:val="auto"/>
          <w:highlight w:val="none"/>
        </w:rPr>
        <w:t>通用合同条款</w:t>
      </w:r>
      <w:bookmarkEnd w:id="155"/>
    </w:p>
    <w:p>
      <w:pPr>
        <w:pStyle w:val="2"/>
        <w:spacing w:before="1"/>
        <w:rPr>
          <w:rFonts w:ascii="黑体"/>
          <w:b/>
          <w:color w:val="auto"/>
          <w:sz w:val="17"/>
          <w:highlight w:val="none"/>
        </w:rPr>
      </w:pPr>
    </w:p>
    <w:p>
      <w:pPr>
        <w:pStyle w:val="8"/>
        <w:numPr>
          <w:ilvl w:val="0"/>
          <w:numId w:val="12"/>
        </w:numPr>
        <w:tabs>
          <w:tab w:val="left" w:pos="666"/>
        </w:tabs>
        <w:spacing w:before="69" w:after="0" w:line="240" w:lineRule="auto"/>
        <w:ind w:left="665" w:right="0" w:hanging="268"/>
        <w:jc w:val="left"/>
        <w:outlineLvl w:val="2"/>
        <w:rPr>
          <w:color w:val="auto"/>
          <w:highlight w:val="none"/>
        </w:rPr>
      </w:pPr>
      <w:bookmarkStart w:id="156" w:name="_bookmark30"/>
      <w:bookmarkEnd w:id="156"/>
      <w:bookmarkStart w:id="157" w:name="1.定义和解释"/>
      <w:bookmarkEnd w:id="157"/>
      <w:bookmarkStart w:id="158" w:name="_Toc9472"/>
      <w:r>
        <w:rPr>
          <w:color w:val="auto"/>
          <w:highlight w:val="none"/>
        </w:rPr>
        <w:t>定义和解释</w:t>
      </w:r>
      <w:bookmarkEnd w:id="158"/>
    </w:p>
    <w:p>
      <w:pPr>
        <w:pStyle w:val="2"/>
        <w:spacing w:before="8"/>
        <w:rPr>
          <w:b/>
          <w:color w:val="auto"/>
          <w:sz w:val="29"/>
          <w:highlight w:val="none"/>
        </w:rPr>
      </w:pPr>
    </w:p>
    <w:p>
      <w:pPr>
        <w:pStyle w:val="2"/>
        <w:ind w:left="818"/>
        <w:rPr>
          <w:color w:val="auto"/>
          <w:highlight w:val="none"/>
        </w:rPr>
      </w:pPr>
      <w:r>
        <w:rPr>
          <w:color w:val="auto"/>
          <w:highlight w:val="none"/>
        </w:rPr>
        <w:t>通用合同条款、专用合同条款中的下列词语应具有本条所赋予的含义。</w:t>
      </w:r>
    </w:p>
    <w:p>
      <w:pPr>
        <w:pStyle w:val="30"/>
        <w:numPr>
          <w:ilvl w:val="1"/>
          <w:numId w:val="12"/>
        </w:numPr>
        <w:tabs>
          <w:tab w:val="left" w:pos="1217"/>
        </w:tabs>
        <w:spacing w:before="170" w:after="0" w:line="240" w:lineRule="auto"/>
        <w:ind w:left="1216" w:right="0" w:hanging="397"/>
        <w:jc w:val="both"/>
        <w:rPr>
          <w:color w:val="auto"/>
          <w:sz w:val="21"/>
          <w:highlight w:val="none"/>
        </w:rPr>
      </w:pPr>
      <w:r>
        <w:rPr>
          <w:rFonts w:hint="eastAsia" w:ascii="黑体" w:eastAsia="黑体"/>
          <w:color w:val="auto"/>
          <w:sz w:val="21"/>
          <w:highlight w:val="none"/>
        </w:rPr>
        <w:t>工程</w:t>
      </w:r>
      <w:r>
        <w:rPr>
          <w:color w:val="auto"/>
          <w:spacing w:val="-3"/>
          <w:sz w:val="21"/>
          <w:highlight w:val="none"/>
        </w:rPr>
        <w:t>：指专用合同条款中指明进行勘察设计招标的工程。</w:t>
      </w:r>
    </w:p>
    <w:p>
      <w:pPr>
        <w:pStyle w:val="30"/>
        <w:numPr>
          <w:ilvl w:val="1"/>
          <w:numId w:val="12"/>
        </w:numPr>
        <w:tabs>
          <w:tab w:val="left" w:pos="1217"/>
        </w:tabs>
        <w:spacing w:before="173" w:after="0" w:line="391" w:lineRule="auto"/>
        <w:ind w:left="398" w:right="301" w:firstLine="422"/>
        <w:jc w:val="both"/>
        <w:rPr>
          <w:color w:val="auto"/>
          <w:sz w:val="21"/>
          <w:highlight w:val="none"/>
        </w:rPr>
      </w:pPr>
      <w:r>
        <w:rPr>
          <w:rFonts w:hint="eastAsia" w:ascii="黑体" w:hAnsi="黑体" w:eastAsia="黑体"/>
          <w:color w:val="auto"/>
          <w:spacing w:val="-25"/>
          <w:w w:val="100"/>
          <w:sz w:val="21"/>
          <w:highlight w:val="none"/>
        </w:rPr>
        <w:t>发包人：</w:t>
      </w:r>
      <w:r>
        <w:rPr>
          <w:color w:val="auto"/>
          <w:spacing w:val="-3"/>
          <w:w w:val="100"/>
          <w:sz w:val="21"/>
          <w:highlight w:val="none"/>
        </w:rPr>
        <w:t>即合同协议书中的</w:t>
      </w:r>
      <w:r>
        <w:rPr>
          <w:rFonts w:ascii="Arial" w:hAnsi="Arial" w:eastAsia="Arial"/>
          <w:color w:val="auto"/>
          <w:spacing w:val="-1"/>
          <w:w w:val="100"/>
          <w:sz w:val="21"/>
          <w:highlight w:val="none"/>
        </w:rPr>
        <w:t>“</w:t>
      </w:r>
      <w:r>
        <w:rPr>
          <w:color w:val="auto"/>
          <w:spacing w:val="-2"/>
          <w:w w:val="100"/>
          <w:sz w:val="21"/>
          <w:highlight w:val="none"/>
        </w:rPr>
        <w:t>甲方</w:t>
      </w:r>
      <w:r>
        <w:rPr>
          <w:rFonts w:ascii="Arial" w:hAnsi="Arial" w:eastAsia="Arial"/>
          <w:color w:val="auto"/>
          <w:spacing w:val="-1"/>
          <w:w w:val="100"/>
          <w:sz w:val="21"/>
          <w:highlight w:val="none"/>
        </w:rPr>
        <w:t>”</w:t>
      </w:r>
      <w:r>
        <w:rPr>
          <w:color w:val="auto"/>
          <w:spacing w:val="-12"/>
          <w:w w:val="100"/>
          <w:sz w:val="21"/>
          <w:highlight w:val="none"/>
        </w:rPr>
        <w:t>，是指专用合同条款中指明的执行建设项目投资计划的单位，</w:t>
      </w:r>
      <w:r>
        <w:rPr>
          <w:color w:val="auto"/>
          <w:spacing w:val="-6"/>
          <w:sz w:val="21"/>
          <w:highlight w:val="none"/>
        </w:rPr>
        <w:t>或其指定的负责管理建设项目的代表机构，以及取得该当事人</w:t>
      </w:r>
      <w:r>
        <w:rPr>
          <w:color w:val="auto"/>
          <w:sz w:val="21"/>
          <w:highlight w:val="none"/>
        </w:rPr>
        <w:t>（</w:t>
      </w:r>
      <w:r>
        <w:rPr>
          <w:color w:val="auto"/>
          <w:spacing w:val="-2"/>
          <w:sz w:val="21"/>
          <w:highlight w:val="none"/>
        </w:rPr>
        <w:t>单位</w:t>
      </w:r>
      <w:r>
        <w:rPr>
          <w:color w:val="auto"/>
          <w:spacing w:val="-3"/>
          <w:sz w:val="21"/>
          <w:highlight w:val="none"/>
        </w:rPr>
        <w:t>）资格的合法继承人。</w:t>
      </w:r>
    </w:p>
    <w:p>
      <w:pPr>
        <w:pStyle w:val="30"/>
        <w:numPr>
          <w:ilvl w:val="1"/>
          <w:numId w:val="12"/>
        </w:numPr>
        <w:tabs>
          <w:tab w:val="left" w:pos="1217"/>
        </w:tabs>
        <w:spacing w:before="1" w:after="0" w:line="393" w:lineRule="auto"/>
        <w:ind w:left="398" w:right="340" w:firstLine="422"/>
        <w:jc w:val="both"/>
        <w:rPr>
          <w:color w:val="auto"/>
          <w:sz w:val="21"/>
          <w:highlight w:val="none"/>
        </w:rPr>
      </w:pPr>
      <w:r>
        <w:rPr>
          <w:rFonts w:hint="eastAsia" w:ascii="黑体" w:hAnsi="黑体" w:eastAsia="黑体"/>
          <w:color w:val="auto"/>
          <w:sz w:val="21"/>
          <w:highlight w:val="none"/>
        </w:rPr>
        <w:t>设计人</w:t>
      </w:r>
      <w:r>
        <w:rPr>
          <w:color w:val="auto"/>
          <w:spacing w:val="-7"/>
          <w:sz w:val="21"/>
          <w:highlight w:val="none"/>
        </w:rPr>
        <w:t>：即合同协议书中的</w:t>
      </w:r>
      <w:r>
        <w:rPr>
          <w:rFonts w:ascii="Arial" w:hAnsi="Arial" w:eastAsia="Arial"/>
          <w:color w:val="auto"/>
          <w:spacing w:val="-4"/>
          <w:sz w:val="21"/>
          <w:highlight w:val="none"/>
        </w:rPr>
        <w:t>“</w:t>
      </w:r>
      <w:r>
        <w:rPr>
          <w:color w:val="auto"/>
          <w:sz w:val="21"/>
          <w:highlight w:val="none"/>
        </w:rPr>
        <w:t>乙方</w:t>
      </w:r>
      <w:r>
        <w:rPr>
          <w:rFonts w:ascii="Arial" w:hAnsi="Arial" w:eastAsia="Arial"/>
          <w:color w:val="auto"/>
          <w:spacing w:val="-17"/>
          <w:sz w:val="21"/>
          <w:highlight w:val="none"/>
        </w:rPr>
        <w:t>”</w:t>
      </w:r>
      <w:r>
        <w:rPr>
          <w:color w:val="auto"/>
          <w:spacing w:val="-7"/>
          <w:sz w:val="21"/>
          <w:highlight w:val="none"/>
        </w:rPr>
        <w:t>，是指其投标文件已为发包人所接受，并与发包人签订了合同协议书承担本合同工程勘察设计的咨询机构，以及取得该当事机构资格的合法继承人，但不包括该</w:t>
      </w:r>
      <w:r>
        <w:rPr>
          <w:color w:val="auto"/>
          <w:spacing w:val="-5"/>
          <w:sz w:val="21"/>
          <w:highlight w:val="none"/>
        </w:rPr>
        <w:t>当事机构的任何受让人</w:t>
      </w:r>
      <w:r>
        <w:rPr>
          <w:color w:val="auto"/>
          <w:spacing w:val="-3"/>
          <w:sz w:val="21"/>
          <w:highlight w:val="none"/>
        </w:rPr>
        <w:t>（除非发包人同意</w:t>
      </w:r>
      <w:r>
        <w:rPr>
          <w:color w:val="auto"/>
          <w:spacing w:val="-106"/>
          <w:sz w:val="21"/>
          <w:highlight w:val="none"/>
        </w:rPr>
        <w:t>）</w:t>
      </w:r>
      <w:r>
        <w:rPr>
          <w:color w:val="auto"/>
          <w:spacing w:val="-3"/>
          <w:sz w:val="21"/>
          <w:highlight w:val="none"/>
        </w:rPr>
        <w:t>。若设计人为联合体，则设计人包括联合体所有成员单位。</w:t>
      </w:r>
    </w:p>
    <w:p>
      <w:pPr>
        <w:pStyle w:val="30"/>
        <w:numPr>
          <w:ilvl w:val="1"/>
          <w:numId w:val="12"/>
        </w:numPr>
        <w:tabs>
          <w:tab w:val="left" w:pos="1220"/>
        </w:tabs>
        <w:spacing w:before="0" w:after="0" w:line="265" w:lineRule="exact"/>
        <w:ind w:left="1219" w:right="0" w:hanging="400"/>
        <w:jc w:val="both"/>
        <w:rPr>
          <w:color w:val="auto"/>
          <w:sz w:val="21"/>
          <w:highlight w:val="none"/>
        </w:rPr>
      </w:pPr>
      <w:r>
        <w:rPr>
          <w:rFonts w:hint="eastAsia" w:ascii="黑体" w:eastAsia="黑体"/>
          <w:color w:val="auto"/>
          <w:spacing w:val="-2"/>
          <w:sz w:val="21"/>
          <w:highlight w:val="none"/>
        </w:rPr>
        <w:t>分包人</w:t>
      </w:r>
      <w:r>
        <w:rPr>
          <w:color w:val="auto"/>
          <w:spacing w:val="-3"/>
          <w:sz w:val="21"/>
          <w:highlight w:val="none"/>
        </w:rPr>
        <w:t>：指从设计人处分包合同中某一部分工程，并与其签订分包合同的咨询机构。</w:t>
      </w:r>
    </w:p>
    <w:p>
      <w:pPr>
        <w:pStyle w:val="30"/>
        <w:numPr>
          <w:ilvl w:val="1"/>
          <w:numId w:val="12"/>
        </w:numPr>
        <w:tabs>
          <w:tab w:val="left" w:pos="1220"/>
        </w:tabs>
        <w:spacing w:before="173" w:after="0" w:line="391" w:lineRule="auto"/>
        <w:ind w:left="398" w:right="407" w:firstLine="422"/>
        <w:jc w:val="both"/>
        <w:rPr>
          <w:color w:val="auto"/>
          <w:sz w:val="21"/>
          <w:highlight w:val="none"/>
        </w:rPr>
      </w:pPr>
      <w:r>
        <w:rPr>
          <w:rFonts w:hint="eastAsia" w:ascii="黑体" w:eastAsia="黑体"/>
          <w:color w:val="auto"/>
          <w:sz w:val="21"/>
          <w:highlight w:val="none"/>
        </w:rPr>
        <w:t>咨询单位</w:t>
      </w:r>
      <w:r>
        <w:rPr>
          <w:color w:val="auto"/>
          <w:spacing w:val="-1"/>
          <w:sz w:val="21"/>
          <w:highlight w:val="none"/>
        </w:rPr>
        <w:t>：指受发包人委托对本工程勘察报告或设计文件进行审查或提供咨询意见的咨询机</w:t>
      </w:r>
      <w:r>
        <w:rPr>
          <w:color w:val="auto"/>
          <w:sz w:val="21"/>
          <w:highlight w:val="none"/>
        </w:rPr>
        <w:t>构。</w:t>
      </w:r>
    </w:p>
    <w:p>
      <w:pPr>
        <w:pStyle w:val="30"/>
        <w:numPr>
          <w:ilvl w:val="1"/>
          <w:numId w:val="12"/>
        </w:numPr>
        <w:tabs>
          <w:tab w:val="left" w:pos="1217"/>
        </w:tabs>
        <w:spacing w:before="1" w:after="0" w:line="240" w:lineRule="auto"/>
        <w:ind w:left="1216" w:right="0" w:hanging="397"/>
        <w:jc w:val="both"/>
        <w:rPr>
          <w:color w:val="auto"/>
          <w:sz w:val="21"/>
          <w:highlight w:val="none"/>
        </w:rPr>
      </w:pPr>
      <w:r>
        <w:rPr>
          <w:rFonts w:hint="eastAsia" w:ascii="黑体" w:eastAsia="黑体"/>
          <w:color w:val="auto"/>
          <w:spacing w:val="-2"/>
          <w:sz w:val="21"/>
          <w:highlight w:val="none"/>
        </w:rPr>
        <w:t>项目负责人：</w:t>
      </w:r>
      <w:r>
        <w:rPr>
          <w:color w:val="auto"/>
          <w:spacing w:val="-3"/>
          <w:sz w:val="21"/>
          <w:highlight w:val="none"/>
        </w:rPr>
        <w:t>是指由设计人书面委托的负责本工程勘察设计的组织管理者。</w:t>
      </w:r>
    </w:p>
    <w:p>
      <w:pPr>
        <w:pStyle w:val="30"/>
        <w:numPr>
          <w:ilvl w:val="1"/>
          <w:numId w:val="12"/>
        </w:numPr>
        <w:tabs>
          <w:tab w:val="left" w:pos="1217"/>
        </w:tabs>
        <w:spacing w:before="173" w:after="0" w:line="240" w:lineRule="auto"/>
        <w:ind w:left="1216" w:right="0" w:hanging="397"/>
        <w:jc w:val="both"/>
        <w:rPr>
          <w:color w:val="auto"/>
          <w:sz w:val="21"/>
          <w:highlight w:val="none"/>
        </w:rPr>
      </w:pPr>
      <w:r>
        <w:rPr>
          <w:rFonts w:hint="eastAsia" w:ascii="黑体" w:eastAsia="黑体"/>
          <w:color w:val="auto"/>
          <w:spacing w:val="-2"/>
          <w:sz w:val="21"/>
          <w:highlight w:val="none"/>
        </w:rPr>
        <w:t>分项负责人</w:t>
      </w:r>
      <w:r>
        <w:rPr>
          <w:color w:val="auto"/>
          <w:spacing w:val="-3"/>
          <w:sz w:val="21"/>
          <w:highlight w:val="none"/>
        </w:rPr>
        <w:t>：指由设计人批准的、并经过发包人认可的各专业设计负责人。</w:t>
      </w:r>
    </w:p>
    <w:p>
      <w:pPr>
        <w:pStyle w:val="30"/>
        <w:numPr>
          <w:ilvl w:val="1"/>
          <w:numId w:val="12"/>
        </w:numPr>
        <w:tabs>
          <w:tab w:val="left" w:pos="1219"/>
        </w:tabs>
        <w:spacing w:before="170" w:after="0" w:line="391" w:lineRule="auto"/>
        <w:ind w:left="397" w:right="408" w:firstLine="422"/>
        <w:jc w:val="both"/>
        <w:rPr>
          <w:color w:val="auto"/>
          <w:sz w:val="21"/>
          <w:highlight w:val="none"/>
        </w:rPr>
      </w:pPr>
      <w:r>
        <w:rPr>
          <w:rFonts w:hint="eastAsia" w:ascii="黑体" w:eastAsia="黑体"/>
          <w:color w:val="auto"/>
          <w:sz w:val="21"/>
          <w:highlight w:val="none"/>
        </w:rPr>
        <w:t>勘察设计合同：</w:t>
      </w:r>
      <w:r>
        <w:rPr>
          <w:color w:val="auto"/>
          <w:spacing w:val="-1"/>
          <w:sz w:val="21"/>
          <w:highlight w:val="none"/>
        </w:rPr>
        <w:t>指合同协议书、中标通知书、投标函、专用合同条款、通用合同条款、勘察</w:t>
      </w:r>
      <w:r>
        <w:rPr>
          <w:color w:val="auto"/>
          <w:spacing w:val="-3"/>
          <w:sz w:val="21"/>
          <w:highlight w:val="none"/>
        </w:rPr>
        <w:t>设计技术要求、勘察设计工作量及报价文件，以及构成合同组成部分的其他文件。</w:t>
      </w:r>
    </w:p>
    <w:p>
      <w:pPr>
        <w:pStyle w:val="30"/>
        <w:numPr>
          <w:ilvl w:val="1"/>
          <w:numId w:val="12"/>
        </w:numPr>
        <w:tabs>
          <w:tab w:val="left" w:pos="1219"/>
        </w:tabs>
        <w:spacing w:before="4" w:after="0" w:line="391" w:lineRule="auto"/>
        <w:ind w:left="397" w:right="408" w:firstLine="422"/>
        <w:jc w:val="both"/>
        <w:rPr>
          <w:color w:val="auto"/>
          <w:sz w:val="21"/>
          <w:highlight w:val="none"/>
        </w:rPr>
      </w:pPr>
      <w:r>
        <w:rPr>
          <w:rFonts w:hint="eastAsia" w:ascii="黑体" w:eastAsia="黑体"/>
          <w:color w:val="auto"/>
          <w:sz w:val="21"/>
          <w:highlight w:val="none"/>
        </w:rPr>
        <w:t>勘察设计技术要求：</w:t>
      </w:r>
      <w:r>
        <w:rPr>
          <w:color w:val="auto"/>
          <w:sz w:val="21"/>
          <w:highlight w:val="none"/>
        </w:rPr>
        <w:t>是勘察设计工作的依据，指中华人民共和国国家标准和交通运输部（</w:t>
      </w:r>
      <w:r>
        <w:rPr>
          <w:color w:val="auto"/>
          <w:spacing w:val="-13"/>
          <w:sz w:val="21"/>
          <w:highlight w:val="none"/>
        </w:rPr>
        <w:t>包</w:t>
      </w:r>
      <w:r>
        <w:rPr>
          <w:color w:val="auto"/>
          <w:spacing w:val="-1"/>
          <w:sz w:val="21"/>
          <w:highlight w:val="none"/>
        </w:rPr>
        <w:t>括原交通部，下同</w:t>
      </w:r>
      <w:r>
        <w:rPr>
          <w:color w:val="auto"/>
          <w:sz w:val="21"/>
          <w:highlight w:val="none"/>
        </w:rPr>
        <w:t>）</w:t>
      </w:r>
      <w:r>
        <w:rPr>
          <w:color w:val="auto"/>
          <w:spacing w:val="-4"/>
          <w:sz w:val="21"/>
          <w:highlight w:val="none"/>
        </w:rPr>
        <w:t>颁布的关于公路工程勘察设计方面的现行标准、规范、规程、定额和办法等，以</w:t>
      </w:r>
      <w:r>
        <w:rPr>
          <w:color w:val="auto"/>
          <w:spacing w:val="-3"/>
          <w:sz w:val="21"/>
          <w:highlight w:val="none"/>
        </w:rPr>
        <w:t>及发包人有关勘察设计的其他书面要求。</w:t>
      </w:r>
    </w:p>
    <w:p>
      <w:pPr>
        <w:pStyle w:val="30"/>
        <w:numPr>
          <w:ilvl w:val="1"/>
          <w:numId w:val="12"/>
        </w:numPr>
        <w:tabs>
          <w:tab w:val="left" w:pos="1334"/>
        </w:tabs>
        <w:spacing w:before="4" w:after="0" w:line="393" w:lineRule="auto"/>
        <w:ind w:left="397" w:right="408" w:firstLine="422"/>
        <w:jc w:val="both"/>
        <w:rPr>
          <w:color w:val="auto"/>
          <w:sz w:val="21"/>
          <w:highlight w:val="none"/>
        </w:rPr>
      </w:pPr>
      <w:r>
        <w:rPr>
          <w:rFonts w:hint="eastAsia" w:ascii="黑体" w:eastAsia="黑体"/>
          <w:color w:val="auto"/>
          <w:spacing w:val="-6"/>
          <w:sz w:val="21"/>
          <w:highlight w:val="none"/>
        </w:rPr>
        <w:t>勘察设计：</w:t>
      </w:r>
      <w:r>
        <w:rPr>
          <w:color w:val="auto"/>
          <w:spacing w:val="-5"/>
          <w:sz w:val="21"/>
          <w:highlight w:val="none"/>
        </w:rPr>
        <w:t>指设计人按合同的规定所进行的有关工程测量、工程地质与水文地质勘察，专项</w:t>
      </w:r>
      <w:r>
        <w:rPr>
          <w:color w:val="auto"/>
          <w:spacing w:val="-6"/>
          <w:sz w:val="21"/>
          <w:highlight w:val="none"/>
        </w:rPr>
        <w:t>勘察，材料试验，科学研究试验，路线、路基、路面设计，桥涵设计，隧道设计，交叉设计，交通工</w:t>
      </w:r>
      <w:r>
        <w:rPr>
          <w:color w:val="auto"/>
          <w:spacing w:val="-4"/>
          <w:sz w:val="21"/>
          <w:highlight w:val="none"/>
        </w:rPr>
        <w:t>程及沿线设施设计，环保及绿化设计，水土保持设计和景观设计以及经济调查，概、预算编制等全部</w:t>
      </w:r>
      <w:r>
        <w:rPr>
          <w:color w:val="auto"/>
          <w:spacing w:val="-3"/>
          <w:sz w:val="21"/>
          <w:highlight w:val="none"/>
        </w:rPr>
        <w:t>或单项工作。本合同包括的具体勘察设计内容在专用合同条款中约定。</w:t>
      </w:r>
    </w:p>
    <w:p>
      <w:pPr>
        <w:pStyle w:val="30"/>
        <w:numPr>
          <w:ilvl w:val="1"/>
          <w:numId w:val="12"/>
        </w:numPr>
        <w:tabs>
          <w:tab w:val="left" w:pos="1322"/>
        </w:tabs>
        <w:spacing w:before="0" w:after="0" w:line="391" w:lineRule="auto"/>
        <w:ind w:left="397" w:right="411" w:firstLine="422"/>
        <w:jc w:val="both"/>
        <w:rPr>
          <w:color w:val="auto"/>
          <w:sz w:val="21"/>
          <w:highlight w:val="none"/>
        </w:rPr>
      </w:pPr>
      <w:r>
        <w:rPr>
          <w:rFonts w:hint="eastAsia" w:ascii="黑体" w:eastAsia="黑体"/>
          <w:color w:val="auto"/>
          <w:spacing w:val="-5"/>
          <w:sz w:val="21"/>
          <w:highlight w:val="none"/>
        </w:rPr>
        <w:t>勘察报告：</w:t>
      </w:r>
      <w:r>
        <w:rPr>
          <w:color w:val="auto"/>
          <w:spacing w:val="-6"/>
          <w:sz w:val="21"/>
          <w:highlight w:val="none"/>
        </w:rPr>
        <w:t>指设计人按国家和交通运输部相关标准、规范、规定提交的勘察成果，包括初勘</w:t>
      </w:r>
      <w:r>
        <w:rPr>
          <w:color w:val="auto"/>
          <w:spacing w:val="-3"/>
          <w:sz w:val="21"/>
          <w:highlight w:val="none"/>
        </w:rPr>
        <w:t>报告、详勘报告。本合同包括的具体勘察报告内容在专用合同条款中约定。</w:t>
      </w:r>
    </w:p>
    <w:p>
      <w:pPr>
        <w:pStyle w:val="30"/>
        <w:numPr>
          <w:ilvl w:val="1"/>
          <w:numId w:val="12"/>
        </w:numPr>
        <w:tabs>
          <w:tab w:val="left" w:pos="1334"/>
        </w:tabs>
        <w:spacing w:before="0" w:after="0" w:line="393" w:lineRule="auto"/>
        <w:ind w:left="397" w:right="410" w:firstLine="422"/>
        <w:jc w:val="both"/>
        <w:rPr>
          <w:color w:val="auto"/>
          <w:sz w:val="21"/>
          <w:highlight w:val="none"/>
        </w:rPr>
      </w:pPr>
      <w:r>
        <w:rPr>
          <w:rFonts w:hint="eastAsia" w:ascii="黑体" w:eastAsia="黑体"/>
          <w:color w:val="auto"/>
          <w:spacing w:val="-5"/>
          <w:sz w:val="21"/>
          <w:highlight w:val="none"/>
        </w:rPr>
        <w:t>设计文件：</w:t>
      </w:r>
      <w:r>
        <w:rPr>
          <w:color w:val="auto"/>
          <w:spacing w:val="-7"/>
          <w:sz w:val="21"/>
          <w:highlight w:val="none"/>
        </w:rPr>
        <w:t>是指设计人按国家标准《道路工程制图标准》和交通运输部《公路工程基本建设</w:t>
      </w:r>
      <w:r>
        <w:rPr>
          <w:color w:val="auto"/>
          <w:spacing w:val="-8"/>
          <w:sz w:val="21"/>
          <w:highlight w:val="none"/>
        </w:rPr>
        <w:t>项目设计文件编制办法》和《公路工程基本建设项目概算预算编制办法》等标准、规范、规定提交的</w:t>
      </w:r>
      <w:r>
        <w:rPr>
          <w:color w:val="auto"/>
          <w:spacing w:val="-4"/>
          <w:sz w:val="21"/>
          <w:highlight w:val="none"/>
        </w:rPr>
        <w:t>设计产品，包括初步设计文件、技术设计文件、施工图设计文件、施工招标图纸及工程量清单等。本</w:t>
      </w:r>
      <w:r>
        <w:rPr>
          <w:color w:val="auto"/>
          <w:spacing w:val="-3"/>
          <w:sz w:val="21"/>
          <w:highlight w:val="none"/>
        </w:rPr>
        <w:t>合同包括的具体设计文件在专用合同条款中约定。</w:t>
      </w:r>
    </w:p>
    <w:p>
      <w:pPr>
        <w:pStyle w:val="30"/>
        <w:numPr>
          <w:ilvl w:val="1"/>
          <w:numId w:val="12"/>
        </w:numPr>
        <w:tabs>
          <w:tab w:val="left" w:pos="1334"/>
        </w:tabs>
        <w:spacing w:before="0" w:after="0" w:line="264" w:lineRule="exact"/>
        <w:ind w:left="1333" w:right="0" w:hanging="514"/>
        <w:jc w:val="both"/>
        <w:rPr>
          <w:color w:val="auto"/>
          <w:sz w:val="21"/>
          <w:highlight w:val="none"/>
        </w:rPr>
      </w:pPr>
      <w:r>
        <w:rPr>
          <w:rFonts w:hint="eastAsia" w:ascii="黑体" w:eastAsia="黑体"/>
          <w:color w:val="auto"/>
          <w:spacing w:val="-2"/>
          <w:sz w:val="21"/>
          <w:highlight w:val="none"/>
        </w:rPr>
        <w:t>签约合同价</w:t>
      </w:r>
      <w:r>
        <w:rPr>
          <w:color w:val="auto"/>
          <w:spacing w:val="-3"/>
          <w:sz w:val="21"/>
          <w:highlight w:val="none"/>
        </w:rPr>
        <w:t>：指签订合同时合同协议书中写明的，包括了暂列金额的合同总金额。</w:t>
      </w:r>
    </w:p>
    <w:p>
      <w:pPr>
        <w:spacing w:after="0" w:line="264" w:lineRule="exact"/>
        <w:jc w:val="both"/>
        <w:rPr>
          <w:color w:val="auto"/>
          <w:sz w:val="21"/>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pStyle w:val="30"/>
        <w:numPr>
          <w:ilvl w:val="1"/>
          <w:numId w:val="12"/>
        </w:numPr>
        <w:tabs>
          <w:tab w:val="left" w:pos="1335"/>
        </w:tabs>
        <w:spacing w:before="56" w:after="0" w:line="391" w:lineRule="auto"/>
        <w:ind w:left="398" w:right="407" w:firstLine="422"/>
        <w:jc w:val="both"/>
        <w:rPr>
          <w:color w:val="auto"/>
          <w:sz w:val="21"/>
          <w:highlight w:val="none"/>
        </w:rPr>
      </w:pPr>
      <w:r>
        <w:rPr>
          <w:rFonts w:hint="eastAsia" w:ascii="黑体" w:eastAsia="黑体"/>
          <w:color w:val="auto"/>
          <w:spacing w:val="-1"/>
          <w:sz w:val="21"/>
          <w:highlight w:val="none"/>
        </w:rPr>
        <w:t>合同价格</w:t>
      </w:r>
      <w:r>
        <w:rPr>
          <w:color w:val="auto"/>
          <w:spacing w:val="-8"/>
          <w:sz w:val="21"/>
          <w:highlight w:val="none"/>
        </w:rPr>
        <w:t>：指设计人按合同约定完成了全部勘察设计工作，发包人应付给设计人的金额，包</w:t>
      </w:r>
      <w:r>
        <w:rPr>
          <w:color w:val="auto"/>
          <w:spacing w:val="-5"/>
          <w:sz w:val="21"/>
          <w:highlight w:val="none"/>
        </w:rPr>
        <w:t>括在履行合同过程中按合同约定进行的调整。</w:t>
      </w:r>
    </w:p>
    <w:p>
      <w:pPr>
        <w:pStyle w:val="30"/>
        <w:numPr>
          <w:ilvl w:val="1"/>
          <w:numId w:val="12"/>
        </w:numPr>
        <w:tabs>
          <w:tab w:val="left" w:pos="1335"/>
        </w:tabs>
        <w:spacing w:before="1" w:after="0" w:line="393" w:lineRule="auto"/>
        <w:ind w:left="398" w:right="407" w:firstLine="422"/>
        <w:jc w:val="both"/>
        <w:rPr>
          <w:color w:val="auto"/>
          <w:sz w:val="21"/>
          <w:highlight w:val="none"/>
        </w:rPr>
      </w:pPr>
      <w:r>
        <w:rPr>
          <w:rFonts w:hint="eastAsia" w:ascii="黑体" w:eastAsia="黑体"/>
          <w:color w:val="auto"/>
          <w:spacing w:val="-5"/>
          <w:sz w:val="21"/>
          <w:highlight w:val="none"/>
        </w:rPr>
        <w:t>暂列金额：</w:t>
      </w:r>
      <w:r>
        <w:rPr>
          <w:color w:val="auto"/>
          <w:spacing w:val="-7"/>
          <w:sz w:val="21"/>
          <w:highlight w:val="none"/>
        </w:rPr>
        <w:t>是指暂时未定的，包括在合同中，并在报价文件中以此名称标明的金额，用于进</w:t>
      </w:r>
      <w:r>
        <w:rPr>
          <w:color w:val="auto"/>
          <w:spacing w:val="-5"/>
          <w:sz w:val="21"/>
          <w:highlight w:val="none"/>
        </w:rPr>
        <w:t>行本工程可能发生的勘察设计工作或作为不可预见费用，按照合同条款第</w:t>
      </w:r>
      <w:r>
        <w:rPr>
          <w:rFonts w:ascii="Arial" w:eastAsia="Arial"/>
          <w:color w:val="auto"/>
          <w:sz w:val="21"/>
          <w:highlight w:val="none"/>
        </w:rPr>
        <w:t>7.5</w:t>
      </w:r>
      <w:r>
        <w:rPr>
          <w:color w:val="auto"/>
          <w:spacing w:val="-2"/>
          <w:sz w:val="21"/>
          <w:highlight w:val="none"/>
        </w:rPr>
        <w:t>款的规定使用。</w:t>
      </w:r>
    </w:p>
    <w:p>
      <w:pPr>
        <w:pStyle w:val="30"/>
        <w:numPr>
          <w:ilvl w:val="1"/>
          <w:numId w:val="12"/>
        </w:numPr>
        <w:tabs>
          <w:tab w:val="left" w:pos="1335"/>
        </w:tabs>
        <w:spacing w:before="0" w:after="0" w:line="393" w:lineRule="auto"/>
        <w:ind w:left="398" w:right="407" w:firstLine="422"/>
        <w:jc w:val="both"/>
        <w:rPr>
          <w:color w:val="auto"/>
          <w:sz w:val="21"/>
          <w:highlight w:val="none"/>
        </w:rPr>
      </w:pPr>
      <w:r>
        <w:rPr>
          <w:rFonts w:hint="eastAsia" w:ascii="黑体" w:eastAsia="黑体"/>
          <w:color w:val="auto"/>
          <w:spacing w:val="-7"/>
          <w:sz w:val="21"/>
          <w:highlight w:val="none"/>
        </w:rPr>
        <w:t>勘察设计质量事故：</w:t>
      </w:r>
      <w:r>
        <w:rPr>
          <w:color w:val="auto"/>
          <w:spacing w:val="-8"/>
          <w:sz w:val="21"/>
          <w:highlight w:val="none"/>
        </w:rPr>
        <w:t>是指由于勘察、设计等责任过失而使工程在施工过程中和设计使用年限</w:t>
      </w:r>
      <w:r>
        <w:rPr>
          <w:color w:val="auto"/>
          <w:spacing w:val="-9"/>
          <w:sz w:val="21"/>
          <w:highlight w:val="none"/>
        </w:rPr>
        <w:t>内遭受损毁或产生不可弥补的本质缺陷，而需要对工程或设施、设备进行更新、补强、返工修复的事</w:t>
      </w:r>
      <w:r>
        <w:rPr>
          <w:color w:val="auto"/>
          <w:sz w:val="21"/>
          <w:highlight w:val="none"/>
        </w:rPr>
        <w:t>故。</w:t>
      </w:r>
    </w:p>
    <w:p>
      <w:pPr>
        <w:pStyle w:val="2"/>
        <w:spacing w:line="391" w:lineRule="auto"/>
        <w:ind w:left="398" w:right="410" w:firstLine="422"/>
        <w:rPr>
          <w:color w:val="auto"/>
          <w:highlight w:val="none"/>
        </w:rPr>
      </w:pPr>
      <w:r>
        <w:rPr>
          <w:b/>
          <w:color w:val="auto"/>
          <w:highlight w:val="none"/>
        </w:rPr>
        <w:t>一般质量事故：</w:t>
      </w:r>
      <w:r>
        <w:rPr>
          <w:color w:val="auto"/>
          <w:highlight w:val="none"/>
        </w:rPr>
        <w:t>由于勘察设计原因造成工程系统运行不良，导致直接经济损失（包括修复费用） 在</w:t>
      </w:r>
      <w:r>
        <w:rPr>
          <w:rFonts w:ascii="Arial" w:eastAsia="Arial"/>
          <w:color w:val="auto"/>
          <w:highlight w:val="none"/>
        </w:rPr>
        <w:t>20</w:t>
      </w:r>
      <w:r>
        <w:rPr>
          <w:color w:val="auto"/>
          <w:highlight w:val="none"/>
        </w:rPr>
        <w:t>万元至</w:t>
      </w:r>
      <w:r>
        <w:rPr>
          <w:rFonts w:ascii="Arial" w:eastAsia="Arial"/>
          <w:color w:val="auto"/>
          <w:highlight w:val="none"/>
        </w:rPr>
        <w:t>300</w:t>
      </w:r>
      <w:r>
        <w:rPr>
          <w:color w:val="auto"/>
          <w:highlight w:val="none"/>
        </w:rPr>
        <w:t>万元之间的事故。</w:t>
      </w:r>
    </w:p>
    <w:p>
      <w:pPr>
        <w:pStyle w:val="2"/>
        <w:spacing w:line="391" w:lineRule="auto"/>
        <w:ind w:left="398" w:right="410" w:firstLine="422"/>
        <w:rPr>
          <w:color w:val="auto"/>
          <w:highlight w:val="none"/>
        </w:rPr>
      </w:pPr>
      <w:r>
        <w:rPr>
          <w:b/>
          <w:color w:val="auto"/>
          <w:highlight w:val="none"/>
        </w:rPr>
        <w:t>重大质量事故：</w:t>
      </w:r>
      <w:r>
        <w:rPr>
          <w:color w:val="auto"/>
          <w:highlight w:val="none"/>
        </w:rPr>
        <w:t>由于勘察设计责任过失造成工程系统瘫痪、报废和造成人身伤亡或者重大经济损失的事故。</w:t>
      </w:r>
    </w:p>
    <w:p>
      <w:pPr>
        <w:pStyle w:val="2"/>
        <w:ind w:left="818"/>
        <w:rPr>
          <w:color w:val="auto"/>
          <w:highlight w:val="none"/>
        </w:rPr>
      </w:pPr>
      <w:r>
        <w:rPr>
          <w:color w:val="auto"/>
          <w:highlight w:val="none"/>
        </w:rPr>
        <w:t>上述质量事故的界定按交通运输部《公路工程质量管理办法》的规定执行。</w:t>
      </w:r>
    </w:p>
    <w:p>
      <w:pPr>
        <w:pStyle w:val="30"/>
        <w:numPr>
          <w:ilvl w:val="1"/>
          <w:numId w:val="12"/>
        </w:numPr>
        <w:tabs>
          <w:tab w:val="left" w:pos="1335"/>
        </w:tabs>
        <w:spacing w:before="172" w:after="0" w:line="391" w:lineRule="auto"/>
        <w:ind w:left="398" w:right="407" w:firstLine="422"/>
        <w:jc w:val="left"/>
        <w:rPr>
          <w:color w:val="auto"/>
          <w:sz w:val="21"/>
          <w:highlight w:val="none"/>
        </w:rPr>
      </w:pPr>
      <w:r>
        <w:rPr>
          <w:rFonts w:hint="eastAsia" w:ascii="黑体" w:eastAsia="黑体"/>
          <w:color w:val="auto"/>
          <w:spacing w:val="-15"/>
          <w:sz w:val="21"/>
          <w:highlight w:val="none"/>
        </w:rPr>
        <w:t>不可抗力：</w:t>
      </w:r>
      <w:r>
        <w:rPr>
          <w:color w:val="auto"/>
          <w:spacing w:val="-3"/>
          <w:sz w:val="21"/>
          <w:highlight w:val="none"/>
        </w:rPr>
        <w:t>指发包人与设计人不能预见或不能采取措施避免并不能克服的自然灾害或社会政治因素等。</w:t>
      </w:r>
    </w:p>
    <w:p>
      <w:pPr>
        <w:pStyle w:val="30"/>
        <w:numPr>
          <w:ilvl w:val="1"/>
          <w:numId w:val="12"/>
        </w:numPr>
        <w:tabs>
          <w:tab w:val="left" w:pos="1335"/>
        </w:tabs>
        <w:spacing w:before="2" w:after="0" w:line="240" w:lineRule="auto"/>
        <w:ind w:left="1334" w:right="0" w:hanging="515"/>
        <w:jc w:val="left"/>
        <w:rPr>
          <w:color w:val="auto"/>
          <w:sz w:val="21"/>
          <w:highlight w:val="none"/>
        </w:rPr>
      </w:pPr>
      <w:r>
        <w:rPr>
          <w:rFonts w:hint="eastAsia" w:ascii="黑体" w:eastAsia="黑体"/>
          <w:color w:val="auto"/>
          <w:spacing w:val="-2"/>
          <w:sz w:val="21"/>
          <w:highlight w:val="none"/>
        </w:rPr>
        <w:t>发包人风险：</w:t>
      </w:r>
      <w:r>
        <w:rPr>
          <w:color w:val="auto"/>
          <w:spacing w:val="-3"/>
          <w:sz w:val="21"/>
          <w:highlight w:val="none"/>
        </w:rPr>
        <w:t>因不可抗力或应由发包人单方承担责任而产生的风险。</w:t>
      </w:r>
    </w:p>
    <w:p>
      <w:pPr>
        <w:pStyle w:val="30"/>
        <w:numPr>
          <w:ilvl w:val="1"/>
          <w:numId w:val="12"/>
        </w:numPr>
        <w:tabs>
          <w:tab w:val="left" w:pos="1335"/>
        </w:tabs>
        <w:spacing w:before="172" w:after="0" w:line="391" w:lineRule="auto"/>
        <w:ind w:left="398" w:right="301" w:firstLine="422"/>
        <w:jc w:val="left"/>
        <w:rPr>
          <w:color w:val="auto"/>
          <w:sz w:val="21"/>
          <w:highlight w:val="none"/>
        </w:rPr>
      </w:pPr>
      <w:r>
        <w:rPr>
          <w:rFonts w:hint="eastAsia" w:ascii="黑体" w:eastAsia="黑体"/>
          <w:color w:val="auto"/>
          <w:spacing w:val="-17"/>
          <w:sz w:val="21"/>
          <w:highlight w:val="none"/>
        </w:rPr>
        <w:t>天：</w:t>
      </w:r>
      <w:r>
        <w:rPr>
          <w:color w:val="auto"/>
          <w:spacing w:val="-13"/>
          <w:sz w:val="21"/>
          <w:highlight w:val="none"/>
        </w:rPr>
        <w:t>除特别指明外，指日历日。合同中按天计算时间的，开始当天不计入，从次日开始计算。</w:t>
      </w:r>
      <w:r>
        <w:rPr>
          <w:color w:val="auto"/>
          <w:spacing w:val="-6"/>
          <w:sz w:val="21"/>
          <w:highlight w:val="none"/>
        </w:rPr>
        <w:t>期限最后一天的截止时间为当天</w:t>
      </w:r>
      <w:r>
        <w:rPr>
          <w:rFonts w:ascii="Arial" w:eastAsia="Arial"/>
          <w:color w:val="auto"/>
          <w:sz w:val="21"/>
          <w:highlight w:val="none"/>
        </w:rPr>
        <w:t>24:00</w:t>
      </w:r>
      <w:r>
        <w:rPr>
          <w:color w:val="auto"/>
          <w:sz w:val="21"/>
          <w:highlight w:val="none"/>
        </w:rPr>
        <w:t>。</w:t>
      </w:r>
    </w:p>
    <w:p>
      <w:pPr>
        <w:pStyle w:val="8"/>
        <w:numPr>
          <w:ilvl w:val="0"/>
          <w:numId w:val="12"/>
        </w:numPr>
        <w:tabs>
          <w:tab w:val="left" w:pos="666"/>
        </w:tabs>
        <w:spacing w:before="175" w:after="0" w:line="240" w:lineRule="auto"/>
        <w:ind w:left="665" w:right="0" w:hanging="268"/>
        <w:jc w:val="left"/>
        <w:outlineLvl w:val="2"/>
        <w:rPr>
          <w:color w:val="auto"/>
          <w:highlight w:val="none"/>
        </w:rPr>
      </w:pPr>
      <w:bookmarkStart w:id="159" w:name="2.发包人的责任与义务"/>
      <w:bookmarkEnd w:id="159"/>
      <w:bookmarkStart w:id="160" w:name="_bookmark31"/>
      <w:bookmarkEnd w:id="160"/>
      <w:bookmarkStart w:id="161" w:name="_Toc5398"/>
      <w:r>
        <w:rPr>
          <w:color w:val="auto"/>
          <w:highlight w:val="none"/>
        </w:rPr>
        <w:t>发包人的责任与义务</w:t>
      </w:r>
      <w:bookmarkEnd w:id="161"/>
    </w:p>
    <w:p>
      <w:pPr>
        <w:pStyle w:val="2"/>
        <w:spacing w:before="5"/>
        <w:rPr>
          <w:b/>
          <w:color w:val="auto"/>
          <w:sz w:val="29"/>
          <w:highlight w:val="none"/>
        </w:rPr>
      </w:pPr>
    </w:p>
    <w:p>
      <w:pPr>
        <w:pStyle w:val="30"/>
        <w:numPr>
          <w:ilvl w:val="1"/>
          <w:numId w:val="12"/>
        </w:numPr>
        <w:tabs>
          <w:tab w:val="left" w:pos="1220"/>
        </w:tabs>
        <w:spacing w:before="0" w:after="0" w:line="393" w:lineRule="auto"/>
        <w:ind w:left="398" w:right="407" w:firstLine="422"/>
        <w:jc w:val="both"/>
        <w:rPr>
          <w:color w:val="auto"/>
          <w:sz w:val="21"/>
          <w:highlight w:val="none"/>
        </w:rPr>
      </w:pPr>
      <w:r>
        <w:rPr>
          <w:color w:val="auto"/>
          <w:spacing w:val="-1"/>
          <w:sz w:val="21"/>
          <w:highlight w:val="none"/>
        </w:rPr>
        <w:t>发包人应严格履行基本建设程序，根据本工程项目的具体情况和技术要求，确定合理的设计</w:t>
      </w:r>
      <w:r>
        <w:rPr>
          <w:color w:val="auto"/>
          <w:spacing w:val="-3"/>
          <w:sz w:val="21"/>
          <w:highlight w:val="none"/>
        </w:rPr>
        <w:t>工作量及合理的设计周期，并按本合同有关规定及时支付勘察设计费用。</w:t>
      </w:r>
    </w:p>
    <w:p>
      <w:pPr>
        <w:pStyle w:val="30"/>
        <w:numPr>
          <w:ilvl w:val="1"/>
          <w:numId w:val="12"/>
        </w:numPr>
        <w:tabs>
          <w:tab w:val="left" w:pos="1220"/>
        </w:tabs>
        <w:spacing w:before="0" w:after="0" w:line="393" w:lineRule="auto"/>
        <w:ind w:left="398" w:right="407" w:firstLine="422"/>
        <w:jc w:val="both"/>
        <w:rPr>
          <w:color w:val="auto"/>
          <w:sz w:val="21"/>
          <w:highlight w:val="none"/>
        </w:rPr>
      </w:pPr>
      <w:r>
        <w:rPr>
          <w:color w:val="auto"/>
          <w:sz w:val="21"/>
          <w:highlight w:val="none"/>
        </w:rPr>
        <w:t>发包人应向设计人提供开展勘察设计工作所需要的经国家有关部门审查批准的前一阶段（</w:t>
      </w:r>
      <w:r>
        <w:rPr>
          <w:color w:val="auto"/>
          <w:spacing w:val="-13"/>
          <w:sz w:val="21"/>
          <w:highlight w:val="none"/>
        </w:rPr>
        <w:t>工</w:t>
      </w:r>
      <w:r>
        <w:rPr>
          <w:color w:val="auto"/>
          <w:spacing w:val="-1"/>
          <w:sz w:val="21"/>
          <w:highlight w:val="none"/>
        </w:rPr>
        <w:t>可报告或初步设计</w:t>
      </w:r>
      <w:r>
        <w:rPr>
          <w:color w:val="auto"/>
          <w:sz w:val="21"/>
          <w:highlight w:val="none"/>
        </w:rPr>
        <w:t>）</w:t>
      </w:r>
      <w:r>
        <w:rPr>
          <w:color w:val="auto"/>
          <w:spacing w:val="-4"/>
          <w:sz w:val="21"/>
          <w:highlight w:val="none"/>
        </w:rPr>
        <w:t>的全部勘察设计文件、资料及附件、有关的协议、文件等，并对提供的原始资料</w:t>
      </w:r>
      <w:r>
        <w:rPr>
          <w:color w:val="auto"/>
          <w:spacing w:val="-2"/>
          <w:sz w:val="21"/>
          <w:highlight w:val="none"/>
        </w:rPr>
        <w:t>的可靠性负责。</w:t>
      </w:r>
    </w:p>
    <w:p>
      <w:pPr>
        <w:pStyle w:val="30"/>
        <w:numPr>
          <w:ilvl w:val="1"/>
          <w:numId w:val="12"/>
        </w:numPr>
        <w:tabs>
          <w:tab w:val="left" w:pos="1220"/>
        </w:tabs>
        <w:spacing w:before="0" w:after="0" w:line="391" w:lineRule="auto"/>
        <w:ind w:left="398" w:right="407" w:firstLine="422"/>
        <w:jc w:val="both"/>
        <w:rPr>
          <w:color w:val="auto"/>
          <w:sz w:val="21"/>
          <w:highlight w:val="none"/>
        </w:rPr>
      </w:pPr>
      <w:r>
        <w:rPr>
          <w:color w:val="auto"/>
          <w:spacing w:val="-1"/>
          <w:sz w:val="21"/>
          <w:highlight w:val="none"/>
        </w:rPr>
        <w:t>在设计人员进入现场勘察作业时，发包人应对设计人与地方政府及有关部门的协调工作提供</w:t>
      </w:r>
      <w:r>
        <w:rPr>
          <w:color w:val="auto"/>
          <w:spacing w:val="-3"/>
          <w:sz w:val="21"/>
          <w:highlight w:val="none"/>
        </w:rPr>
        <w:t>必要的协助，但不免除设计人根据本合同规定应负的责任。</w:t>
      </w:r>
    </w:p>
    <w:p>
      <w:pPr>
        <w:pStyle w:val="30"/>
        <w:numPr>
          <w:ilvl w:val="1"/>
          <w:numId w:val="12"/>
        </w:numPr>
        <w:tabs>
          <w:tab w:val="left" w:pos="1220"/>
        </w:tabs>
        <w:spacing w:before="0" w:after="0" w:line="393" w:lineRule="auto"/>
        <w:ind w:left="398" w:right="407" w:firstLine="422"/>
        <w:jc w:val="both"/>
        <w:rPr>
          <w:color w:val="auto"/>
          <w:sz w:val="21"/>
          <w:highlight w:val="none"/>
        </w:rPr>
      </w:pPr>
      <w:r>
        <w:rPr>
          <w:color w:val="auto"/>
          <w:spacing w:val="-1"/>
          <w:sz w:val="21"/>
          <w:highlight w:val="none"/>
        </w:rPr>
        <w:t>发包人应组织专家或委托咨询审查单位对勘察成果、设计文件和为了满足勘察设计需要而进</w:t>
      </w:r>
      <w:r>
        <w:rPr>
          <w:color w:val="auto"/>
          <w:spacing w:val="-4"/>
          <w:sz w:val="21"/>
          <w:highlight w:val="none"/>
        </w:rPr>
        <w:t>行的各种研究试验成果进行审查，并负责设计文件的报审工作，向设计人提供上级主管部门对设计文件进行审查后的批复意见。对设计人在贯彻落实审查意见时提出的有关问题应及时予以认真解答，但</w:t>
      </w:r>
      <w:r>
        <w:rPr>
          <w:color w:val="auto"/>
          <w:spacing w:val="-3"/>
          <w:sz w:val="21"/>
          <w:highlight w:val="none"/>
        </w:rPr>
        <w:t>并不免除设计人根据本合同规定应负的责任。</w:t>
      </w:r>
    </w:p>
    <w:p>
      <w:pPr>
        <w:spacing w:after="0" w:line="393" w:lineRule="auto"/>
        <w:jc w:val="both"/>
        <w:rPr>
          <w:color w:val="auto"/>
          <w:sz w:val="21"/>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pStyle w:val="30"/>
        <w:numPr>
          <w:ilvl w:val="1"/>
          <w:numId w:val="12"/>
        </w:numPr>
        <w:tabs>
          <w:tab w:val="left" w:pos="1220"/>
        </w:tabs>
        <w:spacing w:before="56" w:after="0" w:line="391" w:lineRule="auto"/>
        <w:ind w:left="398" w:right="407" w:firstLine="422"/>
        <w:jc w:val="both"/>
        <w:rPr>
          <w:color w:val="auto"/>
          <w:sz w:val="21"/>
          <w:highlight w:val="none"/>
        </w:rPr>
      </w:pPr>
      <w:r>
        <w:rPr>
          <w:color w:val="auto"/>
          <w:spacing w:val="-1"/>
          <w:sz w:val="21"/>
          <w:highlight w:val="none"/>
        </w:rPr>
        <w:t>除合同另有规定外，发包人应保护设计人的投标文件、勘察方案、设计方案、计算软件和专</w:t>
      </w:r>
      <w:r>
        <w:rPr>
          <w:color w:val="auto"/>
          <w:spacing w:val="-4"/>
          <w:sz w:val="21"/>
          <w:highlight w:val="none"/>
        </w:rPr>
        <w:t>利技术。未经设计人同意，发包人对设计人交付的勘察成果、设计资料及文件不得擅自修改、复制或</w:t>
      </w:r>
      <w:r>
        <w:rPr>
          <w:color w:val="auto"/>
          <w:spacing w:val="-3"/>
          <w:sz w:val="21"/>
          <w:highlight w:val="none"/>
        </w:rPr>
        <w:t>向第三人转让或用于本合同以外的项目。</w:t>
      </w:r>
    </w:p>
    <w:p>
      <w:pPr>
        <w:pStyle w:val="30"/>
        <w:numPr>
          <w:ilvl w:val="1"/>
          <w:numId w:val="12"/>
        </w:numPr>
        <w:tabs>
          <w:tab w:val="left" w:pos="1217"/>
        </w:tabs>
        <w:spacing w:before="5" w:after="0" w:line="391" w:lineRule="auto"/>
        <w:ind w:left="398" w:right="304" w:firstLine="422"/>
        <w:jc w:val="both"/>
        <w:rPr>
          <w:color w:val="auto"/>
          <w:sz w:val="21"/>
          <w:highlight w:val="none"/>
        </w:rPr>
      </w:pPr>
      <w:r>
        <w:rPr>
          <w:color w:val="auto"/>
          <w:spacing w:val="-6"/>
          <w:sz w:val="21"/>
          <w:highlight w:val="none"/>
        </w:rPr>
        <w:t>发包人不应对设计人提出不符合工程安全生产法律、法规和工程建设强制性标准规定的要求。</w:t>
      </w:r>
      <w:r>
        <w:rPr>
          <w:color w:val="auto"/>
          <w:spacing w:val="-4"/>
          <w:sz w:val="21"/>
          <w:highlight w:val="none"/>
        </w:rPr>
        <w:t>发包人不应随意压缩合同规定的勘察设计周期。</w:t>
      </w:r>
    </w:p>
    <w:p>
      <w:pPr>
        <w:pStyle w:val="30"/>
        <w:numPr>
          <w:ilvl w:val="1"/>
          <w:numId w:val="12"/>
        </w:numPr>
        <w:tabs>
          <w:tab w:val="left" w:pos="1220"/>
        </w:tabs>
        <w:spacing w:before="1" w:after="0" w:line="393" w:lineRule="auto"/>
        <w:ind w:left="398" w:right="407" w:firstLine="422"/>
        <w:jc w:val="both"/>
        <w:rPr>
          <w:color w:val="auto"/>
          <w:sz w:val="21"/>
          <w:highlight w:val="none"/>
        </w:rPr>
      </w:pPr>
      <w:r>
        <w:rPr>
          <w:color w:val="auto"/>
          <w:spacing w:val="-1"/>
          <w:sz w:val="21"/>
          <w:highlight w:val="none"/>
        </w:rPr>
        <w:t>由于执行发包人的书面指令而造成的勘察设计质量事故应由发包人承担责任。但不免除设计</w:t>
      </w:r>
      <w:r>
        <w:rPr>
          <w:color w:val="auto"/>
          <w:spacing w:val="-3"/>
          <w:sz w:val="21"/>
          <w:highlight w:val="none"/>
        </w:rPr>
        <w:t>人根据本合同规定应负的责任。</w:t>
      </w:r>
    </w:p>
    <w:p>
      <w:pPr>
        <w:pStyle w:val="30"/>
        <w:numPr>
          <w:ilvl w:val="1"/>
          <w:numId w:val="12"/>
        </w:numPr>
        <w:tabs>
          <w:tab w:val="left" w:pos="1217"/>
        </w:tabs>
        <w:spacing w:before="0" w:after="0" w:line="267" w:lineRule="exact"/>
        <w:ind w:left="1216" w:right="0" w:hanging="397"/>
        <w:jc w:val="both"/>
        <w:rPr>
          <w:color w:val="auto"/>
          <w:sz w:val="21"/>
          <w:highlight w:val="none"/>
        </w:rPr>
      </w:pPr>
      <w:r>
        <w:rPr>
          <w:color w:val="auto"/>
          <w:spacing w:val="-3"/>
          <w:sz w:val="21"/>
          <w:highlight w:val="none"/>
        </w:rPr>
        <w:t>发包人应履行专用合同条款约定的其他义务。</w:t>
      </w:r>
    </w:p>
    <w:p>
      <w:pPr>
        <w:pStyle w:val="2"/>
        <w:spacing w:before="10"/>
        <w:rPr>
          <w:color w:val="auto"/>
          <w:sz w:val="26"/>
          <w:highlight w:val="none"/>
        </w:rPr>
      </w:pPr>
    </w:p>
    <w:p>
      <w:pPr>
        <w:pStyle w:val="8"/>
        <w:numPr>
          <w:ilvl w:val="0"/>
          <w:numId w:val="12"/>
        </w:numPr>
        <w:tabs>
          <w:tab w:val="left" w:pos="666"/>
        </w:tabs>
        <w:spacing w:before="0" w:after="0" w:line="240" w:lineRule="auto"/>
        <w:ind w:left="665" w:right="0" w:hanging="268"/>
        <w:jc w:val="left"/>
        <w:outlineLvl w:val="2"/>
        <w:rPr>
          <w:color w:val="auto"/>
          <w:highlight w:val="none"/>
        </w:rPr>
      </w:pPr>
      <w:bookmarkStart w:id="162" w:name="3.设计人的责任与义务"/>
      <w:bookmarkEnd w:id="162"/>
      <w:bookmarkStart w:id="163" w:name="_bookmark32"/>
      <w:bookmarkEnd w:id="163"/>
      <w:bookmarkStart w:id="164" w:name="_Toc24420"/>
      <w:r>
        <w:rPr>
          <w:color w:val="auto"/>
          <w:highlight w:val="none"/>
        </w:rPr>
        <w:t>设计人的责任与义务</w:t>
      </w:r>
      <w:bookmarkEnd w:id="164"/>
    </w:p>
    <w:p>
      <w:pPr>
        <w:pStyle w:val="2"/>
        <w:spacing w:before="5"/>
        <w:rPr>
          <w:b/>
          <w:color w:val="auto"/>
          <w:sz w:val="29"/>
          <w:highlight w:val="none"/>
        </w:rPr>
      </w:pPr>
    </w:p>
    <w:p>
      <w:pPr>
        <w:numPr>
          <w:ilvl w:val="1"/>
          <w:numId w:val="12"/>
        </w:numPr>
        <w:tabs>
          <w:tab w:val="left" w:pos="1217"/>
        </w:tabs>
        <w:spacing w:before="0"/>
        <w:ind w:left="1216" w:right="0" w:hanging="397"/>
        <w:jc w:val="left"/>
        <w:rPr>
          <w:b/>
          <w:color w:val="auto"/>
          <w:sz w:val="21"/>
          <w:highlight w:val="none"/>
        </w:rPr>
      </w:pPr>
      <w:r>
        <w:rPr>
          <w:b/>
          <w:color w:val="auto"/>
          <w:spacing w:val="-1"/>
          <w:sz w:val="21"/>
          <w:highlight w:val="none"/>
        </w:rPr>
        <w:t>设计人的一般责任与义务</w:t>
      </w:r>
    </w:p>
    <w:p>
      <w:pPr>
        <w:pStyle w:val="30"/>
        <w:numPr>
          <w:ilvl w:val="2"/>
          <w:numId w:val="12"/>
        </w:numPr>
        <w:tabs>
          <w:tab w:val="left" w:pos="1397"/>
        </w:tabs>
        <w:spacing w:before="172" w:after="0" w:line="391" w:lineRule="auto"/>
        <w:ind w:left="398" w:right="410" w:firstLine="422"/>
        <w:jc w:val="left"/>
        <w:rPr>
          <w:rFonts w:ascii="Arial" w:eastAsia="Arial"/>
          <w:color w:val="auto"/>
          <w:sz w:val="21"/>
          <w:highlight w:val="none"/>
        </w:rPr>
      </w:pPr>
      <w:r>
        <w:rPr>
          <w:color w:val="auto"/>
          <w:sz w:val="21"/>
          <w:highlight w:val="none"/>
        </w:rPr>
        <w:t>设计人应根据本合同工程的具体情况，按照勘察设计技术要求的规定，完成本合同工程的</w:t>
      </w:r>
      <w:r>
        <w:rPr>
          <w:color w:val="auto"/>
          <w:spacing w:val="-2"/>
          <w:sz w:val="21"/>
          <w:highlight w:val="none"/>
        </w:rPr>
        <w:t>勘察设计工作。</w:t>
      </w:r>
    </w:p>
    <w:p>
      <w:pPr>
        <w:pStyle w:val="30"/>
        <w:numPr>
          <w:ilvl w:val="2"/>
          <w:numId w:val="12"/>
        </w:numPr>
        <w:tabs>
          <w:tab w:val="left" w:pos="1397"/>
        </w:tabs>
        <w:spacing w:before="2" w:after="0" w:line="393" w:lineRule="auto"/>
        <w:ind w:left="398" w:right="302" w:firstLine="422"/>
        <w:jc w:val="left"/>
        <w:rPr>
          <w:rFonts w:ascii="Arial" w:eastAsia="Arial"/>
          <w:color w:val="auto"/>
          <w:sz w:val="21"/>
          <w:highlight w:val="none"/>
        </w:rPr>
      </w:pPr>
      <w:r>
        <w:rPr>
          <w:color w:val="auto"/>
          <w:sz w:val="21"/>
          <w:highlight w:val="none"/>
        </w:rPr>
        <w:t>设计人应按照交通运输部《公路工程勘察设计工序管理试行办法》做好勘察设计的质量管</w:t>
      </w:r>
      <w:r>
        <w:rPr>
          <w:color w:val="auto"/>
          <w:spacing w:val="-8"/>
          <w:sz w:val="21"/>
          <w:highlight w:val="none"/>
        </w:rPr>
        <w:t>理工作，建立健全勘察设计质量保证体系，加强设计全过程的质量控制，建立完整的设计文件的设计、</w:t>
      </w:r>
      <w:r>
        <w:rPr>
          <w:color w:val="auto"/>
          <w:spacing w:val="-5"/>
          <w:sz w:val="21"/>
          <w:highlight w:val="none"/>
        </w:rPr>
        <w:t>复核、审核、会签和批准制度，明确各阶段的责任人，并对本合同工程的勘察设计质量负责。</w:t>
      </w:r>
    </w:p>
    <w:p>
      <w:pPr>
        <w:pStyle w:val="30"/>
        <w:numPr>
          <w:ilvl w:val="2"/>
          <w:numId w:val="12"/>
        </w:numPr>
        <w:tabs>
          <w:tab w:val="left" w:pos="1397"/>
        </w:tabs>
        <w:spacing w:before="0" w:after="0" w:line="393" w:lineRule="auto"/>
        <w:ind w:left="398" w:right="410" w:firstLine="422"/>
        <w:jc w:val="both"/>
        <w:rPr>
          <w:rFonts w:ascii="Arial" w:eastAsia="Arial"/>
          <w:color w:val="auto"/>
          <w:sz w:val="21"/>
          <w:highlight w:val="none"/>
        </w:rPr>
      </w:pPr>
      <w:r>
        <w:rPr>
          <w:color w:val="auto"/>
          <w:sz w:val="21"/>
          <w:highlight w:val="none"/>
        </w:rPr>
        <w:t>在勘察设计过程中，设计人应与本项目</w:t>
      </w:r>
      <w:r>
        <w:rPr>
          <w:rFonts w:hint="eastAsia"/>
          <w:color w:val="auto"/>
          <w:sz w:val="21"/>
          <w:highlight w:val="none"/>
          <w:lang w:eastAsia="zh-CN"/>
        </w:rPr>
        <w:t>相互</w:t>
      </w:r>
      <w:r>
        <w:rPr>
          <w:color w:val="auto"/>
          <w:sz w:val="21"/>
          <w:highlight w:val="none"/>
        </w:rPr>
        <w:t>干扰的铁路、航道、水利、管线、电力电信及其</w:t>
      </w:r>
      <w:r>
        <w:rPr>
          <w:color w:val="auto"/>
          <w:spacing w:val="-4"/>
          <w:sz w:val="21"/>
          <w:highlight w:val="none"/>
        </w:rPr>
        <w:t>它相关建筑设施或特殊保护区域的主管部门进行协商，获得项目相干扰部门对推荐路线的认同意见、</w:t>
      </w:r>
      <w:r>
        <w:rPr>
          <w:color w:val="auto"/>
          <w:spacing w:val="-3"/>
          <w:sz w:val="21"/>
          <w:highlight w:val="none"/>
        </w:rPr>
        <w:t>协议、批准文件或纪要等，以确保本项目顺利实施。</w:t>
      </w:r>
    </w:p>
    <w:p>
      <w:pPr>
        <w:pStyle w:val="30"/>
        <w:numPr>
          <w:ilvl w:val="2"/>
          <w:numId w:val="12"/>
        </w:numPr>
        <w:tabs>
          <w:tab w:val="left" w:pos="1395"/>
        </w:tabs>
        <w:spacing w:before="0" w:after="0" w:line="393" w:lineRule="auto"/>
        <w:ind w:left="398" w:right="410" w:firstLine="422"/>
        <w:jc w:val="both"/>
        <w:rPr>
          <w:rFonts w:ascii="Arial" w:eastAsia="Arial"/>
          <w:color w:val="auto"/>
          <w:sz w:val="21"/>
          <w:highlight w:val="none"/>
        </w:rPr>
      </w:pPr>
      <w:r>
        <w:rPr>
          <w:color w:val="auto"/>
          <w:sz w:val="21"/>
          <w:highlight w:val="none"/>
        </w:rPr>
        <w:t>设计人在进行勘察设计时，应采取相应的安全、保卫和环境保护措施，如设计人员未能采</w:t>
      </w:r>
      <w:r>
        <w:rPr>
          <w:color w:val="auto"/>
          <w:spacing w:val="-4"/>
          <w:sz w:val="21"/>
          <w:highlight w:val="none"/>
        </w:rPr>
        <w:t>取有效的措施，而发生的与勘察设计活动有关的人身伤亡、罚款、索赔、损失赔偿、诉讼费用及其他</w:t>
      </w:r>
      <w:r>
        <w:rPr>
          <w:color w:val="auto"/>
          <w:spacing w:val="-3"/>
          <w:sz w:val="21"/>
          <w:highlight w:val="none"/>
        </w:rPr>
        <w:t>一切责任应由设计人负责。</w:t>
      </w:r>
    </w:p>
    <w:p>
      <w:pPr>
        <w:pStyle w:val="2"/>
        <w:spacing w:line="393" w:lineRule="auto"/>
        <w:ind w:left="398" w:right="412" w:firstLine="420"/>
        <w:rPr>
          <w:color w:val="auto"/>
          <w:highlight w:val="none"/>
        </w:rPr>
      </w:pPr>
      <w:r>
        <w:rPr>
          <w:color w:val="auto"/>
          <w:spacing w:val="-4"/>
          <w:highlight w:val="none"/>
        </w:rPr>
        <w:t>对于设计人在勘察设计过程中发生的人员伤亡，或者造成第三方的人员伤亡，或财产损失，或由</w:t>
      </w:r>
      <w:r>
        <w:rPr>
          <w:color w:val="auto"/>
          <w:spacing w:val="-3"/>
          <w:highlight w:val="none"/>
        </w:rPr>
        <w:t>此而引起的其他一切损害和损失，发包人均不承担责任。</w:t>
      </w:r>
    </w:p>
    <w:p>
      <w:pPr>
        <w:pStyle w:val="30"/>
        <w:numPr>
          <w:ilvl w:val="2"/>
          <w:numId w:val="12"/>
        </w:numPr>
        <w:tabs>
          <w:tab w:val="left" w:pos="1395"/>
        </w:tabs>
        <w:spacing w:before="0" w:after="0" w:line="393" w:lineRule="auto"/>
        <w:ind w:left="398" w:right="410" w:firstLine="422"/>
        <w:jc w:val="both"/>
        <w:rPr>
          <w:rFonts w:ascii="Arial" w:eastAsia="Arial"/>
          <w:color w:val="auto"/>
          <w:sz w:val="21"/>
          <w:highlight w:val="none"/>
        </w:rPr>
      </w:pPr>
      <w:r>
        <w:rPr>
          <w:color w:val="auto"/>
          <w:sz w:val="21"/>
          <w:highlight w:val="none"/>
        </w:rPr>
        <w:t>设计人为实施本项工程，应参加发包人风险以外的其它有关的雇主责任保险，以使本项工</w:t>
      </w:r>
      <w:r>
        <w:rPr>
          <w:color w:val="auto"/>
          <w:spacing w:val="-2"/>
          <w:sz w:val="21"/>
          <w:highlight w:val="none"/>
        </w:rPr>
        <w:t>程顺利进行。设计人应将全部保险费</w:t>
      </w:r>
      <w:r>
        <w:rPr>
          <w:color w:val="auto"/>
          <w:sz w:val="21"/>
          <w:highlight w:val="none"/>
        </w:rPr>
        <w:t>（</w:t>
      </w:r>
      <w:r>
        <w:rPr>
          <w:color w:val="auto"/>
          <w:spacing w:val="-3"/>
          <w:sz w:val="21"/>
          <w:highlight w:val="none"/>
        </w:rPr>
        <w:t>如工程勘察的人身安全险和设备险等</w:t>
      </w:r>
      <w:r>
        <w:rPr>
          <w:color w:val="auto"/>
          <w:sz w:val="21"/>
          <w:highlight w:val="none"/>
        </w:rPr>
        <w:t>）</w:t>
      </w:r>
      <w:r>
        <w:rPr>
          <w:color w:val="auto"/>
          <w:spacing w:val="-3"/>
          <w:sz w:val="21"/>
          <w:highlight w:val="none"/>
        </w:rPr>
        <w:t>计入合同报价中，发包人将不另行支付。</w:t>
      </w:r>
    </w:p>
    <w:p>
      <w:pPr>
        <w:pStyle w:val="30"/>
        <w:numPr>
          <w:ilvl w:val="2"/>
          <w:numId w:val="12"/>
        </w:numPr>
        <w:tabs>
          <w:tab w:val="left" w:pos="1395"/>
        </w:tabs>
        <w:spacing w:before="0" w:after="0" w:line="393" w:lineRule="auto"/>
        <w:ind w:left="398" w:right="410" w:firstLine="422"/>
        <w:jc w:val="both"/>
        <w:rPr>
          <w:rFonts w:ascii="Arial" w:eastAsia="Arial"/>
          <w:color w:val="auto"/>
          <w:sz w:val="21"/>
          <w:highlight w:val="none"/>
        </w:rPr>
      </w:pPr>
      <w:r>
        <w:rPr>
          <w:color w:val="auto"/>
          <w:sz w:val="21"/>
          <w:highlight w:val="none"/>
        </w:rPr>
        <w:t>设计人在勘察设计过程中，如果因其采用的技术方案等方面发生侵犯专利权的行为而引起</w:t>
      </w:r>
      <w:r>
        <w:rPr>
          <w:color w:val="auto"/>
          <w:spacing w:val="-4"/>
          <w:sz w:val="21"/>
          <w:highlight w:val="none"/>
        </w:rPr>
        <w:t>索赔或诉讼，则设计人应承担全部责任，并保障发包人免于承担由此造成一切损害和损失。设计人采</w:t>
      </w:r>
      <w:r>
        <w:rPr>
          <w:color w:val="auto"/>
          <w:spacing w:val="-3"/>
          <w:sz w:val="21"/>
          <w:highlight w:val="none"/>
        </w:rPr>
        <w:t>用未中标人投标文件中技术方案的，应当征得该投标人的书面同意，并支付合理的使用费。</w:t>
      </w:r>
    </w:p>
    <w:p>
      <w:pPr>
        <w:pStyle w:val="30"/>
        <w:numPr>
          <w:ilvl w:val="2"/>
          <w:numId w:val="12"/>
        </w:numPr>
        <w:tabs>
          <w:tab w:val="left" w:pos="1392"/>
        </w:tabs>
        <w:spacing w:before="0" w:after="0" w:line="391" w:lineRule="auto"/>
        <w:ind w:left="397" w:right="412" w:firstLine="420"/>
        <w:jc w:val="both"/>
        <w:rPr>
          <w:rFonts w:ascii="Arial" w:eastAsia="Arial"/>
          <w:color w:val="auto"/>
          <w:sz w:val="21"/>
          <w:highlight w:val="none"/>
        </w:rPr>
      </w:pPr>
      <w:r>
        <w:rPr>
          <w:color w:val="auto"/>
          <w:sz w:val="21"/>
          <w:highlight w:val="none"/>
        </w:rPr>
        <w:t>发包人向设计人提供的所有资料均为保密资料，设计人除在履行本合同下义务时可向受雇</w:t>
      </w:r>
      <w:r>
        <w:rPr>
          <w:color w:val="auto"/>
          <w:spacing w:val="-3"/>
          <w:sz w:val="21"/>
          <w:highlight w:val="none"/>
        </w:rPr>
        <w:t>于设计人的相关研究人员透露外，不能在任何情况下</w:t>
      </w:r>
      <w:r>
        <w:rPr>
          <w:color w:val="auto"/>
          <w:sz w:val="21"/>
          <w:highlight w:val="none"/>
        </w:rPr>
        <w:t>（</w:t>
      </w:r>
      <w:r>
        <w:rPr>
          <w:color w:val="auto"/>
          <w:spacing w:val="-3"/>
          <w:sz w:val="21"/>
          <w:highlight w:val="none"/>
        </w:rPr>
        <w:t>包括本合同有效期内及之后</w:t>
      </w:r>
      <w:r>
        <w:rPr>
          <w:color w:val="auto"/>
          <w:sz w:val="21"/>
          <w:highlight w:val="none"/>
        </w:rPr>
        <w:t>）</w:t>
      </w:r>
      <w:r>
        <w:rPr>
          <w:color w:val="auto"/>
          <w:spacing w:val="-3"/>
          <w:sz w:val="21"/>
          <w:highlight w:val="none"/>
        </w:rPr>
        <w:t>向第三者透露。</w:t>
      </w:r>
    </w:p>
    <w:p>
      <w:pPr>
        <w:spacing w:after="0" w:line="391" w:lineRule="auto"/>
        <w:jc w:val="both"/>
        <w:rPr>
          <w:rFonts w:ascii="Arial" w:eastAsia="Arial"/>
          <w:color w:val="auto"/>
          <w:sz w:val="21"/>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pStyle w:val="30"/>
        <w:numPr>
          <w:ilvl w:val="2"/>
          <w:numId w:val="12"/>
        </w:numPr>
        <w:tabs>
          <w:tab w:val="left" w:pos="1390"/>
        </w:tabs>
        <w:spacing w:before="56" w:after="0" w:line="391" w:lineRule="auto"/>
        <w:ind w:left="398" w:right="409" w:firstLine="419"/>
        <w:jc w:val="left"/>
        <w:rPr>
          <w:rFonts w:ascii="Arial" w:eastAsia="Arial"/>
          <w:color w:val="auto"/>
          <w:sz w:val="21"/>
          <w:highlight w:val="none"/>
        </w:rPr>
      </w:pPr>
      <w:r>
        <w:rPr>
          <w:color w:val="auto"/>
          <w:spacing w:val="-5"/>
          <w:sz w:val="21"/>
          <w:highlight w:val="none"/>
        </w:rPr>
        <w:t>发包人及咨询单位、上级主管部门对勘察成果</w:t>
      </w:r>
      <w:r>
        <w:rPr>
          <w:color w:val="auto"/>
          <w:sz w:val="21"/>
          <w:highlight w:val="none"/>
        </w:rPr>
        <w:t>（</w:t>
      </w:r>
      <w:r>
        <w:rPr>
          <w:color w:val="auto"/>
          <w:spacing w:val="-3"/>
          <w:sz w:val="21"/>
          <w:highlight w:val="none"/>
        </w:rPr>
        <w:t>包括研究试验成果</w:t>
      </w:r>
      <w:r>
        <w:rPr>
          <w:color w:val="auto"/>
          <w:spacing w:val="-108"/>
          <w:sz w:val="21"/>
          <w:highlight w:val="none"/>
        </w:rPr>
        <w:t>）</w:t>
      </w:r>
      <w:r>
        <w:rPr>
          <w:color w:val="auto"/>
          <w:spacing w:val="-3"/>
          <w:sz w:val="21"/>
          <w:highlight w:val="none"/>
        </w:rPr>
        <w:t>、设计文件的审查并不免除设计人的责任。</w:t>
      </w:r>
    </w:p>
    <w:p>
      <w:pPr>
        <w:pStyle w:val="30"/>
        <w:numPr>
          <w:ilvl w:val="2"/>
          <w:numId w:val="12"/>
        </w:numPr>
        <w:tabs>
          <w:tab w:val="left" w:pos="1390"/>
        </w:tabs>
        <w:spacing w:before="1" w:after="0" w:line="240" w:lineRule="auto"/>
        <w:ind w:left="1389" w:right="0" w:hanging="572"/>
        <w:jc w:val="both"/>
        <w:rPr>
          <w:rFonts w:ascii="Arial" w:eastAsia="Arial"/>
          <w:color w:val="auto"/>
          <w:sz w:val="21"/>
          <w:highlight w:val="none"/>
        </w:rPr>
      </w:pPr>
      <w:r>
        <w:rPr>
          <w:color w:val="auto"/>
          <w:spacing w:val="-3"/>
          <w:sz w:val="21"/>
          <w:highlight w:val="none"/>
        </w:rPr>
        <w:t>设计人必须接受发包人的指示，积极配合咨询单位工作。</w:t>
      </w:r>
    </w:p>
    <w:p>
      <w:pPr>
        <w:numPr>
          <w:ilvl w:val="1"/>
          <w:numId w:val="12"/>
        </w:numPr>
        <w:tabs>
          <w:tab w:val="left" w:pos="795"/>
        </w:tabs>
        <w:spacing w:before="173"/>
        <w:ind w:left="794" w:right="0" w:hanging="397"/>
        <w:jc w:val="left"/>
        <w:rPr>
          <w:b/>
          <w:color w:val="auto"/>
          <w:sz w:val="21"/>
          <w:highlight w:val="none"/>
        </w:rPr>
      </w:pPr>
      <w:r>
        <w:rPr>
          <w:b/>
          <w:color w:val="auto"/>
          <w:sz w:val="21"/>
          <w:highlight w:val="none"/>
        </w:rPr>
        <w:t>勘察的一般规定</w:t>
      </w:r>
    </w:p>
    <w:p>
      <w:pPr>
        <w:pStyle w:val="30"/>
        <w:numPr>
          <w:ilvl w:val="2"/>
          <w:numId w:val="12"/>
        </w:numPr>
        <w:tabs>
          <w:tab w:val="left" w:pos="1390"/>
        </w:tabs>
        <w:spacing w:before="170" w:after="0" w:line="391" w:lineRule="auto"/>
        <w:ind w:left="398" w:right="304" w:firstLine="419"/>
        <w:jc w:val="left"/>
        <w:rPr>
          <w:rFonts w:ascii="Arial" w:eastAsia="Arial"/>
          <w:color w:val="auto"/>
          <w:sz w:val="21"/>
          <w:highlight w:val="none"/>
        </w:rPr>
      </w:pPr>
      <w:r>
        <w:rPr>
          <w:color w:val="auto"/>
          <w:spacing w:val="-5"/>
          <w:sz w:val="21"/>
          <w:highlight w:val="none"/>
        </w:rPr>
        <w:t xml:space="preserve">设计人应当按照法律、法规和工程建设强制性标准进行勘察，重视地质环境对安全的影响， </w:t>
      </w:r>
      <w:r>
        <w:rPr>
          <w:color w:val="auto"/>
          <w:spacing w:val="-4"/>
          <w:sz w:val="21"/>
          <w:highlight w:val="none"/>
        </w:rPr>
        <w:t>提交的勘察文件应当真实、准确、可靠，满足本工程安全生产的需要。</w:t>
      </w:r>
    </w:p>
    <w:p>
      <w:pPr>
        <w:pStyle w:val="2"/>
        <w:spacing w:before="4" w:line="391" w:lineRule="auto"/>
        <w:ind w:left="818" w:right="2749"/>
        <w:rPr>
          <w:color w:val="auto"/>
          <w:highlight w:val="none"/>
        </w:rPr>
      </w:pPr>
      <w:r>
        <w:rPr>
          <w:color w:val="auto"/>
          <w:highlight w:val="none"/>
        </w:rPr>
        <w:t>设计人应当对有可能引发公路工程安全隐患的地质灾害提出防治建议。设计人及勘察人员对勘察结论负责。</w:t>
      </w:r>
    </w:p>
    <w:p>
      <w:pPr>
        <w:pStyle w:val="30"/>
        <w:numPr>
          <w:ilvl w:val="2"/>
          <w:numId w:val="12"/>
        </w:numPr>
        <w:tabs>
          <w:tab w:val="left" w:pos="1393"/>
        </w:tabs>
        <w:spacing w:before="1" w:after="0" w:line="393" w:lineRule="auto"/>
        <w:ind w:left="398" w:right="412" w:firstLine="420"/>
        <w:jc w:val="both"/>
        <w:rPr>
          <w:rFonts w:ascii="Arial" w:eastAsia="Arial"/>
          <w:color w:val="auto"/>
          <w:sz w:val="21"/>
          <w:highlight w:val="none"/>
        </w:rPr>
      </w:pPr>
      <w:r>
        <w:rPr>
          <w:color w:val="auto"/>
          <w:sz w:val="21"/>
          <w:highlight w:val="none"/>
        </w:rPr>
        <w:t>工程勘察布点应参考发包人提供的资料。勘探点的数量、深度和位置可根据地质情况和现</w:t>
      </w:r>
      <w:r>
        <w:rPr>
          <w:color w:val="auto"/>
          <w:spacing w:val="-3"/>
          <w:sz w:val="21"/>
          <w:highlight w:val="none"/>
        </w:rPr>
        <w:t>场条件依据规范进行调整，但应经发包人同意和批准。</w:t>
      </w:r>
    </w:p>
    <w:p>
      <w:pPr>
        <w:pStyle w:val="30"/>
        <w:numPr>
          <w:ilvl w:val="2"/>
          <w:numId w:val="12"/>
        </w:numPr>
        <w:tabs>
          <w:tab w:val="left" w:pos="1390"/>
        </w:tabs>
        <w:spacing w:before="0" w:after="0" w:line="267" w:lineRule="exact"/>
        <w:ind w:left="1389" w:right="0" w:hanging="572"/>
        <w:jc w:val="both"/>
        <w:rPr>
          <w:rFonts w:ascii="Arial" w:eastAsia="Arial"/>
          <w:color w:val="auto"/>
          <w:sz w:val="21"/>
          <w:highlight w:val="none"/>
        </w:rPr>
      </w:pPr>
      <w:r>
        <w:rPr>
          <w:color w:val="auto"/>
          <w:spacing w:val="-5"/>
          <w:sz w:val="21"/>
          <w:highlight w:val="none"/>
        </w:rPr>
        <w:t>勘探过程中应认真记录每日工作内容，保存原始记录资料与数据，以供发包人检查和分析。</w:t>
      </w:r>
    </w:p>
    <w:p>
      <w:pPr>
        <w:pStyle w:val="30"/>
        <w:numPr>
          <w:ilvl w:val="2"/>
          <w:numId w:val="12"/>
        </w:numPr>
        <w:tabs>
          <w:tab w:val="left" w:pos="1391"/>
        </w:tabs>
        <w:spacing w:before="171" w:after="0" w:line="393" w:lineRule="auto"/>
        <w:ind w:left="399" w:right="301" w:firstLine="419"/>
        <w:jc w:val="both"/>
        <w:rPr>
          <w:rFonts w:ascii="Arial" w:eastAsia="Arial"/>
          <w:color w:val="auto"/>
          <w:sz w:val="21"/>
          <w:highlight w:val="none"/>
        </w:rPr>
      </w:pPr>
      <w:r>
        <w:rPr>
          <w:color w:val="auto"/>
          <w:spacing w:val="-4"/>
          <w:sz w:val="21"/>
          <w:highlight w:val="none"/>
        </w:rPr>
        <w:t xml:space="preserve">在钻探进行中，如发包人根据规范需要更改取样间距与现场试验的要求，或更改钻孔深度， </w:t>
      </w:r>
      <w:r>
        <w:rPr>
          <w:color w:val="auto"/>
          <w:spacing w:val="-3"/>
          <w:sz w:val="21"/>
          <w:highlight w:val="none"/>
        </w:rPr>
        <w:t>设计人应积极配合并安排实施。</w:t>
      </w:r>
    </w:p>
    <w:p>
      <w:pPr>
        <w:pStyle w:val="30"/>
        <w:numPr>
          <w:ilvl w:val="2"/>
          <w:numId w:val="12"/>
        </w:numPr>
        <w:tabs>
          <w:tab w:val="left" w:pos="1393"/>
        </w:tabs>
        <w:spacing w:before="0" w:after="0" w:line="393" w:lineRule="auto"/>
        <w:ind w:left="399" w:right="409" w:firstLine="420"/>
        <w:jc w:val="both"/>
        <w:rPr>
          <w:rFonts w:ascii="Arial" w:eastAsia="Arial"/>
          <w:color w:val="auto"/>
          <w:sz w:val="21"/>
          <w:highlight w:val="none"/>
        </w:rPr>
      </w:pPr>
      <w:r>
        <w:rPr>
          <w:color w:val="auto"/>
          <w:sz w:val="21"/>
          <w:highlight w:val="none"/>
        </w:rPr>
        <w:t>设计人在钻探过程中应对地下管线和构筑物进行相应保护，遇到地下文物时应及时向发包</w:t>
      </w:r>
      <w:r>
        <w:rPr>
          <w:color w:val="auto"/>
          <w:spacing w:val="-4"/>
          <w:sz w:val="21"/>
          <w:highlight w:val="none"/>
        </w:rPr>
        <w:t>人和文物保护部门汇报并妥善保护。设计人在钻探过程中应采取有效的环境保护措施，避免对周围环</w:t>
      </w:r>
      <w:r>
        <w:rPr>
          <w:color w:val="auto"/>
          <w:spacing w:val="-3"/>
          <w:sz w:val="21"/>
          <w:highlight w:val="none"/>
        </w:rPr>
        <w:t>境造成破坏或污染。</w:t>
      </w:r>
    </w:p>
    <w:p>
      <w:pPr>
        <w:pStyle w:val="30"/>
        <w:numPr>
          <w:ilvl w:val="2"/>
          <w:numId w:val="12"/>
        </w:numPr>
        <w:tabs>
          <w:tab w:val="left" w:pos="1393"/>
        </w:tabs>
        <w:spacing w:before="0" w:after="0" w:line="391" w:lineRule="auto"/>
        <w:ind w:left="399" w:right="411" w:firstLine="420"/>
        <w:jc w:val="left"/>
        <w:rPr>
          <w:rFonts w:ascii="Arial" w:eastAsia="Arial"/>
          <w:color w:val="auto"/>
          <w:sz w:val="21"/>
          <w:highlight w:val="none"/>
        </w:rPr>
      </w:pPr>
      <w:r>
        <w:rPr>
          <w:color w:val="auto"/>
          <w:sz w:val="21"/>
          <w:highlight w:val="none"/>
        </w:rPr>
        <w:t>设计人在进行外业勘察时，应采取有效措施避免对原有道路、桥梁、构造物及其他公共设</w:t>
      </w:r>
      <w:r>
        <w:rPr>
          <w:color w:val="auto"/>
          <w:spacing w:val="-3"/>
          <w:sz w:val="21"/>
          <w:highlight w:val="none"/>
        </w:rPr>
        <w:t>施或地上附着物造成损坏或损伤。</w:t>
      </w:r>
    </w:p>
    <w:p>
      <w:pPr>
        <w:pStyle w:val="2"/>
        <w:ind w:left="818"/>
        <w:rPr>
          <w:color w:val="auto"/>
          <w:highlight w:val="none"/>
        </w:rPr>
      </w:pPr>
      <w:r>
        <w:rPr>
          <w:color w:val="auto"/>
          <w:highlight w:val="none"/>
        </w:rPr>
        <w:t>如造成损坏和损伤而引起的一切索赔、赔偿、诉讼费用和其它费用，由设计人自行承担。</w:t>
      </w:r>
    </w:p>
    <w:p>
      <w:pPr>
        <w:numPr>
          <w:ilvl w:val="1"/>
          <w:numId w:val="12"/>
        </w:numPr>
        <w:tabs>
          <w:tab w:val="left" w:pos="795"/>
        </w:tabs>
        <w:spacing w:before="167"/>
        <w:ind w:left="794" w:right="0" w:hanging="397"/>
        <w:jc w:val="left"/>
        <w:rPr>
          <w:b/>
          <w:color w:val="auto"/>
          <w:sz w:val="21"/>
          <w:highlight w:val="none"/>
        </w:rPr>
      </w:pPr>
      <w:r>
        <w:rPr>
          <w:b/>
          <w:color w:val="auto"/>
          <w:sz w:val="21"/>
          <w:highlight w:val="none"/>
        </w:rPr>
        <w:t>设计的一般规定</w:t>
      </w:r>
    </w:p>
    <w:p>
      <w:pPr>
        <w:pStyle w:val="30"/>
        <w:numPr>
          <w:ilvl w:val="2"/>
          <w:numId w:val="12"/>
        </w:numPr>
        <w:tabs>
          <w:tab w:val="left" w:pos="1393"/>
        </w:tabs>
        <w:spacing w:before="170" w:after="0" w:line="393" w:lineRule="auto"/>
        <w:ind w:left="398" w:right="412" w:firstLine="420"/>
        <w:jc w:val="left"/>
        <w:rPr>
          <w:rFonts w:ascii="Arial" w:eastAsia="Arial"/>
          <w:color w:val="auto"/>
          <w:sz w:val="21"/>
          <w:highlight w:val="none"/>
        </w:rPr>
      </w:pPr>
      <w:r>
        <w:rPr>
          <w:color w:val="auto"/>
          <w:sz w:val="21"/>
          <w:highlight w:val="none"/>
        </w:rPr>
        <w:t>设计人应当按照法律、法规和工程建设强制性标准进行设计，防止因设计不合理导致安全</w:t>
      </w:r>
      <w:r>
        <w:rPr>
          <w:color w:val="auto"/>
          <w:spacing w:val="-3"/>
          <w:sz w:val="21"/>
          <w:highlight w:val="none"/>
        </w:rPr>
        <w:t>生产隐患或者生产安全事故的发生。</w:t>
      </w:r>
    </w:p>
    <w:p>
      <w:pPr>
        <w:pStyle w:val="2"/>
        <w:spacing w:line="391" w:lineRule="auto"/>
        <w:ind w:left="398" w:right="412" w:firstLine="420"/>
        <w:rPr>
          <w:color w:val="auto"/>
          <w:highlight w:val="none"/>
        </w:rPr>
      </w:pPr>
      <w:r>
        <w:rPr>
          <w:color w:val="auto"/>
          <w:spacing w:val="-4"/>
          <w:highlight w:val="none"/>
        </w:rPr>
        <w:t>采用新结构、新材料、新工艺的工程和特殊结构的工程，设计人应当在设计文件中提出保障施工</w:t>
      </w:r>
      <w:r>
        <w:rPr>
          <w:color w:val="auto"/>
          <w:spacing w:val="-3"/>
          <w:highlight w:val="none"/>
        </w:rPr>
        <w:t>作业人员安全和预防生产安全事故的措施建议。</w:t>
      </w:r>
    </w:p>
    <w:p>
      <w:pPr>
        <w:pStyle w:val="2"/>
        <w:spacing w:before="3"/>
        <w:ind w:left="818"/>
        <w:rPr>
          <w:color w:val="auto"/>
          <w:highlight w:val="none"/>
        </w:rPr>
      </w:pPr>
      <w:r>
        <w:rPr>
          <w:color w:val="auto"/>
          <w:highlight w:val="none"/>
        </w:rPr>
        <w:t>设计人及设计人员对其设计负责。</w:t>
      </w:r>
    </w:p>
    <w:p>
      <w:pPr>
        <w:pStyle w:val="30"/>
        <w:numPr>
          <w:ilvl w:val="2"/>
          <w:numId w:val="12"/>
        </w:numPr>
        <w:tabs>
          <w:tab w:val="left" w:pos="1390"/>
        </w:tabs>
        <w:spacing w:before="170" w:after="0" w:line="393" w:lineRule="auto"/>
        <w:ind w:left="397" w:right="361" w:firstLine="420"/>
        <w:jc w:val="both"/>
        <w:rPr>
          <w:rFonts w:ascii="Arial" w:hAnsi="Arial" w:eastAsia="Arial"/>
          <w:color w:val="auto"/>
          <w:sz w:val="21"/>
          <w:highlight w:val="none"/>
        </w:rPr>
      </w:pPr>
      <w:r>
        <w:rPr>
          <w:color w:val="auto"/>
          <w:spacing w:val="-2"/>
          <w:sz w:val="21"/>
          <w:highlight w:val="none"/>
        </w:rPr>
        <w:t>设计人必须贯彻</w:t>
      </w:r>
      <w:r>
        <w:rPr>
          <w:rFonts w:ascii="Arial" w:hAnsi="Arial" w:eastAsia="Arial"/>
          <w:color w:val="auto"/>
          <w:sz w:val="21"/>
          <w:highlight w:val="none"/>
        </w:rPr>
        <w:t>“</w:t>
      </w:r>
      <w:r>
        <w:rPr>
          <w:color w:val="auto"/>
          <w:spacing w:val="-3"/>
          <w:sz w:val="21"/>
          <w:highlight w:val="none"/>
        </w:rPr>
        <w:t>技术先进、安全可靠、适用耐久、经济合理</w:t>
      </w:r>
      <w:r>
        <w:rPr>
          <w:rFonts w:ascii="Arial" w:hAnsi="Arial" w:eastAsia="Arial"/>
          <w:color w:val="auto"/>
          <w:spacing w:val="-4"/>
          <w:sz w:val="21"/>
          <w:highlight w:val="none"/>
        </w:rPr>
        <w:t>”</w:t>
      </w:r>
      <w:r>
        <w:rPr>
          <w:color w:val="auto"/>
          <w:spacing w:val="-3"/>
          <w:sz w:val="21"/>
          <w:highlight w:val="none"/>
        </w:rPr>
        <w:t>的基本原则，加强总体设计， 重视与城镇建设总体规划、土地开发利用规划、农田水利、森林植被、水土保持、生态环境、特殊设施保护区、其它运输方式和其它建设工程的总体协调与配合、节约资源、保护环境、合理选用技术指标、树立全寿命周期成本的理念，充分发挥工程建设项目经济、社会和环境的综合效益。</w:t>
      </w:r>
    </w:p>
    <w:p>
      <w:pPr>
        <w:pStyle w:val="30"/>
        <w:numPr>
          <w:ilvl w:val="2"/>
          <w:numId w:val="12"/>
        </w:numPr>
        <w:tabs>
          <w:tab w:val="left" w:pos="1394"/>
        </w:tabs>
        <w:spacing w:before="0" w:after="0" w:line="264" w:lineRule="exact"/>
        <w:ind w:left="1394" w:right="0" w:hanging="574"/>
        <w:jc w:val="both"/>
        <w:rPr>
          <w:rFonts w:ascii="Arial" w:eastAsia="Arial"/>
          <w:color w:val="auto"/>
          <w:sz w:val="21"/>
          <w:highlight w:val="none"/>
        </w:rPr>
      </w:pPr>
      <w:r>
        <w:rPr>
          <w:color w:val="auto"/>
          <w:spacing w:val="-3"/>
          <w:sz w:val="21"/>
          <w:highlight w:val="none"/>
        </w:rPr>
        <w:t>设计文件必须符合下列要求：</w:t>
      </w:r>
    </w:p>
    <w:p>
      <w:pPr>
        <w:pStyle w:val="30"/>
        <w:numPr>
          <w:ilvl w:val="0"/>
          <w:numId w:val="13"/>
        </w:numPr>
        <w:tabs>
          <w:tab w:val="left" w:pos="1357"/>
        </w:tabs>
        <w:spacing w:before="172" w:after="0" w:line="391" w:lineRule="auto"/>
        <w:ind w:left="397" w:right="408" w:firstLine="420"/>
        <w:jc w:val="left"/>
        <w:rPr>
          <w:color w:val="auto"/>
          <w:sz w:val="21"/>
          <w:highlight w:val="none"/>
        </w:rPr>
      </w:pPr>
      <w:r>
        <w:rPr>
          <w:color w:val="auto"/>
          <w:spacing w:val="-5"/>
          <w:sz w:val="21"/>
          <w:highlight w:val="none"/>
        </w:rPr>
        <w:t xml:space="preserve">设计文件的编制必须严格执行国家基本建设程序、工程建设标准强制性条文及有关公路工 </w:t>
      </w:r>
      <w:r>
        <w:rPr>
          <w:color w:val="auto"/>
          <w:spacing w:val="-4"/>
          <w:sz w:val="21"/>
          <w:highlight w:val="none"/>
        </w:rPr>
        <w:t>程建设的法律、法规、规章、规范、标准、规程、定额和合同的要求；</w:t>
      </w:r>
    </w:p>
    <w:p>
      <w:pPr>
        <w:spacing w:after="0" w:line="391" w:lineRule="auto"/>
        <w:jc w:val="left"/>
        <w:rPr>
          <w:color w:val="auto"/>
          <w:sz w:val="21"/>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pStyle w:val="30"/>
        <w:numPr>
          <w:ilvl w:val="0"/>
          <w:numId w:val="13"/>
        </w:numPr>
        <w:tabs>
          <w:tab w:val="left" w:pos="1360"/>
        </w:tabs>
        <w:spacing w:before="56" w:after="0" w:line="391" w:lineRule="auto"/>
        <w:ind w:left="398" w:right="407" w:firstLine="419"/>
        <w:jc w:val="both"/>
        <w:rPr>
          <w:color w:val="auto"/>
          <w:sz w:val="21"/>
          <w:highlight w:val="none"/>
        </w:rPr>
      </w:pPr>
      <w:r>
        <w:rPr>
          <w:color w:val="auto"/>
          <w:spacing w:val="-6"/>
          <w:sz w:val="21"/>
          <w:highlight w:val="none"/>
        </w:rPr>
        <w:t>设计文件的编制须符合国民经济、社会发展规划和产业政策，贯彻提高社会经济效益和促 进技术进步的方针，实行资源综合利用，节约资源和能源，符合国家自然风景区、城市、集镇、村庄</w:t>
      </w:r>
      <w:r>
        <w:rPr>
          <w:color w:val="auto"/>
          <w:spacing w:val="-4"/>
          <w:sz w:val="21"/>
          <w:highlight w:val="none"/>
        </w:rPr>
        <w:t>规划和相关专业规划，符合国家有关劳动安全卫生、消防、抗震、人防规定；</w:t>
      </w:r>
    </w:p>
    <w:p>
      <w:pPr>
        <w:pStyle w:val="30"/>
        <w:numPr>
          <w:ilvl w:val="0"/>
          <w:numId w:val="13"/>
        </w:numPr>
        <w:tabs>
          <w:tab w:val="left" w:pos="1360"/>
        </w:tabs>
        <w:spacing w:before="5" w:after="0" w:line="391" w:lineRule="auto"/>
        <w:ind w:left="398" w:right="409" w:firstLine="419"/>
        <w:jc w:val="left"/>
        <w:rPr>
          <w:color w:val="auto"/>
          <w:sz w:val="21"/>
          <w:highlight w:val="none"/>
        </w:rPr>
      </w:pPr>
      <w:r>
        <w:rPr>
          <w:color w:val="auto"/>
          <w:spacing w:val="-8"/>
          <w:sz w:val="21"/>
          <w:highlight w:val="none"/>
        </w:rPr>
        <w:t>设计依据的基本资料应完整、准确、可靠；设计方案论证充分，计算可靠，并符合系统运行</w:t>
      </w:r>
      <w:r>
        <w:rPr>
          <w:color w:val="auto"/>
          <w:spacing w:val="-5"/>
          <w:sz w:val="21"/>
          <w:highlight w:val="none"/>
        </w:rPr>
        <w:t>安全的要求；</w:t>
      </w:r>
    </w:p>
    <w:p>
      <w:pPr>
        <w:pStyle w:val="30"/>
        <w:numPr>
          <w:ilvl w:val="0"/>
          <w:numId w:val="13"/>
        </w:numPr>
        <w:tabs>
          <w:tab w:val="left" w:pos="1360"/>
        </w:tabs>
        <w:spacing w:before="1" w:after="0" w:line="240" w:lineRule="auto"/>
        <w:ind w:left="1359" w:right="0" w:hanging="542"/>
        <w:jc w:val="left"/>
        <w:rPr>
          <w:color w:val="auto"/>
          <w:sz w:val="21"/>
          <w:highlight w:val="none"/>
        </w:rPr>
      </w:pPr>
      <w:r>
        <w:rPr>
          <w:color w:val="auto"/>
          <w:spacing w:val="-3"/>
          <w:sz w:val="21"/>
          <w:highlight w:val="none"/>
        </w:rPr>
        <w:t>设计文件的深度应满足相应设计阶段的有关规定，并符合相关规范的要求；</w:t>
      </w:r>
    </w:p>
    <w:p>
      <w:pPr>
        <w:pStyle w:val="30"/>
        <w:numPr>
          <w:ilvl w:val="0"/>
          <w:numId w:val="13"/>
        </w:numPr>
        <w:tabs>
          <w:tab w:val="left" w:pos="1360"/>
        </w:tabs>
        <w:spacing w:before="173" w:after="0" w:line="391" w:lineRule="auto"/>
        <w:ind w:left="398" w:right="302" w:firstLine="419"/>
        <w:jc w:val="left"/>
        <w:rPr>
          <w:color w:val="auto"/>
          <w:sz w:val="21"/>
          <w:highlight w:val="none"/>
        </w:rPr>
      </w:pPr>
      <w:r>
        <w:rPr>
          <w:color w:val="auto"/>
          <w:spacing w:val="-10"/>
          <w:sz w:val="21"/>
          <w:highlight w:val="none"/>
        </w:rPr>
        <w:t xml:space="preserve">设计文件必须保证工程质量和安全的要求，符合安全、适用、耐久、经济、美观的综合要求 </w:t>
      </w:r>
      <w:r>
        <w:rPr>
          <w:color w:val="auto"/>
          <w:spacing w:val="-7"/>
          <w:sz w:val="21"/>
          <w:highlight w:val="none"/>
        </w:rPr>
        <w:t>；并应特别注意与沿线景观及沿线设施的协调性和环境保护、水土保持的要求；</w:t>
      </w:r>
    </w:p>
    <w:p>
      <w:pPr>
        <w:pStyle w:val="30"/>
        <w:numPr>
          <w:ilvl w:val="0"/>
          <w:numId w:val="13"/>
        </w:numPr>
        <w:tabs>
          <w:tab w:val="left" w:pos="1361"/>
        </w:tabs>
        <w:spacing w:before="1" w:after="0" w:line="393" w:lineRule="auto"/>
        <w:ind w:left="399" w:right="406" w:firstLine="419"/>
        <w:jc w:val="left"/>
        <w:rPr>
          <w:color w:val="auto"/>
          <w:sz w:val="21"/>
          <w:highlight w:val="none"/>
        </w:rPr>
      </w:pPr>
      <w:r>
        <w:rPr>
          <w:color w:val="auto"/>
          <w:spacing w:val="-7"/>
          <w:sz w:val="21"/>
          <w:highlight w:val="none"/>
        </w:rPr>
        <w:t xml:space="preserve">设计文件中关于工程建设材料、配件和设备的选用，应当注明其性能及技术标准，其质量 </w:t>
      </w:r>
      <w:r>
        <w:rPr>
          <w:color w:val="auto"/>
          <w:spacing w:val="-5"/>
          <w:sz w:val="21"/>
          <w:highlight w:val="none"/>
        </w:rPr>
        <w:t>要求必须符合国家规定的标准，但不能指定生产厂、供应商和产品品牌。</w:t>
      </w:r>
    </w:p>
    <w:p>
      <w:pPr>
        <w:pStyle w:val="30"/>
        <w:numPr>
          <w:ilvl w:val="2"/>
          <w:numId w:val="12"/>
        </w:numPr>
        <w:tabs>
          <w:tab w:val="left" w:pos="1398"/>
        </w:tabs>
        <w:spacing w:before="0" w:after="0" w:line="393" w:lineRule="auto"/>
        <w:ind w:left="399" w:right="409" w:firstLine="422"/>
        <w:jc w:val="both"/>
        <w:rPr>
          <w:rFonts w:ascii="Arial" w:eastAsia="Arial"/>
          <w:color w:val="auto"/>
          <w:sz w:val="21"/>
          <w:highlight w:val="none"/>
        </w:rPr>
      </w:pPr>
      <w:r>
        <w:rPr>
          <w:color w:val="auto"/>
          <w:sz w:val="21"/>
          <w:highlight w:val="none"/>
        </w:rPr>
        <w:t>设计人必须根据批复的可行性研究报告和交通运输部《公路工程基本建设项目设计文件编</w:t>
      </w:r>
      <w:r>
        <w:rPr>
          <w:color w:val="auto"/>
          <w:spacing w:val="-4"/>
          <w:sz w:val="21"/>
          <w:highlight w:val="none"/>
        </w:rPr>
        <w:t>制办法》规定的设计深度完成初步设计工作。初步设计文件经审查批复后，则作为编制施工图设计文</w:t>
      </w:r>
      <w:r>
        <w:rPr>
          <w:color w:val="auto"/>
          <w:spacing w:val="-3"/>
          <w:sz w:val="21"/>
          <w:highlight w:val="none"/>
        </w:rPr>
        <w:t>件和控制建设项目投资的依据。</w:t>
      </w:r>
    </w:p>
    <w:p>
      <w:pPr>
        <w:pStyle w:val="2"/>
        <w:spacing w:line="391" w:lineRule="auto"/>
        <w:ind w:left="399" w:right="411" w:firstLine="420"/>
        <w:rPr>
          <w:color w:val="auto"/>
          <w:highlight w:val="none"/>
        </w:rPr>
      </w:pPr>
      <w:r>
        <w:rPr>
          <w:color w:val="auto"/>
          <w:spacing w:val="-4"/>
          <w:highlight w:val="none"/>
        </w:rPr>
        <w:t>设计人的初步设计文件必须接受发包人、咨询单位及发包人的上级主管部门的审查，凡审查意见</w:t>
      </w:r>
      <w:r>
        <w:rPr>
          <w:color w:val="auto"/>
          <w:spacing w:val="-3"/>
          <w:highlight w:val="none"/>
        </w:rPr>
        <w:t>中提出的问题，设计人应逐条给予认真贯彻落实，提交书面的反馈意见并免费修改初步设计文件。</w:t>
      </w:r>
    </w:p>
    <w:p>
      <w:pPr>
        <w:pStyle w:val="30"/>
        <w:numPr>
          <w:ilvl w:val="2"/>
          <w:numId w:val="12"/>
        </w:numPr>
        <w:tabs>
          <w:tab w:val="left" w:pos="1398"/>
        </w:tabs>
        <w:spacing w:before="0" w:after="0" w:line="391" w:lineRule="auto"/>
        <w:ind w:left="399" w:right="409" w:firstLine="422"/>
        <w:jc w:val="both"/>
        <w:rPr>
          <w:rFonts w:ascii="Arial" w:eastAsia="Arial"/>
          <w:color w:val="auto"/>
          <w:sz w:val="21"/>
          <w:highlight w:val="none"/>
        </w:rPr>
      </w:pPr>
      <w:r>
        <w:rPr>
          <w:color w:val="auto"/>
          <w:sz w:val="21"/>
          <w:highlight w:val="none"/>
        </w:rPr>
        <w:t>若发包人或发包人上级主管部门认为需要进行技术设计，设计人应根据发包人要求，按交</w:t>
      </w:r>
      <w:r>
        <w:rPr>
          <w:color w:val="auto"/>
          <w:spacing w:val="-4"/>
          <w:sz w:val="21"/>
          <w:highlight w:val="none"/>
        </w:rPr>
        <w:t>通运输部《公路工程基本建设项目设计文件编制办法》有关规定编制技术设计文件和修正概算，并通过发包人上级主管部门的审查。如果发包人在招标阶段已明确本项目包括技术设计并且在报价文件中已列有相应报价子目，则按设计人在报价文件中所报的相应费用支付；否则，对于发包人在项目实施</w:t>
      </w:r>
      <w:r>
        <w:rPr>
          <w:color w:val="auto"/>
          <w:spacing w:val="-3"/>
          <w:sz w:val="21"/>
          <w:highlight w:val="none"/>
        </w:rPr>
        <w:t>过程中提出的技术设计，发包人应另行支付费用。</w:t>
      </w:r>
    </w:p>
    <w:p>
      <w:pPr>
        <w:pStyle w:val="30"/>
        <w:numPr>
          <w:ilvl w:val="2"/>
          <w:numId w:val="12"/>
        </w:numPr>
        <w:tabs>
          <w:tab w:val="left" w:pos="1398"/>
        </w:tabs>
        <w:spacing w:before="5" w:after="0" w:line="393" w:lineRule="auto"/>
        <w:ind w:left="399" w:right="409" w:firstLine="422"/>
        <w:jc w:val="both"/>
        <w:rPr>
          <w:rFonts w:ascii="Arial" w:eastAsia="Arial"/>
          <w:color w:val="auto"/>
          <w:sz w:val="21"/>
          <w:highlight w:val="none"/>
        </w:rPr>
      </w:pPr>
      <w:r>
        <w:rPr>
          <w:color w:val="auto"/>
          <w:sz w:val="21"/>
          <w:highlight w:val="none"/>
        </w:rPr>
        <w:t>设计人应按照批准的初步设计完成施工图设计工作，并接受发包人、咨询单位及发包人上</w:t>
      </w:r>
      <w:r>
        <w:rPr>
          <w:color w:val="auto"/>
          <w:spacing w:val="-4"/>
          <w:sz w:val="21"/>
          <w:highlight w:val="none"/>
        </w:rPr>
        <w:t>级主管部门对施工图设计文件的审查，然后按审查意见修改施工图设计文件。设计人应在发包人规定的时间内完成施工图预算的编制，施工图设计文件及施工图预算应按各施工标段进行编制。施工图设</w:t>
      </w:r>
      <w:r>
        <w:rPr>
          <w:color w:val="auto"/>
          <w:spacing w:val="-3"/>
          <w:sz w:val="21"/>
          <w:highlight w:val="none"/>
        </w:rPr>
        <w:t>计文件批复后，则作为编制施工招标文件的依据。</w:t>
      </w:r>
    </w:p>
    <w:p>
      <w:pPr>
        <w:pStyle w:val="30"/>
        <w:numPr>
          <w:ilvl w:val="2"/>
          <w:numId w:val="12"/>
        </w:numPr>
        <w:tabs>
          <w:tab w:val="left" w:pos="1501"/>
        </w:tabs>
        <w:spacing w:before="0" w:after="0" w:line="266" w:lineRule="exact"/>
        <w:ind w:left="1500" w:right="0" w:hanging="680"/>
        <w:jc w:val="both"/>
        <w:rPr>
          <w:rFonts w:ascii="Arial" w:eastAsia="Arial"/>
          <w:color w:val="auto"/>
          <w:sz w:val="21"/>
          <w:highlight w:val="none"/>
        </w:rPr>
      </w:pPr>
      <w:r>
        <w:rPr>
          <w:color w:val="auto"/>
          <w:spacing w:val="-3"/>
          <w:sz w:val="21"/>
          <w:highlight w:val="none"/>
        </w:rPr>
        <w:t>当发包人或咨询单位认为需调用设计人的设计计算书时，设计人必须及时提供。</w:t>
      </w:r>
    </w:p>
    <w:p>
      <w:pPr>
        <w:pStyle w:val="30"/>
        <w:numPr>
          <w:ilvl w:val="2"/>
          <w:numId w:val="12"/>
        </w:numPr>
        <w:tabs>
          <w:tab w:val="left" w:pos="1499"/>
        </w:tabs>
        <w:spacing w:before="170" w:after="0" w:line="391" w:lineRule="auto"/>
        <w:ind w:left="399" w:right="409" w:firstLine="420"/>
        <w:jc w:val="both"/>
        <w:rPr>
          <w:rFonts w:ascii="Arial" w:eastAsia="Arial"/>
          <w:color w:val="auto"/>
          <w:sz w:val="21"/>
          <w:highlight w:val="none"/>
        </w:rPr>
      </w:pPr>
      <w:r>
        <w:rPr>
          <w:color w:val="auto"/>
          <w:spacing w:val="-4"/>
          <w:sz w:val="21"/>
          <w:highlight w:val="none"/>
        </w:rPr>
        <w:t>设计人应按发包人要求的数量</w:t>
      </w:r>
      <w:r>
        <w:rPr>
          <w:color w:val="auto"/>
          <w:spacing w:val="-3"/>
          <w:sz w:val="21"/>
          <w:highlight w:val="none"/>
        </w:rPr>
        <w:t>（符合规范要求</w:t>
      </w:r>
      <w:r>
        <w:rPr>
          <w:color w:val="auto"/>
          <w:spacing w:val="-10"/>
          <w:sz w:val="21"/>
          <w:highlight w:val="none"/>
        </w:rPr>
        <w:t>）</w:t>
      </w:r>
      <w:r>
        <w:rPr>
          <w:color w:val="auto"/>
          <w:spacing w:val="-3"/>
          <w:sz w:val="21"/>
          <w:highlight w:val="none"/>
        </w:rPr>
        <w:t>提供所有为完成勘察设计所必需的研究试验阶段性或成果性报告，接受发包人或上级主管部门的审查，并对相关问题作出澄清和解答。</w:t>
      </w:r>
    </w:p>
    <w:p>
      <w:pPr>
        <w:pStyle w:val="30"/>
        <w:numPr>
          <w:ilvl w:val="2"/>
          <w:numId w:val="12"/>
        </w:numPr>
        <w:tabs>
          <w:tab w:val="left" w:pos="1497"/>
        </w:tabs>
        <w:spacing w:before="4" w:after="0" w:line="391" w:lineRule="auto"/>
        <w:ind w:left="399" w:right="406" w:firstLine="419"/>
        <w:jc w:val="both"/>
        <w:rPr>
          <w:rFonts w:ascii="Arial" w:eastAsia="Arial"/>
          <w:color w:val="auto"/>
          <w:sz w:val="21"/>
          <w:highlight w:val="none"/>
        </w:rPr>
      </w:pPr>
      <w:r>
        <w:rPr>
          <w:color w:val="auto"/>
          <w:spacing w:val="-5"/>
          <w:sz w:val="21"/>
          <w:highlight w:val="none"/>
        </w:rPr>
        <w:t>设计人应根据设计需要开展专题研究工作，提交相应专题研究报告，并通过发包人或上级</w:t>
      </w:r>
      <w:r>
        <w:rPr>
          <w:color w:val="auto"/>
          <w:spacing w:val="-4"/>
          <w:sz w:val="21"/>
          <w:highlight w:val="none"/>
        </w:rPr>
        <w:t>主管部门的审查。</w:t>
      </w:r>
    </w:p>
    <w:p>
      <w:pPr>
        <w:numPr>
          <w:ilvl w:val="1"/>
          <w:numId w:val="12"/>
        </w:numPr>
        <w:tabs>
          <w:tab w:val="left" w:pos="795"/>
        </w:tabs>
        <w:spacing w:before="0" w:line="268" w:lineRule="exact"/>
        <w:ind w:left="794" w:right="0" w:hanging="396"/>
        <w:jc w:val="both"/>
        <w:rPr>
          <w:b/>
          <w:color w:val="auto"/>
          <w:sz w:val="21"/>
          <w:highlight w:val="none"/>
        </w:rPr>
      </w:pPr>
      <w:r>
        <w:rPr>
          <w:b/>
          <w:color w:val="auto"/>
          <w:sz w:val="21"/>
          <w:highlight w:val="none"/>
        </w:rPr>
        <w:t>后续服务</w:t>
      </w:r>
    </w:p>
    <w:p>
      <w:pPr>
        <w:pStyle w:val="30"/>
        <w:numPr>
          <w:ilvl w:val="2"/>
          <w:numId w:val="12"/>
        </w:numPr>
        <w:tabs>
          <w:tab w:val="left" w:pos="1395"/>
        </w:tabs>
        <w:spacing w:before="172" w:after="0" w:line="391" w:lineRule="auto"/>
        <w:ind w:left="398" w:right="410" w:firstLine="420"/>
        <w:jc w:val="both"/>
        <w:rPr>
          <w:rFonts w:ascii="Arial" w:eastAsia="Arial"/>
          <w:color w:val="auto"/>
          <w:sz w:val="21"/>
          <w:highlight w:val="none"/>
        </w:rPr>
      </w:pPr>
      <w:r>
        <w:rPr>
          <w:color w:val="auto"/>
          <w:sz w:val="21"/>
          <w:highlight w:val="none"/>
        </w:rPr>
        <w:t>设计人应积极配合发包人进行各项招标工作，按发包人规定的时间提供各标段施工招标资</w:t>
      </w:r>
      <w:r>
        <w:rPr>
          <w:color w:val="auto"/>
          <w:spacing w:val="-4"/>
          <w:sz w:val="21"/>
          <w:highlight w:val="none"/>
        </w:rPr>
        <w:t>格预审所需的工程数量和工程说明；按发包人规定的时间提供各标段的施工招标图纸、工程量清单和</w:t>
      </w:r>
      <w:r>
        <w:rPr>
          <w:color w:val="auto"/>
          <w:spacing w:val="-3"/>
          <w:sz w:val="21"/>
          <w:highlight w:val="none"/>
        </w:rPr>
        <w:t>参考资料；按发包人要求安排相关人员参加标前会，就有关设计问题进行答疑。</w:t>
      </w:r>
    </w:p>
    <w:p>
      <w:pPr>
        <w:spacing w:after="0" w:line="391" w:lineRule="auto"/>
        <w:jc w:val="both"/>
        <w:rPr>
          <w:rFonts w:ascii="Arial" w:eastAsia="Arial"/>
          <w:color w:val="auto"/>
          <w:sz w:val="21"/>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pStyle w:val="30"/>
        <w:numPr>
          <w:ilvl w:val="2"/>
          <w:numId w:val="12"/>
        </w:numPr>
        <w:tabs>
          <w:tab w:val="left" w:pos="1397"/>
        </w:tabs>
        <w:spacing w:before="56" w:after="0" w:line="391" w:lineRule="auto"/>
        <w:ind w:left="398" w:right="410" w:firstLine="422"/>
        <w:jc w:val="left"/>
        <w:rPr>
          <w:rFonts w:ascii="Arial" w:eastAsia="Arial"/>
          <w:color w:val="auto"/>
          <w:sz w:val="21"/>
          <w:highlight w:val="none"/>
        </w:rPr>
      </w:pPr>
      <w:r>
        <w:rPr>
          <w:color w:val="auto"/>
          <w:sz w:val="21"/>
          <w:highlight w:val="none"/>
        </w:rPr>
        <w:t>设计人应在施工现场设立代表处或派驻经验丰富的设计代表常驻施工现场，做好施工现场</w:t>
      </w:r>
      <w:r>
        <w:rPr>
          <w:color w:val="auto"/>
          <w:spacing w:val="-3"/>
          <w:sz w:val="21"/>
          <w:highlight w:val="none"/>
        </w:rPr>
        <w:t>服务，负责解决施工过程中出现的设计问题：</w:t>
      </w:r>
    </w:p>
    <w:p>
      <w:pPr>
        <w:pStyle w:val="30"/>
        <w:numPr>
          <w:ilvl w:val="0"/>
          <w:numId w:val="14"/>
        </w:numPr>
        <w:tabs>
          <w:tab w:val="left" w:pos="1360"/>
        </w:tabs>
        <w:spacing w:before="1" w:after="0" w:line="393" w:lineRule="auto"/>
        <w:ind w:left="398" w:right="407" w:firstLine="419"/>
        <w:jc w:val="left"/>
        <w:rPr>
          <w:color w:val="auto"/>
          <w:sz w:val="21"/>
          <w:highlight w:val="none"/>
        </w:rPr>
      </w:pPr>
      <w:r>
        <w:rPr>
          <w:color w:val="auto"/>
          <w:spacing w:val="-7"/>
          <w:sz w:val="21"/>
          <w:highlight w:val="none"/>
        </w:rPr>
        <w:t>开工前在发包人指定的时间内，做好设计文件的技术交底工作和现场控制点的交接工作</w:t>
      </w:r>
      <w:r>
        <w:rPr>
          <w:color w:val="auto"/>
          <w:sz w:val="21"/>
          <w:highlight w:val="none"/>
        </w:rPr>
        <w:t>（ 交桩</w:t>
      </w:r>
      <w:r>
        <w:rPr>
          <w:color w:val="auto"/>
          <w:spacing w:val="-106"/>
          <w:sz w:val="21"/>
          <w:highlight w:val="none"/>
        </w:rPr>
        <w:t>）；</w:t>
      </w:r>
    </w:p>
    <w:p>
      <w:pPr>
        <w:pStyle w:val="30"/>
        <w:numPr>
          <w:ilvl w:val="0"/>
          <w:numId w:val="14"/>
        </w:numPr>
        <w:tabs>
          <w:tab w:val="left" w:pos="1360"/>
        </w:tabs>
        <w:spacing w:before="0" w:after="0" w:line="267" w:lineRule="exact"/>
        <w:ind w:left="1359" w:right="0" w:hanging="542"/>
        <w:jc w:val="left"/>
        <w:rPr>
          <w:color w:val="auto"/>
          <w:sz w:val="21"/>
          <w:highlight w:val="none"/>
        </w:rPr>
      </w:pPr>
      <w:r>
        <w:rPr>
          <w:color w:val="auto"/>
          <w:spacing w:val="-3"/>
          <w:sz w:val="21"/>
          <w:highlight w:val="none"/>
        </w:rPr>
        <w:t>在发包人规定的时间内有能力及时处理与解决施工中与设计有关的问题；</w:t>
      </w:r>
    </w:p>
    <w:p>
      <w:pPr>
        <w:pStyle w:val="30"/>
        <w:numPr>
          <w:ilvl w:val="0"/>
          <w:numId w:val="14"/>
        </w:numPr>
        <w:tabs>
          <w:tab w:val="left" w:pos="1360"/>
        </w:tabs>
        <w:spacing w:before="171" w:after="0" w:line="240" w:lineRule="auto"/>
        <w:ind w:left="1359" w:right="0" w:hanging="542"/>
        <w:jc w:val="left"/>
        <w:rPr>
          <w:color w:val="auto"/>
          <w:sz w:val="21"/>
          <w:highlight w:val="none"/>
        </w:rPr>
      </w:pPr>
      <w:r>
        <w:rPr>
          <w:color w:val="auto"/>
          <w:spacing w:val="-3"/>
          <w:sz w:val="21"/>
          <w:highlight w:val="none"/>
        </w:rPr>
        <w:t>在发包人指定的时间内积极配合发包人对施工及设计方案进行优化设计；</w:t>
      </w:r>
    </w:p>
    <w:p>
      <w:pPr>
        <w:pStyle w:val="30"/>
        <w:numPr>
          <w:ilvl w:val="0"/>
          <w:numId w:val="14"/>
        </w:numPr>
        <w:tabs>
          <w:tab w:val="left" w:pos="1360"/>
        </w:tabs>
        <w:spacing w:before="172" w:after="0" w:line="240" w:lineRule="auto"/>
        <w:ind w:left="1359" w:right="0" w:hanging="542"/>
        <w:jc w:val="left"/>
        <w:rPr>
          <w:color w:val="auto"/>
          <w:sz w:val="21"/>
          <w:highlight w:val="none"/>
        </w:rPr>
      </w:pPr>
      <w:r>
        <w:rPr>
          <w:color w:val="auto"/>
          <w:spacing w:val="-3"/>
          <w:sz w:val="21"/>
          <w:highlight w:val="none"/>
        </w:rPr>
        <w:t>参与工程质量事故分析，并对因设计造成的质量事故提出相应的技术处理方案；</w:t>
      </w:r>
    </w:p>
    <w:p>
      <w:pPr>
        <w:pStyle w:val="30"/>
        <w:numPr>
          <w:ilvl w:val="0"/>
          <w:numId w:val="14"/>
        </w:numPr>
        <w:tabs>
          <w:tab w:val="left" w:pos="1360"/>
        </w:tabs>
        <w:spacing w:before="170" w:after="0" w:line="391" w:lineRule="auto"/>
        <w:ind w:left="398" w:right="407" w:firstLine="419"/>
        <w:jc w:val="left"/>
        <w:rPr>
          <w:color w:val="auto"/>
          <w:sz w:val="21"/>
          <w:highlight w:val="none"/>
        </w:rPr>
      </w:pPr>
      <w:r>
        <w:rPr>
          <w:color w:val="auto"/>
          <w:spacing w:val="-9"/>
          <w:sz w:val="21"/>
          <w:highlight w:val="none"/>
        </w:rPr>
        <w:t xml:space="preserve">参加本工程交工、竣工验收，提交设计工作报告，并配合质量监督部门校核工程是否按照 </w:t>
      </w:r>
      <w:r>
        <w:rPr>
          <w:color w:val="auto"/>
          <w:spacing w:val="-6"/>
          <w:sz w:val="21"/>
          <w:highlight w:val="none"/>
        </w:rPr>
        <w:t>施工图设计施工。</w:t>
      </w:r>
    </w:p>
    <w:p>
      <w:pPr>
        <w:pStyle w:val="2"/>
        <w:spacing w:before="4" w:line="391" w:lineRule="auto"/>
        <w:ind w:left="398" w:right="411" w:firstLine="420"/>
        <w:rPr>
          <w:color w:val="auto"/>
          <w:highlight w:val="none"/>
        </w:rPr>
      </w:pPr>
      <w:r>
        <w:rPr>
          <w:color w:val="auto"/>
          <w:spacing w:val="-4"/>
          <w:highlight w:val="none"/>
        </w:rPr>
        <w:t>发包人对设计代表的数量和资历条件有特定要求的，在专用合同条款中约定。设计人应按发包人</w:t>
      </w:r>
      <w:r>
        <w:rPr>
          <w:color w:val="auto"/>
          <w:spacing w:val="-3"/>
          <w:highlight w:val="none"/>
        </w:rPr>
        <w:t>提出的要求派驻设计代表，否则按违约处理。</w:t>
      </w:r>
    </w:p>
    <w:p>
      <w:pPr>
        <w:pStyle w:val="2"/>
        <w:spacing w:before="2" w:line="393" w:lineRule="auto"/>
        <w:ind w:left="398" w:right="411" w:firstLine="420"/>
        <w:rPr>
          <w:color w:val="auto"/>
          <w:highlight w:val="none"/>
        </w:rPr>
      </w:pPr>
      <w:r>
        <w:rPr>
          <w:color w:val="auto"/>
          <w:spacing w:val="-4"/>
          <w:highlight w:val="none"/>
        </w:rPr>
        <w:t>若发包人在工作中发现设计代表不称职或有违法行为时，有权提出更换，设计人应在发包人提出</w:t>
      </w:r>
      <w:r>
        <w:rPr>
          <w:color w:val="auto"/>
          <w:spacing w:val="-2"/>
          <w:highlight w:val="none"/>
        </w:rPr>
        <w:t>更换通知的</w:t>
      </w:r>
      <w:r>
        <w:rPr>
          <w:rFonts w:ascii="Arial" w:eastAsia="Arial"/>
          <w:color w:val="auto"/>
          <w:highlight w:val="none"/>
        </w:rPr>
        <w:t>7</w:t>
      </w:r>
      <w:r>
        <w:rPr>
          <w:color w:val="auto"/>
          <w:spacing w:val="-3"/>
          <w:highlight w:val="none"/>
        </w:rPr>
        <w:t>天内完成更换工作并使发包人满意。</w:t>
      </w:r>
    </w:p>
    <w:p>
      <w:pPr>
        <w:pStyle w:val="30"/>
        <w:numPr>
          <w:ilvl w:val="2"/>
          <w:numId w:val="12"/>
        </w:numPr>
        <w:tabs>
          <w:tab w:val="left" w:pos="1395"/>
        </w:tabs>
        <w:spacing w:before="0" w:after="0" w:line="393" w:lineRule="auto"/>
        <w:ind w:left="398" w:right="409" w:firstLine="420"/>
        <w:jc w:val="both"/>
        <w:rPr>
          <w:rFonts w:ascii="Arial" w:eastAsia="Arial"/>
          <w:color w:val="auto"/>
          <w:sz w:val="21"/>
          <w:highlight w:val="none"/>
        </w:rPr>
      </w:pPr>
      <w:r>
        <w:rPr>
          <w:color w:val="auto"/>
          <w:sz w:val="21"/>
          <w:highlight w:val="none"/>
        </w:rPr>
        <w:t>本项目设计变更的勘察设计由设计人承担，设计人应及时完成勘察设计，提交设计变更文</w:t>
      </w:r>
      <w:r>
        <w:rPr>
          <w:color w:val="auto"/>
          <w:spacing w:val="-4"/>
          <w:sz w:val="21"/>
          <w:highlight w:val="none"/>
        </w:rPr>
        <w:t>件，并对设计变更文件承担相应责任。由于不可预见因素或发包人增加的设计项目或发包人原因造成的设计变更，由发包人与设计人另行协商支付费用；除此之外的设计变更，其费用应视为已含入合同</w:t>
      </w:r>
      <w:r>
        <w:rPr>
          <w:color w:val="auto"/>
          <w:spacing w:val="-3"/>
          <w:sz w:val="21"/>
          <w:highlight w:val="none"/>
        </w:rPr>
        <w:t>报价中，发包人不再另行支付。所有设计变更必须提供预算金额并由设计代表签字确认。</w:t>
      </w:r>
    </w:p>
    <w:p>
      <w:pPr>
        <w:numPr>
          <w:ilvl w:val="1"/>
          <w:numId w:val="12"/>
        </w:numPr>
        <w:tabs>
          <w:tab w:val="left" w:pos="795"/>
        </w:tabs>
        <w:spacing w:before="0" w:line="262" w:lineRule="exact"/>
        <w:ind w:left="794" w:right="0" w:hanging="397"/>
        <w:jc w:val="both"/>
        <w:rPr>
          <w:b/>
          <w:color w:val="auto"/>
          <w:sz w:val="21"/>
          <w:highlight w:val="none"/>
        </w:rPr>
      </w:pPr>
      <w:r>
        <w:rPr>
          <w:b/>
          <w:color w:val="auto"/>
          <w:sz w:val="21"/>
          <w:highlight w:val="none"/>
        </w:rPr>
        <w:t>履约担保</w:t>
      </w:r>
    </w:p>
    <w:p>
      <w:pPr>
        <w:pStyle w:val="30"/>
        <w:numPr>
          <w:ilvl w:val="2"/>
          <w:numId w:val="12"/>
        </w:numPr>
        <w:tabs>
          <w:tab w:val="left" w:pos="1393"/>
        </w:tabs>
        <w:spacing w:before="171" w:after="0" w:line="393" w:lineRule="auto"/>
        <w:ind w:left="398" w:right="411" w:firstLine="420"/>
        <w:jc w:val="both"/>
        <w:rPr>
          <w:rFonts w:ascii="Arial" w:eastAsia="Arial"/>
          <w:color w:val="auto"/>
          <w:sz w:val="21"/>
          <w:highlight w:val="none"/>
        </w:rPr>
      </w:pPr>
      <w:r>
        <w:rPr>
          <w:color w:val="auto"/>
          <w:sz w:val="21"/>
          <w:highlight w:val="none"/>
        </w:rPr>
        <w:t>在签订合同前，设计人应按专用合同条款规定的金额和形式向发包人提交履约担保。如履</w:t>
      </w:r>
      <w:r>
        <w:rPr>
          <w:color w:val="auto"/>
          <w:spacing w:val="-4"/>
          <w:sz w:val="21"/>
          <w:highlight w:val="none"/>
        </w:rPr>
        <w:t>约担保采用银行保函，则应符合招标文件第四章规定的格式并由满足专用合同条款规定级别的银行开具。执行本款规定所需的费用由设计人承担。在发包人签收最后一批勘察设计成果文件之前，设计人</w:t>
      </w:r>
      <w:r>
        <w:rPr>
          <w:color w:val="auto"/>
          <w:spacing w:val="-3"/>
          <w:sz w:val="21"/>
          <w:highlight w:val="none"/>
        </w:rPr>
        <w:t>应保证履约担保一直有效。</w:t>
      </w:r>
    </w:p>
    <w:p>
      <w:pPr>
        <w:pStyle w:val="30"/>
        <w:numPr>
          <w:ilvl w:val="2"/>
          <w:numId w:val="12"/>
        </w:numPr>
        <w:tabs>
          <w:tab w:val="left" w:pos="1390"/>
        </w:tabs>
        <w:spacing w:before="0" w:after="0" w:line="264" w:lineRule="exact"/>
        <w:ind w:left="1389" w:right="0" w:hanging="572"/>
        <w:jc w:val="both"/>
        <w:rPr>
          <w:rFonts w:ascii="Arial" w:eastAsia="Arial"/>
          <w:color w:val="auto"/>
          <w:sz w:val="21"/>
          <w:highlight w:val="none"/>
        </w:rPr>
      </w:pPr>
      <w:r>
        <w:rPr>
          <w:color w:val="auto"/>
          <w:spacing w:val="-3"/>
          <w:sz w:val="21"/>
          <w:highlight w:val="none"/>
        </w:rPr>
        <w:t>联合体的履约担保由联合体牵头人提交或出具。</w:t>
      </w:r>
    </w:p>
    <w:p>
      <w:pPr>
        <w:pStyle w:val="30"/>
        <w:numPr>
          <w:ilvl w:val="2"/>
          <w:numId w:val="12"/>
        </w:numPr>
        <w:tabs>
          <w:tab w:val="left" w:pos="1390"/>
        </w:tabs>
        <w:spacing w:before="170" w:after="0" w:line="240" w:lineRule="auto"/>
        <w:ind w:left="1389" w:right="0" w:hanging="572"/>
        <w:jc w:val="left"/>
        <w:rPr>
          <w:rFonts w:ascii="Arial" w:eastAsia="Arial"/>
          <w:color w:val="auto"/>
          <w:sz w:val="21"/>
          <w:highlight w:val="none"/>
        </w:rPr>
      </w:pPr>
      <w:r>
        <w:rPr>
          <w:color w:val="auto"/>
          <w:spacing w:val="-3"/>
          <w:sz w:val="21"/>
          <w:highlight w:val="none"/>
        </w:rPr>
        <w:t>发包人对履约担保提出的任何索赔要求，均应在履约担保有效期内提出。</w:t>
      </w:r>
    </w:p>
    <w:p>
      <w:pPr>
        <w:numPr>
          <w:ilvl w:val="1"/>
          <w:numId w:val="12"/>
        </w:numPr>
        <w:tabs>
          <w:tab w:val="left" w:pos="795"/>
        </w:tabs>
        <w:spacing w:before="172"/>
        <w:ind w:left="794" w:right="0" w:hanging="397"/>
        <w:jc w:val="both"/>
        <w:rPr>
          <w:b/>
          <w:color w:val="auto"/>
          <w:sz w:val="21"/>
          <w:highlight w:val="none"/>
        </w:rPr>
      </w:pPr>
      <w:r>
        <w:rPr>
          <w:b/>
          <w:color w:val="auto"/>
          <w:sz w:val="21"/>
          <w:highlight w:val="none"/>
        </w:rPr>
        <w:t>转包和分包</w:t>
      </w:r>
    </w:p>
    <w:p>
      <w:pPr>
        <w:pStyle w:val="30"/>
        <w:numPr>
          <w:ilvl w:val="2"/>
          <w:numId w:val="12"/>
        </w:numPr>
        <w:tabs>
          <w:tab w:val="left" w:pos="1393"/>
        </w:tabs>
        <w:spacing w:before="170" w:after="0" w:line="240" w:lineRule="auto"/>
        <w:ind w:left="1392" w:right="0" w:hanging="575"/>
        <w:jc w:val="left"/>
        <w:rPr>
          <w:rFonts w:ascii="Arial" w:eastAsia="Arial"/>
          <w:color w:val="auto"/>
          <w:sz w:val="21"/>
          <w:highlight w:val="none"/>
        </w:rPr>
      </w:pPr>
      <w:r>
        <w:rPr>
          <w:color w:val="auto"/>
          <w:spacing w:val="-3"/>
          <w:sz w:val="21"/>
          <w:highlight w:val="none"/>
        </w:rPr>
        <w:t>设计人不得将本合同规定的勘察设计任务转包。</w:t>
      </w:r>
    </w:p>
    <w:p>
      <w:pPr>
        <w:pStyle w:val="30"/>
        <w:numPr>
          <w:ilvl w:val="2"/>
          <w:numId w:val="12"/>
        </w:numPr>
        <w:tabs>
          <w:tab w:val="left" w:pos="1393"/>
        </w:tabs>
        <w:spacing w:before="170" w:after="0" w:line="393" w:lineRule="auto"/>
        <w:ind w:left="398" w:right="412" w:firstLine="420"/>
        <w:jc w:val="left"/>
        <w:rPr>
          <w:rFonts w:ascii="Arial" w:eastAsia="Arial"/>
          <w:color w:val="auto"/>
          <w:sz w:val="21"/>
          <w:highlight w:val="none"/>
        </w:rPr>
      </w:pPr>
      <w:r>
        <w:rPr>
          <w:color w:val="auto"/>
          <w:sz w:val="21"/>
          <w:highlight w:val="none"/>
        </w:rPr>
        <w:t>设计人不得将工程主体、关键性工作分包给第三人。经发包人同意，设计人可将工程设计</w:t>
      </w:r>
      <w:r>
        <w:rPr>
          <w:color w:val="auto"/>
          <w:spacing w:val="-3"/>
          <w:sz w:val="21"/>
          <w:highlight w:val="none"/>
        </w:rPr>
        <w:t>中跨专业或者有特殊要求的勘察、设计工作进行分包。</w:t>
      </w:r>
    </w:p>
    <w:p>
      <w:pPr>
        <w:pStyle w:val="30"/>
        <w:numPr>
          <w:ilvl w:val="2"/>
          <w:numId w:val="12"/>
        </w:numPr>
        <w:tabs>
          <w:tab w:val="left" w:pos="1395"/>
        </w:tabs>
        <w:spacing w:before="0" w:after="0" w:line="391" w:lineRule="auto"/>
        <w:ind w:left="398" w:right="412" w:firstLine="420"/>
        <w:jc w:val="left"/>
        <w:rPr>
          <w:rFonts w:ascii="Arial" w:eastAsia="Arial"/>
          <w:color w:val="auto"/>
          <w:sz w:val="21"/>
          <w:highlight w:val="none"/>
        </w:rPr>
      </w:pPr>
      <w:r>
        <w:rPr>
          <w:color w:val="auto"/>
          <w:sz w:val="21"/>
          <w:highlight w:val="none"/>
        </w:rPr>
        <w:t>分包人的资质和能力均应与其承担的工程规模和标准相适应，分包人不得再将该分包项目</w:t>
      </w:r>
      <w:r>
        <w:rPr>
          <w:color w:val="auto"/>
          <w:spacing w:val="-3"/>
          <w:sz w:val="21"/>
          <w:highlight w:val="none"/>
        </w:rPr>
        <w:t>再次分包或转包。</w:t>
      </w:r>
    </w:p>
    <w:p>
      <w:pPr>
        <w:pStyle w:val="30"/>
        <w:numPr>
          <w:ilvl w:val="2"/>
          <w:numId w:val="12"/>
        </w:numPr>
        <w:tabs>
          <w:tab w:val="left" w:pos="1395"/>
        </w:tabs>
        <w:spacing w:before="3" w:after="0" w:line="391" w:lineRule="auto"/>
        <w:ind w:left="398" w:right="412" w:firstLine="420"/>
        <w:jc w:val="left"/>
        <w:rPr>
          <w:rFonts w:ascii="Arial" w:eastAsia="Arial"/>
          <w:color w:val="auto"/>
          <w:sz w:val="21"/>
          <w:highlight w:val="none"/>
        </w:rPr>
      </w:pPr>
      <w:r>
        <w:rPr>
          <w:color w:val="auto"/>
          <w:sz w:val="21"/>
          <w:highlight w:val="none"/>
        </w:rPr>
        <w:t>即使发包人同意分包，也不应解除设计人根据合同规定应承担的全部责任和义务，设计人</w:t>
      </w:r>
      <w:r>
        <w:rPr>
          <w:color w:val="auto"/>
          <w:spacing w:val="-3"/>
          <w:sz w:val="21"/>
          <w:highlight w:val="none"/>
        </w:rPr>
        <w:t>应对其分包人的工作负全部责任。</w:t>
      </w:r>
    </w:p>
    <w:p>
      <w:pPr>
        <w:pStyle w:val="30"/>
        <w:numPr>
          <w:ilvl w:val="2"/>
          <w:numId w:val="12"/>
        </w:numPr>
        <w:tabs>
          <w:tab w:val="left" w:pos="1392"/>
        </w:tabs>
        <w:spacing w:before="1" w:after="0" w:line="240" w:lineRule="auto"/>
        <w:ind w:left="1391" w:right="0" w:hanging="574"/>
        <w:jc w:val="left"/>
        <w:rPr>
          <w:rFonts w:ascii="Arial" w:eastAsia="Arial"/>
          <w:color w:val="auto"/>
          <w:sz w:val="21"/>
          <w:highlight w:val="none"/>
        </w:rPr>
      </w:pPr>
      <w:r>
        <w:rPr>
          <w:color w:val="auto"/>
          <w:spacing w:val="-3"/>
          <w:sz w:val="21"/>
          <w:highlight w:val="none"/>
        </w:rPr>
        <w:t>任何分包合同须在签订之日</w:t>
      </w:r>
      <w:r>
        <w:rPr>
          <w:rFonts w:ascii="Arial" w:eastAsia="Arial"/>
          <w:color w:val="auto"/>
          <w:spacing w:val="-3"/>
          <w:sz w:val="21"/>
          <w:highlight w:val="none"/>
        </w:rPr>
        <w:t>7</w:t>
      </w:r>
      <w:r>
        <w:rPr>
          <w:color w:val="auto"/>
          <w:spacing w:val="-3"/>
          <w:sz w:val="21"/>
          <w:highlight w:val="none"/>
        </w:rPr>
        <w:t>天内报发包人备案。</w:t>
      </w:r>
    </w:p>
    <w:p>
      <w:pPr>
        <w:spacing w:after="0" w:line="240" w:lineRule="auto"/>
        <w:jc w:val="left"/>
        <w:rPr>
          <w:rFonts w:ascii="Arial" w:eastAsia="Arial"/>
          <w:color w:val="auto"/>
          <w:sz w:val="21"/>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pStyle w:val="30"/>
        <w:numPr>
          <w:ilvl w:val="2"/>
          <w:numId w:val="12"/>
        </w:numPr>
        <w:tabs>
          <w:tab w:val="left" w:pos="1393"/>
        </w:tabs>
        <w:spacing w:before="56" w:after="0" w:line="240" w:lineRule="auto"/>
        <w:ind w:left="1392" w:right="0" w:hanging="575"/>
        <w:jc w:val="left"/>
        <w:rPr>
          <w:rFonts w:ascii="Arial" w:eastAsia="Arial"/>
          <w:color w:val="auto"/>
          <w:sz w:val="21"/>
          <w:highlight w:val="none"/>
        </w:rPr>
      </w:pPr>
      <w:r>
        <w:rPr>
          <w:color w:val="auto"/>
          <w:spacing w:val="-3"/>
          <w:sz w:val="21"/>
          <w:highlight w:val="none"/>
        </w:rPr>
        <w:t>发包人对设计人与各分包人之间的法律和经济纠纷不承担任何责任和义务。</w:t>
      </w:r>
    </w:p>
    <w:p>
      <w:pPr>
        <w:numPr>
          <w:ilvl w:val="1"/>
          <w:numId w:val="12"/>
        </w:numPr>
        <w:tabs>
          <w:tab w:val="left" w:pos="795"/>
        </w:tabs>
        <w:spacing w:before="170"/>
        <w:ind w:left="794" w:right="0" w:hanging="397"/>
        <w:jc w:val="left"/>
        <w:rPr>
          <w:b/>
          <w:color w:val="auto"/>
          <w:sz w:val="21"/>
          <w:highlight w:val="none"/>
        </w:rPr>
      </w:pPr>
      <w:r>
        <w:rPr>
          <w:b/>
          <w:color w:val="auto"/>
          <w:sz w:val="21"/>
          <w:highlight w:val="none"/>
        </w:rPr>
        <w:t>人员保证与变更</w:t>
      </w:r>
    </w:p>
    <w:p>
      <w:pPr>
        <w:pStyle w:val="30"/>
        <w:numPr>
          <w:ilvl w:val="2"/>
          <w:numId w:val="12"/>
        </w:numPr>
        <w:tabs>
          <w:tab w:val="left" w:pos="1397"/>
        </w:tabs>
        <w:spacing w:before="170" w:after="0" w:line="393" w:lineRule="auto"/>
        <w:ind w:left="398" w:right="304" w:firstLine="422"/>
        <w:jc w:val="left"/>
        <w:rPr>
          <w:rFonts w:ascii="Arial" w:eastAsia="Arial"/>
          <w:color w:val="auto"/>
          <w:sz w:val="21"/>
          <w:highlight w:val="none"/>
        </w:rPr>
      </w:pPr>
      <w:r>
        <w:rPr>
          <w:color w:val="auto"/>
          <w:sz w:val="21"/>
          <w:highlight w:val="none"/>
        </w:rPr>
        <w:t>设计人应安排投标文件中承诺的人员投入工作，并在设计过程中和施工服务期内保持人员</w:t>
      </w:r>
      <w:r>
        <w:rPr>
          <w:color w:val="auto"/>
          <w:spacing w:val="-8"/>
          <w:sz w:val="21"/>
          <w:highlight w:val="none"/>
        </w:rPr>
        <w:t>的相对稳定。在项目勘察设计期间，未经发包人批准，项目负责人、分项负责人及设计代表不得更换。</w:t>
      </w:r>
    </w:p>
    <w:p>
      <w:pPr>
        <w:pStyle w:val="30"/>
        <w:numPr>
          <w:ilvl w:val="2"/>
          <w:numId w:val="12"/>
        </w:numPr>
        <w:tabs>
          <w:tab w:val="left" w:pos="1397"/>
        </w:tabs>
        <w:spacing w:before="0" w:after="0" w:line="393" w:lineRule="auto"/>
        <w:ind w:left="398" w:right="302" w:firstLine="422"/>
        <w:jc w:val="left"/>
        <w:rPr>
          <w:rFonts w:ascii="Arial" w:eastAsia="Arial"/>
          <w:color w:val="auto"/>
          <w:sz w:val="21"/>
          <w:highlight w:val="none"/>
        </w:rPr>
      </w:pPr>
      <w:r>
        <w:rPr>
          <w:color w:val="auto"/>
          <w:sz w:val="21"/>
          <w:highlight w:val="none"/>
        </w:rPr>
        <w:t>如果设计人员不能胜任工作、渎职或从事其他违法活动，发包人有权以书面形式提出更换</w:t>
      </w:r>
      <w:r>
        <w:rPr>
          <w:color w:val="auto"/>
          <w:spacing w:val="-8"/>
          <w:sz w:val="21"/>
          <w:highlight w:val="none"/>
        </w:rPr>
        <w:t>要求，设计人应立即派出不低于原设计人员相应资历的人员替换；若非因上述原因，设计人有权拒绝。</w:t>
      </w:r>
      <w:r>
        <w:rPr>
          <w:color w:val="auto"/>
          <w:spacing w:val="-5"/>
          <w:sz w:val="21"/>
          <w:highlight w:val="none"/>
        </w:rPr>
        <w:t>设计人在事先取得发包人的同意后可以更换派驻现场的人员，但应符合合同规定的资历要求。</w:t>
      </w:r>
    </w:p>
    <w:p>
      <w:pPr>
        <w:pStyle w:val="30"/>
        <w:numPr>
          <w:ilvl w:val="2"/>
          <w:numId w:val="12"/>
        </w:numPr>
        <w:tabs>
          <w:tab w:val="left" w:pos="1397"/>
        </w:tabs>
        <w:spacing w:before="0" w:after="0" w:line="391" w:lineRule="auto"/>
        <w:ind w:left="398" w:right="410" w:firstLine="422"/>
        <w:jc w:val="left"/>
        <w:rPr>
          <w:rFonts w:ascii="Arial" w:eastAsia="Arial"/>
          <w:color w:val="auto"/>
          <w:sz w:val="21"/>
          <w:highlight w:val="none"/>
        </w:rPr>
      </w:pPr>
      <w:r>
        <w:rPr>
          <w:color w:val="auto"/>
          <w:sz w:val="21"/>
          <w:highlight w:val="none"/>
        </w:rPr>
        <w:t>设计人的工作进度没有达到设计人投标文件中承诺的进度计划时，发包人有权提出要求增</w:t>
      </w:r>
      <w:r>
        <w:rPr>
          <w:color w:val="auto"/>
          <w:spacing w:val="-3"/>
          <w:sz w:val="21"/>
          <w:highlight w:val="none"/>
        </w:rPr>
        <w:t>加设计人员，设计人应立即安排，其费用被认为已包含在合同价格之中。</w:t>
      </w:r>
    </w:p>
    <w:p>
      <w:pPr>
        <w:pStyle w:val="30"/>
        <w:numPr>
          <w:ilvl w:val="2"/>
          <w:numId w:val="12"/>
        </w:numPr>
        <w:tabs>
          <w:tab w:val="left" w:pos="1395"/>
        </w:tabs>
        <w:spacing w:before="21" w:after="0" w:line="240" w:lineRule="auto"/>
        <w:ind w:left="1394" w:right="0" w:hanging="575"/>
        <w:jc w:val="left"/>
        <w:rPr>
          <w:rFonts w:ascii="Arial" w:eastAsia="Arial"/>
          <w:color w:val="auto"/>
          <w:sz w:val="21"/>
          <w:highlight w:val="none"/>
        </w:rPr>
      </w:pPr>
      <w:r>
        <w:rPr>
          <w:color w:val="auto"/>
          <w:spacing w:val="-3"/>
          <w:sz w:val="21"/>
          <w:highlight w:val="none"/>
        </w:rPr>
        <w:t>由于发包人提出加快设计进度，提前完成设计工作而需增加人员时，其费用应另外计列。</w:t>
      </w:r>
    </w:p>
    <w:p>
      <w:pPr>
        <w:numPr>
          <w:ilvl w:val="1"/>
          <w:numId w:val="12"/>
        </w:numPr>
        <w:tabs>
          <w:tab w:val="left" w:pos="795"/>
        </w:tabs>
        <w:spacing w:before="170"/>
        <w:ind w:left="794" w:right="0" w:hanging="397"/>
        <w:jc w:val="left"/>
        <w:rPr>
          <w:b/>
          <w:color w:val="auto"/>
          <w:sz w:val="21"/>
          <w:highlight w:val="none"/>
        </w:rPr>
      </w:pPr>
      <w:r>
        <w:rPr>
          <w:b/>
          <w:color w:val="auto"/>
          <w:sz w:val="21"/>
          <w:highlight w:val="none"/>
        </w:rPr>
        <w:t>联合体</w:t>
      </w:r>
    </w:p>
    <w:p>
      <w:pPr>
        <w:pStyle w:val="30"/>
        <w:numPr>
          <w:ilvl w:val="2"/>
          <w:numId w:val="12"/>
        </w:numPr>
        <w:tabs>
          <w:tab w:val="left" w:pos="1395"/>
        </w:tabs>
        <w:spacing w:before="169" w:after="0" w:line="240" w:lineRule="auto"/>
        <w:ind w:left="1394" w:right="0" w:hanging="575"/>
        <w:jc w:val="left"/>
        <w:rPr>
          <w:rFonts w:ascii="Arial" w:eastAsia="Arial"/>
          <w:color w:val="auto"/>
          <w:sz w:val="21"/>
          <w:highlight w:val="none"/>
        </w:rPr>
      </w:pPr>
      <w:r>
        <w:rPr>
          <w:color w:val="auto"/>
          <w:spacing w:val="-3"/>
          <w:sz w:val="21"/>
          <w:highlight w:val="none"/>
        </w:rPr>
        <w:t>联合体各方应共同与发包人签订合同协议书。联合体各方应为履行合同承担连带责任。</w:t>
      </w:r>
    </w:p>
    <w:p>
      <w:pPr>
        <w:pStyle w:val="30"/>
        <w:numPr>
          <w:ilvl w:val="2"/>
          <w:numId w:val="12"/>
        </w:numPr>
        <w:tabs>
          <w:tab w:val="left" w:pos="1397"/>
        </w:tabs>
        <w:spacing w:before="173" w:after="0" w:line="391" w:lineRule="auto"/>
        <w:ind w:left="398" w:right="410" w:firstLine="422"/>
        <w:jc w:val="left"/>
        <w:rPr>
          <w:rFonts w:ascii="Arial" w:eastAsia="Arial"/>
          <w:color w:val="auto"/>
          <w:sz w:val="21"/>
          <w:highlight w:val="none"/>
        </w:rPr>
      </w:pPr>
      <w:r>
        <w:rPr>
          <w:color w:val="auto"/>
          <w:sz w:val="21"/>
          <w:highlight w:val="none"/>
        </w:rPr>
        <w:t>联合体协议经发包人确认后作为合同附件。在履行合同过程中，未经发包人同意，不得修</w:t>
      </w:r>
      <w:r>
        <w:rPr>
          <w:color w:val="auto"/>
          <w:spacing w:val="-2"/>
          <w:sz w:val="21"/>
          <w:highlight w:val="none"/>
        </w:rPr>
        <w:t>改联合体协议。</w:t>
      </w:r>
    </w:p>
    <w:p>
      <w:pPr>
        <w:pStyle w:val="30"/>
        <w:numPr>
          <w:ilvl w:val="2"/>
          <w:numId w:val="12"/>
        </w:numPr>
        <w:tabs>
          <w:tab w:val="left" w:pos="1397"/>
        </w:tabs>
        <w:spacing w:before="1" w:after="0" w:line="393" w:lineRule="auto"/>
        <w:ind w:left="398" w:right="305" w:firstLine="422"/>
        <w:jc w:val="left"/>
        <w:rPr>
          <w:rFonts w:ascii="Arial" w:eastAsia="Arial"/>
          <w:color w:val="auto"/>
          <w:sz w:val="21"/>
          <w:highlight w:val="none"/>
        </w:rPr>
      </w:pPr>
      <w:r>
        <w:rPr>
          <w:color w:val="auto"/>
          <w:sz w:val="21"/>
          <w:highlight w:val="none"/>
        </w:rPr>
        <w:t>联合体牵头人负责与发包</w:t>
      </w:r>
      <w:r>
        <w:rPr>
          <w:rFonts w:hint="eastAsia"/>
          <w:color w:val="auto"/>
          <w:sz w:val="21"/>
          <w:highlight w:val="none"/>
          <w:lang w:eastAsia="zh-CN"/>
        </w:rPr>
        <w:t>人</w:t>
      </w:r>
      <w:r>
        <w:rPr>
          <w:color w:val="auto"/>
          <w:sz w:val="21"/>
          <w:highlight w:val="none"/>
        </w:rPr>
        <w:t>联系并接受指示，负责组织联合体各成员全面履行合同。发</w:t>
      </w:r>
      <w:r>
        <w:rPr>
          <w:color w:val="auto"/>
          <w:spacing w:val="-7"/>
          <w:sz w:val="21"/>
          <w:highlight w:val="none"/>
        </w:rPr>
        <w:t>包人就本合同工程向联合体牵头人发布的任何指令、指示、通知等均对联合体其他成员具有同等效力。</w:t>
      </w:r>
    </w:p>
    <w:p>
      <w:pPr>
        <w:pStyle w:val="30"/>
        <w:numPr>
          <w:ilvl w:val="2"/>
          <w:numId w:val="12"/>
        </w:numPr>
        <w:tabs>
          <w:tab w:val="left" w:pos="1393"/>
        </w:tabs>
        <w:spacing w:before="0" w:after="0" w:line="267" w:lineRule="exact"/>
        <w:ind w:left="1392" w:right="0" w:hanging="573"/>
        <w:jc w:val="left"/>
        <w:rPr>
          <w:rFonts w:ascii="Arial" w:eastAsia="Arial"/>
          <w:color w:val="auto"/>
          <w:sz w:val="21"/>
          <w:highlight w:val="none"/>
        </w:rPr>
      </w:pPr>
      <w:r>
        <w:rPr>
          <w:color w:val="auto"/>
          <w:spacing w:val="-3"/>
          <w:sz w:val="21"/>
          <w:highlight w:val="none"/>
        </w:rPr>
        <w:t>联合体牵头人应按本合同规定代表联合体向发包人提交全部合格的勘察报告和设计文件。</w:t>
      </w:r>
    </w:p>
    <w:p>
      <w:pPr>
        <w:pStyle w:val="30"/>
        <w:numPr>
          <w:ilvl w:val="2"/>
          <w:numId w:val="12"/>
        </w:numPr>
        <w:tabs>
          <w:tab w:val="left" w:pos="1395"/>
        </w:tabs>
        <w:spacing w:before="171" w:after="0" w:line="240" w:lineRule="auto"/>
        <w:ind w:left="1394" w:right="0" w:hanging="575"/>
        <w:jc w:val="left"/>
        <w:rPr>
          <w:rFonts w:ascii="Arial" w:eastAsia="Arial"/>
          <w:color w:val="auto"/>
          <w:sz w:val="21"/>
          <w:highlight w:val="none"/>
        </w:rPr>
      </w:pPr>
      <w:r>
        <w:rPr>
          <w:color w:val="auto"/>
          <w:spacing w:val="-3"/>
          <w:sz w:val="21"/>
          <w:highlight w:val="none"/>
        </w:rPr>
        <w:t>未经发包人事先同意，联合体的组成、结构与业务分工均不得变动。</w:t>
      </w:r>
    </w:p>
    <w:p>
      <w:pPr>
        <w:numPr>
          <w:ilvl w:val="1"/>
          <w:numId w:val="12"/>
        </w:numPr>
        <w:tabs>
          <w:tab w:val="left" w:pos="795"/>
        </w:tabs>
        <w:spacing w:before="172"/>
        <w:ind w:left="794" w:right="0" w:hanging="397"/>
        <w:jc w:val="left"/>
        <w:rPr>
          <w:b/>
          <w:color w:val="auto"/>
          <w:sz w:val="21"/>
          <w:highlight w:val="none"/>
        </w:rPr>
      </w:pPr>
      <w:r>
        <w:rPr>
          <w:b/>
          <w:color w:val="auto"/>
          <w:sz w:val="21"/>
          <w:highlight w:val="none"/>
        </w:rPr>
        <w:t>其他义务</w:t>
      </w:r>
    </w:p>
    <w:p>
      <w:pPr>
        <w:pStyle w:val="2"/>
        <w:spacing w:before="170"/>
        <w:ind w:left="818"/>
        <w:rPr>
          <w:color w:val="auto"/>
          <w:highlight w:val="none"/>
        </w:rPr>
      </w:pPr>
      <w:r>
        <w:rPr>
          <w:color w:val="auto"/>
          <w:highlight w:val="none"/>
        </w:rPr>
        <w:t>设计人应履行专用合同条款约定的其他义务。</w:t>
      </w:r>
    </w:p>
    <w:p>
      <w:pPr>
        <w:pStyle w:val="2"/>
        <w:spacing w:before="1"/>
        <w:rPr>
          <w:color w:val="auto"/>
          <w:sz w:val="25"/>
          <w:highlight w:val="none"/>
        </w:rPr>
      </w:pPr>
    </w:p>
    <w:p>
      <w:pPr>
        <w:pStyle w:val="8"/>
        <w:numPr>
          <w:ilvl w:val="0"/>
          <w:numId w:val="12"/>
        </w:numPr>
        <w:tabs>
          <w:tab w:val="left" w:pos="666"/>
        </w:tabs>
        <w:spacing w:before="0" w:after="0" w:line="240" w:lineRule="auto"/>
        <w:ind w:left="665" w:right="0" w:hanging="268"/>
        <w:jc w:val="left"/>
        <w:outlineLvl w:val="2"/>
        <w:rPr>
          <w:color w:val="auto"/>
          <w:highlight w:val="none"/>
        </w:rPr>
      </w:pPr>
      <w:bookmarkStart w:id="165" w:name="4.勘察设计周期及提交成果"/>
      <w:bookmarkEnd w:id="165"/>
      <w:bookmarkStart w:id="166" w:name="_bookmark33"/>
      <w:bookmarkEnd w:id="166"/>
      <w:bookmarkStart w:id="167" w:name="_Toc27517"/>
      <w:r>
        <w:rPr>
          <w:color w:val="auto"/>
          <w:highlight w:val="none"/>
        </w:rPr>
        <w:t>勘察设计周期及提交成果</w:t>
      </w:r>
      <w:bookmarkEnd w:id="167"/>
    </w:p>
    <w:p>
      <w:pPr>
        <w:pStyle w:val="2"/>
        <w:spacing w:before="1"/>
        <w:rPr>
          <w:b/>
          <w:color w:val="auto"/>
          <w:sz w:val="31"/>
          <w:highlight w:val="none"/>
        </w:rPr>
      </w:pPr>
    </w:p>
    <w:p>
      <w:pPr>
        <w:numPr>
          <w:ilvl w:val="1"/>
          <w:numId w:val="12"/>
        </w:numPr>
        <w:tabs>
          <w:tab w:val="left" w:pos="795"/>
        </w:tabs>
        <w:spacing w:before="1"/>
        <w:ind w:left="794" w:right="0" w:hanging="397"/>
        <w:jc w:val="left"/>
        <w:rPr>
          <w:b/>
          <w:color w:val="auto"/>
          <w:sz w:val="21"/>
          <w:highlight w:val="none"/>
        </w:rPr>
      </w:pPr>
      <w:r>
        <w:rPr>
          <w:b/>
          <w:color w:val="auto"/>
          <w:spacing w:val="-1"/>
          <w:sz w:val="21"/>
          <w:highlight w:val="none"/>
        </w:rPr>
        <w:t>勘察设计周期及提交成果</w:t>
      </w:r>
    </w:p>
    <w:p>
      <w:pPr>
        <w:pStyle w:val="2"/>
        <w:spacing w:before="172" w:line="391" w:lineRule="auto"/>
        <w:ind w:left="398" w:right="412" w:firstLine="420"/>
        <w:rPr>
          <w:color w:val="auto"/>
          <w:highlight w:val="none"/>
        </w:rPr>
      </w:pPr>
      <w:r>
        <w:rPr>
          <w:color w:val="auto"/>
          <w:spacing w:val="-4"/>
          <w:highlight w:val="none"/>
        </w:rPr>
        <w:t>设计人应根据发包人要求分批、分阶段提供所需勘察设计成果资料。本工程勘察设计周期安排及</w:t>
      </w:r>
      <w:r>
        <w:rPr>
          <w:color w:val="auto"/>
          <w:spacing w:val="-3"/>
          <w:highlight w:val="none"/>
        </w:rPr>
        <w:t>设计人需提交的勘察设计成果在专用合同条款中约定。</w:t>
      </w:r>
    </w:p>
    <w:p>
      <w:pPr>
        <w:numPr>
          <w:ilvl w:val="1"/>
          <w:numId w:val="12"/>
        </w:numPr>
        <w:tabs>
          <w:tab w:val="left" w:pos="795"/>
        </w:tabs>
        <w:spacing w:before="2"/>
        <w:ind w:left="794" w:right="0" w:hanging="397"/>
        <w:jc w:val="left"/>
        <w:rPr>
          <w:b/>
          <w:color w:val="auto"/>
          <w:sz w:val="21"/>
          <w:highlight w:val="none"/>
        </w:rPr>
      </w:pPr>
      <w:r>
        <w:rPr>
          <w:b/>
          <w:color w:val="auto"/>
          <w:spacing w:val="-1"/>
          <w:sz w:val="21"/>
          <w:highlight w:val="none"/>
        </w:rPr>
        <w:t>勘察设计详细工作大纲及进度计划的提交</w:t>
      </w:r>
    </w:p>
    <w:p>
      <w:pPr>
        <w:pStyle w:val="2"/>
        <w:spacing w:before="172" w:line="393" w:lineRule="auto"/>
        <w:ind w:left="398" w:right="407" w:firstLine="419"/>
        <w:jc w:val="both"/>
        <w:rPr>
          <w:color w:val="auto"/>
          <w:highlight w:val="none"/>
        </w:rPr>
      </w:pPr>
      <w:r>
        <w:rPr>
          <w:color w:val="auto"/>
          <w:spacing w:val="-2"/>
          <w:highlight w:val="none"/>
        </w:rPr>
        <w:t xml:space="preserve">设计人应接到中标通知书后 </w:t>
      </w:r>
      <w:r>
        <w:rPr>
          <w:rFonts w:ascii="Arial" w:eastAsia="Arial"/>
          <w:color w:val="auto"/>
          <w:highlight w:val="none"/>
        </w:rPr>
        <w:t xml:space="preserve">15 </w:t>
      </w:r>
      <w:r>
        <w:rPr>
          <w:color w:val="auto"/>
          <w:spacing w:val="-3"/>
          <w:highlight w:val="none"/>
        </w:rPr>
        <w:t>天内，针对勘察设计各个阶段工作内容向发包人提交具有可实施性、分项目的勘察设计详细工作大纲及进度计划，以及为完成本计划而建议采用的措施和说明</w:t>
      </w:r>
      <w:r>
        <w:rPr>
          <w:color w:val="auto"/>
          <w:highlight w:val="none"/>
        </w:rPr>
        <w:t>（</w:t>
      </w:r>
      <w:r>
        <w:rPr>
          <w:color w:val="auto"/>
          <w:spacing w:val="-6"/>
          <w:highlight w:val="none"/>
        </w:rPr>
        <w:t>含电</w:t>
      </w:r>
      <w:r>
        <w:rPr>
          <w:color w:val="auto"/>
          <w:spacing w:val="-2"/>
          <w:highlight w:val="none"/>
        </w:rPr>
        <w:t>子文件一份</w:t>
      </w:r>
      <w:r>
        <w:rPr>
          <w:color w:val="auto"/>
          <w:spacing w:val="-73"/>
          <w:highlight w:val="none"/>
        </w:rPr>
        <w:t>）</w:t>
      </w:r>
      <w:r>
        <w:rPr>
          <w:color w:val="auto"/>
          <w:spacing w:val="-12"/>
          <w:highlight w:val="none"/>
        </w:rPr>
        <w:t>，经批准后作为勘察设计合同文件的组成部分，是发包人对勘察设计进行项目管理的依据之一。</w:t>
      </w:r>
    </w:p>
    <w:p>
      <w:pPr>
        <w:numPr>
          <w:ilvl w:val="1"/>
          <w:numId w:val="12"/>
        </w:numPr>
        <w:tabs>
          <w:tab w:val="left" w:pos="795"/>
        </w:tabs>
        <w:spacing w:before="0" w:line="264" w:lineRule="exact"/>
        <w:ind w:left="794" w:right="0" w:hanging="397"/>
        <w:jc w:val="both"/>
        <w:rPr>
          <w:b/>
          <w:color w:val="auto"/>
          <w:sz w:val="21"/>
          <w:highlight w:val="none"/>
        </w:rPr>
      </w:pPr>
      <w:r>
        <w:rPr>
          <w:b/>
          <w:color w:val="auto"/>
          <w:spacing w:val="-1"/>
          <w:sz w:val="21"/>
          <w:highlight w:val="none"/>
        </w:rPr>
        <w:t>专题研究详细工作大纲</w:t>
      </w:r>
    </w:p>
    <w:p>
      <w:pPr>
        <w:pStyle w:val="2"/>
        <w:spacing w:before="170"/>
        <w:ind w:left="818"/>
        <w:rPr>
          <w:color w:val="auto"/>
          <w:highlight w:val="none"/>
        </w:rPr>
      </w:pPr>
      <w:r>
        <w:rPr>
          <w:color w:val="auto"/>
          <w:spacing w:val="-13"/>
          <w:w w:val="100"/>
          <w:highlight w:val="none"/>
        </w:rPr>
        <w:t>设计人在开展专题研究之前，应针对专题研究的具体内容提交详细的工作大纲</w:t>
      </w:r>
      <w:r>
        <w:rPr>
          <w:color w:val="auto"/>
          <w:spacing w:val="-3"/>
          <w:w w:val="100"/>
          <w:highlight w:val="none"/>
        </w:rPr>
        <w:t>（含电子文件一份</w:t>
      </w:r>
      <w:r>
        <w:rPr>
          <w:color w:val="auto"/>
          <w:spacing w:val="-106"/>
          <w:w w:val="100"/>
          <w:highlight w:val="none"/>
        </w:rPr>
        <w:t>）</w:t>
      </w:r>
      <w:r>
        <w:rPr>
          <w:color w:val="auto"/>
          <w:w w:val="100"/>
          <w:highlight w:val="none"/>
        </w:rPr>
        <w:t>，</w:t>
      </w:r>
    </w:p>
    <w:p>
      <w:pPr>
        <w:spacing w:after="0"/>
        <w:rPr>
          <w:color w:val="auto"/>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pStyle w:val="2"/>
        <w:spacing w:before="58"/>
        <w:ind w:left="398"/>
        <w:rPr>
          <w:color w:val="auto"/>
          <w:highlight w:val="none"/>
        </w:rPr>
      </w:pPr>
      <w:r>
        <w:rPr>
          <w:color w:val="auto"/>
          <w:highlight w:val="none"/>
        </w:rPr>
        <w:t>报发包人审核后实施，并作为勘察设计合同文件的组成部分。</w:t>
      </w:r>
    </w:p>
    <w:p>
      <w:pPr>
        <w:pStyle w:val="2"/>
        <w:spacing w:before="170" w:line="391" w:lineRule="auto"/>
        <w:ind w:left="398" w:right="412" w:firstLine="420"/>
        <w:rPr>
          <w:color w:val="auto"/>
          <w:highlight w:val="none"/>
        </w:rPr>
      </w:pPr>
      <w:r>
        <w:rPr>
          <w:color w:val="auto"/>
          <w:spacing w:val="-4"/>
          <w:highlight w:val="none"/>
        </w:rPr>
        <w:t>发包人对设计人勘察设计详细工作大纲及进度计划、专题研究详细工作大纲的审查，并不免除设</w:t>
      </w:r>
      <w:r>
        <w:rPr>
          <w:color w:val="auto"/>
          <w:spacing w:val="-3"/>
          <w:highlight w:val="none"/>
        </w:rPr>
        <w:t>计人对本项目勘察设计（</w:t>
      </w:r>
      <w:r>
        <w:rPr>
          <w:color w:val="auto"/>
          <w:spacing w:val="-2"/>
          <w:highlight w:val="none"/>
        </w:rPr>
        <w:t>含专题研究</w:t>
      </w:r>
      <w:r>
        <w:rPr>
          <w:color w:val="auto"/>
          <w:highlight w:val="none"/>
        </w:rPr>
        <w:t>）</w:t>
      </w:r>
      <w:r>
        <w:rPr>
          <w:color w:val="auto"/>
          <w:spacing w:val="-3"/>
          <w:highlight w:val="none"/>
        </w:rPr>
        <w:t>应承担的责任。</w:t>
      </w:r>
    </w:p>
    <w:p>
      <w:pPr>
        <w:numPr>
          <w:ilvl w:val="1"/>
          <w:numId w:val="12"/>
        </w:numPr>
        <w:tabs>
          <w:tab w:val="left" w:pos="795"/>
        </w:tabs>
        <w:spacing w:before="4"/>
        <w:ind w:left="794" w:right="0" w:hanging="397"/>
        <w:jc w:val="left"/>
        <w:rPr>
          <w:b/>
          <w:color w:val="auto"/>
          <w:sz w:val="21"/>
          <w:highlight w:val="none"/>
        </w:rPr>
      </w:pPr>
      <w:r>
        <w:rPr>
          <w:b/>
          <w:color w:val="auto"/>
          <w:sz w:val="21"/>
          <w:highlight w:val="none"/>
        </w:rPr>
        <w:t>设计进度报告</w:t>
      </w:r>
    </w:p>
    <w:p>
      <w:pPr>
        <w:pStyle w:val="2"/>
        <w:spacing w:before="170" w:line="391" w:lineRule="auto"/>
        <w:ind w:left="398" w:right="412" w:firstLine="420"/>
        <w:rPr>
          <w:color w:val="auto"/>
          <w:highlight w:val="none"/>
        </w:rPr>
      </w:pPr>
      <w:r>
        <w:rPr>
          <w:color w:val="auto"/>
          <w:spacing w:val="-4"/>
          <w:highlight w:val="none"/>
        </w:rPr>
        <w:t>设计人应在每月月底向发包人提供进度报告，说明该月工作进展情况及下月计划安排，并根据发</w:t>
      </w:r>
      <w:r>
        <w:rPr>
          <w:color w:val="auto"/>
          <w:spacing w:val="-3"/>
          <w:highlight w:val="none"/>
        </w:rPr>
        <w:t>包人要求，参加发包人组织的月度工作例会。</w:t>
      </w:r>
    </w:p>
    <w:p>
      <w:pPr>
        <w:pStyle w:val="8"/>
        <w:numPr>
          <w:ilvl w:val="0"/>
          <w:numId w:val="12"/>
        </w:numPr>
        <w:tabs>
          <w:tab w:val="left" w:pos="666"/>
        </w:tabs>
        <w:spacing w:before="155" w:after="0" w:line="240" w:lineRule="auto"/>
        <w:ind w:left="665" w:right="0" w:hanging="268"/>
        <w:jc w:val="left"/>
        <w:outlineLvl w:val="2"/>
        <w:rPr>
          <w:color w:val="auto"/>
          <w:highlight w:val="none"/>
        </w:rPr>
      </w:pPr>
      <w:bookmarkStart w:id="168" w:name="5.违约与赔偿"/>
      <w:bookmarkEnd w:id="168"/>
      <w:bookmarkStart w:id="169" w:name="_bookmark34"/>
      <w:bookmarkEnd w:id="169"/>
      <w:bookmarkStart w:id="170" w:name="_Toc5656"/>
      <w:r>
        <w:rPr>
          <w:color w:val="auto"/>
          <w:highlight w:val="none"/>
        </w:rPr>
        <w:t>违约与赔偿</w:t>
      </w:r>
      <w:bookmarkEnd w:id="170"/>
    </w:p>
    <w:p>
      <w:pPr>
        <w:pStyle w:val="2"/>
        <w:spacing w:before="1"/>
        <w:rPr>
          <w:b/>
          <w:color w:val="auto"/>
          <w:sz w:val="31"/>
          <w:highlight w:val="none"/>
        </w:rPr>
      </w:pPr>
    </w:p>
    <w:p>
      <w:pPr>
        <w:numPr>
          <w:ilvl w:val="1"/>
          <w:numId w:val="12"/>
        </w:numPr>
        <w:tabs>
          <w:tab w:val="left" w:pos="795"/>
        </w:tabs>
        <w:spacing w:before="0"/>
        <w:ind w:left="794" w:right="0" w:hanging="397"/>
        <w:jc w:val="both"/>
        <w:rPr>
          <w:b/>
          <w:color w:val="auto"/>
          <w:sz w:val="21"/>
          <w:highlight w:val="none"/>
        </w:rPr>
      </w:pPr>
      <w:r>
        <w:rPr>
          <w:b/>
          <w:color w:val="auto"/>
          <w:sz w:val="21"/>
          <w:highlight w:val="none"/>
        </w:rPr>
        <w:t>发包人的违约</w:t>
      </w:r>
    </w:p>
    <w:p>
      <w:pPr>
        <w:pStyle w:val="30"/>
        <w:numPr>
          <w:ilvl w:val="2"/>
          <w:numId w:val="12"/>
        </w:numPr>
        <w:tabs>
          <w:tab w:val="left" w:pos="1395"/>
        </w:tabs>
        <w:spacing w:before="149" w:after="0" w:line="393" w:lineRule="auto"/>
        <w:ind w:left="398" w:right="407" w:firstLine="422"/>
        <w:jc w:val="both"/>
        <w:rPr>
          <w:rFonts w:ascii="Arial" w:eastAsia="Arial"/>
          <w:color w:val="auto"/>
          <w:sz w:val="21"/>
          <w:highlight w:val="none"/>
        </w:rPr>
      </w:pPr>
      <w:r>
        <w:rPr>
          <w:color w:val="auto"/>
          <w:spacing w:val="-3"/>
          <w:sz w:val="21"/>
          <w:highlight w:val="none"/>
        </w:rPr>
        <w:t>由于发包人变更勘察设计项目、规模、条件</w:t>
      </w:r>
      <w:r>
        <w:rPr>
          <w:rFonts w:hint="eastAsia"/>
          <w:color w:val="auto"/>
          <w:spacing w:val="-3"/>
          <w:sz w:val="21"/>
          <w:highlight w:val="none"/>
          <w:lang w:eastAsia="zh-CN"/>
        </w:rPr>
        <w:t>，</w:t>
      </w:r>
      <w:r>
        <w:rPr>
          <w:color w:val="auto"/>
          <w:spacing w:val="-3"/>
          <w:sz w:val="21"/>
          <w:highlight w:val="none"/>
        </w:rPr>
        <w:t>或未按合同规定提供勘察设计必需的资料，而</w:t>
      </w:r>
      <w:r>
        <w:rPr>
          <w:color w:val="auto"/>
          <w:spacing w:val="-4"/>
          <w:sz w:val="21"/>
          <w:highlight w:val="none"/>
        </w:rPr>
        <w:t>造成勘察设计的返工、停工、窝工或修改设计，发包人应按设计人实际消耗的工作量增付费用；由于</w:t>
      </w:r>
      <w:r>
        <w:rPr>
          <w:color w:val="auto"/>
          <w:spacing w:val="-3"/>
          <w:sz w:val="21"/>
          <w:highlight w:val="none"/>
        </w:rPr>
        <w:t>发包人要求提前完成勘察设计工作而导致增加的人员和费用，应另行计列。</w:t>
      </w:r>
    </w:p>
    <w:p>
      <w:pPr>
        <w:pStyle w:val="30"/>
        <w:numPr>
          <w:ilvl w:val="2"/>
          <w:numId w:val="12"/>
        </w:numPr>
        <w:tabs>
          <w:tab w:val="left" w:pos="1397"/>
        </w:tabs>
        <w:spacing w:before="0" w:after="0" w:line="391" w:lineRule="auto"/>
        <w:ind w:left="398" w:right="410" w:firstLine="422"/>
        <w:jc w:val="both"/>
        <w:rPr>
          <w:rFonts w:ascii="Arial" w:eastAsia="Arial"/>
          <w:color w:val="auto"/>
          <w:sz w:val="21"/>
          <w:highlight w:val="none"/>
        </w:rPr>
      </w:pPr>
      <w:r>
        <w:rPr>
          <w:color w:val="auto"/>
          <w:sz w:val="21"/>
          <w:highlight w:val="none"/>
        </w:rPr>
        <w:t>发包人超过合同规定的日期支付费用的，应偿付逾期的违约金。偿付办法与金额按本合同</w:t>
      </w:r>
      <w:r>
        <w:rPr>
          <w:color w:val="auto"/>
          <w:spacing w:val="-1"/>
          <w:sz w:val="21"/>
          <w:highlight w:val="none"/>
        </w:rPr>
        <w:t>条款第</w:t>
      </w:r>
      <w:r>
        <w:rPr>
          <w:rFonts w:ascii="Arial" w:eastAsia="Arial"/>
          <w:color w:val="auto"/>
          <w:sz w:val="21"/>
          <w:highlight w:val="none"/>
        </w:rPr>
        <w:t>7.2</w:t>
      </w:r>
      <w:r>
        <w:rPr>
          <w:color w:val="auto"/>
          <w:spacing w:val="-3"/>
          <w:sz w:val="21"/>
          <w:highlight w:val="none"/>
        </w:rPr>
        <w:t>款的规定办理。</w:t>
      </w:r>
    </w:p>
    <w:p>
      <w:pPr>
        <w:pStyle w:val="30"/>
        <w:numPr>
          <w:ilvl w:val="2"/>
          <w:numId w:val="12"/>
        </w:numPr>
        <w:tabs>
          <w:tab w:val="left" w:pos="1395"/>
        </w:tabs>
        <w:spacing w:before="0" w:after="0" w:line="308" w:lineRule="exact"/>
        <w:ind w:left="1394" w:right="0" w:hanging="575"/>
        <w:jc w:val="left"/>
        <w:rPr>
          <w:rFonts w:ascii="Arial" w:eastAsia="Arial"/>
          <w:color w:val="auto"/>
          <w:sz w:val="21"/>
          <w:highlight w:val="none"/>
        </w:rPr>
      </w:pPr>
      <w:r>
        <w:rPr>
          <w:color w:val="auto"/>
          <w:spacing w:val="-5"/>
          <w:w w:val="100"/>
          <w:sz w:val="21"/>
          <w:highlight w:val="none"/>
        </w:rPr>
        <w:t>在合同的履行期间，发包人要求终止或解除合同的</w:t>
      </w:r>
      <w:r>
        <w:rPr>
          <w:color w:val="auto"/>
          <w:spacing w:val="-4"/>
          <w:w w:val="100"/>
          <w:sz w:val="21"/>
          <w:highlight w:val="none"/>
        </w:rPr>
        <w:t>（</w:t>
      </w:r>
      <w:r>
        <w:rPr>
          <w:rFonts w:hint="eastAsia" w:ascii="Arial Unicode MS" w:eastAsia="Arial Unicode MS"/>
          <w:color w:val="auto"/>
          <w:spacing w:val="-3"/>
          <w:w w:val="100"/>
          <w:position w:val="2"/>
          <w:sz w:val="21"/>
          <w:highlight w:val="none"/>
        </w:rPr>
        <w:t>但并非设计人原因造成</w:t>
      </w:r>
      <w:r>
        <w:rPr>
          <w:color w:val="auto"/>
          <w:spacing w:val="-108"/>
          <w:w w:val="100"/>
          <w:sz w:val="21"/>
          <w:highlight w:val="none"/>
        </w:rPr>
        <w:t>）</w:t>
      </w:r>
      <w:r>
        <w:rPr>
          <w:color w:val="auto"/>
          <w:spacing w:val="-3"/>
          <w:w w:val="100"/>
          <w:sz w:val="21"/>
          <w:highlight w:val="none"/>
        </w:rPr>
        <w:t>，发包人除应</w:t>
      </w:r>
    </w:p>
    <w:p>
      <w:pPr>
        <w:pStyle w:val="2"/>
        <w:spacing w:before="131"/>
        <w:ind w:left="398"/>
        <w:rPr>
          <w:color w:val="auto"/>
          <w:highlight w:val="none"/>
        </w:rPr>
      </w:pPr>
      <w:r>
        <w:rPr>
          <w:color w:val="auto"/>
          <w:highlight w:val="none"/>
        </w:rPr>
        <w:t>按设计人完成的实际工作量支付费用外，还应按剩余合同价的</w:t>
      </w:r>
      <w:r>
        <w:rPr>
          <w:rFonts w:ascii="Arial" w:eastAsia="Arial"/>
          <w:color w:val="auto"/>
          <w:highlight w:val="none"/>
        </w:rPr>
        <w:t>5%</w:t>
      </w:r>
      <w:r>
        <w:rPr>
          <w:color w:val="auto"/>
          <w:highlight w:val="none"/>
        </w:rPr>
        <w:t>～</w:t>
      </w:r>
      <w:r>
        <w:rPr>
          <w:rFonts w:ascii="Arial" w:eastAsia="Arial"/>
          <w:color w:val="auto"/>
          <w:highlight w:val="none"/>
        </w:rPr>
        <w:t>10%</w:t>
      </w:r>
      <w:r>
        <w:rPr>
          <w:color w:val="auto"/>
          <w:highlight w:val="none"/>
        </w:rPr>
        <w:t>向设计人支付违约金。</w:t>
      </w:r>
    </w:p>
    <w:p>
      <w:pPr>
        <w:numPr>
          <w:ilvl w:val="1"/>
          <w:numId w:val="12"/>
        </w:numPr>
        <w:tabs>
          <w:tab w:val="left" w:pos="795"/>
        </w:tabs>
        <w:spacing w:before="170"/>
        <w:ind w:left="794" w:right="0" w:hanging="397"/>
        <w:jc w:val="both"/>
        <w:rPr>
          <w:b/>
          <w:color w:val="auto"/>
          <w:sz w:val="21"/>
          <w:highlight w:val="none"/>
        </w:rPr>
      </w:pPr>
      <w:r>
        <w:rPr>
          <w:b/>
          <w:color w:val="auto"/>
          <w:sz w:val="21"/>
          <w:highlight w:val="none"/>
        </w:rPr>
        <w:t>设计人的违约</w:t>
      </w:r>
    </w:p>
    <w:p>
      <w:pPr>
        <w:pStyle w:val="2"/>
        <w:spacing w:before="173"/>
        <w:ind w:left="818"/>
        <w:rPr>
          <w:color w:val="auto"/>
          <w:highlight w:val="none"/>
        </w:rPr>
      </w:pPr>
      <w:r>
        <w:rPr>
          <w:color w:val="auto"/>
          <w:highlight w:val="none"/>
        </w:rPr>
        <w:t>在履行合同过程中发生下列任何一种情况，均属设计人违约：</w:t>
      </w:r>
    </w:p>
    <w:p>
      <w:pPr>
        <w:pStyle w:val="2"/>
        <w:spacing w:before="12"/>
        <w:rPr>
          <w:color w:val="auto"/>
          <w:sz w:val="14"/>
          <w:highlight w:val="none"/>
        </w:rPr>
      </w:pPr>
    </w:p>
    <w:p>
      <w:pPr>
        <w:pStyle w:val="30"/>
        <w:numPr>
          <w:ilvl w:val="0"/>
          <w:numId w:val="15"/>
        </w:numPr>
        <w:tabs>
          <w:tab w:val="left" w:pos="1360"/>
        </w:tabs>
        <w:spacing w:before="0" w:after="0" w:line="240" w:lineRule="auto"/>
        <w:ind w:left="1359" w:right="0" w:hanging="542"/>
        <w:jc w:val="left"/>
        <w:rPr>
          <w:color w:val="auto"/>
          <w:sz w:val="21"/>
          <w:highlight w:val="none"/>
        </w:rPr>
      </w:pPr>
      <w:r>
        <w:rPr>
          <w:color w:val="auto"/>
          <w:spacing w:val="-3"/>
          <w:sz w:val="21"/>
          <w:highlight w:val="none"/>
        </w:rPr>
        <w:t>设计人将勘察设计任务转包，或者未经发包人同意私自分包的；</w:t>
      </w:r>
    </w:p>
    <w:p>
      <w:pPr>
        <w:pStyle w:val="30"/>
        <w:numPr>
          <w:ilvl w:val="0"/>
          <w:numId w:val="15"/>
        </w:numPr>
        <w:tabs>
          <w:tab w:val="left" w:pos="1360"/>
        </w:tabs>
        <w:spacing w:before="149" w:after="0" w:line="393" w:lineRule="auto"/>
        <w:ind w:left="398" w:right="304" w:firstLine="419"/>
        <w:jc w:val="left"/>
        <w:rPr>
          <w:color w:val="auto"/>
          <w:sz w:val="21"/>
          <w:highlight w:val="none"/>
        </w:rPr>
      </w:pPr>
      <w:r>
        <w:rPr>
          <w:color w:val="auto"/>
          <w:spacing w:val="-6"/>
          <w:sz w:val="21"/>
          <w:highlight w:val="none"/>
        </w:rPr>
        <w:t>设计人未按照国家本合同规定的强制性技术标准、规范和规程进行勘察设计，或未根据勘察</w:t>
      </w:r>
      <w:r>
        <w:rPr>
          <w:color w:val="auto"/>
          <w:spacing w:val="-9"/>
          <w:sz w:val="21"/>
          <w:highlight w:val="none"/>
        </w:rPr>
        <w:t>成果资料进行工程设计，或设计人在设计文件中指定或变相指定工程建设材料或设备生产厂、供应商；</w:t>
      </w:r>
    </w:p>
    <w:p>
      <w:pPr>
        <w:pStyle w:val="30"/>
        <w:numPr>
          <w:ilvl w:val="0"/>
          <w:numId w:val="15"/>
        </w:numPr>
        <w:tabs>
          <w:tab w:val="left" w:pos="1360"/>
        </w:tabs>
        <w:spacing w:before="0" w:after="0" w:line="267" w:lineRule="exact"/>
        <w:ind w:left="1359" w:right="0" w:hanging="542"/>
        <w:jc w:val="left"/>
        <w:rPr>
          <w:color w:val="auto"/>
          <w:sz w:val="21"/>
          <w:highlight w:val="none"/>
        </w:rPr>
      </w:pPr>
      <w:r>
        <w:rPr>
          <w:color w:val="auto"/>
          <w:spacing w:val="-3"/>
          <w:w w:val="100"/>
          <w:sz w:val="21"/>
          <w:highlight w:val="none"/>
        </w:rPr>
        <w:t>设计人未能按期提交勘察成果、设计文件、专题研究报告</w:t>
      </w:r>
      <w:r>
        <w:rPr>
          <w:color w:val="auto"/>
          <w:w w:val="100"/>
          <w:sz w:val="21"/>
          <w:highlight w:val="none"/>
        </w:rPr>
        <w:t>（</w:t>
      </w:r>
      <w:r>
        <w:rPr>
          <w:color w:val="auto"/>
          <w:spacing w:val="-3"/>
          <w:w w:val="100"/>
          <w:sz w:val="21"/>
          <w:highlight w:val="none"/>
        </w:rPr>
        <w:t>发包人同意延长期限的除外</w:t>
      </w:r>
      <w:r>
        <w:rPr>
          <w:color w:val="auto"/>
          <w:spacing w:val="-106"/>
          <w:w w:val="100"/>
          <w:sz w:val="21"/>
          <w:highlight w:val="none"/>
        </w:rPr>
        <w:t>）</w:t>
      </w:r>
      <w:r>
        <w:rPr>
          <w:color w:val="auto"/>
          <w:w w:val="100"/>
          <w:sz w:val="21"/>
          <w:highlight w:val="none"/>
        </w:rPr>
        <w:t>；</w:t>
      </w:r>
    </w:p>
    <w:p>
      <w:pPr>
        <w:pStyle w:val="30"/>
        <w:numPr>
          <w:ilvl w:val="0"/>
          <w:numId w:val="15"/>
        </w:numPr>
        <w:tabs>
          <w:tab w:val="left" w:pos="1358"/>
        </w:tabs>
        <w:spacing w:before="170" w:after="0" w:line="393" w:lineRule="auto"/>
        <w:ind w:left="398" w:right="405" w:firstLine="420"/>
        <w:jc w:val="left"/>
        <w:rPr>
          <w:color w:val="auto"/>
          <w:sz w:val="21"/>
          <w:highlight w:val="none"/>
        </w:rPr>
      </w:pPr>
      <w:r>
        <w:rPr>
          <w:color w:val="auto"/>
          <w:spacing w:val="-5"/>
          <w:sz w:val="21"/>
          <w:highlight w:val="none"/>
        </w:rPr>
        <w:t xml:space="preserve">在收到发包人或咨询单位或上级主管部门提出的审查意见后，设计人未在专用合同条款规 </w:t>
      </w:r>
      <w:r>
        <w:rPr>
          <w:color w:val="auto"/>
          <w:spacing w:val="-4"/>
          <w:sz w:val="21"/>
          <w:highlight w:val="none"/>
        </w:rPr>
        <w:t>定的期限内完成对勘察成果、设计文件、专题研究报告的修改；</w:t>
      </w:r>
    </w:p>
    <w:p>
      <w:pPr>
        <w:pStyle w:val="30"/>
        <w:numPr>
          <w:ilvl w:val="0"/>
          <w:numId w:val="15"/>
        </w:numPr>
        <w:tabs>
          <w:tab w:val="left" w:pos="1255"/>
        </w:tabs>
        <w:spacing w:before="0" w:after="0" w:line="391" w:lineRule="auto"/>
        <w:ind w:left="398" w:right="409" w:firstLine="314"/>
        <w:jc w:val="left"/>
        <w:rPr>
          <w:color w:val="auto"/>
          <w:sz w:val="21"/>
          <w:highlight w:val="none"/>
        </w:rPr>
      </w:pPr>
      <w:r>
        <w:rPr>
          <w:color w:val="auto"/>
          <w:spacing w:val="-3"/>
          <w:sz w:val="21"/>
          <w:highlight w:val="none"/>
        </w:rPr>
        <w:t>因勘察设计深度不够、资料不足、方案缺陷以及勘察设计质量低劣而被要求返工从而造成质量问题；</w:t>
      </w:r>
    </w:p>
    <w:p>
      <w:pPr>
        <w:pStyle w:val="30"/>
        <w:numPr>
          <w:ilvl w:val="0"/>
          <w:numId w:val="15"/>
        </w:numPr>
        <w:tabs>
          <w:tab w:val="left" w:pos="1360"/>
        </w:tabs>
        <w:spacing w:before="2" w:after="0" w:line="240" w:lineRule="auto"/>
        <w:ind w:left="1359" w:right="0" w:hanging="542"/>
        <w:jc w:val="left"/>
        <w:rPr>
          <w:color w:val="auto"/>
          <w:sz w:val="21"/>
          <w:highlight w:val="none"/>
        </w:rPr>
      </w:pPr>
      <w:r>
        <w:rPr>
          <w:color w:val="auto"/>
          <w:spacing w:val="-3"/>
          <w:sz w:val="21"/>
          <w:highlight w:val="none"/>
        </w:rPr>
        <w:t>设计人未按照本合同第</w:t>
      </w:r>
      <w:r>
        <w:rPr>
          <w:rFonts w:ascii="Arial" w:eastAsia="Arial"/>
          <w:color w:val="auto"/>
          <w:sz w:val="21"/>
          <w:highlight w:val="none"/>
        </w:rPr>
        <w:t>3.4.1</w:t>
      </w:r>
      <w:r>
        <w:rPr>
          <w:color w:val="auto"/>
          <w:spacing w:val="-3"/>
          <w:sz w:val="21"/>
          <w:highlight w:val="none"/>
        </w:rPr>
        <w:t>项规定提供配合招标的后续服务；</w:t>
      </w:r>
    </w:p>
    <w:p>
      <w:pPr>
        <w:pStyle w:val="30"/>
        <w:numPr>
          <w:ilvl w:val="0"/>
          <w:numId w:val="15"/>
        </w:numPr>
        <w:tabs>
          <w:tab w:val="left" w:pos="1358"/>
        </w:tabs>
        <w:spacing w:before="170" w:after="0" w:line="391" w:lineRule="auto"/>
        <w:ind w:left="398" w:right="405" w:firstLine="420"/>
        <w:jc w:val="left"/>
        <w:rPr>
          <w:color w:val="auto"/>
          <w:sz w:val="21"/>
          <w:highlight w:val="none"/>
        </w:rPr>
      </w:pPr>
      <w:r>
        <w:rPr>
          <w:color w:val="auto"/>
          <w:spacing w:val="-5"/>
          <w:sz w:val="21"/>
          <w:highlight w:val="none"/>
        </w:rPr>
        <w:t xml:space="preserve">设计人若未及时选派合格的设计代表进驻施工现场，或未能在发包人与设计人约定的时间 </w:t>
      </w:r>
      <w:r>
        <w:rPr>
          <w:color w:val="auto"/>
          <w:spacing w:val="-4"/>
          <w:sz w:val="21"/>
          <w:highlight w:val="none"/>
        </w:rPr>
        <w:t>内给予答复、完成变更设计；</w:t>
      </w:r>
    </w:p>
    <w:p>
      <w:pPr>
        <w:pStyle w:val="30"/>
        <w:numPr>
          <w:ilvl w:val="0"/>
          <w:numId w:val="15"/>
        </w:numPr>
        <w:tabs>
          <w:tab w:val="left" w:pos="1360"/>
        </w:tabs>
        <w:spacing w:before="4" w:after="0" w:line="240" w:lineRule="auto"/>
        <w:ind w:left="1359" w:right="0" w:hanging="542"/>
        <w:jc w:val="left"/>
        <w:rPr>
          <w:color w:val="auto"/>
          <w:sz w:val="21"/>
          <w:highlight w:val="none"/>
        </w:rPr>
      </w:pPr>
      <w:r>
        <w:rPr>
          <w:color w:val="auto"/>
          <w:spacing w:val="-3"/>
          <w:sz w:val="21"/>
          <w:highlight w:val="none"/>
        </w:rPr>
        <w:t>因勘察设计错误而造成一般质量事故；</w:t>
      </w:r>
    </w:p>
    <w:p>
      <w:pPr>
        <w:pStyle w:val="30"/>
        <w:numPr>
          <w:ilvl w:val="0"/>
          <w:numId w:val="15"/>
        </w:numPr>
        <w:tabs>
          <w:tab w:val="left" w:pos="1360"/>
        </w:tabs>
        <w:spacing w:before="170" w:after="0" w:line="240" w:lineRule="auto"/>
        <w:ind w:left="1359" w:right="0" w:hanging="542"/>
        <w:jc w:val="left"/>
        <w:rPr>
          <w:color w:val="auto"/>
          <w:sz w:val="21"/>
          <w:highlight w:val="none"/>
        </w:rPr>
      </w:pPr>
      <w:r>
        <w:rPr>
          <w:color w:val="auto"/>
          <w:spacing w:val="-3"/>
          <w:sz w:val="21"/>
          <w:highlight w:val="none"/>
        </w:rPr>
        <w:t>因勘察设计错误而造成重大质量事故；</w:t>
      </w:r>
    </w:p>
    <w:p>
      <w:pPr>
        <w:pStyle w:val="30"/>
        <w:numPr>
          <w:ilvl w:val="0"/>
          <w:numId w:val="15"/>
        </w:numPr>
        <w:tabs>
          <w:tab w:val="left" w:pos="1475"/>
        </w:tabs>
        <w:spacing w:before="170" w:after="0" w:line="240" w:lineRule="auto"/>
        <w:ind w:left="1474" w:right="0" w:hanging="657"/>
        <w:jc w:val="left"/>
        <w:rPr>
          <w:color w:val="auto"/>
          <w:sz w:val="21"/>
          <w:highlight w:val="none"/>
        </w:rPr>
      </w:pPr>
      <w:r>
        <w:rPr>
          <w:color w:val="auto"/>
          <w:spacing w:val="-3"/>
          <w:sz w:val="21"/>
          <w:highlight w:val="none"/>
        </w:rPr>
        <w:t>因勘察设计深度不够、资料不足、方案缺陷或质量低劣导致未通过上级主管部门的审查；</w:t>
      </w:r>
    </w:p>
    <w:p>
      <w:pPr>
        <w:spacing w:after="0" w:line="240" w:lineRule="auto"/>
        <w:jc w:val="left"/>
        <w:rPr>
          <w:color w:val="auto"/>
          <w:sz w:val="21"/>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pStyle w:val="30"/>
        <w:numPr>
          <w:ilvl w:val="0"/>
          <w:numId w:val="15"/>
        </w:numPr>
        <w:tabs>
          <w:tab w:val="left" w:pos="1463"/>
        </w:tabs>
        <w:spacing w:before="56" w:after="0" w:line="391" w:lineRule="auto"/>
        <w:ind w:left="398" w:right="410" w:firstLine="420"/>
        <w:jc w:val="left"/>
        <w:rPr>
          <w:color w:val="auto"/>
          <w:sz w:val="21"/>
          <w:highlight w:val="none"/>
        </w:rPr>
      </w:pPr>
      <w:r>
        <w:rPr>
          <w:color w:val="auto"/>
          <w:spacing w:val="-4"/>
          <w:sz w:val="21"/>
          <w:highlight w:val="none"/>
        </w:rPr>
        <w:t>由于设计人的过失或责任引起本项目发生重大设计变更或较大设计变更，导致施工工期拖</w:t>
      </w:r>
      <w:r>
        <w:rPr>
          <w:color w:val="auto"/>
          <w:spacing w:val="-3"/>
          <w:sz w:val="21"/>
          <w:highlight w:val="none"/>
        </w:rPr>
        <w:t>延或者给发包人造成经济损失；</w:t>
      </w:r>
    </w:p>
    <w:p>
      <w:pPr>
        <w:pStyle w:val="2"/>
        <w:spacing w:before="23"/>
        <w:ind w:left="818"/>
        <w:rPr>
          <w:color w:val="auto"/>
          <w:highlight w:val="none"/>
        </w:rPr>
      </w:pPr>
      <w:r>
        <w:rPr>
          <w:color w:val="auto"/>
          <w:highlight w:val="none"/>
        </w:rPr>
        <w:t>重大设计变更及较大设计变更的划分标准参照《公路工程设计变更管理办法》的规定执行。</w:t>
      </w:r>
    </w:p>
    <w:p>
      <w:pPr>
        <w:pStyle w:val="30"/>
        <w:numPr>
          <w:ilvl w:val="0"/>
          <w:numId w:val="15"/>
        </w:numPr>
        <w:tabs>
          <w:tab w:val="left" w:pos="1478"/>
        </w:tabs>
        <w:spacing w:before="173" w:after="0" w:line="391" w:lineRule="auto"/>
        <w:ind w:left="398" w:right="409" w:firstLine="420"/>
        <w:jc w:val="left"/>
        <w:rPr>
          <w:color w:val="auto"/>
          <w:sz w:val="21"/>
          <w:highlight w:val="none"/>
        </w:rPr>
      </w:pPr>
      <w:r>
        <w:rPr>
          <w:color w:val="auto"/>
          <w:spacing w:val="-3"/>
          <w:sz w:val="21"/>
          <w:highlight w:val="none"/>
        </w:rPr>
        <w:t>设计人在投标文件中承诺投入本项目的主要勘察设计人员发生变化（包括项目负责人、分</w:t>
      </w:r>
      <w:r>
        <w:rPr>
          <w:color w:val="auto"/>
          <w:spacing w:val="-3"/>
          <w:w w:val="100"/>
          <w:sz w:val="21"/>
          <w:highlight w:val="none"/>
        </w:rPr>
        <w:t>项负责人和其他主要设计人员的变化，但因不可抗力引起的人员变动除外</w:t>
      </w:r>
      <w:r>
        <w:rPr>
          <w:color w:val="auto"/>
          <w:spacing w:val="-108"/>
          <w:w w:val="100"/>
          <w:sz w:val="21"/>
          <w:highlight w:val="none"/>
        </w:rPr>
        <w:t>）</w:t>
      </w:r>
      <w:r>
        <w:rPr>
          <w:color w:val="auto"/>
          <w:w w:val="100"/>
          <w:sz w:val="21"/>
          <w:highlight w:val="none"/>
        </w:rPr>
        <w:t>；</w:t>
      </w:r>
    </w:p>
    <w:p>
      <w:pPr>
        <w:pStyle w:val="30"/>
        <w:numPr>
          <w:ilvl w:val="0"/>
          <w:numId w:val="15"/>
        </w:numPr>
        <w:tabs>
          <w:tab w:val="left" w:pos="1475"/>
        </w:tabs>
        <w:spacing w:before="1" w:after="0" w:line="240" w:lineRule="auto"/>
        <w:ind w:left="1474" w:right="0" w:hanging="657"/>
        <w:jc w:val="left"/>
        <w:rPr>
          <w:color w:val="auto"/>
          <w:sz w:val="21"/>
          <w:highlight w:val="none"/>
        </w:rPr>
      </w:pPr>
      <w:r>
        <w:rPr>
          <w:color w:val="auto"/>
          <w:spacing w:val="-3"/>
          <w:sz w:val="21"/>
          <w:highlight w:val="none"/>
        </w:rPr>
        <w:t>专用合同条款中约定的设计人其他违约情况。</w:t>
      </w:r>
    </w:p>
    <w:p>
      <w:pPr>
        <w:pStyle w:val="2"/>
        <w:spacing w:before="173" w:line="391" w:lineRule="auto"/>
        <w:ind w:left="397" w:right="410" w:firstLine="420"/>
        <w:jc w:val="both"/>
        <w:rPr>
          <w:color w:val="auto"/>
          <w:highlight w:val="none"/>
        </w:rPr>
      </w:pPr>
      <w:r>
        <w:rPr>
          <w:color w:val="auto"/>
          <w:spacing w:val="-3"/>
          <w:highlight w:val="none"/>
        </w:rPr>
        <w:t>设计人发生本款约定的违约情况时，无论发包人是否解除合同，发包人均有权向设计人课以专用</w:t>
      </w:r>
      <w:r>
        <w:rPr>
          <w:color w:val="auto"/>
          <w:spacing w:val="-4"/>
          <w:highlight w:val="none"/>
        </w:rPr>
        <w:t>合同条款中规定的违约金，并由发包人将其违约行为上报省级交通运输主管部门，作为不良记录纳入</w:t>
      </w:r>
      <w:r>
        <w:rPr>
          <w:color w:val="auto"/>
          <w:spacing w:val="-3"/>
          <w:highlight w:val="none"/>
        </w:rPr>
        <w:t>公路建设市场信用信息管理系统。</w:t>
      </w:r>
    </w:p>
    <w:p>
      <w:pPr>
        <w:numPr>
          <w:ilvl w:val="1"/>
          <w:numId w:val="12"/>
        </w:numPr>
        <w:tabs>
          <w:tab w:val="left" w:pos="795"/>
        </w:tabs>
        <w:spacing w:before="4"/>
        <w:ind w:left="794" w:right="0" w:hanging="398"/>
        <w:jc w:val="both"/>
        <w:rPr>
          <w:b/>
          <w:color w:val="auto"/>
          <w:sz w:val="21"/>
          <w:highlight w:val="none"/>
        </w:rPr>
      </w:pPr>
      <w:r>
        <w:rPr>
          <w:b/>
          <w:color w:val="auto"/>
          <w:sz w:val="21"/>
          <w:highlight w:val="none"/>
        </w:rPr>
        <w:t>责任的期限</w:t>
      </w:r>
    </w:p>
    <w:p>
      <w:pPr>
        <w:pStyle w:val="2"/>
        <w:spacing w:before="170" w:line="391" w:lineRule="auto"/>
        <w:ind w:left="398" w:right="412" w:firstLine="420"/>
        <w:rPr>
          <w:color w:val="auto"/>
          <w:highlight w:val="none"/>
        </w:rPr>
      </w:pPr>
      <w:r>
        <w:rPr>
          <w:color w:val="auto"/>
          <w:spacing w:val="-4"/>
          <w:highlight w:val="none"/>
        </w:rPr>
        <w:t>设计人与发包人双方的责任与义务期限为合同协议书中规定的时间范围。但设计人对本合同工程</w:t>
      </w:r>
      <w:r>
        <w:rPr>
          <w:color w:val="auto"/>
          <w:spacing w:val="-3"/>
          <w:highlight w:val="none"/>
        </w:rPr>
        <w:t>设计质量的责任则是设计使用年限内的终身责任。</w:t>
      </w:r>
    </w:p>
    <w:p>
      <w:pPr>
        <w:pStyle w:val="8"/>
        <w:numPr>
          <w:ilvl w:val="0"/>
          <w:numId w:val="12"/>
        </w:numPr>
        <w:tabs>
          <w:tab w:val="left" w:pos="666"/>
        </w:tabs>
        <w:spacing w:before="155" w:after="0" w:line="240" w:lineRule="auto"/>
        <w:ind w:left="665" w:right="0" w:hanging="268"/>
        <w:jc w:val="left"/>
        <w:outlineLvl w:val="2"/>
        <w:rPr>
          <w:color w:val="auto"/>
          <w:highlight w:val="none"/>
        </w:rPr>
      </w:pPr>
      <w:bookmarkStart w:id="171" w:name="_bookmark35"/>
      <w:bookmarkEnd w:id="171"/>
      <w:bookmarkStart w:id="172" w:name="6.合同的生效、推迟与终止"/>
      <w:bookmarkEnd w:id="172"/>
      <w:bookmarkStart w:id="173" w:name="_Toc14788"/>
      <w:r>
        <w:rPr>
          <w:color w:val="auto"/>
          <w:highlight w:val="none"/>
        </w:rPr>
        <w:t>合同的生效、推迟与终止</w:t>
      </w:r>
      <w:bookmarkEnd w:id="173"/>
    </w:p>
    <w:p>
      <w:pPr>
        <w:pStyle w:val="2"/>
        <w:spacing w:before="1"/>
        <w:rPr>
          <w:b/>
          <w:color w:val="auto"/>
          <w:sz w:val="31"/>
          <w:highlight w:val="none"/>
        </w:rPr>
      </w:pPr>
    </w:p>
    <w:p>
      <w:pPr>
        <w:numPr>
          <w:ilvl w:val="1"/>
          <w:numId w:val="12"/>
        </w:numPr>
        <w:tabs>
          <w:tab w:val="left" w:pos="795"/>
        </w:tabs>
        <w:spacing w:before="0"/>
        <w:ind w:left="794" w:right="0" w:hanging="397"/>
        <w:jc w:val="left"/>
        <w:rPr>
          <w:b/>
          <w:color w:val="auto"/>
          <w:sz w:val="21"/>
          <w:highlight w:val="none"/>
        </w:rPr>
      </w:pPr>
      <w:r>
        <w:rPr>
          <w:b/>
          <w:color w:val="auto"/>
          <w:sz w:val="21"/>
          <w:highlight w:val="none"/>
        </w:rPr>
        <w:t>合同的生效</w:t>
      </w:r>
    </w:p>
    <w:p>
      <w:pPr>
        <w:pStyle w:val="2"/>
        <w:spacing w:before="170" w:line="391" w:lineRule="auto"/>
        <w:ind w:left="398" w:right="412" w:firstLine="420"/>
        <w:rPr>
          <w:color w:val="auto"/>
          <w:highlight w:val="none"/>
        </w:rPr>
      </w:pPr>
      <w:r>
        <w:rPr>
          <w:color w:val="auto"/>
          <w:spacing w:val="-4"/>
          <w:highlight w:val="none"/>
        </w:rPr>
        <w:t>合同文件自双方在合同协议书上签字并加盖单位章后生效。设计人工作的开始和完成时间按照合</w:t>
      </w:r>
      <w:r>
        <w:rPr>
          <w:color w:val="auto"/>
          <w:spacing w:val="-3"/>
          <w:highlight w:val="none"/>
        </w:rPr>
        <w:t>同文件的规定执行。</w:t>
      </w:r>
    </w:p>
    <w:p>
      <w:pPr>
        <w:numPr>
          <w:ilvl w:val="1"/>
          <w:numId w:val="12"/>
        </w:numPr>
        <w:tabs>
          <w:tab w:val="left" w:pos="795"/>
        </w:tabs>
        <w:spacing w:before="4"/>
        <w:ind w:left="794" w:right="0" w:hanging="397"/>
        <w:jc w:val="left"/>
        <w:rPr>
          <w:b/>
          <w:color w:val="auto"/>
          <w:sz w:val="21"/>
          <w:highlight w:val="none"/>
        </w:rPr>
      </w:pPr>
      <w:r>
        <w:rPr>
          <w:b/>
          <w:color w:val="auto"/>
          <w:sz w:val="21"/>
          <w:highlight w:val="none"/>
        </w:rPr>
        <w:t>合同文件的优先次序</w:t>
      </w:r>
    </w:p>
    <w:p>
      <w:pPr>
        <w:pStyle w:val="2"/>
        <w:spacing w:before="148" w:line="391" w:lineRule="auto"/>
        <w:ind w:left="398" w:right="412" w:firstLine="417"/>
        <w:rPr>
          <w:color w:val="auto"/>
          <w:highlight w:val="none"/>
        </w:rPr>
      </w:pPr>
      <w:r>
        <w:rPr>
          <w:color w:val="auto"/>
          <w:spacing w:val="-4"/>
          <w:highlight w:val="none"/>
        </w:rPr>
        <w:t>组成合同的各个文件应该认为是一个整体，互为补充和解释，如有含义不清或互相矛盾处，以所</w:t>
      </w:r>
      <w:r>
        <w:rPr>
          <w:color w:val="auto"/>
          <w:spacing w:val="-3"/>
          <w:highlight w:val="none"/>
        </w:rPr>
        <w:t>列顺序在前者为准：</w:t>
      </w:r>
    </w:p>
    <w:p>
      <w:pPr>
        <w:pStyle w:val="30"/>
        <w:numPr>
          <w:ilvl w:val="0"/>
          <w:numId w:val="16"/>
        </w:numPr>
        <w:tabs>
          <w:tab w:val="left" w:pos="1151"/>
        </w:tabs>
        <w:spacing w:before="4" w:after="0" w:line="391" w:lineRule="auto"/>
        <w:ind w:left="398" w:right="407" w:firstLine="211"/>
        <w:jc w:val="left"/>
        <w:rPr>
          <w:color w:val="auto"/>
          <w:sz w:val="21"/>
          <w:highlight w:val="none"/>
        </w:rPr>
      </w:pPr>
      <w:r>
        <w:rPr>
          <w:color w:val="auto"/>
          <w:spacing w:val="-6"/>
          <w:sz w:val="21"/>
          <w:highlight w:val="none"/>
        </w:rPr>
        <w:t>合同协议书及各种合同附件</w:t>
      </w:r>
      <w:r>
        <w:rPr>
          <w:color w:val="auto"/>
          <w:sz w:val="21"/>
          <w:highlight w:val="none"/>
        </w:rPr>
        <w:t>（</w:t>
      </w:r>
      <w:r>
        <w:rPr>
          <w:color w:val="auto"/>
          <w:spacing w:val="-5"/>
          <w:sz w:val="21"/>
          <w:highlight w:val="none"/>
        </w:rPr>
        <w:t>含评标期间和合同谈判过程中的澄清文件和补充资料；设计人</w:t>
      </w:r>
      <w:r>
        <w:rPr>
          <w:color w:val="auto"/>
          <w:w w:val="100"/>
          <w:sz w:val="21"/>
          <w:highlight w:val="none"/>
        </w:rPr>
        <w:t>提</w:t>
      </w:r>
      <w:r>
        <w:rPr>
          <w:color w:val="auto"/>
          <w:spacing w:val="-3"/>
          <w:w w:val="100"/>
          <w:sz w:val="21"/>
          <w:highlight w:val="none"/>
        </w:rPr>
        <w:t>交的经发包人审核通过的勘察设计详细工作大纲及进度计划、专题研究详细工作大纲等</w:t>
      </w:r>
      <w:r>
        <w:rPr>
          <w:color w:val="auto"/>
          <w:spacing w:val="-106"/>
          <w:w w:val="100"/>
          <w:sz w:val="21"/>
          <w:highlight w:val="none"/>
        </w:rPr>
        <w:t>）</w:t>
      </w:r>
      <w:r>
        <w:rPr>
          <w:color w:val="auto"/>
          <w:w w:val="100"/>
          <w:sz w:val="21"/>
          <w:highlight w:val="none"/>
        </w:rPr>
        <w:t>；</w:t>
      </w:r>
    </w:p>
    <w:p>
      <w:pPr>
        <w:pStyle w:val="30"/>
        <w:numPr>
          <w:ilvl w:val="0"/>
          <w:numId w:val="16"/>
        </w:numPr>
        <w:tabs>
          <w:tab w:val="left" w:pos="1151"/>
        </w:tabs>
        <w:spacing w:before="2" w:after="0" w:line="240" w:lineRule="auto"/>
        <w:ind w:left="1150" w:right="0" w:hanging="542"/>
        <w:jc w:val="left"/>
        <w:rPr>
          <w:color w:val="auto"/>
          <w:sz w:val="21"/>
          <w:highlight w:val="none"/>
        </w:rPr>
      </w:pPr>
      <w:r>
        <w:rPr>
          <w:color w:val="auto"/>
          <w:spacing w:val="-3"/>
          <w:sz w:val="21"/>
          <w:highlight w:val="none"/>
        </w:rPr>
        <w:t>中标通知书；</w:t>
      </w:r>
    </w:p>
    <w:p>
      <w:pPr>
        <w:pStyle w:val="30"/>
        <w:numPr>
          <w:ilvl w:val="0"/>
          <w:numId w:val="16"/>
        </w:numPr>
        <w:tabs>
          <w:tab w:val="left" w:pos="1151"/>
        </w:tabs>
        <w:spacing w:before="172" w:after="0" w:line="240" w:lineRule="auto"/>
        <w:ind w:left="1150" w:right="0" w:hanging="542"/>
        <w:jc w:val="left"/>
        <w:rPr>
          <w:color w:val="auto"/>
          <w:sz w:val="21"/>
          <w:highlight w:val="none"/>
        </w:rPr>
      </w:pPr>
      <w:r>
        <w:rPr>
          <w:color w:val="auto"/>
          <w:spacing w:val="-2"/>
          <w:sz w:val="21"/>
          <w:highlight w:val="none"/>
        </w:rPr>
        <w:t>投标函；</w:t>
      </w:r>
    </w:p>
    <w:p>
      <w:pPr>
        <w:pStyle w:val="30"/>
        <w:numPr>
          <w:ilvl w:val="0"/>
          <w:numId w:val="16"/>
        </w:numPr>
        <w:tabs>
          <w:tab w:val="left" w:pos="1151"/>
        </w:tabs>
        <w:spacing w:before="170" w:after="0" w:line="240" w:lineRule="auto"/>
        <w:ind w:left="1150" w:right="0" w:hanging="542"/>
        <w:jc w:val="left"/>
        <w:rPr>
          <w:color w:val="auto"/>
          <w:sz w:val="21"/>
          <w:highlight w:val="none"/>
        </w:rPr>
      </w:pPr>
      <w:r>
        <w:rPr>
          <w:color w:val="auto"/>
          <w:spacing w:val="-3"/>
          <w:sz w:val="21"/>
          <w:highlight w:val="none"/>
        </w:rPr>
        <w:t>专用合同条款；</w:t>
      </w:r>
    </w:p>
    <w:p>
      <w:pPr>
        <w:pStyle w:val="30"/>
        <w:numPr>
          <w:ilvl w:val="0"/>
          <w:numId w:val="16"/>
        </w:numPr>
        <w:tabs>
          <w:tab w:val="left" w:pos="1151"/>
        </w:tabs>
        <w:spacing w:before="171" w:after="0" w:line="240" w:lineRule="auto"/>
        <w:ind w:left="1150" w:right="0" w:hanging="542"/>
        <w:jc w:val="left"/>
        <w:rPr>
          <w:color w:val="auto"/>
          <w:sz w:val="21"/>
          <w:highlight w:val="none"/>
        </w:rPr>
      </w:pPr>
      <w:r>
        <w:rPr>
          <w:color w:val="auto"/>
          <w:spacing w:val="-3"/>
          <w:sz w:val="21"/>
          <w:highlight w:val="none"/>
        </w:rPr>
        <w:t>通用合同条款；</w:t>
      </w:r>
    </w:p>
    <w:p>
      <w:pPr>
        <w:pStyle w:val="30"/>
        <w:numPr>
          <w:ilvl w:val="0"/>
          <w:numId w:val="16"/>
        </w:numPr>
        <w:tabs>
          <w:tab w:val="left" w:pos="1151"/>
        </w:tabs>
        <w:spacing w:before="172" w:after="0" w:line="240" w:lineRule="auto"/>
        <w:ind w:left="1150" w:right="0" w:hanging="542"/>
        <w:jc w:val="left"/>
        <w:rPr>
          <w:color w:val="auto"/>
          <w:sz w:val="21"/>
          <w:highlight w:val="none"/>
        </w:rPr>
      </w:pPr>
      <w:r>
        <w:rPr>
          <w:color w:val="auto"/>
          <w:spacing w:val="-3"/>
          <w:sz w:val="21"/>
          <w:highlight w:val="none"/>
        </w:rPr>
        <w:t>勘察设计技术要求；</w:t>
      </w:r>
    </w:p>
    <w:p>
      <w:pPr>
        <w:pStyle w:val="30"/>
        <w:numPr>
          <w:ilvl w:val="0"/>
          <w:numId w:val="16"/>
        </w:numPr>
        <w:tabs>
          <w:tab w:val="left" w:pos="1151"/>
        </w:tabs>
        <w:spacing w:before="170" w:after="0" w:line="240" w:lineRule="auto"/>
        <w:ind w:left="1150" w:right="0" w:hanging="542"/>
        <w:jc w:val="left"/>
        <w:rPr>
          <w:color w:val="auto"/>
          <w:sz w:val="21"/>
          <w:highlight w:val="none"/>
        </w:rPr>
      </w:pPr>
      <w:r>
        <w:rPr>
          <w:color w:val="auto"/>
          <w:spacing w:val="-3"/>
          <w:w w:val="100"/>
          <w:sz w:val="21"/>
          <w:highlight w:val="none"/>
        </w:rPr>
        <w:t>报价文件</w:t>
      </w:r>
      <w:r>
        <w:rPr>
          <w:color w:val="auto"/>
          <w:w w:val="100"/>
          <w:sz w:val="21"/>
          <w:highlight w:val="none"/>
        </w:rPr>
        <w:t>（</w:t>
      </w:r>
      <w:r>
        <w:rPr>
          <w:color w:val="auto"/>
          <w:spacing w:val="-2"/>
          <w:w w:val="100"/>
          <w:sz w:val="21"/>
          <w:highlight w:val="none"/>
        </w:rPr>
        <w:t>如有</w:t>
      </w:r>
      <w:r>
        <w:rPr>
          <w:color w:val="auto"/>
          <w:spacing w:val="-108"/>
          <w:w w:val="100"/>
          <w:sz w:val="21"/>
          <w:highlight w:val="none"/>
        </w:rPr>
        <w:t>）</w:t>
      </w:r>
      <w:r>
        <w:rPr>
          <w:color w:val="auto"/>
          <w:w w:val="100"/>
          <w:sz w:val="21"/>
          <w:highlight w:val="none"/>
        </w:rPr>
        <w:t>；</w:t>
      </w:r>
    </w:p>
    <w:p>
      <w:pPr>
        <w:pStyle w:val="30"/>
        <w:numPr>
          <w:ilvl w:val="0"/>
          <w:numId w:val="16"/>
        </w:numPr>
        <w:tabs>
          <w:tab w:val="left" w:pos="1151"/>
        </w:tabs>
        <w:spacing w:before="171" w:after="0" w:line="240" w:lineRule="auto"/>
        <w:ind w:left="1150" w:right="0" w:hanging="542"/>
        <w:jc w:val="left"/>
        <w:rPr>
          <w:color w:val="auto"/>
          <w:sz w:val="21"/>
          <w:highlight w:val="none"/>
        </w:rPr>
      </w:pPr>
      <w:r>
        <w:rPr>
          <w:color w:val="auto"/>
          <w:spacing w:val="-3"/>
          <w:sz w:val="21"/>
          <w:highlight w:val="none"/>
        </w:rPr>
        <w:t>投标文件中承诺投入的项目主要人员；</w:t>
      </w:r>
    </w:p>
    <w:p>
      <w:pPr>
        <w:pStyle w:val="30"/>
        <w:numPr>
          <w:ilvl w:val="0"/>
          <w:numId w:val="16"/>
        </w:numPr>
        <w:tabs>
          <w:tab w:val="left" w:pos="1151"/>
        </w:tabs>
        <w:spacing w:before="172" w:after="0" w:line="240" w:lineRule="auto"/>
        <w:ind w:left="1150" w:right="0" w:hanging="542"/>
        <w:jc w:val="left"/>
        <w:rPr>
          <w:color w:val="auto"/>
          <w:sz w:val="21"/>
          <w:highlight w:val="none"/>
        </w:rPr>
      </w:pPr>
      <w:r>
        <w:rPr>
          <w:color w:val="auto"/>
          <w:spacing w:val="-3"/>
          <w:w w:val="100"/>
          <w:sz w:val="21"/>
          <w:highlight w:val="none"/>
        </w:rPr>
        <w:t>联合体协议书</w:t>
      </w:r>
      <w:r>
        <w:rPr>
          <w:color w:val="auto"/>
          <w:w w:val="100"/>
          <w:sz w:val="21"/>
          <w:highlight w:val="none"/>
        </w:rPr>
        <w:t>（</w:t>
      </w:r>
      <w:r>
        <w:rPr>
          <w:color w:val="auto"/>
          <w:spacing w:val="-3"/>
          <w:w w:val="100"/>
          <w:sz w:val="21"/>
          <w:highlight w:val="none"/>
        </w:rPr>
        <w:t>如有</w:t>
      </w:r>
      <w:r>
        <w:rPr>
          <w:color w:val="auto"/>
          <w:spacing w:val="-106"/>
          <w:w w:val="100"/>
          <w:sz w:val="21"/>
          <w:highlight w:val="none"/>
        </w:rPr>
        <w:t>）</w:t>
      </w:r>
      <w:r>
        <w:rPr>
          <w:color w:val="auto"/>
          <w:w w:val="100"/>
          <w:sz w:val="21"/>
          <w:highlight w:val="none"/>
        </w:rPr>
        <w:t>；</w:t>
      </w:r>
    </w:p>
    <w:p>
      <w:pPr>
        <w:pStyle w:val="30"/>
        <w:numPr>
          <w:ilvl w:val="0"/>
          <w:numId w:val="16"/>
        </w:numPr>
        <w:tabs>
          <w:tab w:val="left" w:pos="1267"/>
        </w:tabs>
        <w:spacing w:before="171" w:after="0" w:line="240" w:lineRule="auto"/>
        <w:ind w:left="1266" w:right="0" w:hanging="658"/>
        <w:jc w:val="left"/>
        <w:rPr>
          <w:color w:val="auto"/>
          <w:sz w:val="21"/>
          <w:highlight w:val="none"/>
        </w:rPr>
      </w:pPr>
      <w:r>
        <w:rPr>
          <w:color w:val="auto"/>
          <w:spacing w:val="-3"/>
          <w:sz w:val="21"/>
          <w:highlight w:val="none"/>
        </w:rPr>
        <w:t>构成本合同组成部分的其它文件。</w:t>
      </w:r>
    </w:p>
    <w:p>
      <w:pPr>
        <w:numPr>
          <w:ilvl w:val="1"/>
          <w:numId w:val="12"/>
        </w:numPr>
        <w:tabs>
          <w:tab w:val="left" w:pos="795"/>
        </w:tabs>
        <w:spacing w:before="169"/>
        <w:ind w:left="794" w:right="0" w:hanging="397"/>
        <w:jc w:val="left"/>
        <w:rPr>
          <w:b/>
          <w:color w:val="auto"/>
          <w:sz w:val="21"/>
          <w:highlight w:val="none"/>
        </w:rPr>
      </w:pPr>
      <w:r>
        <w:rPr>
          <w:b/>
          <w:color w:val="auto"/>
          <w:sz w:val="21"/>
          <w:highlight w:val="none"/>
        </w:rPr>
        <w:t>延误</w:t>
      </w:r>
    </w:p>
    <w:p>
      <w:pPr>
        <w:spacing w:after="0"/>
        <w:jc w:val="left"/>
        <w:rPr>
          <w:color w:val="auto"/>
          <w:sz w:val="21"/>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pStyle w:val="30"/>
        <w:numPr>
          <w:ilvl w:val="2"/>
          <w:numId w:val="12"/>
        </w:numPr>
        <w:tabs>
          <w:tab w:val="left" w:pos="1395"/>
        </w:tabs>
        <w:spacing w:before="56" w:after="0" w:line="240" w:lineRule="auto"/>
        <w:ind w:left="1394" w:right="0" w:hanging="575"/>
        <w:jc w:val="left"/>
        <w:rPr>
          <w:rFonts w:ascii="Arial" w:eastAsia="Arial"/>
          <w:color w:val="auto"/>
          <w:sz w:val="21"/>
          <w:highlight w:val="none"/>
        </w:rPr>
      </w:pPr>
      <w:r>
        <w:rPr>
          <w:color w:val="auto"/>
          <w:spacing w:val="-3"/>
          <w:sz w:val="21"/>
          <w:highlight w:val="none"/>
        </w:rPr>
        <w:t>由于发包人或不可抗力等因素，导致服务增加和时间延续则：</w:t>
      </w:r>
    </w:p>
    <w:p>
      <w:pPr>
        <w:pStyle w:val="30"/>
        <w:numPr>
          <w:ilvl w:val="0"/>
          <w:numId w:val="17"/>
        </w:numPr>
        <w:tabs>
          <w:tab w:val="left" w:pos="1357"/>
        </w:tabs>
        <w:spacing w:before="170" w:after="0" w:line="391" w:lineRule="auto"/>
        <w:ind w:left="398" w:right="406" w:firstLine="420"/>
        <w:jc w:val="left"/>
        <w:rPr>
          <w:color w:val="auto"/>
          <w:sz w:val="21"/>
          <w:highlight w:val="none"/>
        </w:rPr>
      </w:pPr>
      <w:r>
        <w:rPr>
          <w:color w:val="auto"/>
          <w:spacing w:val="-5"/>
          <w:sz w:val="21"/>
          <w:highlight w:val="none"/>
        </w:rPr>
        <w:t xml:space="preserve">设计人应将此情况与可能产生的影响尽快以书面形式通知发包人，并采取合理措施使损失 </w:t>
      </w:r>
      <w:r>
        <w:rPr>
          <w:color w:val="auto"/>
          <w:spacing w:val="-4"/>
          <w:sz w:val="21"/>
          <w:highlight w:val="none"/>
        </w:rPr>
        <w:t>减至最低。</w:t>
      </w:r>
    </w:p>
    <w:p>
      <w:pPr>
        <w:pStyle w:val="30"/>
        <w:numPr>
          <w:ilvl w:val="0"/>
          <w:numId w:val="17"/>
        </w:numPr>
        <w:tabs>
          <w:tab w:val="left" w:pos="1360"/>
        </w:tabs>
        <w:spacing w:before="4" w:after="0" w:line="240" w:lineRule="auto"/>
        <w:ind w:left="1359" w:right="0" w:hanging="542"/>
        <w:jc w:val="left"/>
        <w:rPr>
          <w:color w:val="auto"/>
          <w:sz w:val="21"/>
          <w:highlight w:val="none"/>
        </w:rPr>
      </w:pPr>
      <w:r>
        <w:rPr>
          <w:color w:val="auto"/>
          <w:spacing w:val="-3"/>
          <w:sz w:val="21"/>
          <w:highlight w:val="none"/>
        </w:rPr>
        <w:t>设计人应保持详细原始记录。</w:t>
      </w:r>
    </w:p>
    <w:p>
      <w:pPr>
        <w:pStyle w:val="2"/>
        <w:spacing w:before="170"/>
        <w:ind w:left="818"/>
        <w:rPr>
          <w:color w:val="auto"/>
          <w:highlight w:val="none"/>
        </w:rPr>
      </w:pPr>
      <w:r>
        <w:rPr>
          <w:color w:val="auto"/>
          <w:highlight w:val="none"/>
        </w:rPr>
        <w:t>发包人在与设计人协商后应相应地延长设计人的工作期限或增付费用。</w:t>
      </w:r>
    </w:p>
    <w:p>
      <w:pPr>
        <w:pStyle w:val="30"/>
        <w:numPr>
          <w:ilvl w:val="2"/>
          <w:numId w:val="12"/>
        </w:numPr>
        <w:tabs>
          <w:tab w:val="left" w:pos="1397"/>
        </w:tabs>
        <w:spacing w:before="170" w:after="0" w:line="393" w:lineRule="auto"/>
        <w:ind w:left="397" w:right="410" w:firstLine="422"/>
        <w:jc w:val="both"/>
        <w:rPr>
          <w:rFonts w:ascii="Arial" w:eastAsia="Arial"/>
          <w:color w:val="auto"/>
          <w:sz w:val="21"/>
          <w:highlight w:val="none"/>
        </w:rPr>
      </w:pPr>
      <w:r>
        <w:rPr>
          <w:color w:val="auto"/>
          <w:sz w:val="21"/>
          <w:highlight w:val="none"/>
        </w:rPr>
        <w:t>由于发包人或不可抗力等因素，设计人无法履行合同的，设计人可以提出终止合同，并于</w:t>
      </w:r>
      <w:r>
        <w:rPr>
          <w:rFonts w:ascii="Arial" w:eastAsia="Arial"/>
          <w:color w:val="auto"/>
          <w:sz w:val="21"/>
          <w:highlight w:val="none"/>
        </w:rPr>
        <w:t>28</w:t>
      </w:r>
      <w:r>
        <w:rPr>
          <w:color w:val="auto"/>
          <w:spacing w:val="-3"/>
          <w:sz w:val="21"/>
          <w:highlight w:val="none"/>
        </w:rPr>
        <w:t>天前以书面形式通知发包人，由此造成的损失，应由发包人根据合同单价和设计人实际完成的工作量予以赔偿。</w:t>
      </w:r>
    </w:p>
    <w:p>
      <w:pPr>
        <w:numPr>
          <w:ilvl w:val="1"/>
          <w:numId w:val="12"/>
        </w:numPr>
        <w:tabs>
          <w:tab w:val="left" w:pos="795"/>
        </w:tabs>
        <w:spacing w:before="0" w:line="265" w:lineRule="exact"/>
        <w:ind w:left="794" w:right="0" w:hanging="398"/>
        <w:jc w:val="both"/>
        <w:rPr>
          <w:b/>
          <w:color w:val="auto"/>
          <w:sz w:val="21"/>
          <w:highlight w:val="none"/>
        </w:rPr>
      </w:pPr>
      <w:r>
        <w:rPr>
          <w:b/>
          <w:color w:val="auto"/>
          <w:sz w:val="21"/>
          <w:highlight w:val="none"/>
        </w:rPr>
        <w:t>推迟与终止</w:t>
      </w:r>
    </w:p>
    <w:p>
      <w:pPr>
        <w:pStyle w:val="30"/>
        <w:numPr>
          <w:ilvl w:val="2"/>
          <w:numId w:val="12"/>
        </w:numPr>
        <w:tabs>
          <w:tab w:val="left" w:pos="1395"/>
        </w:tabs>
        <w:spacing w:before="173" w:after="0" w:line="391" w:lineRule="auto"/>
        <w:ind w:left="398" w:right="409" w:firstLine="422"/>
        <w:jc w:val="both"/>
        <w:rPr>
          <w:rFonts w:ascii="Arial" w:eastAsia="Arial"/>
          <w:color w:val="auto"/>
          <w:sz w:val="21"/>
          <w:highlight w:val="none"/>
        </w:rPr>
      </w:pPr>
      <w:r>
        <w:rPr>
          <w:color w:val="auto"/>
          <w:sz w:val="21"/>
          <w:highlight w:val="none"/>
        </w:rPr>
        <w:t>发包人可以在至少</w:t>
      </w:r>
      <w:r>
        <w:rPr>
          <w:rFonts w:ascii="Arial" w:eastAsia="Arial"/>
          <w:color w:val="auto"/>
          <w:sz w:val="21"/>
          <w:highlight w:val="none"/>
        </w:rPr>
        <w:t>28</w:t>
      </w:r>
      <w:r>
        <w:rPr>
          <w:color w:val="auto"/>
          <w:sz w:val="21"/>
          <w:highlight w:val="none"/>
        </w:rPr>
        <w:t>天以前以书面通知设计人暂停全部或部分设计工作或终止本合同，一</w:t>
      </w:r>
      <w:r>
        <w:rPr>
          <w:color w:val="auto"/>
          <w:spacing w:val="-3"/>
          <w:sz w:val="21"/>
          <w:highlight w:val="none"/>
        </w:rPr>
        <w:t>旦收到此类通知，设计人应立即安排停止计划并将费用减到最小。</w:t>
      </w:r>
    </w:p>
    <w:p>
      <w:pPr>
        <w:pStyle w:val="30"/>
        <w:numPr>
          <w:ilvl w:val="2"/>
          <w:numId w:val="12"/>
        </w:numPr>
        <w:tabs>
          <w:tab w:val="left" w:pos="1397"/>
        </w:tabs>
        <w:spacing w:before="1" w:after="0" w:line="393" w:lineRule="auto"/>
        <w:ind w:left="398" w:right="409" w:firstLine="422"/>
        <w:jc w:val="both"/>
        <w:rPr>
          <w:rFonts w:ascii="Arial" w:eastAsia="Arial"/>
          <w:color w:val="auto"/>
          <w:sz w:val="21"/>
          <w:highlight w:val="none"/>
        </w:rPr>
      </w:pPr>
      <w:r>
        <w:rPr>
          <w:color w:val="auto"/>
          <w:sz w:val="21"/>
          <w:highlight w:val="none"/>
        </w:rPr>
        <w:t>发包人认为设计人无正当理由而未履行本合同规定的责任与义务时，应以书面形式通知设</w:t>
      </w:r>
      <w:r>
        <w:rPr>
          <w:color w:val="auto"/>
          <w:spacing w:val="-3"/>
          <w:sz w:val="21"/>
          <w:highlight w:val="none"/>
        </w:rPr>
        <w:t>计人，并说明理由。若发包人在</w:t>
      </w:r>
      <w:r>
        <w:rPr>
          <w:rFonts w:ascii="Arial" w:eastAsia="Arial"/>
          <w:color w:val="auto"/>
          <w:sz w:val="21"/>
          <w:highlight w:val="none"/>
        </w:rPr>
        <w:t>21</w:t>
      </w:r>
      <w:r>
        <w:rPr>
          <w:color w:val="auto"/>
          <w:spacing w:val="-3"/>
          <w:sz w:val="21"/>
          <w:highlight w:val="none"/>
        </w:rPr>
        <w:t>天内没有收到满意的答复，发包人可以发出进一步的通知终止本合同，但此进一步的通知必须在第一个通知发出</w:t>
      </w:r>
      <w:r>
        <w:rPr>
          <w:rFonts w:ascii="Arial" w:eastAsia="Arial"/>
          <w:color w:val="auto"/>
          <w:sz w:val="21"/>
          <w:highlight w:val="none"/>
        </w:rPr>
        <w:t>28</w:t>
      </w:r>
      <w:r>
        <w:rPr>
          <w:color w:val="auto"/>
          <w:spacing w:val="-3"/>
          <w:sz w:val="21"/>
          <w:highlight w:val="none"/>
        </w:rPr>
        <w:t>天后发出。</w:t>
      </w:r>
    </w:p>
    <w:p>
      <w:pPr>
        <w:numPr>
          <w:ilvl w:val="1"/>
          <w:numId w:val="12"/>
        </w:numPr>
        <w:tabs>
          <w:tab w:val="left" w:pos="795"/>
        </w:tabs>
        <w:spacing w:before="0" w:line="265" w:lineRule="exact"/>
        <w:ind w:left="794" w:right="0" w:hanging="397"/>
        <w:jc w:val="both"/>
        <w:rPr>
          <w:b/>
          <w:color w:val="auto"/>
          <w:sz w:val="21"/>
          <w:highlight w:val="none"/>
        </w:rPr>
      </w:pPr>
      <w:r>
        <w:rPr>
          <w:b/>
          <w:color w:val="auto"/>
          <w:spacing w:val="-1"/>
          <w:sz w:val="21"/>
          <w:highlight w:val="none"/>
        </w:rPr>
        <w:t>合同终止不影响权利和责任</w:t>
      </w:r>
    </w:p>
    <w:p>
      <w:pPr>
        <w:pStyle w:val="2"/>
        <w:spacing w:before="173"/>
        <w:ind w:left="818"/>
        <w:rPr>
          <w:color w:val="auto"/>
          <w:highlight w:val="none"/>
        </w:rPr>
      </w:pPr>
      <w:r>
        <w:rPr>
          <w:color w:val="auto"/>
          <w:highlight w:val="none"/>
        </w:rPr>
        <w:t>不论何种原因，本合同的终止，不应损害和影响各方应有的权利、索赔要求和应负的责任。</w:t>
      </w:r>
    </w:p>
    <w:p>
      <w:pPr>
        <w:pStyle w:val="2"/>
        <w:spacing w:before="10"/>
        <w:rPr>
          <w:color w:val="auto"/>
          <w:sz w:val="26"/>
          <w:highlight w:val="none"/>
        </w:rPr>
      </w:pPr>
    </w:p>
    <w:p>
      <w:pPr>
        <w:pStyle w:val="8"/>
        <w:numPr>
          <w:ilvl w:val="0"/>
          <w:numId w:val="12"/>
        </w:numPr>
        <w:tabs>
          <w:tab w:val="left" w:pos="666"/>
        </w:tabs>
        <w:spacing w:before="0" w:after="0" w:line="240" w:lineRule="auto"/>
        <w:ind w:left="665" w:right="0" w:hanging="268"/>
        <w:jc w:val="left"/>
        <w:outlineLvl w:val="2"/>
        <w:rPr>
          <w:color w:val="auto"/>
          <w:highlight w:val="none"/>
        </w:rPr>
      </w:pPr>
      <w:bookmarkStart w:id="174" w:name="7.费用与支付"/>
      <w:bookmarkEnd w:id="174"/>
      <w:bookmarkStart w:id="175" w:name="_bookmark36"/>
      <w:bookmarkEnd w:id="175"/>
      <w:bookmarkStart w:id="176" w:name="_Toc29625"/>
      <w:r>
        <w:rPr>
          <w:color w:val="auto"/>
          <w:highlight w:val="none"/>
        </w:rPr>
        <w:t>费用与支付</w:t>
      </w:r>
      <w:bookmarkEnd w:id="176"/>
    </w:p>
    <w:p>
      <w:pPr>
        <w:pStyle w:val="2"/>
        <w:spacing w:before="5"/>
        <w:rPr>
          <w:b/>
          <w:color w:val="auto"/>
          <w:sz w:val="29"/>
          <w:highlight w:val="none"/>
        </w:rPr>
      </w:pPr>
    </w:p>
    <w:p>
      <w:pPr>
        <w:numPr>
          <w:ilvl w:val="1"/>
          <w:numId w:val="12"/>
        </w:numPr>
        <w:tabs>
          <w:tab w:val="left" w:pos="795"/>
        </w:tabs>
        <w:spacing w:before="0"/>
        <w:ind w:left="794" w:right="0" w:hanging="397"/>
        <w:jc w:val="both"/>
        <w:rPr>
          <w:b/>
          <w:color w:val="auto"/>
          <w:sz w:val="21"/>
          <w:highlight w:val="none"/>
        </w:rPr>
      </w:pPr>
      <w:r>
        <w:rPr>
          <w:b/>
          <w:color w:val="auto"/>
          <w:sz w:val="21"/>
          <w:highlight w:val="none"/>
        </w:rPr>
        <w:t>勘察设计费用</w:t>
      </w:r>
    </w:p>
    <w:p>
      <w:pPr>
        <w:pStyle w:val="30"/>
        <w:numPr>
          <w:ilvl w:val="2"/>
          <w:numId w:val="12"/>
        </w:numPr>
        <w:tabs>
          <w:tab w:val="left" w:pos="1397"/>
        </w:tabs>
        <w:spacing w:before="171" w:after="0" w:line="393" w:lineRule="auto"/>
        <w:ind w:left="398" w:right="410" w:firstLine="422"/>
        <w:jc w:val="both"/>
        <w:rPr>
          <w:rFonts w:ascii="Arial" w:eastAsia="Arial"/>
          <w:color w:val="auto"/>
          <w:sz w:val="21"/>
          <w:highlight w:val="none"/>
        </w:rPr>
      </w:pPr>
      <w:r>
        <w:rPr>
          <w:color w:val="auto"/>
          <w:sz w:val="21"/>
          <w:highlight w:val="none"/>
        </w:rPr>
        <w:t>发包人应按合同规定按时向设计人支付勘察设计费用，以及设计人额外服务的费用。若设</w:t>
      </w:r>
      <w:r>
        <w:rPr>
          <w:color w:val="auto"/>
          <w:spacing w:val="-4"/>
          <w:sz w:val="21"/>
          <w:highlight w:val="none"/>
        </w:rPr>
        <w:t>计人为联合体，则发包人应根据勘察设计工作进展分批向联合体牵头人支付勘察设计费用，由联合体</w:t>
      </w:r>
      <w:r>
        <w:rPr>
          <w:color w:val="auto"/>
          <w:spacing w:val="-2"/>
          <w:sz w:val="21"/>
          <w:highlight w:val="none"/>
        </w:rPr>
        <w:t>牵头人根据联合体各成员及分包人</w:t>
      </w:r>
      <w:r>
        <w:rPr>
          <w:color w:val="auto"/>
          <w:sz w:val="21"/>
          <w:highlight w:val="none"/>
        </w:rPr>
        <w:t>（如有</w:t>
      </w:r>
      <w:r>
        <w:rPr>
          <w:color w:val="auto"/>
          <w:spacing w:val="-3"/>
          <w:sz w:val="21"/>
          <w:highlight w:val="none"/>
        </w:rPr>
        <w:t>）</w:t>
      </w:r>
      <w:r>
        <w:rPr>
          <w:color w:val="auto"/>
          <w:spacing w:val="-4"/>
          <w:sz w:val="21"/>
          <w:highlight w:val="none"/>
        </w:rPr>
        <w:t>实际完成的工作量及完成质量，向联合体各成员及分包人支付合同款，由此发生的税费等费用统一包含在合同总价内，发包人不另行支付。联合体牵头人提出</w:t>
      </w:r>
      <w:r>
        <w:rPr>
          <w:color w:val="auto"/>
          <w:spacing w:val="-3"/>
          <w:sz w:val="21"/>
          <w:highlight w:val="none"/>
        </w:rPr>
        <w:t>书面申请时，发包人也可直接向联合体各成员支付合同款。</w:t>
      </w:r>
    </w:p>
    <w:p>
      <w:pPr>
        <w:pStyle w:val="30"/>
        <w:numPr>
          <w:ilvl w:val="2"/>
          <w:numId w:val="12"/>
        </w:numPr>
        <w:tabs>
          <w:tab w:val="left" w:pos="1395"/>
        </w:tabs>
        <w:spacing w:before="0" w:after="0" w:line="264" w:lineRule="exact"/>
        <w:ind w:left="1394" w:right="0" w:hanging="575"/>
        <w:jc w:val="both"/>
        <w:rPr>
          <w:rFonts w:ascii="Arial" w:eastAsia="Arial"/>
          <w:color w:val="auto"/>
          <w:sz w:val="21"/>
          <w:highlight w:val="none"/>
        </w:rPr>
      </w:pPr>
      <w:r>
        <w:rPr>
          <w:color w:val="auto"/>
          <w:spacing w:val="-3"/>
          <w:sz w:val="21"/>
          <w:highlight w:val="none"/>
        </w:rPr>
        <w:t>本合同的勘察设计工作计价模式在专用合同条款中约定。</w:t>
      </w:r>
    </w:p>
    <w:p>
      <w:pPr>
        <w:pStyle w:val="30"/>
        <w:numPr>
          <w:ilvl w:val="2"/>
          <w:numId w:val="12"/>
        </w:numPr>
        <w:tabs>
          <w:tab w:val="left" w:pos="1397"/>
        </w:tabs>
        <w:spacing w:before="170" w:after="0" w:line="393" w:lineRule="auto"/>
        <w:ind w:left="398" w:right="411" w:firstLine="422"/>
        <w:jc w:val="both"/>
        <w:rPr>
          <w:rFonts w:ascii="Arial" w:eastAsia="Arial"/>
          <w:color w:val="auto"/>
          <w:sz w:val="21"/>
          <w:highlight w:val="none"/>
        </w:rPr>
      </w:pPr>
      <w:r>
        <w:rPr>
          <w:color w:val="auto"/>
          <w:sz w:val="21"/>
          <w:highlight w:val="none"/>
        </w:rPr>
        <w:t>发包人向设计人实际支付的勘察设计费，将不高于初步设计审批概算中相应勘察设计费的</w:t>
      </w:r>
      <w:r>
        <w:rPr>
          <w:color w:val="auto"/>
          <w:spacing w:val="-4"/>
          <w:sz w:val="21"/>
          <w:highlight w:val="none"/>
        </w:rPr>
        <w:t>审批额，勘察设计费超出审批额部分发包人将予以扣除，合同总价则相应变更，不足部分发包人将不</w:t>
      </w:r>
      <w:r>
        <w:rPr>
          <w:color w:val="auto"/>
          <w:spacing w:val="-1"/>
          <w:sz w:val="21"/>
          <w:highlight w:val="none"/>
        </w:rPr>
        <w:t>另行支付。</w:t>
      </w:r>
    </w:p>
    <w:p>
      <w:pPr>
        <w:numPr>
          <w:ilvl w:val="1"/>
          <w:numId w:val="12"/>
        </w:numPr>
        <w:tabs>
          <w:tab w:val="left" w:pos="795"/>
        </w:tabs>
        <w:spacing w:before="0" w:line="265" w:lineRule="exact"/>
        <w:ind w:left="794" w:right="0" w:hanging="397"/>
        <w:jc w:val="both"/>
        <w:rPr>
          <w:b/>
          <w:color w:val="auto"/>
          <w:sz w:val="21"/>
          <w:highlight w:val="none"/>
        </w:rPr>
      </w:pPr>
      <w:r>
        <w:rPr>
          <w:b/>
          <w:color w:val="auto"/>
          <w:sz w:val="21"/>
          <w:highlight w:val="none"/>
        </w:rPr>
        <w:t>支付时间</w:t>
      </w:r>
    </w:p>
    <w:p>
      <w:pPr>
        <w:pStyle w:val="2"/>
        <w:spacing w:before="172" w:line="391" w:lineRule="auto"/>
        <w:ind w:left="398" w:right="407" w:firstLine="420"/>
        <w:jc w:val="both"/>
        <w:rPr>
          <w:color w:val="auto"/>
          <w:highlight w:val="none"/>
        </w:rPr>
      </w:pPr>
      <w:r>
        <w:rPr>
          <w:color w:val="auto"/>
          <w:highlight w:val="none"/>
        </w:rPr>
        <w:t>发包人应按专用合同条款规定的时间支付勘察设计费用。设计人应在每一阶段工作完成后的</w:t>
      </w:r>
      <w:r>
        <w:rPr>
          <w:rFonts w:ascii="Arial" w:eastAsia="Arial"/>
          <w:color w:val="auto"/>
          <w:highlight w:val="none"/>
        </w:rPr>
        <w:t>15</w:t>
      </w:r>
      <w:r>
        <w:rPr>
          <w:color w:val="auto"/>
          <w:highlight w:val="none"/>
        </w:rPr>
        <w:t>日内提出付款申请函，发包人审查没有异议后，应在收到申请后</w:t>
      </w:r>
      <w:r>
        <w:rPr>
          <w:rFonts w:ascii="Arial" w:eastAsia="Arial"/>
          <w:color w:val="auto"/>
          <w:highlight w:val="none"/>
        </w:rPr>
        <w:t>30</w:t>
      </w:r>
      <w:r>
        <w:rPr>
          <w:color w:val="auto"/>
          <w:highlight w:val="none"/>
        </w:rPr>
        <w:t>日内支付。如在规定时间内设计人没有收到付款时，则发包人应按专用合同条款的规定向设计人支付违约金。</w:t>
      </w:r>
    </w:p>
    <w:p>
      <w:pPr>
        <w:spacing w:after="0" w:line="391" w:lineRule="auto"/>
        <w:jc w:val="both"/>
        <w:rPr>
          <w:color w:val="auto"/>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numPr>
          <w:ilvl w:val="1"/>
          <w:numId w:val="12"/>
        </w:numPr>
        <w:tabs>
          <w:tab w:val="left" w:pos="795"/>
        </w:tabs>
        <w:spacing w:before="56"/>
        <w:ind w:left="794" w:right="0" w:hanging="397"/>
        <w:jc w:val="left"/>
        <w:rPr>
          <w:b/>
          <w:color w:val="auto"/>
          <w:sz w:val="21"/>
          <w:highlight w:val="none"/>
        </w:rPr>
      </w:pPr>
      <w:r>
        <w:rPr>
          <w:b/>
          <w:color w:val="auto"/>
          <w:sz w:val="21"/>
          <w:highlight w:val="none"/>
        </w:rPr>
        <w:t>有异议的支付</w:t>
      </w:r>
    </w:p>
    <w:p>
      <w:pPr>
        <w:pStyle w:val="2"/>
        <w:spacing w:before="170" w:line="393" w:lineRule="auto"/>
        <w:ind w:left="398" w:right="304" w:firstLine="419"/>
        <w:rPr>
          <w:color w:val="auto"/>
          <w:highlight w:val="none"/>
        </w:rPr>
      </w:pPr>
      <w:r>
        <w:rPr>
          <w:color w:val="auto"/>
          <w:spacing w:val="-3"/>
          <w:highlight w:val="none"/>
        </w:rPr>
        <w:t>如果发包人对设计人提交的付款申请有异议，发包人应在</w:t>
      </w:r>
      <w:r>
        <w:rPr>
          <w:rFonts w:ascii="Arial" w:eastAsia="Arial"/>
          <w:color w:val="auto"/>
          <w:highlight w:val="none"/>
        </w:rPr>
        <w:t>10</w:t>
      </w:r>
      <w:r>
        <w:rPr>
          <w:color w:val="auto"/>
          <w:spacing w:val="-3"/>
          <w:highlight w:val="none"/>
        </w:rPr>
        <w:t>天内发出书面通知要求设计人澄清， 设计人应在</w:t>
      </w:r>
      <w:r>
        <w:rPr>
          <w:rFonts w:ascii="Arial" w:eastAsia="Arial"/>
          <w:color w:val="auto"/>
          <w:highlight w:val="none"/>
        </w:rPr>
        <w:t>15</w:t>
      </w:r>
      <w:r>
        <w:rPr>
          <w:color w:val="auto"/>
          <w:spacing w:val="-5"/>
          <w:highlight w:val="none"/>
        </w:rPr>
        <w:t>天内作出回复。发包人在收到设计人书面澄清</w:t>
      </w:r>
      <w:r>
        <w:rPr>
          <w:color w:val="auto"/>
          <w:spacing w:val="-3"/>
          <w:highlight w:val="none"/>
        </w:rPr>
        <w:t>（以发包人签收的日期为准</w:t>
      </w:r>
      <w:r>
        <w:rPr>
          <w:color w:val="auto"/>
          <w:spacing w:val="-5"/>
          <w:highlight w:val="none"/>
        </w:rPr>
        <w:t>）</w:t>
      </w:r>
      <w:r>
        <w:rPr>
          <w:color w:val="auto"/>
          <w:spacing w:val="-3"/>
          <w:highlight w:val="none"/>
        </w:rPr>
        <w:t>之日起</w:t>
      </w:r>
      <w:r>
        <w:rPr>
          <w:rFonts w:ascii="Arial" w:eastAsia="Arial"/>
          <w:color w:val="auto"/>
          <w:highlight w:val="none"/>
        </w:rPr>
        <w:t>30</w:t>
      </w:r>
      <w:r>
        <w:rPr>
          <w:color w:val="auto"/>
          <w:highlight w:val="none"/>
        </w:rPr>
        <w:t>天</w:t>
      </w:r>
      <w:r>
        <w:rPr>
          <w:color w:val="auto"/>
          <w:spacing w:val="-8"/>
          <w:highlight w:val="none"/>
        </w:rPr>
        <w:t>内支付。如果设计人在收到发包人要求书面澄清的通知后</w:t>
      </w:r>
      <w:r>
        <w:rPr>
          <w:rFonts w:ascii="Arial" w:eastAsia="Arial"/>
          <w:color w:val="auto"/>
          <w:highlight w:val="none"/>
        </w:rPr>
        <w:t>15</w:t>
      </w:r>
      <w:r>
        <w:rPr>
          <w:color w:val="auto"/>
          <w:spacing w:val="-26"/>
          <w:highlight w:val="none"/>
        </w:rPr>
        <w:t>天内</w:t>
      </w:r>
      <w:r>
        <w:rPr>
          <w:color w:val="auto"/>
          <w:highlight w:val="none"/>
        </w:rPr>
        <w:t>（</w:t>
      </w:r>
      <w:r>
        <w:rPr>
          <w:color w:val="auto"/>
          <w:spacing w:val="-3"/>
          <w:highlight w:val="none"/>
        </w:rPr>
        <w:t>以设计人确认收到通知的日期为准</w:t>
      </w:r>
      <w:r>
        <w:rPr>
          <w:color w:val="auto"/>
          <w:highlight w:val="none"/>
        </w:rPr>
        <w:t xml:space="preserve">） </w:t>
      </w:r>
      <w:r>
        <w:rPr>
          <w:color w:val="auto"/>
          <w:spacing w:val="-3"/>
          <w:highlight w:val="none"/>
        </w:rPr>
        <w:t>未做任何书面答复，则发包人不予支付，直到设计人作出书面澄清为止。</w:t>
      </w:r>
    </w:p>
    <w:p>
      <w:pPr>
        <w:numPr>
          <w:ilvl w:val="1"/>
          <w:numId w:val="12"/>
        </w:numPr>
        <w:tabs>
          <w:tab w:val="left" w:pos="795"/>
        </w:tabs>
        <w:spacing w:before="0" w:line="263" w:lineRule="exact"/>
        <w:ind w:left="794" w:right="0" w:hanging="397"/>
        <w:jc w:val="left"/>
        <w:rPr>
          <w:b/>
          <w:color w:val="auto"/>
          <w:sz w:val="21"/>
          <w:highlight w:val="none"/>
        </w:rPr>
      </w:pPr>
      <w:r>
        <w:rPr>
          <w:b/>
          <w:color w:val="auto"/>
          <w:sz w:val="21"/>
          <w:highlight w:val="none"/>
        </w:rPr>
        <w:t>审查</w:t>
      </w:r>
    </w:p>
    <w:p>
      <w:pPr>
        <w:pStyle w:val="2"/>
        <w:spacing w:before="173" w:line="391" w:lineRule="auto"/>
        <w:ind w:left="398" w:right="412" w:firstLine="420"/>
        <w:rPr>
          <w:color w:val="auto"/>
          <w:highlight w:val="none"/>
        </w:rPr>
      </w:pPr>
      <w:r>
        <w:rPr>
          <w:color w:val="auto"/>
          <w:spacing w:val="-4"/>
          <w:highlight w:val="none"/>
        </w:rPr>
        <w:t>设计人应保存能清楚证明有关勘察设计工作时间和支付费用的记录，并在发包人有要求时允许发</w:t>
      </w:r>
      <w:r>
        <w:rPr>
          <w:color w:val="auto"/>
          <w:spacing w:val="-3"/>
          <w:highlight w:val="none"/>
        </w:rPr>
        <w:t>包人指派的人员进行审查。</w:t>
      </w:r>
    </w:p>
    <w:p>
      <w:pPr>
        <w:numPr>
          <w:ilvl w:val="1"/>
          <w:numId w:val="12"/>
        </w:numPr>
        <w:tabs>
          <w:tab w:val="left" w:pos="795"/>
        </w:tabs>
        <w:spacing w:before="1"/>
        <w:ind w:left="794" w:right="0" w:hanging="397"/>
        <w:jc w:val="left"/>
        <w:rPr>
          <w:b/>
          <w:color w:val="auto"/>
          <w:sz w:val="21"/>
          <w:highlight w:val="none"/>
        </w:rPr>
      </w:pPr>
      <w:r>
        <w:rPr>
          <w:b/>
          <w:color w:val="auto"/>
          <w:sz w:val="21"/>
          <w:highlight w:val="none"/>
        </w:rPr>
        <w:t>暂列金额</w:t>
      </w:r>
    </w:p>
    <w:p>
      <w:pPr>
        <w:pStyle w:val="2"/>
        <w:spacing w:before="173" w:line="391" w:lineRule="auto"/>
        <w:ind w:left="398" w:right="412" w:firstLine="420"/>
        <w:rPr>
          <w:color w:val="auto"/>
          <w:highlight w:val="none"/>
        </w:rPr>
      </w:pPr>
      <w:r>
        <w:rPr>
          <w:color w:val="auto"/>
          <w:spacing w:val="-4"/>
          <w:highlight w:val="none"/>
        </w:rPr>
        <w:t xml:space="preserve">本合同的暂列金额在专用合同条款中约定。暂列金额应按发包人的书面指示全部或部分地使用， </w:t>
      </w:r>
      <w:r>
        <w:rPr>
          <w:color w:val="auto"/>
          <w:spacing w:val="-3"/>
          <w:highlight w:val="none"/>
        </w:rPr>
        <w:t>或根本不予动用。</w:t>
      </w:r>
    </w:p>
    <w:p>
      <w:pPr>
        <w:pStyle w:val="2"/>
        <w:spacing w:before="1" w:line="393" w:lineRule="auto"/>
        <w:ind w:left="398" w:right="411" w:firstLine="420"/>
        <w:jc w:val="both"/>
        <w:rPr>
          <w:color w:val="auto"/>
          <w:highlight w:val="none"/>
        </w:rPr>
      </w:pPr>
      <w:r>
        <w:rPr>
          <w:color w:val="auto"/>
          <w:spacing w:val="-4"/>
          <w:highlight w:val="none"/>
        </w:rPr>
        <w:t>如果使用暂列金额进行某项额外勘察设计工作、专题研究、审查和会务工作，其费用应按设计人投标报价中相应项目的基本单价和实际发生的工作量经发包人核定后支付，或者按实际发生的工作费</w:t>
      </w:r>
      <w:r>
        <w:rPr>
          <w:color w:val="auto"/>
          <w:spacing w:val="-3"/>
          <w:highlight w:val="none"/>
        </w:rPr>
        <w:t>用经发包人核实后支付。</w:t>
      </w:r>
    </w:p>
    <w:p>
      <w:pPr>
        <w:numPr>
          <w:ilvl w:val="1"/>
          <w:numId w:val="12"/>
        </w:numPr>
        <w:tabs>
          <w:tab w:val="left" w:pos="795"/>
        </w:tabs>
        <w:spacing w:before="0" w:line="265" w:lineRule="exact"/>
        <w:ind w:left="794" w:right="0" w:hanging="397"/>
        <w:jc w:val="both"/>
        <w:rPr>
          <w:b/>
          <w:color w:val="auto"/>
          <w:sz w:val="21"/>
          <w:highlight w:val="none"/>
        </w:rPr>
      </w:pPr>
      <w:r>
        <w:rPr>
          <w:b/>
          <w:color w:val="auto"/>
          <w:sz w:val="21"/>
          <w:highlight w:val="none"/>
        </w:rPr>
        <w:t>勘察设计费用的调整</w:t>
      </w:r>
    </w:p>
    <w:p>
      <w:pPr>
        <w:pStyle w:val="2"/>
        <w:spacing w:before="172" w:line="391" w:lineRule="auto"/>
        <w:ind w:left="398" w:right="412" w:firstLine="420"/>
        <w:rPr>
          <w:color w:val="auto"/>
          <w:highlight w:val="none"/>
        </w:rPr>
      </w:pPr>
      <w:r>
        <w:rPr>
          <w:color w:val="auto"/>
          <w:spacing w:val="-4"/>
          <w:highlight w:val="none"/>
        </w:rPr>
        <w:t>在合同实施期间，若由于国家政策调整或新颁法律、法规、标准的发布或市场因素变化导致本项</w:t>
      </w:r>
      <w:r>
        <w:rPr>
          <w:color w:val="auto"/>
          <w:spacing w:val="-3"/>
          <w:highlight w:val="none"/>
        </w:rPr>
        <w:t>目勘察设计费用的变化，则应根据专用合同条款的规定进行相应调整。</w:t>
      </w:r>
    </w:p>
    <w:p>
      <w:pPr>
        <w:numPr>
          <w:ilvl w:val="1"/>
          <w:numId w:val="12"/>
        </w:numPr>
        <w:tabs>
          <w:tab w:val="left" w:pos="795"/>
        </w:tabs>
        <w:spacing w:before="2"/>
        <w:ind w:left="794" w:right="0" w:hanging="397"/>
        <w:jc w:val="left"/>
        <w:rPr>
          <w:b/>
          <w:color w:val="auto"/>
          <w:sz w:val="21"/>
          <w:highlight w:val="none"/>
        </w:rPr>
      </w:pPr>
      <w:r>
        <w:rPr>
          <w:b/>
          <w:color w:val="auto"/>
          <w:sz w:val="21"/>
          <w:highlight w:val="none"/>
        </w:rPr>
        <w:t>质量保证金</w:t>
      </w:r>
    </w:p>
    <w:p>
      <w:pPr>
        <w:pStyle w:val="2"/>
        <w:spacing w:before="172" w:line="391" w:lineRule="auto"/>
        <w:ind w:left="398" w:right="412" w:firstLine="420"/>
        <w:rPr>
          <w:color w:val="auto"/>
          <w:highlight w:val="none"/>
        </w:rPr>
      </w:pPr>
      <w:r>
        <w:rPr>
          <w:color w:val="auto"/>
          <w:spacing w:val="-4"/>
          <w:highlight w:val="none"/>
        </w:rPr>
        <w:t>为保证设计单位的设计质量和设计服务，在勘察设计费中扣留专用合同条款约定的金额作为本项</w:t>
      </w:r>
      <w:r>
        <w:rPr>
          <w:color w:val="auto"/>
          <w:spacing w:val="-3"/>
          <w:highlight w:val="none"/>
        </w:rPr>
        <w:t>目的质量保证金，待项目交工证书签发后</w:t>
      </w:r>
      <w:r>
        <w:rPr>
          <w:rFonts w:ascii="Arial" w:eastAsia="Arial"/>
          <w:color w:val="auto"/>
          <w:highlight w:val="none"/>
        </w:rPr>
        <w:t>28</w:t>
      </w:r>
      <w:r>
        <w:rPr>
          <w:color w:val="auto"/>
          <w:spacing w:val="-3"/>
          <w:highlight w:val="none"/>
        </w:rPr>
        <w:t>天内返还给设计人。</w:t>
      </w:r>
    </w:p>
    <w:p>
      <w:pPr>
        <w:pStyle w:val="30"/>
        <w:numPr>
          <w:ilvl w:val="1"/>
          <w:numId w:val="12"/>
        </w:numPr>
        <w:tabs>
          <w:tab w:val="left" w:pos="795"/>
        </w:tabs>
        <w:spacing w:before="2" w:after="0" w:line="240" w:lineRule="auto"/>
        <w:ind w:left="794" w:right="0" w:hanging="397"/>
        <w:jc w:val="left"/>
        <w:rPr>
          <w:color w:val="auto"/>
          <w:sz w:val="21"/>
          <w:highlight w:val="none"/>
        </w:rPr>
      </w:pPr>
      <w:r>
        <w:rPr>
          <w:color w:val="auto"/>
          <w:sz w:val="21"/>
          <w:highlight w:val="none"/>
        </w:rPr>
        <w:t>税费</w:t>
      </w:r>
    </w:p>
    <w:p>
      <w:pPr>
        <w:pStyle w:val="2"/>
        <w:spacing w:before="172" w:line="391" w:lineRule="auto"/>
        <w:ind w:left="398" w:right="412" w:firstLine="420"/>
        <w:rPr>
          <w:color w:val="auto"/>
          <w:highlight w:val="none"/>
        </w:rPr>
      </w:pPr>
      <w:r>
        <w:rPr>
          <w:color w:val="auto"/>
          <w:spacing w:val="-4"/>
          <w:highlight w:val="none"/>
        </w:rPr>
        <w:t>设计人应自行承担为完成本项目勘察设计工作需缴纳的一切税费，并包含在报价文件各项目报价</w:t>
      </w:r>
      <w:r>
        <w:rPr>
          <w:color w:val="auto"/>
          <w:spacing w:val="-3"/>
          <w:highlight w:val="none"/>
        </w:rPr>
        <w:t>之内，发包人不另行支付。</w:t>
      </w:r>
    </w:p>
    <w:p>
      <w:pPr>
        <w:pStyle w:val="8"/>
        <w:numPr>
          <w:ilvl w:val="0"/>
          <w:numId w:val="12"/>
        </w:numPr>
        <w:tabs>
          <w:tab w:val="left" w:pos="666"/>
        </w:tabs>
        <w:spacing w:before="175" w:after="0" w:line="240" w:lineRule="auto"/>
        <w:ind w:left="665" w:right="0" w:hanging="268"/>
        <w:jc w:val="left"/>
        <w:outlineLvl w:val="2"/>
        <w:rPr>
          <w:color w:val="auto"/>
          <w:highlight w:val="none"/>
        </w:rPr>
      </w:pPr>
      <w:bookmarkStart w:id="177" w:name="_bookmark37"/>
      <w:bookmarkEnd w:id="177"/>
      <w:bookmarkStart w:id="178" w:name="8.其他"/>
      <w:bookmarkEnd w:id="178"/>
      <w:bookmarkStart w:id="179" w:name="_Toc26782"/>
      <w:r>
        <w:rPr>
          <w:color w:val="auto"/>
          <w:highlight w:val="none"/>
        </w:rPr>
        <w:t>其他</w:t>
      </w:r>
      <w:bookmarkEnd w:id="179"/>
    </w:p>
    <w:p>
      <w:pPr>
        <w:pStyle w:val="2"/>
        <w:spacing w:before="5"/>
        <w:rPr>
          <w:b/>
          <w:color w:val="auto"/>
          <w:sz w:val="29"/>
          <w:highlight w:val="none"/>
        </w:rPr>
      </w:pPr>
    </w:p>
    <w:p>
      <w:pPr>
        <w:numPr>
          <w:ilvl w:val="1"/>
          <w:numId w:val="12"/>
        </w:numPr>
        <w:tabs>
          <w:tab w:val="left" w:pos="795"/>
        </w:tabs>
        <w:spacing w:before="0"/>
        <w:ind w:left="794" w:right="0" w:hanging="397"/>
        <w:jc w:val="left"/>
        <w:rPr>
          <w:b/>
          <w:color w:val="auto"/>
          <w:sz w:val="21"/>
          <w:highlight w:val="none"/>
        </w:rPr>
      </w:pPr>
      <w:r>
        <w:rPr>
          <w:b/>
          <w:color w:val="auto"/>
          <w:sz w:val="21"/>
          <w:highlight w:val="none"/>
        </w:rPr>
        <w:t>法律和法规</w:t>
      </w:r>
    </w:p>
    <w:p>
      <w:pPr>
        <w:pStyle w:val="2"/>
        <w:spacing w:before="172" w:line="391" w:lineRule="auto"/>
        <w:ind w:left="398" w:right="412" w:firstLine="420"/>
        <w:rPr>
          <w:color w:val="auto"/>
          <w:highlight w:val="none"/>
        </w:rPr>
      </w:pPr>
      <w:r>
        <w:rPr>
          <w:color w:val="auto"/>
          <w:highlight w:val="none"/>
        </w:rPr>
        <w:t>本合同必须服从中华人民共和国现行法律和法规，对合同的解释应以中华人民共和国现行法律和法规为准。</w:t>
      </w:r>
    </w:p>
    <w:p>
      <w:pPr>
        <w:numPr>
          <w:ilvl w:val="1"/>
          <w:numId w:val="12"/>
        </w:numPr>
        <w:tabs>
          <w:tab w:val="left" w:pos="795"/>
        </w:tabs>
        <w:spacing w:before="2"/>
        <w:ind w:left="794" w:right="0" w:hanging="397"/>
        <w:jc w:val="left"/>
        <w:rPr>
          <w:b/>
          <w:color w:val="auto"/>
          <w:sz w:val="21"/>
          <w:highlight w:val="none"/>
        </w:rPr>
      </w:pPr>
      <w:r>
        <w:rPr>
          <w:b/>
          <w:color w:val="auto"/>
          <w:sz w:val="21"/>
          <w:highlight w:val="none"/>
        </w:rPr>
        <w:t>版权</w:t>
      </w:r>
    </w:p>
    <w:p>
      <w:pPr>
        <w:pStyle w:val="2"/>
        <w:spacing w:before="172" w:line="391" w:lineRule="auto"/>
        <w:ind w:left="398" w:right="410" w:firstLine="420"/>
        <w:rPr>
          <w:color w:val="auto"/>
          <w:highlight w:val="none"/>
        </w:rPr>
      </w:pPr>
      <w:r>
        <w:rPr>
          <w:color w:val="auto"/>
          <w:spacing w:val="-4"/>
          <w:highlight w:val="none"/>
        </w:rPr>
        <w:t>发包人就本项目勘察设计及专题研究工作而向设计人提供的成果为发包人所拥有。设计人因受发包人委托进行的本项目勘察设计及专题研究而产生的成果均为双方所共同享有，其中任何一方面向第</w:t>
      </w:r>
    </w:p>
    <w:p>
      <w:pPr>
        <w:spacing w:after="0" w:line="391" w:lineRule="auto"/>
        <w:rPr>
          <w:color w:val="auto"/>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pStyle w:val="2"/>
        <w:spacing w:before="56" w:line="391" w:lineRule="auto"/>
        <w:ind w:left="398" w:right="410"/>
        <w:rPr>
          <w:color w:val="auto"/>
          <w:highlight w:val="none"/>
        </w:rPr>
      </w:pPr>
      <w:r>
        <w:rPr>
          <w:color w:val="auto"/>
          <w:spacing w:val="-4"/>
          <w:highlight w:val="none"/>
        </w:rPr>
        <w:t>三方转让时须经另一方同意，但若发包人因推行本项目的需要向第三者透露研究成果，则无须经过设</w:t>
      </w:r>
      <w:r>
        <w:rPr>
          <w:color w:val="auto"/>
          <w:spacing w:val="-2"/>
          <w:highlight w:val="none"/>
        </w:rPr>
        <w:t>计人的同意。</w:t>
      </w:r>
    </w:p>
    <w:p>
      <w:pPr>
        <w:numPr>
          <w:ilvl w:val="1"/>
          <w:numId w:val="12"/>
        </w:numPr>
        <w:tabs>
          <w:tab w:val="left" w:pos="795"/>
        </w:tabs>
        <w:spacing w:before="1"/>
        <w:ind w:left="794" w:right="0" w:hanging="397"/>
        <w:jc w:val="left"/>
        <w:rPr>
          <w:b/>
          <w:color w:val="auto"/>
          <w:sz w:val="21"/>
          <w:highlight w:val="none"/>
        </w:rPr>
      </w:pPr>
      <w:r>
        <w:rPr>
          <w:b/>
          <w:color w:val="auto"/>
          <w:sz w:val="21"/>
          <w:highlight w:val="none"/>
        </w:rPr>
        <w:t>利益的冲突</w:t>
      </w:r>
    </w:p>
    <w:p>
      <w:pPr>
        <w:pStyle w:val="2"/>
        <w:spacing w:before="173" w:line="391" w:lineRule="auto"/>
        <w:ind w:left="398" w:right="412" w:firstLine="420"/>
        <w:rPr>
          <w:color w:val="auto"/>
          <w:highlight w:val="none"/>
        </w:rPr>
      </w:pPr>
      <w:r>
        <w:rPr>
          <w:color w:val="auto"/>
          <w:spacing w:val="-4"/>
          <w:highlight w:val="none"/>
        </w:rPr>
        <w:t>除合同另有规定外，设计人及其雇员不应接受本合同规定以外的与本工程有关的利益和报酬；设</w:t>
      </w:r>
      <w:r>
        <w:rPr>
          <w:color w:val="auto"/>
          <w:spacing w:val="-3"/>
          <w:highlight w:val="none"/>
        </w:rPr>
        <w:t>计人不得参与与发包人的利益有冲突的任何活动。</w:t>
      </w:r>
    </w:p>
    <w:p>
      <w:pPr>
        <w:numPr>
          <w:ilvl w:val="1"/>
          <w:numId w:val="12"/>
        </w:numPr>
        <w:tabs>
          <w:tab w:val="left" w:pos="795"/>
        </w:tabs>
        <w:spacing w:before="1"/>
        <w:ind w:left="794" w:right="0" w:hanging="397"/>
        <w:jc w:val="left"/>
        <w:rPr>
          <w:b/>
          <w:color w:val="auto"/>
          <w:sz w:val="21"/>
          <w:highlight w:val="none"/>
        </w:rPr>
      </w:pPr>
      <w:r>
        <w:rPr>
          <w:b/>
          <w:color w:val="auto"/>
          <w:sz w:val="21"/>
          <w:highlight w:val="none"/>
        </w:rPr>
        <w:t>争议的解决</w:t>
      </w:r>
    </w:p>
    <w:p>
      <w:pPr>
        <w:pStyle w:val="30"/>
        <w:numPr>
          <w:ilvl w:val="2"/>
          <w:numId w:val="12"/>
        </w:numPr>
        <w:tabs>
          <w:tab w:val="left" w:pos="1397"/>
        </w:tabs>
        <w:spacing w:before="194" w:after="0" w:line="391" w:lineRule="auto"/>
        <w:ind w:left="398" w:right="410" w:firstLine="422"/>
        <w:jc w:val="both"/>
        <w:rPr>
          <w:rFonts w:ascii="Arial" w:eastAsia="Arial"/>
          <w:color w:val="auto"/>
          <w:sz w:val="21"/>
          <w:highlight w:val="none"/>
        </w:rPr>
      </w:pPr>
      <w:r>
        <w:rPr>
          <w:color w:val="auto"/>
          <w:sz w:val="21"/>
          <w:highlight w:val="none"/>
        </w:rPr>
        <w:t>本合同在执行过程中，如发生任何争议、纠纷或因违反、终止本合同而引起的对损失、损</w:t>
      </w:r>
      <w:r>
        <w:rPr>
          <w:color w:val="auto"/>
          <w:spacing w:val="-4"/>
          <w:sz w:val="21"/>
          <w:highlight w:val="none"/>
        </w:rPr>
        <w:t>害的任何赔偿，应事先协商或由本项目上级交通运输主管部门协调，在设计人和发包人之间达成一致</w:t>
      </w:r>
      <w:r>
        <w:rPr>
          <w:color w:val="auto"/>
          <w:spacing w:val="-3"/>
          <w:sz w:val="21"/>
          <w:highlight w:val="none"/>
        </w:rPr>
        <w:t>意见。如未能达成一致，可在专用合同条款中约定按下列一种方式解决：</w:t>
      </w:r>
    </w:p>
    <w:p>
      <w:pPr>
        <w:pStyle w:val="30"/>
        <w:numPr>
          <w:ilvl w:val="0"/>
          <w:numId w:val="18"/>
        </w:numPr>
        <w:tabs>
          <w:tab w:val="left" w:pos="1360"/>
        </w:tabs>
        <w:spacing w:before="5" w:after="0" w:line="240" w:lineRule="auto"/>
        <w:ind w:left="1359" w:right="0" w:hanging="542"/>
        <w:jc w:val="left"/>
        <w:rPr>
          <w:color w:val="auto"/>
          <w:sz w:val="21"/>
          <w:highlight w:val="none"/>
        </w:rPr>
      </w:pPr>
      <w:r>
        <w:rPr>
          <w:color w:val="auto"/>
          <w:spacing w:val="-3"/>
          <w:sz w:val="21"/>
          <w:highlight w:val="none"/>
        </w:rPr>
        <w:t>向约定的仲裁委员会申请仲裁；</w:t>
      </w:r>
    </w:p>
    <w:p>
      <w:pPr>
        <w:pStyle w:val="30"/>
        <w:numPr>
          <w:ilvl w:val="0"/>
          <w:numId w:val="18"/>
        </w:numPr>
        <w:tabs>
          <w:tab w:val="left" w:pos="1360"/>
        </w:tabs>
        <w:spacing w:before="170" w:after="0" w:line="240" w:lineRule="auto"/>
        <w:ind w:left="1359" w:right="0" w:hanging="542"/>
        <w:jc w:val="left"/>
        <w:rPr>
          <w:color w:val="auto"/>
          <w:sz w:val="21"/>
          <w:highlight w:val="none"/>
        </w:rPr>
      </w:pPr>
      <w:r>
        <w:rPr>
          <w:color w:val="auto"/>
          <w:spacing w:val="-3"/>
          <w:sz w:val="21"/>
          <w:highlight w:val="none"/>
        </w:rPr>
        <w:t>向约定的有管辖权的人民法院提起诉讼。</w:t>
      </w:r>
    </w:p>
    <w:p>
      <w:pPr>
        <w:pStyle w:val="30"/>
        <w:numPr>
          <w:ilvl w:val="2"/>
          <w:numId w:val="12"/>
        </w:numPr>
        <w:tabs>
          <w:tab w:val="left" w:pos="1450"/>
        </w:tabs>
        <w:spacing w:before="170" w:after="0" w:line="393" w:lineRule="auto"/>
        <w:ind w:left="398" w:right="878" w:firstLine="479"/>
        <w:jc w:val="left"/>
        <w:rPr>
          <w:rFonts w:ascii="Arial" w:eastAsia="Arial"/>
          <w:color w:val="auto"/>
          <w:sz w:val="21"/>
          <w:highlight w:val="none"/>
        </w:rPr>
      </w:pPr>
      <w:r>
        <w:rPr>
          <w:color w:val="auto"/>
          <w:spacing w:val="-5"/>
          <w:sz w:val="21"/>
          <w:highlight w:val="none"/>
        </w:rPr>
        <w:t>采用</w:t>
      </w:r>
      <w:r>
        <w:rPr>
          <w:color w:val="auto"/>
          <w:spacing w:val="-3"/>
          <w:sz w:val="21"/>
          <w:highlight w:val="none"/>
        </w:rPr>
        <w:t>向约定的有管辖权的人民法院提起诉讼</w:t>
      </w:r>
      <w:r>
        <w:rPr>
          <w:color w:val="auto"/>
          <w:spacing w:val="-5"/>
          <w:sz w:val="21"/>
          <w:highlight w:val="none"/>
        </w:rPr>
        <w:t>方式最终解决争议的项目</w:t>
      </w:r>
      <w:r>
        <w:rPr>
          <w:color w:val="auto"/>
          <w:spacing w:val="-4"/>
          <w:sz w:val="21"/>
          <w:highlight w:val="none"/>
        </w:rPr>
        <w:t>。</w:t>
      </w:r>
    </w:p>
    <w:p>
      <w:pPr>
        <w:spacing w:after="0" w:line="393" w:lineRule="auto"/>
        <w:jc w:val="left"/>
        <w:rPr>
          <w:rFonts w:ascii="Arial" w:eastAsia="Arial"/>
          <w:color w:val="auto"/>
          <w:sz w:val="21"/>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pStyle w:val="8"/>
        <w:spacing w:before="29"/>
        <w:ind w:left="298" w:right="314"/>
        <w:outlineLvl w:val="1"/>
        <w:rPr>
          <w:rFonts w:hint="eastAsia" w:ascii="黑体" w:eastAsia="黑体"/>
          <w:color w:val="auto"/>
          <w:highlight w:val="none"/>
        </w:rPr>
      </w:pPr>
      <w:bookmarkStart w:id="180" w:name="第二节 专用合同条款"/>
      <w:bookmarkEnd w:id="180"/>
      <w:bookmarkStart w:id="181" w:name="_Toc11405"/>
      <w:r>
        <w:rPr>
          <w:rFonts w:hint="eastAsia" w:ascii="黑体" w:eastAsia="黑体"/>
          <w:color w:val="auto"/>
          <w:highlight w:val="none"/>
        </w:rPr>
        <w:t>第二节 专用合同条款</w:t>
      </w:r>
      <w:bookmarkEnd w:id="181"/>
    </w:p>
    <w:p>
      <w:pPr>
        <w:pStyle w:val="2"/>
        <w:spacing w:before="10"/>
        <w:rPr>
          <w:rFonts w:ascii="黑体"/>
          <w:b/>
          <w:color w:val="auto"/>
          <w:sz w:val="28"/>
          <w:highlight w:val="none"/>
        </w:rPr>
      </w:pPr>
    </w:p>
    <w:p>
      <w:pPr>
        <w:spacing w:before="0"/>
        <w:ind w:left="878" w:right="0" w:firstLine="0"/>
        <w:jc w:val="left"/>
        <w:rPr>
          <w:color w:val="auto"/>
          <w:sz w:val="24"/>
          <w:highlight w:val="none"/>
        </w:rPr>
      </w:pPr>
      <w:r>
        <w:rPr>
          <w:color w:val="auto"/>
          <w:sz w:val="24"/>
          <w:highlight w:val="none"/>
        </w:rPr>
        <w:t>根据本项目的具体情况，对通用合同条款的内容做如下补充、细化或约定：</w:t>
      </w:r>
    </w:p>
    <w:p>
      <w:pPr>
        <w:pStyle w:val="13"/>
        <w:numPr>
          <w:ilvl w:val="0"/>
          <w:numId w:val="19"/>
        </w:numPr>
        <w:tabs>
          <w:tab w:val="left" w:pos="1203"/>
        </w:tabs>
        <w:spacing w:before="132" w:after="0" w:line="240" w:lineRule="auto"/>
        <w:ind w:left="1202" w:right="0" w:hanging="323"/>
        <w:jc w:val="left"/>
        <w:outlineLvl w:val="2"/>
        <w:rPr>
          <w:color w:val="auto"/>
          <w:highlight w:val="none"/>
        </w:rPr>
      </w:pPr>
      <w:bookmarkStart w:id="182" w:name="_bookmark39"/>
      <w:bookmarkEnd w:id="182"/>
      <w:bookmarkStart w:id="183" w:name="1. 定义和解释"/>
      <w:bookmarkEnd w:id="183"/>
      <w:bookmarkStart w:id="184" w:name="_Toc6167"/>
      <w:r>
        <w:rPr>
          <w:color w:val="auto"/>
          <w:highlight w:val="none"/>
        </w:rPr>
        <w:t>定义和解释</w:t>
      </w:r>
      <w:bookmarkEnd w:id="184"/>
    </w:p>
    <w:p>
      <w:pPr>
        <w:pStyle w:val="30"/>
        <w:numPr>
          <w:ilvl w:val="1"/>
          <w:numId w:val="19"/>
        </w:numPr>
        <w:tabs>
          <w:tab w:val="left" w:pos="1335"/>
        </w:tabs>
        <w:spacing w:before="131" w:after="0" w:line="240" w:lineRule="auto"/>
        <w:ind w:left="1334" w:right="0" w:hanging="457"/>
        <w:jc w:val="left"/>
        <w:rPr>
          <w:rFonts w:ascii="Arial" w:eastAsia="Arial"/>
          <w:color w:val="auto"/>
          <w:sz w:val="24"/>
          <w:highlight w:val="none"/>
        </w:rPr>
      </w:pPr>
      <w:r>
        <w:rPr>
          <w:color w:val="auto"/>
          <w:spacing w:val="-6"/>
          <w:sz w:val="24"/>
          <w:highlight w:val="none"/>
        </w:rPr>
        <w:t xml:space="preserve">本次进行设计招标的项目为 </w:t>
      </w:r>
      <w:r>
        <w:rPr>
          <w:rFonts w:hint="eastAsia" w:ascii="Arial"/>
          <w:color w:val="auto"/>
          <w:sz w:val="24"/>
          <w:highlight w:val="none"/>
          <w:lang w:eastAsia="zh-CN"/>
        </w:rPr>
        <w:t>2024年三门县普通国道路基路面养护工程设计</w:t>
      </w:r>
      <w:r>
        <w:rPr>
          <w:color w:val="auto"/>
          <w:spacing w:val="-1"/>
          <w:sz w:val="24"/>
          <w:highlight w:val="none"/>
        </w:rPr>
        <w:t>。</w:t>
      </w:r>
    </w:p>
    <w:p>
      <w:pPr>
        <w:pStyle w:val="30"/>
        <w:numPr>
          <w:ilvl w:val="1"/>
          <w:numId w:val="19"/>
        </w:numPr>
        <w:tabs>
          <w:tab w:val="left" w:pos="1335"/>
        </w:tabs>
        <w:spacing w:before="134" w:after="0" w:line="240" w:lineRule="auto"/>
        <w:ind w:left="1334" w:right="0" w:hanging="457"/>
        <w:jc w:val="left"/>
        <w:rPr>
          <w:rFonts w:ascii="Arial" w:eastAsia="Arial"/>
          <w:color w:val="auto"/>
          <w:sz w:val="24"/>
          <w:highlight w:val="none"/>
        </w:rPr>
      </w:pPr>
      <w:r>
        <w:rPr>
          <w:color w:val="auto"/>
          <w:spacing w:val="-1"/>
          <w:sz w:val="24"/>
          <w:highlight w:val="none"/>
        </w:rPr>
        <w:t>发包人：</w:t>
      </w:r>
      <w:r>
        <w:rPr>
          <w:rFonts w:hint="eastAsia"/>
          <w:color w:val="auto"/>
          <w:spacing w:val="-1"/>
          <w:sz w:val="24"/>
          <w:highlight w:val="none"/>
          <w:lang w:eastAsia="zh-CN"/>
        </w:rPr>
        <w:t>三门县公路与运输管理中心</w:t>
      </w:r>
      <w:r>
        <w:rPr>
          <w:color w:val="auto"/>
          <w:spacing w:val="-1"/>
          <w:sz w:val="24"/>
          <w:highlight w:val="none"/>
        </w:rPr>
        <w:t>。</w:t>
      </w:r>
    </w:p>
    <w:p>
      <w:pPr>
        <w:spacing w:before="132" w:line="343" w:lineRule="auto"/>
        <w:ind w:left="398" w:right="412" w:firstLine="540"/>
        <w:jc w:val="left"/>
        <w:rPr>
          <w:color w:val="auto"/>
          <w:sz w:val="24"/>
          <w:highlight w:val="none"/>
        </w:rPr>
      </w:pPr>
      <w:r>
        <w:rPr>
          <w:rFonts w:ascii="Arial" w:eastAsia="Arial"/>
          <w:color w:val="auto"/>
          <w:sz w:val="24"/>
          <w:highlight w:val="none"/>
        </w:rPr>
        <w:t>1.10</w:t>
      </w:r>
      <w:r>
        <w:rPr>
          <w:rFonts w:ascii="Arial" w:eastAsia="Arial"/>
          <w:color w:val="auto"/>
          <w:spacing w:val="53"/>
          <w:sz w:val="24"/>
          <w:highlight w:val="none"/>
        </w:rPr>
        <w:t xml:space="preserve"> </w:t>
      </w:r>
      <w:r>
        <w:rPr>
          <w:color w:val="auto"/>
          <w:spacing w:val="-5"/>
          <w:sz w:val="24"/>
          <w:highlight w:val="none"/>
        </w:rPr>
        <w:t>本合同包括的具体设计内容：</w:t>
      </w:r>
      <w:r>
        <w:rPr>
          <w:rFonts w:hint="eastAsia"/>
          <w:color w:val="auto"/>
          <w:spacing w:val="-5"/>
          <w:sz w:val="24"/>
          <w:highlight w:val="none"/>
          <w:lang w:eastAsia="zh-CN"/>
        </w:rPr>
        <w:t>路况勘察及检测、施工图设计、预算文件编制、施工招标用图纸、施工项目专用技术规范编制，后续服务等</w:t>
      </w:r>
      <w:r>
        <w:rPr>
          <w:color w:val="auto"/>
          <w:sz w:val="24"/>
          <w:highlight w:val="none"/>
        </w:rPr>
        <w:t>全部工作。</w:t>
      </w:r>
    </w:p>
    <w:p>
      <w:pPr>
        <w:spacing w:before="2" w:line="343" w:lineRule="auto"/>
        <w:ind w:left="398" w:right="407" w:firstLine="480"/>
        <w:jc w:val="left"/>
        <w:rPr>
          <w:color w:val="auto"/>
          <w:sz w:val="24"/>
          <w:highlight w:val="none"/>
        </w:rPr>
      </w:pPr>
      <w:r>
        <w:rPr>
          <w:rFonts w:ascii="Arial" w:eastAsia="Arial"/>
          <w:color w:val="auto"/>
          <w:sz w:val="24"/>
          <w:highlight w:val="none"/>
        </w:rPr>
        <w:t xml:space="preserve">1.12 </w:t>
      </w:r>
      <w:r>
        <w:rPr>
          <w:color w:val="auto"/>
          <w:sz w:val="24"/>
          <w:highlight w:val="none"/>
        </w:rPr>
        <w:t>本合同包括的</w:t>
      </w:r>
      <w:r>
        <w:rPr>
          <w:rFonts w:hint="eastAsia"/>
          <w:color w:val="auto"/>
          <w:sz w:val="24"/>
          <w:highlight w:val="none"/>
          <w:lang w:eastAsia="zh-CN"/>
        </w:rPr>
        <w:t>设计</w:t>
      </w:r>
      <w:r>
        <w:rPr>
          <w:color w:val="auto"/>
          <w:sz w:val="24"/>
          <w:highlight w:val="none"/>
        </w:rPr>
        <w:t>文件：一阶段施工图设计文件</w:t>
      </w:r>
      <w:r>
        <w:rPr>
          <w:rFonts w:hint="eastAsia"/>
          <w:color w:val="auto"/>
          <w:sz w:val="24"/>
          <w:highlight w:val="none"/>
          <w:lang w:eastAsia="zh-CN"/>
        </w:rPr>
        <w:t>（含路况检测报告）</w:t>
      </w:r>
      <w:r>
        <w:rPr>
          <w:color w:val="auto"/>
          <w:sz w:val="24"/>
          <w:highlight w:val="none"/>
        </w:rPr>
        <w:t>、施工招标图纸、施工项目专用技术规范</w:t>
      </w:r>
      <w:r>
        <w:rPr>
          <w:rFonts w:hint="eastAsia"/>
          <w:color w:val="auto"/>
          <w:sz w:val="24"/>
          <w:highlight w:val="none"/>
          <w:lang w:eastAsia="zh-CN"/>
        </w:rPr>
        <w:t>、相关文件的电子文档（CAD格式或Word格式）</w:t>
      </w:r>
      <w:r>
        <w:rPr>
          <w:color w:val="auto"/>
          <w:sz w:val="24"/>
          <w:highlight w:val="none"/>
        </w:rPr>
        <w:t>等有关项目文件。</w:t>
      </w:r>
    </w:p>
    <w:p>
      <w:pPr>
        <w:pStyle w:val="13"/>
        <w:numPr>
          <w:ilvl w:val="0"/>
          <w:numId w:val="19"/>
        </w:numPr>
        <w:tabs>
          <w:tab w:val="left" w:pos="1203"/>
        </w:tabs>
        <w:spacing w:before="0" w:after="0" w:line="306" w:lineRule="exact"/>
        <w:ind w:left="1202" w:right="0" w:hanging="323"/>
        <w:jc w:val="left"/>
        <w:outlineLvl w:val="2"/>
        <w:rPr>
          <w:color w:val="auto"/>
          <w:highlight w:val="none"/>
        </w:rPr>
      </w:pPr>
      <w:bookmarkStart w:id="185" w:name="_bookmark40"/>
      <w:bookmarkEnd w:id="185"/>
      <w:bookmarkStart w:id="186" w:name="2. 发包人的责任与义务"/>
      <w:bookmarkEnd w:id="186"/>
      <w:bookmarkStart w:id="187" w:name="_Toc4584"/>
      <w:r>
        <w:rPr>
          <w:color w:val="auto"/>
          <w:highlight w:val="none"/>
        </w:rPr>
        <w:t>发包人的责任与义务</w:t>
      </w:r>
      <w:bookmarkEnd w:id="187"/>
    </w:p>
    <w:p>
      <w:pPr>
        <w:tabs>
          <w:tab w:val="left" w:pos="4759"/>
        </w:tabs>
        <w:spacing w:before="134"/>
        <w:ind w:left="878" w:right="0" w:firstLine="0"/>
        <w:jc w:val="left"/>
        <w:rPr>
          <w:color w:val="auto"/>
          <w:sz w:val="24"/>
          <w:highlight w:val="none"/>
        </w:rPr>
      </w:pPr>
      <w:r>
        <w:rPr>
          <w:rFonts w:ascii="Arial" w:eastAsia="Arial"/>
          <w:color w:val="auto"/>
          <w:sz w:val="24"/>
          <w:highlight w:val="none"/>
        </w:rPr>
        <w:t>2.8</w:t>
      </w:r>
      <w:r>
        <w:rPr>
          <w:rFonts w:ascii="Arial" w:eastAsia="Arial"/>
          <w:color w:val="auto"/>
          <w:spacing w:val="53"/>
          <w:sz w:val="24"/>
          <w:highlight w:val="none"/>
        </w:rPr>
        <w:t xml:space="preserve"> </w:t>
      </w:r>
      <w:r>
        <w:rPr>
          <w:color w:val="auto"/>
          <w:sz w:val="24"/>
          <w:highlight w:val="none"/>
        </w:rPr>
        <w:t>发包人应履行的</w:t>
      </w:r>
      <w:r>
        <w:rPr>
          <w:color w:val="auto"/>
          <w:spacing w:val="-3"/>
          <w:sz w:val="24"/>
          <w:highlight w:val="none"/>
        </w:rPr>
        <w:t>其</w:t>
      </w:r>
      <w:r>
        <w:rPr>
          <w:color w:val="auto"/>
          <w:sz w:val="24"/>
          <w:highlight w:val="none"/>
        </w:rPr>
        <w:t>他义务：</w:t>
      </w:r>
      <w:r>
        <w:rPr>
          <w:color w:val="auto"/>
          <w:sz w:val="24"/>
          <w:highlight w:val="none"/>
          <w:u w:val="single"/>
        </w:rPr>
        <w:t xml:space="preserve">  </w:t>
      </w:r>
      <w:r>
        <w:rPr>
          <w:rFonts w:ascii="Arial" w:eastAsia="Arial"/>
          <w:color w:val="auto"/>
          <w:sz w:val="24"/>
          <w:highlight w:val="none"/>
          <w:u w:val="single"/>
        </w:rPr>
        <w:t>/</w:t>
      </w:r>
      <w:r>
        <w:rPr>
          <w:rFonts w:ascii="Arial" w:eastAsia="Arial"/>
          <w:color w:val="auto"/>
          <w:sz w:val="24"/>
          <w:highlight w:val="none"/>
          <w:u w:val="single"/>
        </w:rPr>
        <w:tab/>
      </w:r>
      <w:r>
        <w:rPr>
          <w:color w:val="auto"/>
          <w:sz w:val="24"/>
          <w:highlight w:val="none"/>
        </w:rPr>
        <w:t>。</w:t>
      </w:r>
    </w:p>
    <w:p>
      <w:pPr>
        <w:pStyle w:val="13"/>
        <w:numPr>
          <w:ilvl w:val="0"/>
          <w:numId w:val="19"/>
        </w:numPr>
        <w:tabs>
          <w:tab w:val="left" w:pos="1203"/>
        </w:tabs>
        <w:spacing w:before="131" w:after="0" w:line="240" w:lineRule="auto"/>
        <w:ind w:left="1202" w:right="0" w:hanging="323"/>
        <w:jc w:val="left"/>
        <w:outlineLvl w:val="2"/>
        <w:rPr>
          <w:color w:val="auto"/>
          <w:highlight w:val="none"/>
        </w:rPr>
      </w:pPr>
      <w:bookmarkStart w:id="188" w:name="_bookmark41"/>
      <w:bookmarkEnd w:id="188"/>
      <w:bookmarkStart w:id="189" w:name="3. 设计人的责任与义务"/>
      <w:bookmarkEnd w:id="189"/>
      <w:bookmarkStart w:id="190" w:name="_Toc2008"/>
      <w:r>
        <w:rPr>
          <w:color w:val="auto"/>
          <w:highlight w:val="none"/>
        </w:rPr>
        <w:t>设计人的责任与义务</w:t>
      </w:r>
      <w:bookmarkEnd w:id="190"/>
    </w:p>
    <w:p>
      <w:pPr>
        <w:pStyle w:val="30"/>
        <w:numPr>
          <w:ilvl w:val="1"/>
          <w:numId w:val="20"/>
        </w:numPr>
        <w:tabs>
          <w:tab w:val="left" w:pos="1335"/>
        </w:tabs>
        <w:spacing w:before="132" w:after="0" w:line="240" w:lineRule="auto"/>
        <w:ind w:left="1334" w:right="0" w:hanging="457"/>
        <w:jc w:val="left"/>
        <w:rPr>
          <w:b/>
          <w:color w:val="auto"/>
          <w:sz w:val="24"/>
          <w:highlight w:val="none"/>
        </w:rPr>
      </w:pPr>
      <w:r>
        <w:rPr>
          <w:b/>
          <w:color w:val="auto"/>
          <w:sz w:val="24"/>
          <w:highlight w:val="none"/>
        </w:rPr>
        <w:t>后续服务</w:t>
      </w:r>
    </w:p>
    <w:p>
      <w:pPr>
        <w:spacing w:before="134" w:line="343" w:lineRule="auto"/>
        <w:ind w:left="398" w:right="350" w:firstLine="480"/>
        <w:jc w:val="left"/>
        <w:rPr>
          <w:color w:val="auto"/>
          <w:sz w:val="24"/>
          <w:highlight w:val="none"/>
        </w:rPr>
      </w:pPr>
      <w:r>
        <w:rPr>
          <w:rFonts w:ascii="Arial" w:eastAsia="Arial"/>
          <w:color w:val="auto"/>
          <w:sz w:val="24"/>
          <w:highlight w:val="none"/>
        </w:rPr>
        <w:t xml:space="preserve">3.4.2 </w:t>
      </w:r>
      <w:r>
        <w:rPr>
          <w:color w:val="auto"/>
          <w:sz w:val="24"/>
          <w:highlight w:val="none"/>
        </w:rPr>
        <w:t xml:space="preserve">本项目对设计代表的数量和资历条件要求：常驻施工现场的设计代表 </w:t>
      </w:r>
      <w:r>
        <w:rPr>
          <w:rFonts w:ascii="Arial" w:eastAsia="Arial"/>
          <w:color w:val="auto"/>
          <w:sz w:val="24"/>
          <w:highlight w:val="none"/>
        </w:rPr>
        <w:t xml:space="preserve">1 </w:t>
      </w:r>
      <w:r>
        <w:rPr>
          <w:color w:val="auto"/>
          <w:sz w:val="24"/>
          <w:highlight w:val="none"/>
        </w:rPr>
        <w:t>名，由负责本设计项目的路基路面分项负责人担任。</w:t>
      </w:r>
    </w:p>
    <w:p>
      <w:pPr>
        <w:spacing w:before="0" w:line="306" w:lineRule="exact"/>
        <w:ind w:left="878" w:right="0" w:firstLine="0"/>
        <w:jc w:val="left"/>
        <w:rPr>
          <w:b/>
          <w:color w:val="auto"/>
          <w:sz w:val="24"/>
          <w:highlight w:val="none"/>
        </w:rPr>
      </w:pPr>
      <w:r>
        <w:rPr>
          <w:b/>
          <w:color w:val="auto"/>
          <w:sz w:val="24"/>
          <w:highlight w:val="none"/>
        </w:rPr>
        <w:t xml:space="preserve">补充 </w:t>
      </w:r>
      <w:r>
        <w:rPr>
          <w:rFonts w:ascii="Arial" w:eastAsia="Arial"/>
          <w:b/>
          <w:color w:val="auto"/>
          <w:sz w:val="24"/>
          <w:highlight w:val="none"/>
        </w:rPr>
        <w:t>3.4.4</w:t>
      </w:r>
      <w:r>
        <w:rPr>
          <w:b/>
          <w:color w:val="auto"/>
          <w:sz w:val="24"/>
          <w:highlight w:val="none"/>
        </w:rPr>
        <w:t>、</w:t>
      </w:r>
      <w:r>
        <w:rPr>
          <w:rFonts w:ascii="Arial" w:eastAsia="Arial"/>
          <w:b/>
          <w:color w:val="auto"/>
          <w:sz w:val="24"/>
          <w:highlight w:val="none"/>
        </w:rPr>
        <w:t xml:space="preserve">3.4.5 </w:t>
      </w:r>
      <w:r>
        <w:rPr>
          <w:b/>
          <w:color w:val="auto"/>
          <w:sz w:val="24"/>
          <w:highlight w:val="none"/>
        </w:rPr>
        <w:t>项：</w:t>
      </w:r>
    </w:p>
    <w:p>
      <w:pPr>
        <w:pStyle w:val="30"/>
        <w:numPr>
          <w:ilvl w:val="2"/>
          <w:numId w:val="21"/>
        </w:numPr>
        <w:tabs>
          <w:tab w:val="left" w:pos="1515"/>
        </w:tabs>
        <w:spacing w:before="134" w:after="0" w:line="343" w:lineRule="auto"/>
        <w:ind w:left="398" w:right="412" w:firstLine="480"/>
        <w:jc w:val="both"/>
        <w:rPr>
          <w:color w:val="auto"/>
          <w:sz w:val="24"/>
          <w:highlight w:val="none"/>
        </w:rPr>
      </w:pPr>
      <w:r>
        <w:rPr>
          <w:color w:val="auto"/>
          <w:spacing w:val="-2"/>
          <w:sz w:val="24"/>
          <w:highlight w:val="none"/>
        </w:rPr>
        <w:t>设计人的设计代表处负责人、机构设置、人员组成、职责分工，在接到发包人</w:t>
      </w:r>
      <w:r>
        <w:rPr>
          <w:color w:val="auto"/>
          <w:spacing w:val="-9"/>
          <w:sz w:val="24"/>
          <w:highlight w:val="none"/>
        </w:rPr>
        <w:t>通知后一周内，向发包人核备；同时，自备满足生活、办公需要的设施、设备及车辆。设</w:t>
      </w:r>
      <w:r>
        <w:rPr>
          <w:color w:val="auto"/>
          <w:spacing w:val="-8"/>
          <w:sz w:val="24"/>
          <w:highlight w:val="none"/>
        </w:rPr>
        <w:t>计代表资格、人数及驻现场时间应满足以下要求，否则，设计代表处将被视为不合格，按</w:t>
      </w:r>
      <w:r>
        <w:rPr>
          <w:color w:val="auto"/>
          <w:sz w:val="24"/>
          <w:highlight w:val="none"/>
        </w:rPr>
        <w:t>设计人违约处理。</w:t>
      </w:r>
    </w:p>
    <w:p>
      <w:pPr>
        <w:pStyle w:val="30"/>
        <w:numPr>
          <w:ilvl w:val="0"/>
          <w:numId w:val="22"/>
        </w:numPr>
        <w:tabs>
          <w:tab w:val="left" w:pos="1494"/>
        </w:tabs>
        <w:spacing w:before="0" w:after="0" w:line="343" w:lineRule="auto"/>
        <w:ind w:left="398" w:right="412" w:firstLine="480"/>
        <w:jc w:val="both"/>
        <w:rPr>
          <w:color w:val="auto"/>
          <w:sz w:val="24"/>
          <w:highlight w:val="none"/>
        </w:rPr>
      </w:pPr>
      <w:r>
        <w:rPr>
          <w:color w:val="auto"/>
          <w:spacing w:val="-2"/>
          <w:sz w:val="24"/>
          <w:highlight w:val="none"/>
        </w:rPr>
        <w:t xml:space="preserve">除常驻人员外，涉及各专业其他人员应根据各专业工程进度进展各派至少 </w:t>
      </w:r>
      <w:r>
        <w:rPr>
          <w:rFonts w:ascii="Arial" w:eastAsia="Arial"/>
          <w:color w:val="auto"/>
          <w:sz w:val="24"/>
          <w:highlight w:val="none"/>
        </w:rPr>
        <w:t>1</w:t>
      </w:r>
      <w:r>
        <w:rPr>
          <w:rFonts w:ascii="Arial" w:eastAsia="Arial"/>
          <w:color w:val="auto"/>
          <w:spacing w:val="-4"/>
          <w:sz w:val="24"/>
          <w:highlight w:val="none"/>
        </w:rPr>
        <w:t xml:space="preserve"> </w:t>
      </w:r>
      <w:r>
        <w:rPr>
          <w:color w:val="auto"/>
          <w:spacing w:val="-16"/>
          <w:sz w:val="24"/>
          <w:highlight w:val="none"/>
        </w:rPr>
        <w:t>名</w:t>
      </w:r>
      <w:r>
        <w:rPr>
          <w:color w:val="auto"/>
          <w:sz w:val="24"/>
          <w:highlight w:val="none"/>
        </w:rPr>
        <w:t>参与本项目设计的专业人员按发包人要求分阶段进驻。</w:t>
      </w:r>
    </w:p>
    <w:p>
      <w:pPr>
        <w:pStyle w:val="30"/>
        <w:numPr>
          <w:ilvl w:val="0"/>
          <w:numId w:val="22"/>
        </w:numPr>
        <w:tabs>
          <w:tab w:val="left" w:pos="1494"/>
        </w:tabs>
        <w:spacing w:before="2" w:after="0" w:line="343" w:lineRule="auto"/>
        <w:ind w:left="398" w:right="412" w:firstLine="480"/>
        <w:jc w:val="both"/>
        <w:rPr>
          <w:color w:val="auto"/>
          <w:sz w:val="24"/>
          <w:highlight w:val="none"/>
        </w:rPr>
      </w:pPr>
      <w:r>
        <w:rPr>
          <w:color w:val="auto"/>
          <w:sz w:val="24"/>
          <w:highlight w:val="none"/>
        </w:rPr>
        <w:t xml:space="preserve">在结构工程实施期间，结构专业的设计代表应确保每天驻现场；工程进展中涉及其他专业派驻的常驻设计代表常驻施工现场时间每月不得少于 </w:t>
      </w:r>
      <w:r>
        <w:rPr>
          <w:rFonts w:ascii="Arial" w:eastAsia="Arial"/>
          <w:color w:val="auto"/>
          <w:sz w:val="24"/>
          <w:highlight w:val="none"/>
        </w:rPr>
        <w:t>20</w:t>
      </w:r>
      <w:r>
        <w:rPr>
          <w:rFonts w:ascii="Arial" w:eastAsia="Arial"/>
          <w:color w:val="auto"/>
          <w:spacing w:val="8"/>
          <w:sz w:val="24"/>
          <w:highlight w:val="none"/>
        </w:rPr>
        <w:t xml:space="preserve"> </w:t>
      </w:r>
      <w:r>
        <w:rPr>
          <w:color w:val="auto"/>
          <w:sz w:val="24"/>
          <w:highlight w:val="none"/>
        </w:rPr>
        <w:t>天（发包人同意除外）；</w:t>
      </w:r>
    </w:p>
    <w:p>
      <w:pPr>
        <w:pStyle w:val="30"/>
        <w:numPr>
          <w:ilvl w:val="0"/>
          <w:numId w:val="22"/>
        </w:numPr>
        <w:tabs>
          <w:tab w:val="left" w:pos="1494"/>
        </w:tabs>
        <w:spacing w:before="1" w:after="0" w:line="343" w:lineRule="auto"/>
        <w:ind w:left="398" w:right="417" w:firstLine="480"/>
        <w:jc w:val="both"/>
        <w:rPr>
          <w:color w:val="auto"/>
          <w:sz w:val="24"/>
          <w:highlight w:val="none"/>
        </w:rPr>
      </w:pPr>
      <w:r>
        <w:rPr>
          <w:color w:val="auto"/>
          <w:sz w:val="24"/>
          <w:highlight w:val="none"/>
        </w:rPr>
        <w:t>设计代表处在工程实施的任何时间（发包人统一安排休息除外），</w:t>
      </w:r>
      <w:r>
        <w:rPr>
          <w:color w:val="auto"/>
          <w:spacing w:val="-3"/>
          <w:sz w:val="24"/>
          <w:highlight w:val="none"/>
        </w:rPr>
        <w:t>常驻施工现</w:t>
      </w:r>
      <w:r>
        <w:rPr>
          <w:color w:val="auto"/>
          <w:spacing w:val="-6"/>
          <w:sz w:val="24"/>
          <w:highlight w:val="none"/>
        </w:rPr>
        <w:t>场的设计代表不少于</w:t>
      </w:r>
      <w:r>
        <w:rPr>
          <w:rFonts w:ascii="Arial" w:eastAsia="Arial"/>
          <w:color w:val="auto"/>
          <w:sz w:val="24"/>
          <w:highlight w:val="none"/>
        </w:rPr>
        <w:t>1</w:t>
      </w:r>
      <w:r>
        <w:rPr>
          <w:rFonts w:ascii="Arial" w:eastAsia="Arial"/>
          <w:color w:val="auto"/>
          <w:spacing w:val="-6"/>
          <w:sz w:val="24"/>
          <w:highlight w:val="none"/>
        </w:rPr>
        <w:t xml:space="preserve"> </w:t>
      </w:r>
      <w:r>
        <w:rPr>
          <w:color w:val="auto"/>
          <w:sz w:val="24"/>
          <w:highlight w:val="none"/>
        </w:rPr>
        <w:t>名。</w:t>
      </w:r>
    </w:p>
    <w:p>
      <w:pPr>
        <w:spacing w:before="0" w:line="343" w:lineRule="auto"/>
        <w:ind w:left="398" w:right="412" w:firstLine="480"/>
        <w:jc w:val="both"/>
        <w:rPr>
          <w:color w:val="auto"/>
          <w:sz w:val="24"/>
          <w:highlight w:val="none"/>
        </w:rPr>
      </w:pPr>
      <w:r>
        <w:rPr>
          <w:color w:val="auto"/>
          <w:spacing w:val="-7"/>
          <w:sz w:val="24"/>
          <w:highlight w:val="none"/>
        </w:rPr>
        <w:t>如果设计代表不能胜任工作、渎职或从事其他违纪、违反活动，发包人有权以书面形式提出更换要求，设计人应立即无条件派出具有同等资历的人员替换，不得拒绝。设计人</w:t>
      </w:r>
      <w:r>
        <w:rPr>
          <w:color w:val="auto"/>
          <w:spacing w:val="-5"/>
          <w:sz w:val="24"/>
          <w:highlight w:val="none"/>
        </w:rPr>
        <w:t>在事先取得发包人书面同意后可以更换派驻现场人员，但应符合合同规定的资历要求，并</w:t>
      </w:r>
      <w:r>
        <w:rPr>
          <w:color w:val="auto"/>
          <w:sz w:val="24"/>
          <w:highlight w:val="none"/>
        </w:rPr>
        <w:t>不得影响工作，否则，发包人有权拒绝，并按设计人违约处理。</w:t>
      </w:r>
    </w:p>
    <w:p>
      <w:pPr>
        <w:spacing w:after="0" w:line="343" w:lineRule="auto"/>
        <w:jc w:val="both"/>
        <w:rPr>
          <w:color w:val="auto"/>
          <w:sz w:val="24"/>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pStyle w:val="30"/>
        <w:numPr>
          <w:ilvl w:val="2"/>
          <w:numId w:val="21"/>
        </w:numPr>
        <w:tabs>
          <w:tab w:val="left" w:pos="1515"/>
        </w:tabs>
        <w:spacing w:before="48" w:after="0" w:line="343" w:lineRule="auto"/>
        <w:ind w:left="398" w:right="412" w:firstLine="480"/>
        <w:jc w:val="both"/>
        <w:rPr>
          <w:color w:val="auto"/>
          <w:sz w:val="24"/>
          <w:highlight w:val="none"/>
        </w:rPr>
      </w:pPr>
      <w:r>
        <w:rPr>
          <w:color w:val="auto"/>
          <w:spacing w:val="-2"/>
          <w:sz w:val="24"/>
          <w:highlight w:val="none"/>
        </w:rPr>
        <w:t>施工过程中发生变更，应采用设计技术联系单的形式，联系单内容应包括变更</w:t>
      </w:r>
      <w:r>
        <w:rPr>
          <w:color w:val="auto"/>
          <w:sz w:val="24"/>
          <w:highlight w:val="none"/>
        </w:rPr>
        <w:t>原因、变更估价及变更费用增减、变更内容。</w:t>
      </w:r>
    </w:p>
    <w:p>
      <w:pPr>
        <w:pStyle w:val="30"/>
        <w:numPr>
          <w:ilvl w:val="1"/>
          <w:numId w:val="20"/>
        </w:numPr>
        <w:tabs>
          <w:tab w:val="left" w:pos="1335"/>
        </w:tabs>
        <w:spacing w:before="0" w:after="0" w:line="306" w:lineRule="exact"/>
        <w:ind w:left="1334" w:right="0" w:hanging="457"/>
        <w:jc w:val="both"/>
        <w:rPr>
          <w:b/>
          <w:color w:val="auto"/>
          <w:sz w:val="24"/>
          <w:highlight w:val="none"/>
        </w:rPr>
      </w:pPr>
      <w:r>
        <w:rPr>
          <w:b/>
          <w:color w:val="auto"/>
          <w:w w:val="95"/>
          <w:sz w:val="24"/>
          <w:highlight w:val="none"/>
        </w:rPr>
        <w:t>履约担保</w:t>
      </w:r>
    </w:p>
    <w:p>
      <w:pPr>
        <w:pStyle w:val="30"/>
        <w:numPr>
          <w:ilvl w:val="2"/>
          <w:numId w:val="20"/>
        </w:numPr>
        <w:tabs>
          <w:tab w:val="left" w:pos="1534"/>
        </w:tabs>
        <w:spacing w:before="134" w:after="0" w:line="240" w:lineRule="auto"/>
        <w:ind w:left="1533" w:right="0" w:hanging="656"/>
        <w:jc w:val="both"/>
        <w:rPr>
          <w:color w:val="auto"/>
          <w:sz w:val="24"/>
          <w:highlight w:val="none"/>
        </w:rPr>
      </w:pPr>
      <w:r>
        <w:rPr>
          <w:color w:val="auto"/>
          <w:sz w:val="24"/>
          <w:highlight w:val="none"/>
        </w:rPr>
        <w:t>项约定为：</w:t>
      </w:r>
    </w:p>
    <w:p>
      <w:pPr>
        <w:spacing w:before="132" w:line="292" w:lineRule="auto"/>
        <w:ind w:left="398" w:right="410" w:firstLine="480"/>
        <w:jc w:val="both"/>
        <w:rPr>
          <w:color w:val="auto"/>
          <w:sz w:val="24"/>
          <w:highlight w:val="none"/>
        </w:rPr>
      </w:pPr>
      <w:r>
        <w:rPr>
          <w:color w:val="auto"/>
          <w:spacing w:val="-7"/>
          <w:sz w:val="24"/>
          <w:highlight w:val="none"/>
        </w:rPr>
        <w:t>设计人在签订合同协议书之前，应向发包人提供金额为</w:t>
      </w:r>
      <w:r>
        <w:rPr>
          <w:color w:val="auto"/>
          <w:spacing w:val="-7"/>
          <w:sz w:val="24"/>
          <w:highlight w:val="none"/>
          <w:u w:val="single"/>
        </w:rPr>
        <w:t xml:space="preserve"> </w:t>
      </w:r>
      <w:r>
        <w:rPr>
          <w:rFonts w:hint="eastAsia" w:ascii="Arial" w:eastAsia="宋体"/>
          <w:color w:val="auto"/>
          <w:sz w:val="24"/>
          <w:highlight w:val="none"/>
          <w:u w:val="single"/>
          <w:lang w:val="en-US" w:eastAsia="zh-CN"/>
        </w:rPr>
        <w:t xml:space="preserve"> </w:t>
      </w:r>
      <w:r>
        <w:rPr>
          <w:rFonts w:hint="eastAsia" w:ascii="Arial"/>
          <w:color w:val="auto"/>
          <w:sz w:val="24"/>
          <w:highlight w:val="none"/>
          <w:u w:val="single"/>
          <w:lang w:val="en-US" w:eastAsia="zh-CN"/>
        </w:rPr>
        <w:t>1</w:t>
      </w:r>
      <w:r>
        <w:rPr>
          <w:rFonts w:hint="eastAsia" w:ascii="Arial" w:eastAsia="宋体"/>
          <w:color w:val="auto"/>
          <w:sz w:val="24"/>
          <w:highlight w:val="none"/>
          <w:u w:val="single"/>
          <w:lang w:val="en-US" w:eastAsia="zh-CN"/>
        </w:rPr>
        <w:t xml:space="preserve">  </w:t>
      </w:r>
      <w:r>
        <w:rPr>
          <w:color w:val="auto"/>
          <w:spacing w:val="-8"/>
          <w:sz w:val="24"/>
          <w:highlight w:val="none"/>
        </w:rPr>
        <w:t>万元的履约担保。履约担保</w:t>
      </w:r>
      <w:r>
        <w:rPr>
          <w:color w:val="auto"/>
          <w:spacing w:val="-4"/>
          <w:sz w:val="24"/>
          <w:highlight w:val="none"/>
        </w:rPr>
        <w:t>的形式：</w:t>
      </w:r>
      <w:r>
        <w:rPr>
          <w:rFonts w:hint="eastAsia" w:ascii="Arial Unicode MS" w:eastAsia="Arial Unicode MS"/>
          <w:b/>
          <w:color w:val="auto"/>
          <w:spacing w:val="-10"/>
          <w:sz w:val="24"/>
          <w:highlight w:val="none"/>
          <w:u w:val="single"/>
        </w:rPr>
        <w:t>现金</w:t>
      </w:r>
      <w:r>
        <w:rPr>
          <w:rFonts w:hint="eastAsia" w:ascii="Arial Unicode MS" w:eastAsia="Arial Unicode MS"/>
          <w:b/>
          <w:color w:val="auto"/>
          <w:sz w:val="24"/>
          <w:highlight w:val="none"/>
          <w:u w:val="single"/>
        </w:rPr>
        <w:t>（电汇或银行汇票形式</w:t>
      </w:r>
      <w:r>
        <w:rPr>
          <w:rFonts w:hint="eastAsia" w:ascii="Arial Unicode MS" w:eastAsia="Arial Unicode MS"/>
          <w:b/>
          <w:color w:val="auto"/>
          <w:spacing w:val="-17"/>
          <w:sz w:val="24"/>
          <w:highlight w:val="none"/>
          <w:u w:val="single"/>
        </w:rPr>
        <w:t>）</w:t>
      </w:r>
      <w:r>
        <w:rPr>
          <w:rFonts w:hint="eastAsia" w:ascii="Arial Unicode MS" w:eastAsia="Arial Unicode MS"/>
          <w:b/>
          <w:color w:val="auto"/>
          <w:spacing w:val="-2"/>
          <w:sz w:val="24"/>
          <w:highlight w:val="none"/>
          <w:u w:val="single"/>
        </w:rPr>
        <w:t>或银行保函或保险公司保函；</w:t>
      </w:r>
      <w:r>
        <w:rPr>
          <w:color w:val="auto"/>
          <w:spacing w:val="-6"/>
          <w:sz w:val="24"/>
          <w:highlight w:val="none"/>
        </w:rPr>
        <w:t>履约保函应由国有</w:t>
      </w:r>
      <w:r>
        <w:rPr>
          <w:color w:val="auto"/>
          <w:spacing w:val="-2"/>
          <w:sz w:val="24"/>
          <w:highlight w:val="none"/>
        </w:rPr>
        <w:t>商业银行或股份制商业银行的县</w:t>
      </w:r>
      <w:r>
        <w:rPr>
          <w:color w:val="auto"/>
          <w:sz w:val="24"/>
          <w:highlight w:val="none"/>
        </w:rPr>
        <w:t>（</w:t>
      </w:r>
      <w:r>
        <w:rPr>
          <w:color w:val="auto"/>
          <w:spacing w:val="-8"/>
          <w:sz w:val="24"/>
          <w:highlight w:val="none"/>
        </w:rPr>
        <w:t>区、市</w:t>
      </w:r>
      <w:r>
        <w:rPr>
          <w:color w:val="auto"/>
          <w:spacing w:val="-22"/>
          <w:sz w:val="24"/>
          <w:highlight w:val="none"/>
        </w:rPr>
        <w:t>）</w:t>
      </w:r>
      <w:r>
        <w:rPr>
          <w:color w:val="auto"/>
          <w:spacing w:val="-3"/>
          <w:sz w:val="24"/>
          <w:highlight w:val="none"/>
        </w:rPr>
        <w:t>级或其以上级别银行开具。本履约担保至本项</w:t>
      </w:r>
    </w:p>
    <w:p>
      <w:pPr>
        <w:spacing w:before="60"/>
        <w:ind w:left="398" w:right="0" w:firstLine="0"/>
        <w:jc w:val="both"/>
        <w:rPr>
          <w:color w:val="auto"/>
          <w:sz w:val="24"/>
          <w:highlight w:val="none"/>
        </w:rPr>
      </w:pPr>
      <w:r>
        <w:rPr>
          <w:color w:val="auto"/>
          <w:sz w:val="24"/>
          <w:highlight w:val="none"/>
        </w:rPr>
        <w:t xml:space="preserve">目交工验收证书颁发后 </w:t>
      </w:r>
      <w:r>
        <w:rPr>
          <w:rFonts w:ascii="Arial" w:eastAsia="Arial"/>
          <w:color w:val="auto"/>
          <w:sz w:val="24"/>
          <w:highlight w:val="none"/>
        </w:rPr>
        <w:t xml:space="preserve">28 </w:t>
      </w:r>
      <w:r>
        <w:rPr>
          <w:color w:val="auto"/>
          <w:sz w:val="24"/>
          <w:highlight w:val="none"/>
        </w:rPr>
        <w:t>天内一直有效。</w:t>
      </w:r>
    </w:p>
    <w:p>
      <w:pPr>
        <w:pStyle w:val="30"/>
        <w:numPr>
          <w:ilvl w:val="1"/>
          <w:numId w:val="23"/>
        </w:numPr>
        <w:tabs>
          <w:tab w:val="left" w:pos="1335"/>
        </w:tabs>
        <w:spacing w:before="131" w:after="0" w:line="240" w:lineRule="auto"/>
        <w:ind w:left="1334" w:right="0" w:hanging="457"/>
        <w:jc w:val="both"/>
        <w:rPr>
          <w:b/>
          <w:color w:val="auto"/>
          <w:sz w:val="24"/>
          <w:highlight w:val="none"/>
        </w:rPr>
      </w:pPr>
      <w:r>
        <w:rPr>
          <w:b/>
          <w:color w:val="auto"/>
          <w:sz w:val="24"/>
          <w:highlight w:val="none"/>
        </w:rPr>
        <w:t>其他义务</w:t>
      </w:r>
    </w:p>
    <w:p>
      <w:pPr>
        <w:spacing w:before="134"/>
        <w:ind w:left="878" w:right="0" w:firstLine="0"/>
        <w:jc w:val="both"/>
        <w:rPr>
          <w:color w:val="auto"/>
          <w:sz w:val="24"/>
          <w:highlight w:val="none"/>
        </w:rPr>
      </w:pPr>
      <w:r>
        <w:rPr>
          <w:color w:val="auto"/>
          <w:sz w:val="24"/>
          <w:highlight w:val="none"/>
        </w:rPr>
        <w:t>设计人应履行的其他义务：</w:t>
      </w:r>
    </w:p>
    <w:p>
      <w:pPr>
        <w:pStyle w:val="30"/>
        <w:numPr>
          <w:ilvl w:val="2"/>
          <w:numId w:val="23"/>
        </w:numPr>
        <w:tabs>
          <w:tab w:val="left" w:pos="1474"/>
        </w:tabs>
        <w:spacing w:before="132" w:after="0" w:line="240" w:lineRule="auto"/>
        <w:ind w:left="1473" w:right="0" w:hanging="596"/>
        <w:jc w:val="both"/>
        <w:rPr>
          <w:color w:val="auto"/>
          <w:sz w:val="24"/>
          <w:highlight w:val="none"/>
        </w:rPr>
      </w:pPr>
      <w:r>
        <w:rPr>
          <w:color w:val="auto"/>
          <w:spacing w:val="-1"/>
          <w:sz w:val="24"/>
          <w:highlight w:val="none"/>
        </w:rPr>
        <w:t>强化过程管理，提高设计质量。</w:t>
      </w:r>
    </w:p>
    <w:p>
      <w:pPr>
        <w:spacing w:before="132" w:line="343" w:lineRule="auto"/>
        <w:ind w:left="878" w:right="807" w:firstLine="0"/>
        <w:jc w:val="both"/>
        <w:rPr>
          <w:color w:val="auto"/>
          <w:sz w:val="24"/>
          <w:highlight w:val="none"/>
        </w:rPr>
      </w:pPr>
      <w:r>
        <w:rPr>
          <w:color w:val="auto"/>
          <w:sz w:val="24"/>
          <w:highlight w:val="none"/>
        </w:rPr>
        <w:t xml:space="preserve">设计人应建立健全内部质量保证体系，严格按照设计质量管理流程开展设计。 </w:t>
      </w:r>
      <w:r>
        <w:rPr>
          <w:color w:val="auto"/>
          <w:spacing w:val="-1"/>
          <w:sz w:val="24"/>
          <w:highlight w:val="none"/>
        </w:rPr>
        <w:t>设计人应认真执行合同明确的设计周期，不得随意变更周期，以保证设计质量。</w:t>
      </w:r>
      <w:r>
        <w:rPr>
          <w:color w:val="auto"/>
          <w:sz w:val="24"/>
          <w:highlight w:val="none"/>
        </w:rPr>
        <w:t>设计人应加强建设过程中设计与施工的密切配合衔接。</w:t>
      </w:r>
    </w:p>
    <w:p>
      <w:pPr>
        <w:pStyle w:val="30"/>
        <w:numPr>
          <w:ilvl w:val="2"/>
          <w:numId w:val="23"/>
        </w:numPr>
        <w:tabs>
          <w:tab w:val="left" w:pos="1474"/>
        </w:tabs>
        <w:spacing w:before="1" w:after="0" w:line="240" w:lineRule="auto"/>
        <w:ind w:left="1473" w:right="0" w:hanging="596"/>
        <w:jc w:val="both"/>
        <w:rPr>
          <w:color w:val="auto"/>
          <w:sz w:val="24"/>
          <w:highlight w:val="none"/>
        </w:rPr>
      </w:pPr>
      <w:r>
        <w:rPr>
          <w:color w:val="auto"/>
          <w:spacing w:val="-1"/>
          <w:sz w:val="24"/>
          <w:highlight w:val="none"/>
        </w:rPr>
        <w:t>健全设计变更管理制度，规范设计变更管理。</w:t>
      </w:r>
    </w:p>
    <w:p>
      <w:pPr>
        <w:spacing w:before="134" w:line="343" w:lineRule="auto"/>
        <w:ind w:left="398" w:right="412" w:firstLine="480"/>
        <w:jc w:val="both"/>
        <w:rPr>
          <w:color w:val="auto"/>
          <w:sz w:val="24"/>
          <w:highlight w:val="none"/>
        </w:rPr>
      </w:pPr>
      <w:r>
        <w:rPr>
          <w:color w:val="auto"/>
          <w:spacing w:val="-10"/>
          <w:sz w:val="24"/>
          <w:highlight w:val="none"/>
        </w:rPr>
        <w:t>对重大、较大设计变更发包人要组织专家进行研究论证，报经原设计批复部门审查批</w:t>
      </w:r>
      <w:r>
        <w:rPr>
          <w:color w:val="auto"/>
          <w:sz w:val="24"/>
          <w:highlight w:val="none"/>
        </w:rPr>
        <w:t>准后方可实施。</w:t>
      </w:r>
    </w:p>
    <w:p>
      <w:pPr>
        <w:pStyle w:val="30"/>
        <w:numPr>
          <w:ilvl w:val="2"/>
          <w:numId w:val="23"/>
        </w:numPr>
        <w:tabs>
          <w:tab w:val="left" w:pos="1515"/>
        </w:tabs>
        <w:spacing w:before="0" w:after="0" w:line="343" w:lineRule="auto"/>
        <w:ind w:left="398" w:right="412" w:firstLine="480"/>
        <w:jc w:val="both"/>
        <w:rPr>
          <w:color w:val="auto"/>
          <w:sz w:val="24"/>
          <w:highlight w:val="none"/>
        </w:rPr>
      </w:pPr>
      <w:r>
        <w:rPr>
          <w:color w:val="auto"/>
          <w:spacing w:val="-2"/>
          <w:sz w:val="24"/>
          <w:highlight w:val="none"/>
        </w:rPr>
        <w:t>设计人应积极配合发包人进行本项目工程各项施工招标文件，按发包人规定的</w:t>
      </w:r>
      <w:r>
        <w:rPr>
          <w:color w:val="auto"/>
          <w:spacing w:val="-9"/>
          <w:sz w:val="24"/>
          <w:highlight w:val="none"/>
        </w:rPr>
        <w:t>时间、内容要求及份数提供各施工标段招标所需的主要工程数量、工程说明；按发包人规</w:t>
      </w:r>
      <w:r>
        <w:rPr>
          <w:color w:val="auto"/>
          <w:spacing w:val="-5"/>
          <w:sz w:val="24"/>
          <w:highlight w:val="none"/>
        </w:rPr>
        <w:t>定的时间及份数提供各施工标段施工招标所需的招标图纸、工程量清单、清单说明及相应</w:t>
      </w:r>
      <w:r>
        <w:rPr>
          <w:color w:val="auto"/>
          <w:spacing w:val="-7"/>
          <w:sz w:val="24"/>
          <w:highlight w:val="none"/>
        </w:rPr>
        <w:t>的项目施工专用技术规范；按发包人要求派相关人员参加投标预备会，对相关设计问题进</w:t>
      </w:r>
      <w:r>
        <w:rPr>
          <w:color w:val="auto"/>
          <w:sz w:val="24"/>
          <w:highlight w:val="none"/>
        </w:rPr>
        <w:t>行答疑。</w:t>
      </w:r>
    </w:p>
    <w:p>
      <w:pPr>
        <w:pStyle w:val="30"/>
        <w:numPr>
          <w:ilvl w:val="2"/>
          <w:numId w:val="23"/>
        </w:numPr>
        <w:tabs>
          <w:tab w:val="left" w:pos="1515"/>
        </w:tabs>
        <w:spacing w:before="1" w:after="0" w:line="343" w:lineRule="auto"/>
        <w:ind w:left="398" w:right="412" w:firstLine="480"/>
        <w:jc w:val="both"/>
        <w:rPr>
          <w:color w:val="auto"/>
          <w:sz w:val="24"/>
          <w:highlight w:val="none"/>
        </w:rPr>
      </w:pPr>
      <w:r>
        <w:rPr>
          <w:color w:val="auto"/>
          <w:spacing w:val="-2"/>
          <w:sz w:val="24"/>
          <w:highlight w:val="none"/>
        </w:rPr>
        <w:t>设计人提供的施工招标工程量清单应与技术规范相对应，设计图纸和工程量清</w:t>
      </w:r>
      <w:r>
        <w:rPr>
          <w:color w:val="auto"/>
          <w:spacing w:val="-10"/>
          <w:sz w:val="24"/>
          <w:highlight w:val="none"/>
        </w:rPr>
        <w:t>单中的数量应准确、一致。设计人原则上应由各专业的具体设计人员按结构物清单详细提</w:t>
      </w:r>
      <w:r>
        <w:rPr>
          <w:color w:val="auto"/>
          <w:spacing w:val="-7"/>
          <w:sz w:val="24"/>
          <w:highlight w:val="none"/>
        </w:rPr>
        <w:t>交工程量统计表供发包人复查，应采取有效措施保证工程量清单的准确性，并保证不发生</w:t>
      </w:r>
      <w:r>
        <w:rPr>
          <w:color w:val="auto"/>
          <w:sz w:val="24"/>
          <w:highlight w:val="none"/>
        </w:rPr>
        <w:t>大的漏项、偏差。</w:t>
      </w:r>
    </w:p>
    <w:p>
      <w:pPr>
        <w:pStyle w:val="13"/>
        <w:numPr>
          <w:ilvl w:val="0"/>
          <w:numId w:val="19"/>
        </w:numPr>
        <w:tabs>
          <w:tab w:val="left" w:pos="1203"/>
        </w:tabs>
        <w:spacing w:before="0" w:after="0" w:line="240" w:lineRule="auto"/>
        <w:ind w:left="1202" w:right="0" w:hanging="323"/>
        <w:jc w:val="both"/>
        <w:outlineLvl w:val="2"/>
        <w:rPr>
          <w:color w:val="auto"/>
          <w:highlight w:val="none"/>
        </w:rPr>
      </w:pPr>
      <w:bookmarkStart w:id="191" w:name="_bookmark42"/>
      <w:bookmarkEnd w:id="191"/>
      <w:bookmarkStart w:id="192" w:name="4. 设计周期及提交成果"/>
      <w:bookmarkEnd w:id="192"/>
      <w:bookmarkStart w:id="193" w:name="_Toc29131"/>
      <w:r>
        <w:rPr>
          <w:color w:val="auto"/>
          <w:highlight w:val="none"/>
        </w:rPr>
        <w:t>设计周期及提交成果</w:t>
      </w:r>
      <w:bookmarkEnd w:id="193"/>
    </w:p>
    <w:p>
      <w:pPr>
        <w:pStyle w:val="30"/>
        <w:numPr>
          <w:ilvl w:val="1"/>
          <w:numId w:val="19"/>
        </w:numPr>
        <w:tabs>
          <w:tab w:val="left" w:pos="1275"/>
        </w:tabs>
        <w:spacing w:before="134" w:after="0" w:line="343" w:lineRule="auto"/>
        <w:ind w:left="878" w:right="6645" w:firstLine="0"/>
        <w:jc w:val="both"/>
        <w:rPr>
          <w:rFonts w:ascii="Arial" w:eastAsia="Arial"/>
          <w:b/>
          <w:color w:val="auto"/>
          <w:sz w:val="24"/>
          <w:highlight w:val="none"/>
        </w:rPr>
      </w:pPr>
      <w:r>
        <w:rPr>
          <w:b/>
          <w:color w:val="auto"/>
          <w:spacing w:val="-2"/>
          <w:sz w:val="24"/>
          <w:highlight w:val="none"/>
        </w:rPr>
        <w:t>设计周期及提交成果</w:t>
      </w:r>
      <w:r>
        <w:rPr>
          <w:b/>
          <w:color w:val="auto"/>
          <w:sz w:val="24"/>
          <w:highlight w:val="none"/>
        </w:rPr>
        <w:t>本款约定为：</w:t>
      </w:r>
    </w:p>
    <w:p>
      <w:pPr>
        <w:pStyle w:val="30"/>
        <w:numPr>
          <w:ilvl w:val="0"/>
          <w:numId w:val="24"/>
        </w:numPr>
        <w:tabs>
          <w:tab w:val="left" w:pos="1360"/>
        </w:tabs>
        <w:spacing w:before="110" w:after="0" w:line="338" w:lineRule="auto"/>
        <w:ind w:left="398" w:right="409" w:firstLine="419"/>
        <w:jc w:val="both"/>
        <w:rPr>
          <w:color w:val="auto"/>
          <w:sz w:val="24"/>
          <w:szCs w:val="24"/>
          <w:highlight w:val="none"/>
        </w:rPr>
      </w:pPr>
      <w:r>
        <w:rPr>
          <w:color w:val="auto"/>
          <w:spacing w:val="-3"/>
          <w:w w:val="100"/>
          <w:sz w:val="24"/>
          <w:szCs w:val="24"/>
          <w:highlight w:val="none"/>
        </w:rPr>
        <w:t>一阶段设计（若遇技术复杂项目除外</w:t>
      </w:r>
      <w:r>
        <w:rPr>
          <w:color w:val="auto"/>
          <w:spacing w:val="-107"/>
          <w:w w:val="100"/>
          <w:sz w:val="24"/>
          <w:szCs w:val="24"/>
          <w:highlight w:val="none"/>
        </w:rPr>
        <w:t>）</w:t>
      </w:r>
      <w:r>
        <w:rPr>
          <w:color w:val="auto"/>
          <w:spacing w:val="-3"/>
          <w:w w:val="100"/>
          <w:sz w:val="24"/>
          <w:szCs w:val="24"/>
          <w:highlight w:val="none"/>
        </w:rPr>
        <w:t>：在收到招标人设计分项任务要求后</w:t>
      </w:r>
      <w:r>
        <w:rPr>
          <w:rFonts w:hint="eastAsia"/>
          <w:color w:val="auto"/>
          <w:spacing w:val="-3"/>
          <w:w w:val="100"/>
          <w:sz w:val="24"/>
          <w:szCs w:val="24"/>
          <w:highlight w:val="none"/>
          <w:lang w:val="en-US" w:eastAsia="zh-CN"/>
        </w:rPr>
        <w:t>30</w:t>
      </w:r>
      <w:r>
        <w:rPr>
          <w:color w:val="auto"/>
          <w:spacing w:val="-3"/>
          <w:w w:val="100"/>
          <w:sz w:val="24"/>
          <w:szCs w:val="24"/>
          <w:highlight w:val="none"/>
        </w:rPr>
        <w:t>天</w:t>
      </w:r>
      <w:r>
        <w:rPr>
          <w:color w:val="auto"/>
          <w:w w:val="100"/>
          <w:sz w:val="24"/>
          <w:szCs w:val="24"/>
          <w:highlight w:val="none"/>
        </w:rPr>
        <w:t>内，</w:t>
      </w:r>
      <w:r>
        <w:rPr>
          <w:color w:val="auto"/>
          <w:spacing w:val="-4"/>
          <w:sz w:val="24"/>
          <w:szCs w:val="24"/>
          <w:highlight w:val="none"/>
        </w:rPr>
        <w:t>向招标人提交各分项工程一阶段设计的</w:t>
      </w:r>
      <w:r>
        <w:rPr>
          <w:rFonts w:hint="eastAsia"/>
          <w:color w:val="auto"/>
          <w:spacing w:val="-4"/>
          <w:sz w:val="24"/>
          <w:szCs w:val="24"/>
          <w:highlight w:val="none"/>
        </w:rPr>
        <w:t>路况</w:t>
      </w:r>
      <w:r>
        <w:rPr>
          <w:rFonts w:hint="eastAsia"/>
          <w:color w:val="auto"/>
          <w:spacing w:val="-4"/>
          <w:sz w:val="24"/>
          <w:szCs w:val="24"/>
          <w:highlight w:val="none"/>
          <w:lang w:eastAsia="zh-CN"/>
        </w:rPr>
        <w:t>检测</w:t>
      </w:r>
      <w:r>
        <w:rPr>
          <w:rFonts w:hint="eastAsia"/>
          <w:color w:val="auto"/>
          <w:spacing w:val="-4"/>
          <w:sz w:val="24"/>
          <w:szCs w:val="24"/>
          <w:highlight w:val="none"/>
        </w:rPr>
        <w:t>报告</w:t>
      </w:r>
      <w:r>
        <w:rPr>
          <w:rFonts w:hint="eastAsia"/>
          <w:color w:val="auto"/>
          <w:spacing w:val="-4"/>
          <w:sz w:val="24"/>
          <w:szCs w:val="24"/>
          <w:highlight w:val="none"/>
          <w:lang w:eastAsia="zh-CN"/>
        </w:rPr>
        <w:t>、</w:t>
      </w:r>
      <w:r>
        <w:rPr>
          <w:color w:val="auto"/>
          <w:spacing w:val="-4"/>
          <w:sz w:val="24"/>
          <w:szCs w:val="24"/>
          <w:highlight w:val="none"/>
        </w:rPr>
        <w:t>全部施工图、预算文件及相应施工技术规范</w:t>
      </w:r>
      <w:r>
        <w:rPr>
          <w:color w:val="auto"/>
          <w:spacing w:val="-2"/>
          <w:sz w:val="24"/>
          <w:szCs w:val="24"/>
          <w:highlight w:val="none"/>
        </w:rPr>
        <w:t>专用条款编制。</w:t>
      </w:r>
    </w:p>
    <w:p>
      <w:pPr>
        <w:pStyle w:val="30"/>
        <w:numPr>
          <w:ilvl w:val="0"/>
          <w:numId w:val="24"/>
        </w:numPr>
        <w:tabs>
          <w:tab w:val="left" w:pos="1360"/>
        </w:tabs>
        <w:spacing w:before="110" w:line="338" w:lineRule="auto"/>
        <w:ind w:left="398" w:right="409" w:firstLine="419"/>
        <w:rPr>
          <w:color w:val="auto"/>
          <w:sz w:val="24"/>
          <w:szCs w:val="24"/>
          <w:highlight w:val="none"/>
        </w:rPr>
      </w:pPr>
      <w:r>
        <w:rPr>
          <w:color w:val="auto"/>
          <w:spacing w:val="-3"/>
          <w:sz w:val="24"/>
          <w:szCs w:val="24"/>
          <w:highlight w:val="none"/>
        </w:rPr>
        <w:t>收到咨询单位</w:t>
      </w:r>
      <w:r>
        <w:rPr>
          <w:rFonts w:hint="default"/>
          <w:color w:val="auto"/>
          <w:spacing w:val="-3"/>
          <w:sz w:val="24"/>
          <w:szCs w:val="24"/>
          <w:highlight w:val="none"/>
          <w:lang w:eastAsia="zh-CN"/>
        </w:rPr>
        <w:t>（如有）</w:t>
      </w:r>
      <w:r>
        <w:rPr>
          <w:color w:val="auto"/>
          <w:spacing w:val="-3"/>
          <w:sz w:val="24"/>
          <w:szCs w:val="24"/>
          <w:highlight w:val="none"/>
        </w:rPr>
        <w:t>、发包人和上级主管部门审查意见后</w:t>
      </w:r>
      <w:r>
        <w:rPr>
          <w:rFonts w:hint="eastAsia"/>
          <w:color w:val="auto"/>
          <w:spacing w:val="-3"/>
          <w:sz w:val="24"/>
          <w:szCs w:val="24"/>
          <w:highlight w:val="none"/>
          <w:lang w:val="en-US" w:eastAsia="zh-CN"/>
        </w:rPr>
        <w:t>20</w:t>
      </w:r>
      <w:r>
        <w:rPr>
          <w:color w:val="auto"/>
          <w:spacing w:val="-3"/>
          <w:sz w:val="24"/>
          <w:szCs w:val="24"/>
          <w:highlight w:val="none"/>
        </w:rPr>
        <w:t>天内，对施工图设计文件进行修改完善，</w:t>
      </w:r>
      <w:r>
        <w:rPr>
          <w:rFonts w:hint="eastAsia"/>
          <w:color w:val="auto"/>
          <w:spacing w:val="-3"/>
          <w:sz w:val="24"/>
          <w:szCs w:val="24"/>
          <w:highlight w:val="none"/>
          <w:lang w:eastAsia="zh-CN"/>
        </w:rPr>
        <w:t>在</w:t>
      </w:r>
      <w:r>
        <w:rPr>
          <w:rFonts w:hint="eastAsia"/>
          <w:color w:val="auto"/>
          <w:spacing w:val="-3"/>
          <w:sz w:val="24"/>
          <w:szCs w:val="24"/>
          <w:highlight w:val="none"/>
          <w:lang w:val="en-US" w:eastAsia="zh-CN"/>
        </w:rPr>
        <w:t>1月底</w:t>
      </w:r>
      <w:r>
        <w:rPr>
          <w:rFonts w:hint="eastAsia"/>
          <w:color w:val="auto"/>
          <w:spacing w:val="-3"/>
          <w:sz w:val="24"/>
          <w:szCs w:val="24"/>
          <w:highlight w:val="none"/>
          <w:lang w:eastAsia="zh-CN"/>
        </w:rPr>
        <w:t>前</w:t>
      </w:r>
      <w:r>
        <w:rPr>
          <w:rFonts w:hint="eastAsia"/>
          <w:color w:val="auto"/>
          <w:spacing w:val="-3"/>
          <w:sz w:val="24"/>
          <w:szCs w:val="24"/>
          <w:highlight w:val="none"/>
          <w:lang w:val="en-US" w:eastAsia="zh-CN"/>
        </w:rPr>
        <w:t>完成</w:t>
      </w:r>
      <w:r>
        <w:rPr>
          <w:rFonts w:hint="eastAsia"/>
          <w:color w:val="auto"/>
          <w:spacing w:val="-3"/>
          <w:sz w:val="24"/>
          <w:szCs w:val="24"/>
          <w:highlight w:val="none"/>
          <w:lang w:eastAsia="zh-CN"/>
        </w:rPr>
        <w:t>施工图设计文件最终文本8份</w:t>
      </w:r>
      <w:r>
        <w:rPr>
          <w:color w:val="auto"/>
          <w:spacing w:val="-3"/>
          <w:sz w:val="24"/>
          <w:szCs w:val="24"/>
          <w:highlight w:val="none"/>
        </w:rPr>
        <w:t>。</w:t>
      </w:r>
    </w:p>
    <w:p>
      <w:pPr>
        <w:pStyle w:val="30"/>
        <w:numPr>
          <w:ilvl w:val="0"/>
          <w:numId w:val="24"/>
        </w:numPr>
        <w:tabs>
          <w:tab w:val="left" w:pos="1360"/>
        </w:tabs>
        <w:spacing w:before="110" w:line="338" w:lineRule="auto"/>
        <w:ind w:left="398" w:right="409" w:firstLine="419"/>
        <w:rPr>
          <w:color w:val="auto"/>
          <w:sz w:val="24"/>
          <w:szCs w:val="24"/>
          <w:highlight w:val="none"/>
        </w:rPr>
      </w:pPr>
      <w:r>
        <w:rPr>
          <w:color w:val="auto"/>
          <w:spacing w:val="-6"/>
          <w:sz w:val="24"/>
          <w:szCs w:val="24"/>
          <w:highlight w:val="none"/>
        </w:rPr>
        <w:t>后续服务：从项目开工至竣工验收，缺陷责任期</w:t>
      </w:r>
      <w:r>
        <w:rPr>
          <w:rFonts w:ascii="Arial" w:eastAsia="Arial"/>
          <w:color w:val="auto"/>
          <w:sz w:val="24"/>
          <w:szCs w:val="24"/>
          <w:highlight w:val="none"/>
        </w:rPr>
        <w:t>1</w:t>
      </w:r>
      <w:r>
        <w:rPr>
          <w:color w:val="auto"/>
          <w:sz w:val="24"/>
          <w:szCs w:val="24"/>
          <w:highlight w:val="none"/>
        </w:rPr>
        <w:t>年。</w:t>
      </w:r>
    </w:p>
    <w:p>
      <w:pPr>
        <w:pStyle w:val="13"/>
        <w:numPr>
          <w:ilvl w:val="0"/>
          <w:numId w:val="19"/>
        </w:numPr>
        <w:tabs>
          <w:tab w:val="left" w:pos="1203"/>
        </w:tabs>
        <w:spacing w:before="134" w:after="0" w:line="240" w:lineRule="auto"/>
        <w:ind w:left="1202" w:right="0" w:hanging="323"/>
        <w:jc w:val="both"/>
        <w:outlineLvl w:val="2"/>
        <w:rPr>
          <w:color w:val="auto"/>
          <w:highlight w:val="none"/>
        </w:rPr>
      </w:pPr>
      <w:bookmarkStart w:id="194" w:name="_bookmark43"/>
      <w:bookmarkEnd w:id="194"/>
      <w:bookmarkStart w:id="195" w:name="5. 违约与赔偿"/>
      <w:bookmarkEnd w:id="195"/>
      <w:bookmarkStart w:id="196" w:name="_Toc11996"/>
      <w:r>
        <w:rPr>
          <w:color w:val="auto"/>
          <w:highlight w:val="none"/>
        </w:rPr>
        <w:t>违约与赔偿</w:t>
      </w:r>
      <w:bookmarkEnd w:id="196"/>
    </w:p>
    <w:p>
      <w:pPr>
        <w:tabs>
          <w:tab w:val="left" w:pos="1454"/>
        </w:tabs>
        <w:spacing w:before="132" w:line="343" w:lineRule="auto"/>
        <w:ind w:left="878" w:right="7151" w:firstLine="0"/>
        <w:jc w:val="both"/>
        <w:rPr>
          <w:color w:val="auto"/>
          <w:sz w:val="24"/>
          <w:highlight w:val="none"/>
        </w:rPr>
      </w:pPr>
      <w:r>
        <w:rPr>
          <w:rFonts w:ascii="Arial" w:eastAsia="Arial"/>
          <w:b/>
          <w:color w:val="auto"/>
          <w:sz w:val="24"/>
          <w:highlight w:val="none"/>
        </w:rPr>
        <w:t>5.2</w:t>
      </w:r>
      <w:r>
        <w:rPr>
          <w:rFonts w:ascii="Arial" w:eastAsia="Arial"/>
          <w:b/>
          <w:color w:val="auto"/>
          <w:sz w:val="24"/>
          <w:highlight w:val="none"/>
        </w:rPr>
        <w:tab/>
      </w:r>
      <w:r>
        <w:rPr>
          <w:b/>
          <w:color w:val="auto"/>
          <w:sz w:val="24"/>
          <w:highlight w:val="none"/>
        </w:rPr>
        <w:t>设计人的违约</w:t>
      </w:r>
      <w:r>
        <w:rPr>
          <w:color w:val="auto"/>
          <w:sz w:val="24"/>
          <w:highlight w:val="none"/>
        </w:rPr>
        <w:t>第（</w:t>
      </w:r>
      <w:r>
        <w:rPr>
          <w:rFonts w:ascii="Arial" w:eastAsia="Arial"/>
          <w:color w:val="auto"/>
          <w:sz w:val="24"/>
          <w:highlight w:val="none"/>
        </w:rPr>
        <w:t>4</w:t>
      </w:r>
      <w:r>
        <w:rPr>
          <w:color w:val="auto"/>
          <w:sz w:val="24"/>
          <w:highlight w:val="none"/>
        </w:rPr>
        <w:t>）</w:t>
      </w:r>
      <w:r>
        <w:rPr>
          <w:color w:val="auto"/>
          <w:spacing w:val="-4"/>
          <w:sz w:val="24"/>
          <w:highlight w:val="none"/>
        </w:rPr>
        <w:t>项约定为：</w:t>
      </w:r>
    </w:p>
    <w:p>
      <w:pPr>
        <w:pStyle w:val="30"/>
        <w:numPr>
          <w:ilvl w:val="0"/>
          <w:numId w:val="0"/>
        </w:numPr>
        <w:tabs>
          <w:tab w:val="left" w:pos="1500"/>
        </w:tabs>
        <w:spacing w:before="1" w:after="0" w:line="240" w:lineRule="auto"/>
        <w:ind w:left="878" w:leftChars="0" w:right="0" w:rightChars="0"/>
        <w:jc w:val="both"/>
        <w:rPr>
          <w:rFonts w:hint="default" w:ascii="Arial" w:eastAsia="宋体"/>
          <w:color w:val="auto"/>
          <w:sz w:val="24"/>
          <w:highlight w:val="none"/>
          <w:lang w:val="en-US" w:eastAsia="zh-CN"/>
        </w:rPr>
      </w:pPr>
      <w:r>
        <w:rPr>
          <w:rFonts w:hint="eastAsia"/>
          <w:color w:val="auto"/>
          <w:sz w:val="24"/>
          <w:highlight w:val="none"/>
          <w:lang w:eastAsia="zh-CN"/>
        </w:rPr>
        <w:t>（</w:t>
      </w:r>
      <w:r>
        <w:rPr>
          <w:rFonts w:hint="eastAsia"/>
          <w:color w:val="auto"/>
          <w:sz w:val="24"/>
          <w:highlight w:val="none"/>
          <w:lang w:val="en-US" w:eastAsia="zh-CN"/>
        </w:rPr>
        <w:t>4</w:t>
      </w:r>
      <w:r>
        <w:rPr>
          <w:rFonts w:hint="eastAsia"/>
          <w:color w:val="auto"/>
          <w:sz w:val="24"/>
          <w:highlight w:val="none"/>
          <w:lang w:eastAsia="zh-CN"/>
        </w:rPr>
        <w:t>）</w:t>
      </w:r>
      <w:r>
        <w:rPr>
          <w:color w:val="auto"/>
          <w:sz w:val="24"/>
          <w:highlight w:val="none"/>
        </w:rPr>
        <w:t xml:space="preserve">设计人在收到发包人或发包人委托单位或政府主管单位提出的审查意见后 </w:t>
      </w:r>
      <w:r>
        <w:rPr>
          <w:rFonts w:hint="eastAsia" w:ascii="Arial" w:eastAsia="宋体"/>
          <w:color w:val="auto"/>
          <w:sz w:val="24"/>
          <w:highlight w:val="none"/>
          <w:lang w:val="en-US" w:eastAsia="zh-CN"/>
        </w:rPr>
        <w:t>20</w:t>
      </w:r>
    </w:p>
    <w:p>
      <w:pPr>
        <w:spacing w:before="132" w:line="343" w:lineRule="auto"/>
        <w:ind w:left="878" w:right="327" w:hanging="480"/>
        <w:jc w:val="both"/>
        <w:rPr>
          <w:color w:val="auto"/>
          <w:sz w:val="24"/>
          <w:highlight w:val="none"/>
        </w:rPr>
      </w:pPr>
      <w:r>
        <w:rPr>
          <w:color w:val="auto"/>
          <w:sz w:val="24"/>
          <w:highlight w:val="none"/>
        </w:rPr>
        <w:t>天内，未完成对初步设计文件或施工图设计文件的修改（发包人同意延长期限的除外）； 第（</w:t>
      </w:r>
      <w:r>
        <w:rPr>
          <w:rFonts w:ascii="Arial" w:eastAsia="Arial"/>
          <w:color w:val="auto"/>
          <w:sz w:val="24"/>
          <w:highlight w:val="none"/>
        </w:rPr>
        <w:t>5</w:t>
      </w:r>
      <w:r>
        <w:rPr>
          <w:color w:val="auto"/>
          <w:sz w:val="24"/>
          <w:highlight w:val="none"/>
        </w:rPr>
        <w:t>）项约定为：</w:t>
      </w:r>
    </w:p>
    <w:p>
      <w:pPr>
        <w:pStyle w:val="30"/>
        <w:numPr>
          <w:ilvl w:val="0"/>
          <w:numId w:val="0"/>
        </w:numPr>
        <w:tabs>
          <w:tab w:val="left" w:pos="1494"/>
        </w:tabs>
        <w:spacing w:before="1" w:after="0" w:line="343" w:lineRule="auto"/>
        <w:ind w:left="458" w:leftChars="0" w:right="417" w:rightChars="0" w:firstLine="418" w:firstLineChars="176"/>
        <w:jc w:val="both"/>
        <w:rPr>
          <w:color w:val="auto"/>
          <w:sz w:val="24"/>
          <w:highlight w:val="none"/>
        </w:rPr>
      </w:pPr>
      <w:r>
        <w:rPr>
          <w:rFonts w:hint="eastAsia"/>
          <w:color w:val="auto"/>
          <w:spacing w:val="-1"/>
          <w:sz w:val="24"/>
          <w:highlight w:val="none"/>
          <w:lang w:eastAsia="zh-CN"/>
        </w:rPr>
        <w:t>（</w:t>
      </w:r>
      <w:r>
        <w:rPr>
          <w:rFonts w:hint="eastAsia"/>
          <w:color w:val="auto"/>
          <w:spacing w:val="-1"/>
          <w:sz w:val="24"/>
          <w:highlight w:val="none"/>
          <w:lang w:val="en-US" w:eastAsia="zh-CN"/>
        </w:rPr>
        <w:t>5</w:t>
      </w:r>
      <w:r>
        <w:rPr>
          <w:rFonts w:hint="eastAsia"/>
          <w:color w:val="auto"/>
          <w:spacing w:val="-1"/>
          <w:sz w:val="24"/>
          <w:highlight w:val="none"/>
          <w:lang w:eastAsia="zh-CN"/>
        </w:rPr>
        <w:t>）</w:t>
      </w:r>
      <w:r>
        <w:rPr>
          <w:color w:val="auto"/>
          <w:spacing w:val="-1"/>
          <w:sz w:val="24"/>
          <w:highlight w:val="none"/>
        </w:rPr>
        <w:t>因勘察设计深度不够、资料不足、方案缺陷以及勘察设计质量低劣而被要求返</w:t>
      </w:r>
      <w:r>
        <w:rPr>
          <w:rFonts w:ascii="宋体" w:hAnsi="宋体" w:eastAsia="宋体" w:cs="宋体"/>
          <w:color w:val="auto"/>
          <w:sz w:val="24"/>
          <w:szCs w:val="22"/>
          <w:highlight w:val="none"/>
          <w:lang w:val="zh-CN" w:eastAsia="zh-CN" w:bidi="zh-CN"/>
        </w:rPr>
        <w:t>工而造成质量问题；</w:t>
      </w:r>
    </w:p>
    <w:p>
      <w:pPr>
        <w:spacing w:before="0" w:line="306" w:lineRule="exact"/>
        <w:ind w:left="878" w:right="0" w:firstLine="0"/>
        <w:jc w:val="both"/>
        <w:rPr>
          <w:color w:val="auto"/>
          <w:sz w:val="24"/>
          <w:highlight w:val="none"/>
        </w:rPr>
      </w:pPr>
      <w:r>
        <w:rPr>
          <w:color w:val="auto"/>
          <w:sz w:val="24"/>
          <w:highlight w:val="none"/>
        </w:rPr>
        <w:t>第（</w:t>
      </w:r>
      <w:r>
        <w:rPr>
          <w:rFonts w:ascii="Arial" w:eastAsia="Arial"/>
          <w:color w:val="auto"/>
          <w:sz w:val="24"/>
          <w:highlight w:val="none"/>
        </w:rPr>
        <w:t>13</w:t>
      </w:r>
      <w:r>
        <w:rPr>
          <w:color w:val="auto"/>
          <w:sz w:val="24"/>
          <w:highlight w:val="none"/>
        </w:rPr>
        <w:t>）项约定为：</w:t>
      </w:r>
    </w:p>
    <w:p>
      <w:pPr>
        <w:pStyle w:val="30"/>
        <w:numPr>
          <w:ilvl w:val="0"/>
          <w:numId w:val="25"/>
        </w:numPr>
        <w:tabs>
          <w:tab w:val="left" w:pos="1629"/>
        </w:tabs>
        <w:spacing w:before="134" w:after="0" w:line="240" w:lineRule="auto"/>
        <w:ind w:left="1628" w:right="0" w:hanging="751"/>
        <w:jc w:val="both"/>
        <w:rPr>
          <w:color w:val="auto"/>
          <w:sz w:val="24"/>
          <w:highlight w:val="none"/>
        </w:rPr>
      </w:pPr>
      <w:r>
        <w:rPr>
          <w:color w:val="auto"/>
          <w:spacing w:val="-1"/>
          <w:sz w:val="24"/>
          <w:highlight w:val="none"/>
        </w:rPr>
        <w:t>设计人其他违约情况：</w:t>
      </w:r>
    </w:p>
    <w:p>
      <w:pPr>
        <w:pStyle w:val="30"/>
        <w:numPr>
          <w:ilvl w:val="0"/>
          <w:numId w:val="26"/>
        </w:numPr>
        <w:tabs>
          <w:tab w:val="left" w:pos="1254"/>
        </w:tabs>
        <w:spacing w:before="132" w:after="0" w:line="240" w:lineRule="auto"/>
        <w:ind w:left="1253" w:right="0" w:hanging="376"/>
        <w:jc w:val="both"/>
        <w:rPr>
          <w:rFonts w:ascii="Arial" w:eastAsia="Arial"/>
          <w:color w:val="auto"/>
          <w:sz w:val="24"/>
          <w:highlight w:val="none"/>
        </w:rPr>
      </w:pPr>
      <w:r>
        <w:rPr>
          <w:color w:val="auto"/>
          <w:spacing w:val="-2"/>
          <w:sz w:val="24"/>
          <w:highlight w:val="none"/>
        </w:rPr>
        <w:t xml:space="preserve">由于设计人原因，本项目任一施工标段变更价款超过相应标段中标价的 </w:t>
      </w:r>
      <w:r>
        <w:rPr>
          <w:rFonts w:ascii="Arial" w:eastAsia="Arial"/>
          <w:color w:val="auto"/>
          <w:sz w:val="24"/>
          <w:highlight w:val="none"/>
        </w:rPr>
        <w:t>5%</w:t>
      </w:r>
      <w:r>
        <w:rPr>
          <w:color w:val="auto"/>
          <w:spacing w:val="-29"/>
          <w:sz w:val="24"/>
          <w:highlight w:val="none"/>
        </w:rPr>
        <w:t xml:space="preserve">或 </w:t>
      </w:r>
      <w:r>
        <w:rPr>
          <w:rFonts w:ascii="Arial" w:eastAsia="Arial"/>
          <w:color w:val="auto"/>
          <w:sz w:val="24"/>
          <w:highlight w:val="none"/>
        </w:rPr>
        <w:t>50</w:t>
      </w:r>
    </w:p>
    <w:p>
      <w:pPr>
        <w:spacing w:before="132"/>
        <w:ind w:left="398" w:right="0" w:firstLine="0"/>
        <w:jc w:val="both"/>
        <w:rPr>
          <w:color w:val="auto"/>
          <w:sz w:val="24"/>
          <w:highlight w:val="none"/>
        </w:rPr>
      </w:pPr>
      <w:r>
        <w:rPr>
          <w:color w:val="auto"/>
          <w:sz w:val="24"/>
          <w:highlight w:val="none"/>
        </w:rPr>
        <w:t>万元及以上的；或施工图预算（或工程决算）超过初步设计批复概算的；</w:t>
      </w:r>
    </w:p>
    <w:p>
      <w:pPr>
        <w:pStyle w:val="30"/>
        <w:numPr>
          <w:ilvl w:val="0"/>
          <w:numId w:val="26"/>
        </w:numPr>
        <w:tabs>
          <w:tab w:val="left" w:pos="1254"/>
        </w:tabs>
        <w:spacing w:before="134" w:after="0" w:line="343" w:lineRule="auto"/>
        <w:ind w:left="398" w:right="417" w:firstLine="480"/>
        <w:jc w:val="both"/>
        <w:rPr>
          <w:color w:val="auto"/>
          <w:sz w:val="24"/>
          <w:highlight w:val="none"/>
        </w:rPr>
      </w:pPr>
      <w:r>
        <w:rPr>
          <w:color w:val="auto"/>
          <w:spacing w:val="-1"/>
          <w:sz w:val="24"/>
          <w:highlight w:val="none"/>
        </w:rPr>
        <w:t>由于设计人原因，本项目编绘的征地拆迁图跟实际需要征地拆迁的数量相比超过</w:t>
      </w:r>
      <w:r>
        <w:rPr>
          <w:rFonts w:ascii="Arial" w:eastAsia="Arial"/>
          <w:color w:val="auto"/>
          <w:sz w:val="24"/>
          <w:highlight w:val="none"/>
        </w:rPr>
        <w:t>3%</w:t>
      </w:r>
      <w:r>
        <w:rPr>
          <w:color w:val="auto"/>
          <w:sz w:val="24"/>
          <w:highlight w:val="none"/>
        </w:rPr>
        <w:t>及以上的；</w:t>
      </w:r>
    </w:p>
    <w:p>
      <w:pPr>
        <w:pStyle w:val="30"/>
        <w:numPr>
          <w:ilvl w:val="0"/>
          <w:numId w:val="26"/>
        </w:numPr>
        <w:tabs>
          <w:tab w:val="left" w:pos="1067"/>
        </w:tabs>
        <w:spacing w:before="0" w:after="0" w:line="345" w:lineRule="auto"/>
        <w:ind w:left="398" w:right="412" w:firstLine="480"/>
        <w:jc w:val="both"/>
        <w:rPr>
          <w:color w:val="auto"/>
          <w:sz w:val="24"/>
          <w:highlight w:val="none"/>
        </w:rPr>
      </w:pPr>
      <w:r>
        <w:rPr>
          <w:color w:val="auto"/>
          <w:spacing w:val="-3"/>
          <w:sz w:val="24"/>
          <w:highlight w:val="none"/>
        </w:rPr>
        <w:t>设计人所提交的分标段招标工程量清单和招标施工图相比较，工程数量误差累计金</w:t>
      </w:r>
      <w:r>
        <w:rPr>
          <w:color w:val="auto"/>
          <w:sz w:val="24"/>
          <w:highlight w:val="none"/>
        </w:rPr>
        <w:t>额超过该标段施工合同价（</w:t>
      </w:r>
      <w:r>
        <w:rPr>
          <w:color w:val="auto"/>
          <w:spacing w:val="-21"/>
          <w:sz w:val="24"/>
          <w:highlight w:val="none"/>
        </w:rPr>
        <w:t xml:space="preserve">不含 </w:t>
      </w:r>
      <w:r>
        <w:rPr>
          <w:rFonts w:ascii="Arial" w:eastAsia="Arial"/>
          <w:color w:val="auto"/>
          <w:sz w:val="24"/>
          <w:highlight w:val="none"/>
        </w:rPr>
        <w:t>100</w:t>
      </w:r>
      <w:r>
        <w:rPr>
          <w:rFonts w:ascii="Arial" w:eastAsia="Arial"/>
          <w:color w:val="auto"/>
          <w:spacing w:val="-6"/>
          <w:sz w:val="24"/>
          <w:highlight w:val="none"/>
        </w:rPr>
        <w:t xml:space="preserve"> </w:t>
      </w:r>
      <w:r>
        <w:rPr>
          <w:color w:val="auto"/>
          <w:spacing w:val="-1"/>
          <w:sz w:val="24"/>
          <w:highlight w:val="none"/>
        </w:rPr>
        <w:t>章及暂列金额</w:t>
      </w:r>
      <w:r>
        <w:rPr>
          <w:color w:val="auto"/>
          <w:sz w:val="24"/>
          <w:highlight w:val="none"/>
        </w:rPr>
        <w:t>）</w:t>
      </w:r>
      <w:r>
        <w:rPr>
          <w:rFonts w:ascii="Arial" w:eastAsia="Arial"/>
          <w:color w:val="auto"/>
          <w:sz w:val="24"/>
          <w:highlight w:val="none"/>
        </w:rPr>
        <w:t>5%</w:t>
      </w:r>
      <w:r>
        <w:rPr>
          <w:color w:val="auto"/>
          <w:spacing w:val="-30"/>
          <w:sz w:val="24"/>
          <w:highlight w:val="none"/>
        </w:rPr>
        <w:t xml:space="preserve">或 </w:t>
      </w:r>
      <w:r>
        <w:rPr>
          <w:rFonts w:ascii="Arial" w:eastAsia="Arial"/>
          <w:color w:val="auto"/>
          <w:sz w:val="24"/>
          <w:highlight w:val="none"/>
        </w:rPr>
        <w:t>50</w:t>
      </w:r>
      <w:r>
        <w:rPr>
          <w:rFonts w:ascii="Arial" w:eastAsia="Arial"/>
          <w:color w:val="auto"/>
          <w:spacing w:val="-6"/>
          <w:sz w:val="24"/>
          <w:highlight w:val="none"/>
        </w:rPr>
        <w:t xml:space="preserve"> </w:t>
      </w:r>
      <w:r>
        <w:rPr>
          <w:color w:val="auto"/>
          <w:spacing w:val="-1"/>
          <w:sz w:val="24"/>
          <w:highlight w:val="none"/>
        </w:rPr>
        <w:t>万元及以上的。</w:t>
      </w:r>
    </w:p>
    <w:p>
      <w:pPr>
        <w:spacing w:before="0" w:line="303" w:lineRule="exact"/>
        <w:ind w:left="878" w:right="0" w:firstLine="0"/>
        <w:jc w:val="both"/>
        <w:rPr>
          <w:color w:val="auto"/>
          <w:sz w:val="24"/>
          <w:highlight w:val="none"/>
        </w:rPr>
      </w:pPr>
      <w:r>
        <w:rPr>
          <w:color w:val="auto"/>
          <w:sz w:val="24"/>
          <w:highlight w:val="none"/>
        </w:rPr>
        <w:t>补充第（</w:t>
      </w:r>
      <w:r>
        <w:rPr>
          <w:rFonts w:ascii="Arial" w:eastAsia="Arial"/>
          <w:color w:val="auto"/>
          <w:sz w:val="24"/>
          <w:highlight w:val="none"/>
        </w:rPr>
        <w:t>14</w:t>
      </w:r>
      <w:r>
        <w:rPr>
          <w:color w:val="auto"/>
          <w:sz w:val="24"/>
          <w:highlight w:val="none"/>
        </w:rPr>
        <w:t>）项，设计人违约处理：</w:t>
      </w:r>
    </w:p>
    <w:p>
      <w:pPr>
        <w:pStyle w:val="30"/>
        <w:numPr>
          <w:ilvl w:val="0"/>
          <w:numId w:val="25"/>
        </w:numPr>
        <w:tabs>
          <w:tab w:val="left" w:pos="1629"/>
        </w:tabs>
        <w:spacing w:before="131" w:after="0" w:line="345" w:lineRule="auto"/>
        <w:ind w:left="398" w:right="414" w:firstLine="480"/>
        <w:jc w:val="both"/>
        <w:rPr>
          <w:color w:val="auto"/>
          <w:sz w:val="24"/>
          <w:highlight w:val="none"/>
        </w:rPr>
      </w:pPr>
      <w:r>
        <w:rPr>
          <w:color w:val="auto"/>
          <w:spacing w:val="-6"/>
          <w:sz w:val="24"/>
          <w:highlight w:val="none"/>
        </w:rPr>
        <w:t>当设计人发生本款约定的违约情况时，发包人有权向设计人课以违约金，具</w:t>
      </w:r>
      <w:r>
        <w:rPr>
          <w:color w:val="auto"/>
          <w:spacing w:val="-4"/>
          <w:sz w:val="24"/>
          <w:highlight w:val="none"/>
        </w:rPr>
        <w:t>体约定如下：</w:t>
      </w:r>
    </w:p>
    <w:p>
      <w:pPr>
        <w:spacing w:before="132" w:line="343" w:lineRule="auto"/>
        <w:ind w:left="398" w:right="412" w:firstLine="540"/>
        <w:jc w:val="left"/>
        <w:rPr>
          <w:color w:val="auto"/>
          <w:spacing w:val="-5"/>
          <w:sz w:val="24"/>
          <w:highlight w:val="none"/>
        </w:rPr>
      </w:pPr>
      <w:r>
        <w:rPr>
          <w:color w:val="auto"/>
          <w:spacing w:val="-5"/>
          <w:sz w:val="24"/>
          <w:highlight w:val="none"/>
        </w:rPr>
        <w:t>设计单位因设计失误、设计深度不足等原因导致项目被发包人书面通报的，视情况每次扣除该项目合同价一定比例的违约金，并根据《浙江省交通运输行业信用工作管理办法（试行）》的通知（浙交〔2021〕39 号）相关规定进行企业信用评价扣分等处理，具体扣除违约金标准如下：</w:t>
      </w:r>
    </w:p>
    <w:p>
      <w:pPr>
        <w:spacing w:before="132" w:line="343" w:lineRule="auto"/>
        <w:ind w:left="398" w:right="412" w:firstLine="540"/>
        <w:jc w:val="left"/>
        <w:rPr>
          <w:color w:val="auto"/>
          <w:spacing w:val="-5"/>
          <w:sz w:val="24"/>
          <w:highlight w:val="none"/>
        </w:rPr>
      </w:pPr>
      <w:r>
        <w:rPr>
          <w:color w:val="auto"/>
          <w:spacing w:val="-5"/>
          <w:sz w:val="24"/>
          <w:highlight w:val="none"/>
        </w:rPr>
        <w:t xml:space="preserve">将承包的工程转包、违法分包的；因设计质量、服务质量等原因被市级及以上交通公路部门通报批评的；因设计不到位或未按审查意见修改到位等原因，未通过设计审查或被退回重新设计的；未按要求派驻设计代表或设计代表服务时间不满足合同规定的要求；不积极参加图纸会审、设计交底、施工协调、工程质量处理以及不配合上级部门检查的；未按合同约定时间完成设计并提交设计成果的等情况。出现上述情况， </w:t>
      </w:r>
      <w:r>
        <w:rPr>
          <w:rFonts w:hint="eastAsia"/>
          <w:color w:val="auto"/>
          <w:highlight w:val="none"/>
          <w:lang w:val="en-US" w:eastAsia="zh-CN"/>
        </w:rPr>
        <w:t>在发包人约谈后5个工作日内未作出整改的，发白人按照</w:t>
      </w:r>
      <w:r>
        <w:rPr>
          <w:color w:val="auto"/>
          <w:spacing w:val="-5"/>
          <w:sz w:val="24"/>
          <w:highlight w:val="none"/>
        </w:rPr>
        <w:t>每次扣除该项目合同价 10%的违约金。</w:t>
      </w:r>
    </w:p>
    <w:p>
      <w:pPr>
        <w:spacing w:after="0" w:line="343" w:lineRule="auto"/>
        <w:jc w:val="both"/>
        <w:rPr>
          <w:color w:val="auto"/>
          <w:sz w:val="24"/>
          <w:highlight w:val="none"/>
        </w:rPr>
        <w:sectPr>
          <w:pgSz w:w="11910" w:h="16840"/>
          <w:pgMar w:top="998"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48" w:line="343" w:lineRule="auto"/>
        <w:ind w:left="398" w:right="332" w:firstLine="480"/>
        <w:jc w:val="left"/>
        <w:rPr>
          <w:color w:val="auto"/>
          <w:sz w:val="24"/>
          <w:highlight w:val="none"/>
        </w:rPr>
      </w:pPr>
      <w:r>
        <w:rPr>
          <w:color w:val="auto"/>
          <w:sz w:val="24"/>
          <w:highlight w:val="none"/>
        </w:rPr>
        <w:t>若出现四次因设计原因被发包人书面通报的情况可直接解除合同，且未支付的剩余合同款将不再予以支付。</w:t>
      </w:r>
    </w:p>
    <w:p>
      <w:pPr>
        <w:pStyle w:val="13"/>
        <w:numPr>
          <w:ilvl w:val="0"/>
          <w:numId w:val="27"/>
        </w:numPr>
        <w:tabs>
          <w:tab w:val="left" w:pos="1203"/>
        </w:tabs>
        <w:spacing w:before="0" w:after="0" w:line="306" w:lineRule="exact"/>
        <w:ind w:left="1202" w:right="0" w:hanging="323"/>
        <w:jc w:val="left"/>
        <w:outlineLvl w:val="2"/>
        <w:rPr>
          <w:color w:val="auto"/>
          <w:highlight w:val="none"/>
        </w:rPr>
      </w:pPr>
      <w:bookmarkStart w:id="197" w:name="7. 费用与支付"/>
      <w:bookmarkEnd w:id="197"/>
      <w:bookmarkStart w:id="198" w:name="_bookmark44"/>
      <w:bookmarkEnd w:id="198"/>
      <w:bookmarkStart w:id="199" w:name="_Toc11353"/>
      <w:r>
        <w:rPr>
          <w:color w:val="auto"/>
          <w:highlight w:val="none"/>
        </w:rPr>
        <w:t>费用与支付</w:t>
      </w:r>
      <w:bookmarkEnd w:id="199"/>
    </w:p>
    <w:p>
      <w:pPr>
        <w:pStyle w:val="30"/>
        <w:numPr>
          <w:ilvl w:val="0"/>
          <w:numId w:val="0"/>
        </w:numPr>
        <w:tabs>
          <w:tab w:val="left" w:pos="1395"/>
        </w:tabs>
        <w:spacing w:before="132" w:after="0" w:line="240" w:lineRule="auto"/>
        <w:ind w:left="997" w:leftChars="0" w:right="0" w:rightChars="0"/>
        <w:jc w:val="left"/>
        <w:rPr>
          <w:rFonts w:hint="eastAsia"/>
          <w:b/>
          <w:color w:val="auto"/>
          <w:sz w:val="24"/>
          <w:highlight w:val="none"/>
          <w:lang w:val="zh-CN" w:eastAsia="zh-CN"/>
        </w:rPr>
      </w:pPr>
      <w:r>
        <w:rPr>
          <w:rFonts w:hint="eastAsia"/>
          <w:b/>
          <w:color w:val="auto"/>
          <w:sz w:val="24"/>
          <w:highlight w:val="none"/>
          <w:lang w:val="en-US" w:eastAsia="zh-CN"/>
        </w:rPr>
        <w:t>7.1</w:t>
      </w:r>
      <w:r>
        <w:rPr>
          <w:rFonts w:hint="eastAsia"/>
          <w:b/>
          <w:color w:val="auto"/>
          <w:sz w:val="24"/>
          <w:highlight w:val="none"/>
          <w:lang w:val="zh-CN" w:eastAsia="zh-CN"/>
        </w:rPr>
        <w:t>设计费用</w:t>
      </w:r>
    </w:p>
    <w:p>
      <w:pPr>
        <w:spacing w:before="134" w:line="343" w:lineRule="auto"/>
        <w:ind w:left="398" w:right="412" w:firstLine="480"/>
        <w:jc w:val="left"/>
        <w:rPr>
          <w:rFonts w:hint="eastAsia"/>
          <w:color w:val="auto"/>
          <w:sz w:val="24"/>
          <w:highlight w:val="none"/>
          <w:lang w:eastAsia="zh-CN"/>
        </w:rPr>
      </w:pPr>
      <w:r>
        <w:rPr>
          <w:color w:val="auto"/>
          <w:sz w:val="24"/>
          <w:highlight w:val="none"/>
        </w:rPr>
        <w:t>7.1.2 项约定为：本合同的设计工作计价模式为：单个</w:t>
      </w:r>
      <w:r>
        <w:rPr>
          <w:rFonts w:hint="eastAsia"/>
          <w:color w:val="auto"/>
          <w:sz w:val="24"/>
          <w:highlight w:val="none"/>
          <w:lang w:eastAsia="zh-CN"/>
        </w:rPr>
        <w:t>项目上级部门</w:t>
      </w:r>
      <w:r>
        <w:rPr>
          <w:rFonts w:hint="eastAsia"/>
          <w:color w:val="auto"/>
          <w:sz w:val="24"/>
          <w:highlight w:val="none"/>
        </w:rPr>
        <w:t>批复预算中的</w:t>
      </w:r>
      <w:r>
        <w:rPr>
          <w:rFonts w:hint="eastAsia"/>
          <w:color w:val="auto"/>
          <w:sz w:val="24"/>
          <w:highlight w:val="none"/>
          <w:lang w:eastAsia="zh-CN"/>
        </w:rPr>
        <w:t>（</w:t>
      </w:r>
      <w:r>
        <w:rPr>
          <w:rFonts w:hint="eastAsia"/>
          <w:color w:val="auto"/>
          <w:sz w:val="24"/>
          <w:highlight w:val="none"/>
        </w:rPr>
        <w:t>公路养护工程设计费</w:t>
      </w:r>
      <w:r>
        <w:rPr>
          <w:rFonts w:hint="eastAsia"/>
          <w:color w:val="auto"/>
          <w:sz w:val="24"/>
          <w:highlight w:val="none"/>
          <w:lang w:val="en-US" w:eastAsia="zh-CN"/>
        </w:rPr>
        <w:t>+</w:t>
      </w:r>
      <w:r>
        <w:rPr>
          <w:rFonts w:hint="eastAsia"/>
          <w:color w:val="auto"/>
          <w:sz w:val="24"/>
          <w:highlight w:val="none"/>
        </w:rPr>
        <w:t>公路养护工程勘察、路况检测费</w:t>
      </w:r>
      <w:r>
        <w:rPr>
          <w:rFonts w:hint="eastAsia"/>
          <w:color w:val="auto"/>
          <w:sz w:val="24"/>
          <w:highlight w:val="none"/>
          <w:lang w:eastAsia="zh-CN"/>
        </w:rPr>
        <w:t>）</w:t>
      </w:r>
      <w:r>
        <w:rPr>
          <w:color w:val="auto"/>
          <w:sz w:val="24"/>
          <w:highlight w:val="none"/>
        </w:rPr>
        <w:t>×中标费率。</w:t>
      </w:r>
    </w:p>
    <w:p>
      <w:pPr>
        <w:pStyle w:val="30"/>
        <w:numPr>
          <w:ilvl w:val="0"/>
          <w:numId w:val="0"/>
        </w:numPr>
        <w:tabs>
          <w:tab w:val="left" w:pos="1395"/>
        </w:tabs>
        <w:spacing w:before="132" w:after="0" w:line="240" w:lineRule="auto"/>
        <w:ind w:left="997" w:leftChars="0" w:right="0" w:rightChars="0"/>
        <w:jc w:val="left"/>
        <w:rPr>
          <w:rFonts w:hint="eastAsia"/>
          <w:b/>
          <w:color w:val="auto"/>
          <w:sz w:val="24"/>
          <w:highlight w:val="none"/>
          <w:lang w:val="zh-CN" w:eastAsia="zh-CN"/>
        </w:rPr>
      </w:pPr>
      <w:r>
        <w:rPr>
          <w:rFonts w:hint="eastAsia"/>
          <w:b/>
          <w:color w:val="auto"/>
          <w:sz w:val="24"/>
          <w:highlight w:val="none"/>
          <w:lang w:val="en-US" w:eastAsia="zh-CN"/>
        </w:rPr>
        <w:t>7.2</w:t>
      </w:r>
      <w:r>
        <w:rPr>
          <w:rFonts w:hint="eastAsia"/>
          <w:b/>
          <w:color w:val="auto"/>
          <w:sz w:val="24"/>
          <w:highlight w:val="none"/>
          <w:lang w:val="zh-CN" w:eastAsia="zh-CN"/>
        </w:rPr>
        <w:t>支付时间</w:t>
      </w:r>
    </w:p>
    <w:p>
      <w:pPr>
        <w:pStyle w:val="30"/>
        <w:numPr>
          <w:ilvl w:val="0"/>
          <w:numId w:val="0"/>
        </w:numPr>
        <w:tabs>
          <w:tab w:val="left" w:pos="1494"/>
        </w:tabs>
        <w:spacing w:before="2" w:after="0" w:line="364" w:lineRule="auto"/>
        <w:ind w:left="878" w:leftChars="0" w:right="410" w:rightChars="0"/>
        <w:jc w:val="both"/>
        <w:rPr>
          <w:rFonts w:hint="eastAsia"/>
          <w:color w:val="auto"/>
          <w:sz w:val="24"/>
          <w:highlight w:val="none"/>
          <w:lang w:eastAsia="zh-CN"/>
        </w:rPr>
      </w:pPr>
      <w:r>
        <w:rPr>
          <w:color w:val="auto"/>
          <w:sz w:val="24"/>
          <w:highlight w:val="none"/>
        </w:rPr>
        <w:t>本项目设计费用支付阶段如下</w:t>
      </w:r>
      <w:r>
        <w:rPr>
          <w:rFonts w:hint="eastAsia"/>
          <w:color w:val="auto"/>
          <w:sz w:val="24"/>
          <w:highlight w:val="none"/>
          <w:lang w:eastAsia="zh-CN"/>
        </w:rPr>
        <w:t>：</w:t>
      </w:r>
    </w:p>
    <w:p>
      <w:pPr>
        <w:pStyle w:val="30"/>
        <w:numPr>
          <w:ilvl w:val="0"/>
          <w:numId w:val="0"/>
        </w:numPr>
        <w:tabs>
          <w:tab w:val="left" w:pos="1494"/>
        </w:tabs>
        <w:spacing w:before="2" w:after="0" w:line="364" w:lineRule="auto"/>
        <w:ind w:left="880" w:leftChars="0" w:right="410" w:rightChars="0"/>
        <w:jc w:val="both"/>
        <w:rPr>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1）</w:t>
      </w:r>
      <w:r>
        <w:rPr>
          <w:color w:val="auto"/>
          <w:sz w:val="24"/>
          <w:highlight w:val="none"/>
        </w:rPr>
        <w:t>合同签订并收到</w:t>
      </w:r>
      <w:r>
        <w:rPr>
          <w:rFonts w:hint="eastAsia"/>
          <w:color w:val="auto"/>
          <w:sz w:val="24"/>
          <w:highlight w:val="none"/>
          <w:lang w:eastAsia="zh-CN"/>
        </w:rPr>
        <w:t>发包</w:t>
      </w:r>
      <w:r>
        <w:rPr>
          <w:color w:val="auto"/>
          <w:sz w:val="24"/>
          <w:highlight w:val="none"/>
        </w:rPr>
        <w:t>人</w:t>
      </w:r>
      <w:r>
        <w:rPr>
          <w:rFonts w:hint="eastAsia"/>
          <w:color w:val="auto"/>
          <w:sz w:val="24"/>
          <w:highlight w:val="none"/>
          <w:lang w:eastAsia="zh-CN"/>
        </w:rPr>
        <w:t>设计</w:t>
      </w:r>
      <w:r>
        <w:rPr>
          <w:color w:val="auto"/>
          <w:sz w:val="24"/>
          <w:highlight w:val="none"/>
        </w:rPr>
        <w:t>任务要求后，设计人按期完成任务内的施工图设计文件（含</w:t>
      </w:r>
      <w:r>
        <w:rPr>
          <w:rFonts w:hint="eastAsia"/>
          <w:color w:val="auto"/>
          <w:sz w:val="24"/>
          <w:highlight w:val="none"/>
          <w:lang w:eastAsia="zh-CN"/>
        </w:rPr>
        <w:t>路况检测报告</w:t>
      </w:r>
      <w:r>
        <w:rPr>
          <w:color w:val="auto"/>
          <w:sz w:val="24"/>
          <w:highlight w:val="none"/>
        </w:rPr>
        <w:t>和项目专用技术规范）送至发包人处，经发包人组织审查以及上级主管部门审查、修改批准</w:t>
      </w:r>
      <w:r>
        <w:rPr>
          <w:rFonts w:hint="eastAsia"/>
          <w:color w:val="auto"/>
          <w:sz w:val="24"/>
          <w:highlight w:val="none"/>
          <w:lang w:eastAsia="zh-CN"/>
        </w:rPr>
        <w:t>，待省中心批复后付该项目设计费用的</w:t>
      </w:r>
      <w:r>
        <w:rPr>
          <w:rFonts w:hint="eastAsia"/>
          <w:color w:val="auto"/>
          <w:sz w:val="24"/>
          <w:highlight w:val="none"/>
          <w:lang w:val="en-US" w:eastAsia="zh-CN"/>
        </w:rPr>
        <w:t>20%。</w:t>
      </w:r>
    </w:p>
    <w:p>
      <w:pPr>
        <w:pStyle w:val="30"/>
        <w:numPr>
          <w:ilvl w:val="0"/>
          <w:numId w:val="0"/>
        </w:numPr>
        <w:tabs>
          <w:tab w:val="left" w:pos="1494"/>
        </w:tabs>
        <w:spacing w:before="2" w:after="0" w:line="364" w:lineRule="auto"/>
        <w:ind w:left="880" w:leftChars="0" w:right="410" w:rightChars="0"/>
        <w:jc w:val="both"/>
        <w:rPr>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2）工程开工后付至</w:t>
      </w:r>
      <w:r>
        <w:rPr>
          <w:color w:val="auto"/>
          <w:sz w:val="24"/>
          <w:highlight w:val="none"/>
        </w:rPr>
        <w:t>该项目设计费用的</w:t>
      </w:r>
      <w:r>
        <w:rPr>
          <w:rFonts w:hint="eastAsia"/>
          <w:color w:val="auto"/>
          <w:sz w:val="24"/>
          <w:highlight w:val="none"/>
          <w:lang w:val="en-US" w:eastAsia="zh-CN"/>
        </w:rPr>
        <w:t>8</w:t>
      </w:r>
      <w:r>
        <w:rPr>
          <w:color w:val="auto"/>
          <w:sz w:val="24"/>
          <w:highlight w:val="none"/>
        </w:rPr>
        <w:t>0%；</w:t>
      </w:r>
    </w:p>
    <w:p>
      <w:pPr>
        <w:pStyle w:val="30"/>
        <w:numPr>
          <w:ilvl w:val="0"/>
          <w:numId w:val="0"/>
        </w:numPr>
        <w:tabs>
          <w:tab w:val="left" w:pos="1494"/>
        </w:tabs>
        <w:spacing w:before="2" w:after="0" w:line="364" w:lineRule="auto"/>
        <w:ind w:left="880" w:leftChars="0" w:right="410" w:rightChars="0"/>
        <w:jc w:val="both"/>
        <w:rPr>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3）</w:t>
      </w:r>
      <w:r>
        <w:rPr>
          <w:rFonts w:hint="eastAsia"/>
          <w:color w:val="auto"/>
          <w:sz w:val="24"/>
          <w:highlight w:val="none"/>
        </w:rPr>
        <w:t>工程完工通过验收合格后付清该项目剩余款项。</w:t>
      </w:r>
    </w:p>
    <w:p>
      <w:pPr>
        <w:pStyle w:val="30"/>
        <w:numPr>
          <w:ilvl w:val="1"/>
          <w:numId w:val="28"/>
        </w:numPr>
        <w:tabs>
          <w:tab w:val="left" w:pos="1395"/>
        </w:tabs>
        <w:spacing w:before="132" w:after="0" w:line="240" w:lineRule="auto"/>
        <w:ind w:left="1394" w:right="0" w:hanging="397"/>
        <w:jc w:val="left"/>
        <w:rPr>
          <w:b/>
          <w:color w:val="auto"/>
          <w:sz w:val="24"/>
          <w:highlight w:val="none"/>
        </w:rPr>
      </w:pPr>
      <w:r>
        <w:rPr>
          <w:b/>
          <w:color w:val="auto"/>
          <w:sz w:val="24"/>
          <w:highlight w:val="none"/>
        </w:rPr>
        <w:t>暂列金额</w:t>
      </w:r>
    </w:p>
    <w:p>
      <w:pPr>
        <w:spacing w:before="132"/>
        <w:ind w:left="878" w:right="0" w:firstLine="0"/>
        <w:jc w:val="left"/>
        <w:rPr>
          <w:color w:val="auto"/>
          <w:sz w:val="24"/>
          <w:highlight w:val="none"/>
        </w:rPr>
      </w:pPr>
      <w:r>
        <w:rPr>
          <w:color w:val="auto"/>
          <w:sz w:val="24"/>
          <w:highlight w:val="none"/>
        </w:rPr>
        <w:t>本合同的暂列金额：无。</w:t>
      </w:r>
    </w:p>
    <w:p>
      <w:pPr>
        <w:pStyle w:val="30"/>
        <w:numPr>
          <w:ilvl w:val="1"/>
          <w:numId w:val="28"/>
        </w:numPr>
        <w:tabs>
          <w:tab w:val="left" w:pos="1395"/>
        </w:tabs>
        <w:spacing w:before="132" w:after="0" w:line="240" w:lineRule="auto"/>
        <w:ind w:left="1394" w:right="0" w:hanging="397"/>
        <w:jc w:val="left"/>
        <w:rPr>
          <w:b/>
          <w:color w:val="auto"/>
          <w:sz w:val="24"/>
          <w:highlight w:val="none"/>
        </w:rPr>
      </w:pPr>
      <w:r>
        <w:rPr>
          <w:b/>
          <w:color w:val="auto"/>
          <w:sz w:val="24"/>
          <w:highlight w:val="none"/>
        </w:rPr>
        <w:t>设计费的调整</w:t>
      </w:r>
    </w:p>
    <w:p>
      <w:pPr>
        <w:spacing w:before="134" w:line="343" w:lineRule="auto"/>
        <w:ind w:left="398" w:right="412" w:firstLine="480"/>
        <w:jc w:val="left"/>
        <w:rPr>
          <w:color w:val="auto"/>
          <w:sz w:val="24"/>
          <w:highlight w:val="none"/>
        </w:rPr>
      </w:pPr>
      <w:r>
        <w:rPr>
          <w:color w:val="auto"/>
          <w:spacing w:val="-9"/>
          <w:sz w:val="24"/>
          <w:highlight w:val="none"/>
        </w:rPr>
        <w:t>本款约定为：在合同实施期间，本项目设计费率不随国家政策调整或法规、标准及市</w:t>
      </w:r>
      <w:r>
        <w:rPr>
          <w:color w:val="auto"/>
          <w:sz w:val="24"/>
          <w:highlight w:val="none"/>
        </w:rPr>
        <w:t>场因素变化进行调整。</w:t>
      </w:r>
    </w:p>
    <w:p>
      <w:pPr>
        <w:pStyle w:val="30"/>
        <w:numPr>
          <w:ilvl w:val="1"/>
          <w:numId w:val="28"/>
        </w:numPr>
        <w:tabs>
          <w:tab w:val="left" w:pos="1335"/>
        </w:tabs>
        <w:spacing w:before="0" w:after="0" w:line="306" w:lineRule="exact"/>
        <w:ind w:left="1334" w:right="0" w:hanging="457"/>
        <w:jc w:val="left"/>
        <w:rPr>
          <w:b/>
          <w:color w:val="auto"/>
          <w:sz w:val="24"/>
          <w:highlight w:val="none"/>
        </w:rPr>
      </w:pPr>
      <w:r>
        <w:rPr>
          <w:b/>
          <w:color w:val="auto"/>
          <w:sz w:val="24"/>
          <w:highlight w:val="none"/>
        </w:rPr>
        <w:t>质量保证金</w:t>
      </w:r>
    </w:p>
    <w:p>
      <w:pPr>
        <w:spacing w:before="134"/>
        <w:ind w:left="878" w:right="0" w:firstLine="0"/>
        <w:jc w:val="left"/>
        <w:rPr>
          <w:rFonts w:ascii="Arial" w:eastAsia="Arial"/>
          <w:color w:val="auto"/>
          <w:sz w:val="24"/>
          <w:highlight w:val="none"/>
        </w:rPr>
      </w:pPr>
      <w:r>
        <w:rPr>
          <w:color w:val="auto"/>
          <w:sz w:val="24"/>
          <w:highlight w:val="none"/>
        </w:rPr>
        <w:t xml:space="preserve">本款约定为：本项目的履约保证金自动转为质量保证金，待项目竣工证书签发后 </w:t>
      </w:r>
      <w:r>
        <w:rPr>
          <w:rFonts w:ascii="Arial" w:eastAsia="Arial"/>
          <w:color w:val="auto"/>
          <w:sz w:val="24"/>
          <w:highlight w:val="none"/>
        </w:rPr>
        <w:t>28</w:t>
      </w:r>
    </w:p>
    <w:p>
      <w:pPr>
        <w:spacing w:before="132"/>
        <w:ind w:left="398" w:right="0" w:firstLine="0"/>
        <w:jc w:val="left"/>
        <w:rPr>
          <w:color w:val="auto"/>
          <w:sz w:val="24"/>
          <w:highlight w:val="none"/>
        </w:rPr>
      </w:pPr>
      <w:r>
        <w:rPr>
          <w:color w:val="auto"/>
          <w:sz w:val="24"/>
          <w:highlight w:val="none"/>
        </w:rPr>
        <w:t>天内返还给设计人。</w:t>
      </w:r>
    </w:p>
    <w:p>
      <w:pPr>
        <w:pStyle w:val="13"/>
        <w:numPr>
          <w:ilvl w:val="0"/>
          <w:numId w:val="27"/>
        </w:numPr>
        <w:tabs>
          <w:tab w:val="left" w:pos="1203"/>
        </w:tabs>
        <w:spacing w:before="131" w:after="0" w:line="240" w:lineRule="auto"/>
        <w:ind w:left="1202" w:right="0" w:hanging="323"/>
        <w:jc w:val="left"/>
        <w:outlineLvl w:val="2"/>
        <w:rPr>
          <w:color w:val="auto"/>
          <w:highlight w:val="none"/>
        </w:rPr>
      </w:pPr>
      <w:bookmarkStart w:id="200" w:name="8. 其他"/>
      <w:bookmarkEnd w:id="200"/>
      <w:bookmarkStart w:id="201" w:name="_bookmark45"/>
      <w:bookmarkEnd w:id="201"/>
      <w:bookmarkStart w:id="202" w:name="_Toc25987"/>
      <w:r>
        <w:rPr>
          <w:color w:val="auto"/>
          <w:highlight w:val="none"/>
        </w:rPr>
        <w:t>其他</w:t>
      </w:r>
      <w:bookmarkEnd w:id="202"/>
    </w:p>
    <w:p>
      <w:pPr>
        <w:spacing w:before="135"/>
        <w:ind w:left="878" w:right="0" w:firstLine="0"/>
        <w:jc w:val="left"/>
        <w:rPr>
          <w:b/>
          <w:color w:val="auto"/>
          <w:sz w:val="24"/>
          <w:highlight w:val="none"/>
        </w:rPr>
      </w:pPr>
      <w:r>
        <w:rPr>
          <w:rFonts w:ascii="Arial" w:eastAsia="Arial"/>
          <w:b/>
          <w:color w:val="auto"/>
          <w:sz w:val="24"/>
          <w:highlight w:val="none"/>
        </w:rPr>
        <w:t>8.4</w:t>
      </w:r>
      <w:r>
        <w:rPr>
          <w:rFonts w:ascii="Arial" w:eastAsia="Arial"/>
          <w:b/>
          <w:color w:val="auto"/>
          <w:spacing w:val="53"/>
          <w:sz w:val="24"/>
          <w:highlight w:val="none"/>
        </w:rPr>
        <w:t xml:space="preserve"> </w:t>
      </w:r>
      <w:r>
        <w:rPr>
          <w:b/>
          <w:color w:val="auto"/>
          <w:sz w:val="24"/>
          <w:highlight w:val="none"/>
        </w:rPr>
        <w:t>争议的解决</w:t>
      </w:r>
    </w:p>
    <w:p>
      <w:pPr>
        <w:spacing w:before="131" w:line="343" w:lineRule="auto"/>
        <w:ind w:left="878" w:right="-250" w:rightChars="0" w:firstLine="0"/>
        <w:jc w:val="left"/>
        <w:rPr>
          <w:color w:val="auto"/>
          <w:sz w:val="24"/>
          <w:highlight w:val="none"/>
        </w:rPr>
      </w:pPr>
      <w:r>
        <w:rPr>
          <w:color w:val="auto"/>
          <w:spacing w:val="-4"/>
          <w:sz w:val="24"/>
          <w:highlight w:val="none"/>
        </w:rPr>
        <w:t xml:space="preserve">本款约定为：争议的最终解决方式为 </w:t>
      </w:r>
      <w:r>
        <w:rPr>
          <w:rFonts w:hint="eastAsia"/>
          <w:color w:val="auto"/>
          <w:sz w:val="24"/>
          <w:highlight w:val="none"/>
          <w:u w:val="single"/>
          <w:lang w:eastAsia="zh-CN"/>
        </w:rPr>
        <w:t>向三门县人民法院提起诉讼</w:t>
      </w:r>
      <w:r>
        <w:rPr>
          <w:color w:val="auto"/>
          <w:spacing w:val="-39"/>
          <w:sz w:val="24"/>
          <w:highlight w:val="none"/>
        </w:rPr>
        <w:t xml:space="preserve"> 。</w:t>
      </w:r>
      <w:r>
        <w:rPr>
          <w:color w:val="auto"/>
          <w:sz w:val="24"/>
          <w:highlight w:val="none"/>
        </w:rPr>
        <w:t>机构名称：</w:t>
      </w:r>
      <w:r>
        <w:rPr>
          <w:rFonts w:hint="eastAsia"/>
          <w:color w:val="auto"/>
          <w:sz w:val="24"/>
          <w:highlight w:val="none"/>
          <w:u w:val="single"/>
          <w:lang w:eastAsia="zh-CN"/>
        </w:rPr>
        <w:t>三门县人民法院</w:t>
      </w:r>
      <w:r>
        <w:rPr>
          <w:color w:val="auto"/>
          <w:spacing w:val="-30"/>
          <w:sz w:val="24"/>
          <w:highlight w:val="none"/>
        </w:rPr>
        <w:t xml:space="preserve"> 。</w:t>
      </w:r>
    </w:p>
    <w:p>
      <w:pPr>
        <w:spacing w:after="0" w:line="343" w:lineRule="auto"/>
        <w:jc w:val="left"/>
        <w:rPr>
          <w:color w:val="auto"/>
          <w:sz w:val="24"/>
          <w:highlight w:val="none"/>
        </w:rPr>
        <w:sectPr>
          <w:pgSz w:w="11910" w:h="16840"/>
          <w:pgMar w:top="1040" w:right="860" w:bottom="940" w:left="960" w:header="0" w:footer="672" w:gutter="0"/>
          <w:pgBorders>
            <w:top w:val="none" w:sz="0" w:space="0"/>
            <w:left w:val="none" w:sz="0" w:space="0"/>
            <w:bottom w:val="none" w:sz="0" w:space="0"/>
            <w:right w:val="none" w:sz="0" w:space="0"/>
          </w:pgBorders>
          <w:pgNumType w:fmt="decimal"/>
          <w:cols w:space="720" w:num="1"/>
        </w:sectPr>
      </w:pPr>
    </w:p>
    <w:p>
      <w:pPr>
        <w:pStyle w:val="8"/>
        <w:spacing w:before="41"/>
        <w:ind w:left="298" w:right="314"/>
        <w:outlineLvl w:val="1"/>
        <w:rPr>
          <w:rFonts w:hint="eastAsia" w:ascii="黑体" w:eastAsia="黑体"/>
          <w:color w:val="auto"/>
          <w:highlight w:val="none"/>
        </w:rPr>
      </w:pPr>
      <w:bookmarkStart w:id="203" w:name="第三节 合同附件格式"/>
      <w:bookmarkEnd w:id="203"/>
      <w:bookmarkStart w:id="204" w:name="_Toc30231"/>
      <w:r>
        <w:rPr>
          <w:rFonts w:hint="eastAsia" w:ascii="黑体" w:eastAsia="黑体"/>
          <w:color w:val="auto"/>
          <w:highlight w:val="none"/>
        </w:rPr>
        <w:t>第三节 合同附件格式</w:t>
      </w:r>
      <w:bookmarkEnd w:id="204"/>
    </w:p>
    <w:p>
      <w:pPr>
        <w:pStyle w:val="2"/>
        <w:spacing w:before="7"/>
        <w:rPr>
          <w:rFonts w:ascii="黑体"/>
          <w:b/>
          <w:color w:val="auto"/>
          <w:sz w:val="29"/>
          <w:highlight w:val="none"/>
        </w:rPr>
      </w:pPr>
    </w:p>
    <w:p>
      <w:pPr>
        <w:spacing w:before="67"/>
        <w:ind w:left="878" w:right="0" w:firstLine="0"/>
        <w:jc w:val="left"/>
        <w:rPr>
          <w:color w:val="auto"/>
          <w:sz w:val="24"/>
          <w:highlight w:val="none"/>
        </w:rPr>
      </w:pPr>
      <w:r>
        <w:rPr>
          <w:color w:val="auto"/>
          <w:sz w:val="24"/>
          <w:highlight w:val="none"/>
        </w:rPr>
        <w:t>附件一：</w:t>
      </w:r>
    </w:p>
    <w:p>
      <w:pPr>
        <w:spacing w:before="160"/>
        <w:ind w:left="310" w:right="314" w:firstLine="0"/>
        <w:jc w:val="center"/>
        <w:outlineLvl w:val="2"/>
        <w:rPr>
          <w:color w:val="auto"/>
          <w:sz w:val="24"/>
          <w:highlight w:val="none"/>
        </w:rPr>
      </w:pPr>
      <w:bookmarkStart w:id="205" w:name="_Toc25400"/>
      <w:bookmarkStart w:id="206" w:name="_Toc23894"/>
      <w:r>
        <w:rPr>
          <w:color w:val="auto"/>
          <w:sz w:val="24"/>
          <w:highlight w:val="none"/>
        </w:rPr>
        <w:t>合同协议书</w:t>
      </w:r>
      <w:bookmarkEnd w:id="205"/>
      <w:bookmarkEnd w:id="206"/>
    </w:p>
    <w:p>
      <w:pPr>
        <w:pStyle w:val="2"/>
        <w:rPr>
          <w:color w:val="auto"/>
          <w:sz w:val="20"/>
          <w:highlight w:val="none"/>
        </w:rPr>
      </w:pPr>
    </w:p>
    <w:p>
      <w:pPr>
        <w:pStyle w:val="2"/>
        <w:spacing w:before="1"/>
        <w:rPr>
          <w:color w:val="auto"/>
          <w:sz w:val="23"/>
          <w:highlight w:val="none"/>
        </w:rPr>
      </w:pPr>
    </w:p>
    <w:p>
      <w:pPr>
        <w:tabs>
          <w:tab w:val="left" w:pos="1478"/>
          <w:tab w:val="left" w:pos="2558"/>
          <w:tab w:val="left" w:pos="3518"/>
          <w:tab w:val="left" w:pos="3638"/>
          <w:tab w:val="left" w:pos="7159"/>
        </w:tabs>
        <w:spacing w:before="77" w:line="364" w:lineRule="auto"/>
        <w:ind w:left="398" w:right="846" w:firstLine="480"/>
        <w:jc w:val="left"/>
        <w:rPr>
          <w:color w:val="auto"/>
          <w:sz w:val="24"/>
          <w:highlight w:val="none"/>
        </w:rPr>
      </w:pPr>
      <w:r>
        <w:rPr>
          <w:color w:val="auto"/>
          <w:sz w:val="24"/>
          <w:highlight w:val="none"/>
        </w:rPr>
        <w:t>本合同协议书由</w:t>
      </w:r>
      <w:r>
        <w:rPr>
          <w:color w:val="auto"/>
          <w:sz w:val="24"/>
          <w:highlight w:val="none"/>
          <w:u w:val="single"/>
        </w:rPr>
        <w:t xml:space="preserve"> </w:t>
      </w:r>
      <w:r>
        <w:rPr>
          <w:color w:val="auto"/>
          <w:sz w:val="24"/>
          <w:highlight w:val="none"/>
          <w:u w:val="single"/>
        </w:rPr>
        <w:tab/>
      </w:r>
      <w:r>
        <w:rPr>
          <w:color w:val="auto"/>
          <w:sz w:val="24"/>
          <w:highlight w:val="none"/>
        </w:rPr>
        <w:t>（以下简称</w:t>
      </w:r>
      <w:r>
        <w:rPr>
          <w:rFonts w:ascii="Arial" w:hAnsi="Arial" w:eastAsia="Arial"/>
          <w:color w:val="auto"/>
          <w:sz w:val="24"/>
          <w:highlight w:val="none"/>
        </w:rPr>
        <w:t>“</w:t>
      </w:r>
      <w:r>
        <w:rPr>
          <w:color w:val="auto"/>
          <w:sz w:val="24"/>
          <w:highlight w:val="none"/>
        </w:rPr>
        <w:t>甲方</w:t>
      </w:r>
      <w:r>
        <w:rPr>
          <w:rFonts w:ascii="Arial" w:hAnsi="Arial" w:eastAsia="Arial"/>
          <w:color w:val="auto"/>
          <w:sz w:val="24"/>
          <w:highlight w:val="none"/>
        </w:rPr>
        <w:t>”</w:t>
      </w:r>
      <w:r>
        <w:rPr>
          <w:color w:val="auto"/>
          <w:sz w:val="24"/>
          <w:highlight w:val="none"/>
        </w:rPr>
        <w:t>）与</w:t>
      </w:r>
      <w:r>
        <w:rPr>
          <w:color w:val="auto"/>
          <w:sz w:val="24"/>
          <w:highlight w:val="none"/>
          <w:u w:val="single"/>
        </w:rPr>
        <w:t xml:space="preserve"> </w:t>
      </w:r>
      <w:r>
        <w:rPr>
          <w:color w:val="auto"/>
          <w:sz w:val="24"/>
          <w:highlight w:val="none"/>
          <w:u w:val="single"/>
        </w:rPr>
        <w:tab/>
      </w:r>
      <w:r>
        <w:rPr>
          <w:color w:val="auto"/>
          <w:sz w:val="24"/>
          <w:highlight w:val="none"/>
        </w:rPr>
        <w:t>（以下简称</w:t>
      </w:r>
      <w:r>
        <w:rPr>
          <w:rFonts w:ascii="Arial" w:hAnsi="Arial" w:eastAsia="Arial"/>
          <w:color w:val="auto"/>
          <w:sz w:val="24"/>
          <w:highlight w:val="none"/>
        </w:rPr>
        <w:t>“</w:t>
      </w:r>
      <w:r>
        <w:rPr>
          <w:color w:val="auto"/>
          <w:sz w:val="24"/>
          <w:highlight w:val="none"/>
        </w:rPr>
        <w:t>乙方</w:t>
      </w:r>
      <w:r>
        <w:rPr>
          <w:rFonts w:ascii="Arial" w:hAnsi="Arial" w:eastAsia="Arial"/>
          <w:color w:val="auto"/>
          <w:spacing w:val="-10"/>
          <w:sz w:val="24"/>
          <w:highlight w:val="none"/>
        </w:rPr>
        <w:t>”</w:t>
      </w:r>
      <w:r>
        <w:rPr>
          <w:color w:val="auto"/>
          <w:spacing w:val="-10"/>
          <w:sz w:val="24"/>
          <w:highlight w:val="none"/>
        </w:rPr>
        <w:t xml:space="preserve">） </w:t>
      </w:r>
      <w:r>
        <w:rPr>
          <w:color w:val="auto"/>
          <w:sz w:val="24"/>
          <w:highlight w:val="none"/>
        </w:rPr>
        <w:t>于</w:t>
      </w:r>
      <w:r>
        <w:rPr>
          <w:color w:val="auto"/>
          <w:sz w:val="24"/>
          <w:highlight w:val="none"/>
          <w:u w:val="single"/>
        </w:rPr>
        <w:t xml:space="preserve"> </w:t>
      </w:r>
      <w:r>
        <w:rPr>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u w:val="single"/>
        </w:rPr>
        <w:tab/>
      </w:r>
      <w:r>
        <w:rPr>
          <w:color w:val="auto"/>
          <w:sz w:val="24"/>
          <w:highlight w:val="none"/>
        </w:rPr>
        <w:t>月</w:t>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rPr>
        <w:t>日共同签署。</w:t>
      </w:r>
    </w:p>
    <w:p>
      <w:pPr>
        <w:tabs>
          <w:tab w:val="left" w:pos="1718"/>
          <w:tab w:val="left" w:pos="2678"/>
          <w:tab w:val="left" w:pos="3758"/>
          <w:tab w:val="left" w:pos="8078"/>
        </w:tabs>
        <w:spacing w:before="1" w:line="364" w:lineRule="auto"/>
        <w:ind w:left="398" w:right="1046" w:firstLine="480"/>
        <w:jc w:val="left"/>
        <w:rPr>
          <w:color w:val="auto"/>
          <w:sz w:val="24"/>
          <w:highlight w:val="none"/>
        </w:rPr>
      </w:pPr>
      <w:r>
        <w:rPr>
          <w:color w:val="auto"/>
          <w:sz w:val="24"/>
          <w:highlight w:val="none"/>
        </w:rPr>
        <w:t>甲方通过</w:t>
      </w:r>
      <w:r>
        <w:rPr>
          <w:color w:val="auto"/>
          <w:sz w:val="24"/>
          <w:highlight w:val="none"/>
          <w:u w:val="single"/>
        </w:rPr>
        <w:t xml:space="preserve"> </w:t>
      </w:r>
      <w:r>
        <w:rPr>
          <w:color w:val="auto"/>
          <w:sz w:val="24"/>
          <w:highlight w:val="none"/>
          <w:u w:val="single"/>
        </w:rPr>
        <w:tab/>
      </w:r>
      <w:r>
        <w:rPr>
          <w:color w:val="auto"/>
          <w:sz w:val="24"/>
          <w:highlight w:val="none"/>
        </w:rPr>
        <w:t>月</w:t>
      </w:r>
      <w:r>
        <w:rPr>
          <w:color w:val="auto"/>
          <w:sz w:val="24"/>
          <w:highlight w:val="none"/>
          <w:u w:val="single"/>
        </w:rPr>
        <w:t xml:space="preserve"> </w:t>
      </w:r>
      <w:r>
        <w:rPr>
          <w:color w:val="auto"/>
          <w:sz w:val="24"/>
          <w:highlight w:val="none"/>
          <w:u w:val="single"/>
        </w:rPr>
        <w:tab/>
      </w:r>
      <w:r>
        <w:rPr>
          <w:color w:val="auto"/>
          <w:sz w:val="24"/>
          <w:highlight w:val="none"/>
        </w:rPr>
        <w:t>日的中标通知书接受了乙方为</w:t>
      </w:r>
      <w:r>
        <w:rPr>
          <w:color w:val="auto"/>
          <w:sz w:val="24"/>
          <w:highlight w:val="none"/>
          <w:u w:val="single"/>
        </w:rPr>
        <w:t xml:space="preserve"> </w:t>
      </w:r>
      <w:r>
        <w:rPr>
          <w:color w:val="auto"/>
          <w:sz w:val="24"/>
          <w:highlight w:val="none"/>
          <w:u w:val="single"/>
        </w:rPr>
        <w:tab/>
      </w:r>
      <w:r>
        <w:rPr>
          <w:color w:val="auto"/>
          <w:sz w:val="24"/>
          <w:highlight w:val="none"/>
        </w:rPr>
        <w:t>（项目</w:t>
      </w:r>
      <w:r>
        <w:rPr>
          <w:color w:val="auto"/>
          <w:spacing w:val="-18"/>
          <w:sz w:val="24"/>
          <w:highlight w:val="none"/>
        </w:rPr>
        <w:t>名</w:t>
      </w:r>
      <w:r>
        <w:rPr>
          <w:color w:val="auto"/>
          <w:sz w:val="24"/>
          <w:highlight w:val="none"/>
        </w:rPr>
        <w:t>称）</w:t>
      </w:r>
      <w:r>
        <w:rPr>
          <w:color w:val="auto"/>
          <w:sz w:val="24"/>
          <w:highlight w:val="none"/>
          <w:u w:val="single"/>
        </w:rPr>
        <w:t xml:space="preserve"> </w:t>
      </w:r>
      <w:r>
        <w:rPr>
          <w:color w:val="auto"/>
          <w:sz w:val="24"/>
          <w:highlight w:val="none"/>
          <w:u w:val="single"/>
        </w:rPr>
        <w:tab/>
      </w:r>
      <w:r>
        <w:rPr>
          <w:color w:val="auto"/>
          <w:sz w:val="24"/>
          <w:highlight w:val="none"/>
        </w:rPr>
        <w:t>设计所做的投标，双方达成如下条款：</w:t>
      </w:r>
    </w:p>
    <w:p>
      <w:pPr>
        <w:spacing w:before="1"/>
        <w:ind w:left="878" w:right="0" w:firstLine="0"/>
        <w:jc w:val="left"/>
        <w:outlineLvl w:val="2"/>
        <w:rPr>
          <w:color w:val="auto"/>
          <w:sz w:val="24"/>
          <w:highlight w:val="none"/>
        </w:rPr>
      </w:pPr>
      <w:bookmarkStart w:id="207" w:name="_Toc13590"/>
      <w:bookmarkStart w:id="208" w:name="_Toc748"/>
      <w:r>
        <w:rPr>
          <w:color w:val="auto"/>
          <w:sz w:val="24"/>
          <w:highlight w:val="none"/>
        </w:rPr>
        <w:t>一、工程概况：</w:t>
      </w:r>
      <w:bookmarkEnd w:id="207"/>
      <w:bookmarkEnd w:id="208"/>
    </w:p>
    <w:p>
      <w:pPr>
        <w:spacing w:before="161" w:line="360" w:lineRule="auto"/>
        <w:ind w:left="398" w:right="882" w:firstLine="480"/>
        <w:jc w:val="left"/>
        <w:rPr>
          <w:color w:val="auto"/>
          <w:sz w:val="24"/>
          <w:highlight w:val="none"/>
        </w:rPr>
      </w:pPr>
      <w:r>
        <w:rPr>
          <w:color w:val="auto"/>
          <w:sz w:val="24"/>
          <w:highlight w:val="none"/>
          <w:u w:val="single"/>
        </w:rPr>
        <w:t xml:space="preserve"> </w:t>
      </w:r>
      <w:r>
        <w:rPr>
          <w:color w:val="auto"/>
          <w:sz w:val="24"/>
          <w:highlight w:val="none"/>
          <w:u w:val="single"/>
        </w:rPr>
        <w:tab/>
      </w:r>
      <w:r>
        <w:rPr>
          <w:rFonts w:hint="eastAsia"/>
          <w:color w:val="auto"/>
          <w:sz w:val="24"/>
          <w:highlight w:val="none"/>
          <w:u w:val="single"/>
          <w:lang w:val="en-US" w:eastAsia="zh-CN"/>
        </w:rPr>
        <w:t xml:space="preserve">                       </w:t>
      </w:r>
      <w:r>
        <w:rPr>
          <w:rFonts w:hint="eastAsia"/>
          <w:color w:val="auto"/>
          <w:sz w:val="24"/>
          <w:highlight w:val="none"/>
          <w:lang w:val="en-US" w:eastAsia="zh-CN"/>
        </w:rPr>
        <w:t xml:space="preserve"> </w:t>
      </w:r>
      <w:r>
        <w:rPr>
          <w:color w:val="auto"/>
          <w:spacing w:val="-11"/>
          <w:sz w:val="24"/>
          <w:highlight w:val="none"/>
        </w:rPr>
        <w:t>。工作包括内容的</w:t>
      </w:r>
      <w:r>
        <w:rPr>
          <w:rFonts w:hint="eastAsia"/>
          <w:color w:val="auto"/>
          <w:spacing w:val="-8"/>
          <w:sz w:val="24"/>
          <w:highlight w:val="none"/>
          <w:lang w:eastAsia="zh-CN"/>
        </w:rPr>
        <w:t>路况勘察及检测、施工图设计、预算文件编制、施工招标用图纸、施工项目专用技术规范编制，后续服务等</w:t>
      </w:r>
      <w:r>
        <w:rPr>
          <w:color w:val="auto"/>
          <w:sz w:val="24"/>
          <w:highlight w:val="none"/>
        </w:rPr>
        <w:t>全部工作。</w:t>
      </w:r>
    </w:p>
    <w:p>
      <w:pPr>
        <w:tabs>
          <w:tab w:val="left" w:pos="7358"/>
        </w:tabs>
        <w:spacing w:before="2" w:line="360" w:lineRule="auto"/>
        <w:ind w:left="878" w:right="2486" w:firstLine="0"/>
        <w:jc w:val="left"/>
        <w:rPr>
          <w:color w:val="auto"/>
          <w:sz w:val="24"/>
          <w:highlight w:val="none"/>
        </w:rPr>
      </w:pPr>
      <w:r>
        <w:rPr>
          <w:color w:val="auto"/>
          <w:sz w:val="24"/>
          <w:highlight w:val="none"/>
        </w:rPr>
        <w:t>二、乙方承担的设计任务包括：</w:t>
      </w:r>
      <w:r>
        <w:rPr>
          <w:color w:val="auto"/>
          <w:sz w:val="24"/>
          <w:highlight w:val="none"/>
          <w:u w:val="single"/>
        </w:rPr>
        <w:t xml:space="preserve"> </w:t>
      </w:r>
      <w:r>
        <w:rPr>
          <w:color w:val="auto"/>
          <w:sz w:val="24"/>
          <w:highlight w:val="none"/>
          <w:u w:val="single"/>
        </w:rPr>
        <w:tab/>
      </w:r>
      <w:r>
        <w:rPr>
          <w:color w:val="auto"/>
          <w:spacing w:val="-18"/>
          <w:sz w:val="24"/>
          <w:highlight w:val="none"/>
        </w:rPr>
        <w:t>。</w:t>
      </w:r>
      <w:r>
        <w:rPr>
          <w:color w:val="auto"/>
          <w:sz w:val="24"/>
          <w:highlight w:val="none"/>
        </w:rPr>
        <w:t>三、下列文件应作为本合同的组成部分：</w:t>
      </w:r>
    </w:p>
    <w:p>
      <w:pPr>
        <w:pStyle w:val="30"/>
        <w:numPr>
          <w:ilvl w:val="0"/>
          <w:numId w:val="29"/>
        </w:numPr>
        <w:tabs>
          <w:tab w:val="left" w:pos="1494"/>
        </w:tabs>
        <w:spacing w:before="2" w:after="0" w:line="360" w:lineRule="auto"/>
        <w:ind w:left="398" w:right="882" w:firstLine="480"/>
        <w:jc w:val="both"/>
        <w:rPr>
          <w:color w:val="auto"/>
          <w:sz w:val="24"/>
          <w:highlight w:val="none"/>
        </w:rPr>
      </w:pPr>
      <w:r>
        <w:rPr>
          <w:color w:val="auto"/>
          <w:sz w:val="24"/>
          <w:highlight w:val="none"/>
        </w:rPr>
        <w:t>本协议书及各种合同附件（含评标期间和合同谈判过程中的澄清文件和补</w:t>
      </w:r>
      <w:r>
        <w:rPr>
          <w:color w:val="auto"/>
          <w:spacing w:val="-8"/>
          <w:sz w:val="24"/>
          <w:highlight w:val="none"/>
        </w:rPr>
        <w:t>充资料；设计人提交的经发包人审核通过的设计详细工作大纲及进度计划、专题研究</w:t>
      </w:r>
      <w:r>
        <w:rPr>
          <w:color w:val="auto"/>
          <w:sz w:val="24"/>
          <w:highlight w:val="none"/>
        </w:rPr>
        <w:t>详细工作大纲等）；</w:t>
      </w:r>
    </w:p>
    <w:p>
      <w:pPr>
        <w:pStyle w:val="30"/>
        <w:numPr>
          <w:ilvl w:val="0"/>
          <w:numId w:val="29"/>
        </w:numPr>
        <w:tabs>
          <w:tab w:val="left" w:pos="1494"/>
        </w:tabs>
        <w:spacing w:before="1" w:after="0" w:line="360" w:lineRule="auto"/>
        <w:ind w:left="1493" w:right="0" w:hanging="616"/>
        <w:jc w:val="left"/>
        <w:rPr>
          <w:color w:val="auto"/>
          <w:sz w:val="24"/>
          <w:highlight w:val="none"/>
        </w:rPr>
      </w:pPr>
      <w:r>
        <w:rPr>
          <w:color w:val="auto"/>
          <w:sz w:val="24"/>
          <w:highlight w:val="none"/>
        </w:rPr>
        <w:t>中标通知书；</w:t>
      </w:r>
    </w:p>
    <w:p>
      <w:pPr>
        <w:pStyle w:val="30"/>
        <w:numPr>
          <w:ilvl w:val="0"/>
          <w:numId w:val="29"/>
        </w:numPr>
        <w:tabs>
          <w:tab w:val="left" w:pos="1494"/>
        </w:tabs>
        <w:spacing w:before="161" w:after="0" w:line="360" w:lineRule="auto"/>
        <w:ind w:left="1493" w:right="0" w:hanging="616"/>
        <w:jc w:val="left"/>
        <w:rPr>
          <w:color w:val="auto"/>
          <w:sz w:val="24"/>
          <w:highlight w:val="none"/>
        </w:rPr>
      </w:pPr>
      <w:r>
        <w:rPr>
          <w:color w:val="auto"/>
          <w:sz w:val="24"/>
          <w:highlight w:val="none"/>
        </w:rPr>
        <w:t>投标函；</w:t>
      </w:r>
    </w:p>
    <w:p>
      <w:pPr>
        <w:pStyle w:val="30"/>
        <w:numPr>
          <w:ilvl w:val="0"/>
          <w:numId w:val="29"/>
        </w:numPr>
        <w:tabs>
          <w:tab w:val="left" w:pos="1494"/>
        </w:tabs>
        <w:spacing w:before="160" w:after="0" w:line="360" w:lineRule="auto"/>
        <w:ind w:left="1493" w:right="0" w:hanging="616"/>
        <w:jc w:val="left"/>
        <w:rPr>
          <w:color w:val="auto"/>
          <w:sz w:val="24"/>
          <w:highlight w:val="none"/>
        </w:rPr>
      </w:pPr>
      <w:r>
        <w:rPr>
          <w:color w:val="auto"/>
          <w:sz w:val="24"/>
          <w:highlight w:val="none"/>
        </w:rPr>
        <w:t>专用合同条款（含招标文件补遗书中与之相关部分）；</w:t>
      </w:r>
    </w:p>
    <w:p>
      <w:pPr>
        <w:pStyle w:val="30"/>
        <w:numPr>
          <w:ilvl w:val="0"/>
          <w:numId w:val="29"/>
        </w:numPr>
        <w:tabs>
          <w:tab w:val="left" w:pos="1494"/>
        </w:tabs>
        <w:spacing w:before="161" w:after="0" w:line="360" w:lineRule="auto"/>
        <w:ind w:left="1493" w:right="0" w:hanging="616"/>
        <w:jc w:val="left"/>
        <w:rPr>
          <w:color w:val="auto"/>
          <w:sz w:val="24"/>
          <w:highlight w:val="none"/>
        </w:rPr>
      </w:pPr>
      <w:r>
        <w:rPr>
          <w:color w:val="auto"/>
          <w:sz w:val="24"/>
          <w:highlight w:val="none"/>
        </w:rPr>
        <w:t>通用合同条款；</w:t>
      </w:r>
    </w:p>
    <w:p>
      <w:pPr>
        <w:pStyle w:val="30"/>
        <w:numPr>
          <w:ilvl w:val="0"/>
          <w:numId w:val="29"/>
        </w:numPr>
        <w:tabs>
          <w:tab w:val="left" w:pos="1494"/>
        </w:tabs>
        <w:spacing w:before="160" w:after="0" w:line="360" w:lineRule="auto"/>
        <w:ind w:left="1493" w:right="0" w:hanging="616"/>
        <w:jc w:val="left"/>
        <w:rPr>
          <w:color w:val="auto"/>
          <w:sz w:val="24"/>
          <w:highlight w:val="none"/>
        </w:rPr>
      </w:pPr>
      <w:r>
        <w:rPr>
          <w:color w:val="auto"/>
          <w:sz w:val="24"/>
          <w:highlight w:val="none"/>
        </w:rPr>
        <w:t>设计技术要求；</w:t>
      </w:r>
    </w:p>
    <w:p>
      <w:pPr>
        <w:pStyle w:val="30"/>
        <w:numPr>
          <w:ilvl w:val="0"/>
          <w:numId w:val="29"/>
        </w:numPr>
        <w:tabs>
          <w:tab w:val="left" w:pos="1494"/>
        </w:tabs>
        <w:spacing w:before="161" w:after="0" w:line="360" w:lineRule="auto"/>
        <w:ind w:left="1493" w:right="0" w:hanging="616"/>
        <w:jc w:val="left"/>
        <w:rPr>
          <w:color w:val="auto"/>
          <w:sz w:val="24"/>
          <w:highlight w:val="none"/>
        </w:rPr>
      </w:pPr>
      <w:r>
        <w:rPr>
          <w:color w:val="auto"/>
          <w:sz w:val="24"/>
          <w:highlight w:val="none"/>
        </w:rPr>
        <w:t>报价函；</w:t>
      </w:r>
    </w:p>
    <w:p>
      <w:pPr>
        <w:pStyle w:val="30"/>
        <w:numPr>
          <w:ilvl w:val="0"/>
          <w:numId w:val="29"/>
        </w:numPr>
        <w:tabs>
          <w:tab w:val="left" w:pos="1494"/>
        </w:tabs>
        <w:spacing w:before="160" w:after="0" w:line="360" w:lineRule="auto"/>
        <w:ind w:left="1493" w:right="0" w:hanging="616"/>
        <w:jc w:val="left"/>
        <w:rPr>
          <w:color w:val="auto"/>
          <w:sz w:val="24"/>
          <w:highlight w:val="none"/>
        </w:rPr>
      </w:pPr>
      <w:r>
        <w:rPr>
          <w:color w:val="auto"/>
          <w:sz w:val="24"/>
          <w:highlight w:val="none"/>
        </w:rPr>
        <w:t>投标文件中承诺投入的项目主要人员；</w:t>
      </w:r>
    </w:p>
    <w:p>
      <w:pPr>
        <w:pStyle w:val="30"/>
        <w:numPr>
          <w:ilvl w:val="0"/>
          <w:numId w:val="29"/>
        </w:numPr>
        <w:tabs>
          <w:tab w:val="left" w:pos="1494"/>
        </w:tabs>
        <w:spacing w:before="161" w:after="0" w:line="360" w:lineRule="auto"/>
        <w:ind w:left="1493" w:right="0" w:hanging="616"/>
        <w:jc w:val="left"/>
        <w:rPr>
          <w:color w:val="auto"/>
          <w:sz w:val="24"/>
          <w:highlight w:val="none"/>
        </w:rPr>
      </w:pPr>
      <w:r>
        <w:rPr>
          <w:color w:val="auto"/>
          <w:sz w:val="24"/>
          <w:highlight w:val="none"/>
        </w:rPr>
        <w:t>构成本合同组成部分的其他文件。</w:t>
      </w:r>
    </w:p>
    <w:p>
      <w:pPr>
        <w:tabs>
          <w:tab w:val="left" w:pos="6369"/>
        </w:tabs>
        <w:spacing w:before="54" w:line="360" w:lineRule="auto"/>
        <w:ind w:left="398" w:right="885" w:firstLine="480"/>
        <w:jc w:val="left"/>
        <w:rPr>
          <w:color w:val="auto"/>
          <w:sz w:val="24"/>
          <w:highlight w:val="none"/>
        </w:rPr>
      </w:pPr>
      <w:r>
        <w:rPr>
          <w:color w:val="auto"/>
          <w:sz w:val="24"/>
          <w:highlight w:val="none"/>
        </w:rPr>
        <w:t>上述文件应认为是互为补充和解释的，但如有含义不清或互相矛盾处，以上面所列顺序在前者为准。</w:t>
      </w:r>
    </w:p>
    <w:p>
      <w:pPr>
        <w:tabs>
          <w:tab w:val="left" w:pos="6369"/>
        </w:tabs>
        <w:spacing w:before="54" w:line="360" w:lineRule="auto"/>
        <w:ind w:left="398" w:right="885" w:firstLine="480"/>
        <w:jc w:val="left"/>
        <w:rPr>
          <w:color w:val="auto"/>
          <w:sz w:val="24"/>
          <w:highlight w:val="none"/>
        </w:rPr>
      </w:pPr>
      <w:r>
        <w:rPr>
          <w:color w:val="auto"/>
          <w:sz w:val="24"/>
          <w:highlight w:val="none"/>
        </w:rPr>
        <w:t>四</w:t>
      </w:r>
      <w:r>
        <w:rPr>
          <w:color w:val="auto"/>
          <w:spacing w:val="-17"/>
          <w:sz w:val="24"/>
          <w:highlight w:val="none"/>
        </w:rPr>
        <w:t>、</w:t>
      </w:r>
      <w:r>
        <w:rPr>
          <w:rFonts w:hint="eastAsia"/>
          <w:color w:val="auto"/>
          <w:sz w:val="24"/>
          <w:highlight w:val="none"/>
          <w:lang w:eastAsia="zh-CN"/>
        </w:rPr>
        <w:t>设计费用计算方式如下：</w:t>
      </w:r>
      <w:r>
        <w:rPr>
          <w:rFonts w:hint="eastAsia"/>
          <w:color w:val="auto"/>
          <w:sz w:val="24"/>
          <w:highlight w:val="none"/>
          <w:u w:val="single"/>
          <w:lang w:eastAsia="zh-CN"/>
        </w:rPr>
        <w:t>按</w:t>
      </w:r>
      <w:r>
        <w:rPr>
          <w:color w:val="auto"/>
          <w:sz w:val="24"/>
          <w:highlight w:val="none"/>
          <w:u w:val="single"/>
        </w:rPr>
        <w:t>单个</w:t>
      </w:r>
      <w:r>
        <w:rPr>
          <w:rFonts w:hint="eastAsia"/>
          <w:color w:val="auto"/>
          <w:sz w:val="24"/>
          <w:highlight w:val="none"/>
          <w:u w:val="single"/>
          <w:lang w:eastAsia="zh-CN"/>
        </w:rPr>
        <w:t>项目上级部门</w:t>
      </w:r>
      <w:r>
        <w:rPr>
          <w:rFonts w:hint="eastAsia"/>
          <w:color w:val="auto"/>
          <w:sz w:val="24"/>
          <w:highlight w:val="none"/>
          <w:u w:val="single"/>
        </w:rPr>
        <w:t>批复预算中的</w:t>
      </w:r>
      <w:r>
        <w:rPr>
          <w:rFonts w:hint="eastAsia"/>
          <w:color w:val="auto"/>
          <w:sz w:val="24"/>
          <w:highlight w:val="none"/>
          <w:u w:val="single"/>
          <w:lang w:eastAsia="zh-CN"/>
        </w:rPr>
        <w:t>（</w:t>
      </w:r>
      <w:r>
        <w:rPr>
          <w:rFonts w:hint="eastAsia"/>
          <w:color w:val="auto"/>
          <w:sz w:val="24"/>
          <w:highlight w:val="none"/>
          <w:u w:val="single"/>
        </w:rPr>
        <w:t>公路养护工程设计费</w:t>
      </w:r>
      <w:r>
        <w:rPr>
          <w:rFonts w:hint="eastAsia"/>
          <w:color w:val="auto"/>
          <w:sz w:val="24"/>
          <w:highlight w:val="none"/>
          <w:u w:val="single"/>
          <w:lang w:val="en-US" w:eastAsia="zh-CN"/>
        </w:rPr>
        <w:t>+</w:t>
      </w:r>
      <w:r>
        <w:rPr>
          <w:rFonts w:hint="eastAsia"/>
          <w:color w:val="auto"/>
          <w:sz w:val="24"/>
          <w:highlight w:val="none"/>
          <w:u w:val="single"/>
        </w:rPr>
        <w:t>公路养护工程勘察、路况检测费</w:t>
      </w:r>
      <w:r>
        <w:rPr>
          <w:rFonts w:hint="eastAsia"/>
          <w:color w:val="auto"/>
          <w:sz w:val="24"/>
          <w:highlight w:val="none"/>
          <w:u w:val="single"/>
          <w:lang w:eastAsia="zh-CN"/>
        </w:rPr>
        <w:t>）</w:t>
      </w:r>
      <w:r>
        <w:rPr>
          <w:rFonts w:ascii="Arial" w:hAnsi="Arial" w:eastAsia="Arial"/>
          <w:color w:val="auto"/>
          <w:sz w:val="24"/>
          <w:highlight w:val="none"/>
          <w:u w:val="single"/>
        </w:rPr>
        <w:t xml:space="preserve">× </w:t>
      </w:r>
      <w:r>
        <w:rPr>
          <w:rFonts w:hint="eastAsia" w:ascii="Arial" w:hAnsi="Arial" w:eastAsia="宋体"/>
          <w:color w:val="auto"/>
          <w:sz w:val="24"/>
          <w:highlight w:val="none"/>
          <w:u w:val="single"/>
          <w:lang w:eastAsia="zh-CN"/>
        </w:rPr>
        <w:t>固定费率</w:t>
      </w:r>
      <w:r>
        <w:rPr>
          <w:color w:val="auto"/>
          <w:sz w:val="24"/>
          <w:highlight w:val="none"/>
          <w:u w:val="single"/>
        </w:rPr>
        <w:t>（</w:t>
      </w:r>
      <w:r>
        <w:rPr>
          <w:rFonts w:hint="eastAsia"/>
          <w:color w:val="auto"/>
          <w:sz w:val="24"/>
          <w:highlight w:val="none"/>
          <w:u w:val="single"/>
          <w:lang w:eastAsia="zh-CN"/>
        </w:rPr>
        <w:t>即</w:t>
      </w:r>
      <w:r>
        <w:rPr>
          <w:color w:val="auto"/>
          <w:sz w:val="24"/>
          <w:highlight w:val="none"/>
          <w:u w:val="single"/>
        </w:rPr>
        <w:t>中标费率</w:t>
      </w:r>
      <w:r>
        <w:rPr>
          <w:color w:val="auto"/>
          <w:spacing w:val="-17"/>
          <w:sz w:val="24"/>
          <w:highlight w:val="none"/>
          <w:u w:val="single"/>
        </w:rPr>
        <w:t>）</w:t>
      </w:r>
      <w:r>
        <w:rPr>
          <w:color w:val="auto"/>
          <w:spacing w:val="-34"/>
          <w:sz w:val="24"/>
          <w:highlight w:val="none"/>
        </w:rPr>
        <w:t>。</w:t>
      </w:r>
    </w:p>
    <w:p>
      <w:pPr>
        <w:tabs>
          <w:tab w:val="left" w:pos="4598"/>
          <w:tab w:val="left" w:pos="8318"/>
        </w:tabs>
        <w:spacing w:before="1" w:line="360" w:lineRule="auto"/>
        <w:ind w:left="878" w:right="0" w:firstLine="0"/>
        <w:jc w:val="left"/>
        <w:outlineLvl w:val="2"/>
        <w:rPr>
          <w:color w:val="auto"/>
          <w:sz w:val="24"/>
          <w:highlight w:val="none"/>
        </w:rPr>
      </w:pPr>
      <w:bookmarkStart w:id="209" w:name="_Toc15912"/>
      <w:bookmarkStart w:id="210" w:name="_Toc15374"/>
      <w:r>
        <w:rPr>
          <w:color w:val="auto"/>
          <w:sz w:val="24"/>
          <w:highlight w:val="none"/>
        </w:rPr>
        <w:t>五、项目负责人：</w:t>
      </w:r>
      <w:r>
        <w:rPr>
          <w:color w:val="auto"/>
          <w:sz w:val="24"/>
          <w:highlight w:val="none"/>
          <w:u w:val="single"/>
        </w:rPr>
        <w:t xml:space="preserve"> </w:t>
      </w:r>
      <w:r>
        <w:rPr>
          <w:color w:val="auto"/>
          <w:sz w:val="24"/>
          <w:highlight w:val="none"/>
          <w:u w:val="single"/>
        </w:rPr>
        <w:tab/>
      </w:r>
      <w:r>
        <w:rPr>
          <w:color w:val="auto"/>
          <w:sz w:val="24"/>
          <w:highlight w:val="none"/>
        </w:rPr>
        <w:t>，分项负责人：</w:t>
      </w:r>
      <w:r>
        <w:rPr>
          <w:color w:val="auto"/>
          <w:sz w:val="24"/>
          <w:highlight w:val="none"/>
          <w:u w:val="single"/>
        </w:rPr>
        <w:t xml:space="preserve"> </w:t>
      </w:r>
      <w:r>
        <w:rPr>
          <w:color w:val="auto"/>
          <w:sz w:val="24"/>
          <w:highlight w:val="none"/>
          <w:u w:val="single"/>
        </w:rPr>
        <w:tab/>
      </w:r>
      <w:r>
        <w:rPr>
          <w:color w:val="auto"/>
          <w:sz w:val="24"/>
          <w:highlight w:val="none"/>
        </w:rPr>
        <w:t>。</w:t>
      </w:r>
      <w:bookmarkEnd w:id="209"/>
      <w:bookmarkEnd w:id="210"/>
    </w:p>
    <w:p>
      <w:pPr>
        <w:spacing w:before="146" w:line="360" w:lineRule="auto"/>
        <w:ind w:left="398" w:right="412" w:firstLine="480"/>
        <w:jc w:val="both"/>
        <w:rPr>
          <w:rFonts w:hint="eastAsia"/>
          <w:color w:val="auto"/>
          <w:sz w:val="24"/>
          <w:highlight w:val="none"/>
          <w:lang w:val="zh-CN" w:eastAsia="zh-CN"/>
        </w:rPr>
      </w:pPr>
      <w:r>
        <w:rPr>
          <w:color w:val="auto"/>
          <w:sz w:val="24"/>
          <w:highlight w:val="none"/>
        </w:rPr>
        <w:t>六、设计周期：</w:t>
      </w:r>
      <w:r>
        <w:rPr>
          <w:rFonts w:hint="eastAsia"/>
          <w:color w:val="auto"/>
          <w:sz w:val="24"/>
          <w:highlight w:val="none"/>
          <w:lang w:val="zh-CN" w:eastAsia="zh-CN"/>
        </w:rPr>
        <w:t>（1）一阶段设计（若遇技术复杂项目除外）：在收到招标人设计分项任务要求后</w:t>
      </w:r>
      <w:r>
        <w:rPr>
          <w:rFonts w:hint="eastAsia"/>
          <w:color w:val="auto"/>
          <w:sz w:val="24"/>
          <w:highlight w:val="none"/>
          <w:lang w:val="en-US" w:eastAsia="zh-CN"/>
        </w:rPr>
        <w:t>30</w:t>
      </w:r>
      <w:r>
        <w:rPr>
          <w:rFonts w:hint="eastAsia"/>
          <w:color w:val="auto"/>
          <w:sz w:val="24"/>
          <w:highlight w:val="none"/>
          <w:lang w:val="zh-CN" w:eastAsia="zh-CN"/>
        </w:rPr>
        <w:t>天内，向招标人提交各分项工程一阶段设计的路况检测报告、全部施工图、预算文件及相应施工技术规范专用条款编制。</w:t>
      </w:r>
    </w:p>
    <w:p>
      <w:pPr>
        <w:spacing w:before="146" w:line="360" w:lineRule="auto"/>
        <w:ind w:left="398" w:right="412" w:firstLine="480"/>
        <w:jc w:val="both"/>
        <w:rPr>
          <w:rFonts w:hint="eastAsia"/>
          <w:color w:val="auto"/>
          <w:sz w:val="24"/>
          <w:highlight w:val="none"/>
          <w:lang w:val="zh-CN" w:eastAsia="zh-CN"/>
        </w:rPr>
      </w:pPr>
      <w:r>
        <w:rPr>
          <w:rFonts w:hint="eastAsia"/>
          <w:color w:val="auto"/>
          <w:sz w:val="24"/>
          <w:highlight w:val="none"/>
          <w:lang w:val="zh-CN" w:eastAsia="zh-CN"/>
        </w:rPr>
        <w:t>（2）收到咨询单位（如有）、发包人和上级主管部门审查意见后</w:t>
      </w:r>
      <w:r>
        <w:rPr>
          <w:rFonts w:hint="eastAsia"/>
          <w:color w:val="auto"/>
          <w:sz w:val="24"/>
          <w:highlight w:val="none"/>
          <w:lang w:val="en-US" w:eastAsia="zh-CN"/>
        </w:rPr>
        <w:t>20</w:t>
      </w:r>
      <w:r>
        <w:rPr>
          <w:rFonts w:hint="eastAsia"/>
          <w:color w:val="auto"/>
          <w:sz w:val="24"/>
          <w:highlight w:val="none"/>
          <w:lang w:val="zh-CN" w:eastAsia="zh-CN"/>
        </w:rPr>
        <w:t>天内，对施工图设计文件进行修改完善，在1月底前完成施工图设计文件最终文本8份。</w:t>
      </w:r>
    </w:p>
    <w:p>
      <w:pPr>
        <w:spacing w:before="146" w:line="360" w:lineRule="auto"/>
        <w:ind w:left="398" w:right="412" w:firstLine="480"/>
        <w:jc w:val="both"/>
        <w:rPr>
          <w:rFonts w:hint="eastAsia"/>
          <w:color w:val="auto"/>
          <w:sz w:val="24"/>
          <w:highlight w:val="none"/>
          <w:lang w:val="zh-CN" w:eastAsia="zh-CN"/>
        </w:rPr>
      </w:pPr>
      <w:r>
        <w:rPr>
          <w:rFonts w:hint="eastAsia"/>
          <w:color w:val="auto"/>
          <w:sz w:val="24"/>
          <w:highlight w:val="none"/>
          <w:lang w:val="zh-CN" w:eastAsia="zh-CN"/>
        </w:rPr>
        <w:t>（</w:t>
      </w:r>
      <w:r>
        <w:rPr>
          <w:rFonts w:hint="eastAsia"/>
          <w:color w:val="auto"/>
          <w:sz w:val="24"/>
          <w:highlight w:val="none"/>
          <w:lang w:val="en-US" w:eastAsia="zh-CN"/>
        </w:rPr>
        <w:t>3</w:t>
      </w:r>
      <w:r>
        <w:rPr>
          <w:rFonts w:hint="eastAsia"/>
          <w:color w:val="auto"/>
          <w:sz w:val="24"/>
          <w:highlight w:val="none"/>
          <w:lang w:val="zh-CN" w:eastAsia="zh-CN"/>
        </w:rPr>
        <w:t>）后续服务：从项目开工至竣工验收，缺陷责任期1年。</w:t>
      </w:r>
    </w:p>
    <w:p>
      <w:pPr>
        <w:pStyle w:val="30"/>
        <w:numPr>
          <w:ilvl w:val="0"/>
          <w:numId w:val="0"/>
        </w:numPr>
        <w:tabs>
          <w:tab w:val="left" w:pos="1494"/>
        </w:tabs>
        <w:spacing w:before="2" w:after="0" w:line="364" w:lineRule="auto"/>
        <w:ind w:left="878" w:leftChars="0" w:right="410" w:rightChars="0"/>
        <w:jc w:val="both"/>
        <w:rPr>
          <w:rFonts w:hint="eastAsia"/>
          <w:color w:val="auto"/>
          <w:sz w:val="24"/>
          <w:highlight w:val="none"/>
          <w:lang w:eastAsia="zh-CN"/>
        </w:rPr>
      </w:pPr>
      <w:r>
        <w:rPr>
          <w:rFonts w:hint="eastAsia"/>
          <w:color w:val="auto"/>
          <w:sz w:val="24"/>
          <w:highlight w:val="none"/>
          <w:lang w:val="zh-CN" w:eastAsia="zh-CN"/>
        </w:rPr>
        <w:t>七、支付方式：</w:t>
      </w:r>
    </w:p>
    <w:p>
      <w:pPr>
        <w:pStyle w:val="30"/>
        <w:numPr>
          <w:ilvl w:val="0"/>
          <w:numId w:val="0"/>
        </w:numPr>
        <w:tabs>
          <w:tab w:val="left" w:pos="1494"/>
        </w:tabs>
        <w:spacing w:before="2" w:after="0" w:line="364" w:lineRule="auto"/>
        <w:ind w:left="880" w:leftChars="0" w:right="410" w:rightChars="0"/>
        <w:jc w:val="both"/>
        <w:rPr>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1）</w:t>
      </w:r>
      <w:r>
        <w:rPr>
          <w:color w:val="auto"/>
          <w:sz w:val="24"/>
          <w:highlight w:val="none"/>
        </w:rPr>
        <w:t>合同签订并收到</w:t>
      </w:r>
      <w:r>
        <w:rPr>
          <w:rFonts w:hint="eastAsia"/>
          <w:color w:val="auto"/>
          <w:sz w:val="24"/>
          <w:highlight w:val="none"/>
          <w:lang w:eastAsia="zh-CN"/>
        </w:rPr>
        <w:t>发包</w:t>
      </w:r>
      <w:r>
        <w:rPr>
          <w:color w:val="auto"/>
          <w:sz w:val="24"/>
          <w:highlight w:val="none"/>
        </w:rPr>
        <w:t>人</w:t>
      </w:r>
      <w:r>
        <w:rPr>
          <w:rFonts w:hint="eastAsia"/>
          <w:color w:val="auto"/>
          <w:sz w:val="24"/>
          <w:highlight w:val="none"/>
          <w:lang w:eastAsia="zh-CN"/>
        </w:rPr>
        <w:t>设计</w:t>
      </w:r>
      <w:r>
        <w:rPr>
          <w:color w:val="auto"/>
          <w:sz w:val="24"/>
          <w:highlight w:val="none"/>
        </w:rPr>
        <w:t>任务要求后，设计人按期完成任务内的施工图设计文件（含</w:t>
      </w:r>
      <w:r>
        <w:rPr>
          <w:rFonts w:hint="eastAsia"/>
          <w:color w:val="auto"/>
          <w:sz w:val="24"/>
          <w:highlight w:val="none"/>
          <w:lang w:eastAsia="zh-CN"/>
        </w:rPr>
        <w:t>路况检测报告</w:t>
      </w:r>
      <w:r>
        <w:rPr>
          <w:color w:val="auto"/>
          <w:sz w:val="24"/>
          <w:highlight w:val="none"/>
        </w:rPr>
        <w:t>和项目专用技术规范）送至发包人处，经发包人组织审查以及上级主管部门审查、修改批准</w:t>
      </w:r>
      <w:r>
        <w:rPr>
          <w:rFonts w:hint="eastAsia"/>
          <w:color w:val="auto"/>
          <w:sz w:val="24"/>
          <w:highlight w:val="none"/>
          <w:lang w:eastAsia="zh-CN"/>
        </w:rPr>
        <w:t>，待省中心批复后付该项目设计费用的</w:t>
      </w:r>
      <w:r>
        <w:rPr>
          <w:rFonts w:hint="eastAsia"/>
          <w:color w:val="auto"/>
          <w:sz w:val="24"/>
          <w:highlight w:val="none"/>
          <w:lang w:val="en-US" w:eastAsia="zh-CN"/>
        </w:rPr>
        <w:t>20%。</w:t>
      </w:r>
    </w:p>
    <w:p>
      <w:pPr>
        <w:pStyle w:val="30"/>
        <w:numPr>
          <w:ilvl w:val="0"/>
          <w:numId w:val="0"/>
        </w:numPr>
        <w:tabs>
          <w:tab w:val="left" w:pos="1494"/>
        </w:tabs>
        <w:spacing w:before="2" w:after="0" w:line="364" w:lineRule="auto"/>
        <w:ind w:left="880" w:leftChars="0" w:right="410" w:rightChars="0"/>
        <w:jc w:val="both"/>
        <w:rPr>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2）工程开工后付至</w:t>
      </w:r>
      <w:r>
        <w:rPr>
          <w:color w:val="auto"/>
          <w:sz w:val="24"/>
          <w:highlight w:val="none"/>
        </w:rPr>
        <w:t>该项目设计费用的</w:t>
      </w:r>
      <w:r>
        <w:rPr>
          <w:rFonts w:hint="eastAsia"/>
          <w:color w:val="auto"/>
          <w:sz w:val="24"/>
          <w:highlight w:val="none"/>
          <w:lang w:val="en-US" w:eastAsia="zh-CN"/>
        </w:rPr>
        <w:t>8</w:t>
      </w:r>
      <w:r>
        <w:rPr>
          <w:color w:val="auto"/>
          <w:sz w:val="24"/>
          <w:highlight w:val="none"/>
        </w:rPr>
        <w:t>0%；</w:t>
      </w:r>
    </w:p>
    <w:p>
      <w:pPr>
        <w:pStyle w:val="30"/>
        <w:numPr>
          <w:ilvl w:val="0"/>
          <w:numId w:val="0"/>
        </w:numPr>
        <w:tabs>
          <w:tab w:val="left" w:pos="1494"/>
        </w:tabs>
        <w:spacing w:before="2" w:after="0" w:line="364" w:lineRule="auto"/>
        <w:ind w:left="880" w:leftChars="0" w:right="410" w:rightChars="0"/>
        <w:jc w:val="both"/>
        <w:rPr>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3）</w:t>
      </w:r>
      <w:r>
        <w:rPr>
          <w:rFonts w:hint="eastAsia"/>
          <w:color w:val="auto"/>
          <w:sz w:val="24"/>
          <w:highlight w:val="none"/>
        </w:rPr>
        <w:t>工程完工通过验收合格后付清该项目剩余款项。</w:t>
      </w:r>
    </w:p>
    <w:p>
      <w:pPr>
        <w:spacing w:before="146" w:line="360" w:lineRule="auto"/>
        <w:ind w:left="398" w:right="412" w:firstLine="480"/>
        <w:jc w:val="both"/>
        <w:rPr>
          <w:color w:val="auto"/>
          <w:sz w:val="24"/>
          <w:highlight w:val="none"/>
        </w:rPr>
      </w:pPr>
      <w:r>
        <w:rPr>
          <w:color w:val="auto"/>
          <w:sz w:val="24"/>
          <w:highlight w:val="none"/>
        </w:rPr>
        <w:t>八、甲方和乙方双方的责任和义务及违约条款遵照设计合同条款的规定。</w:t>
      </w:r>
    </w:p>
    <w:p>
      <w:pPr>
        <w:spacing w:before="161" w:line="360" w:lineRule="auto"/>
        <w:ind w:left="398" w:right="882" w:firstLine="480"/>
        <w:jc w:val="left"/>
        <w:rPr>
          <w:color w:val="auto"/>
          <w:sz w:val="24"/>
          <w:highlight w:val="none"/>
        </w:rPr>
      </w:pPr>
      <w:r>
        <w:rPr>
          <w:color w:val="auto"/>
          <w:spacing w:val="-10"/>
          <w:sz w:val="24"/>
          <w:highlight w:val="none"/>
        </w:rPr>
        <w:t>九、本协议书在乙方提供履约担保后，由双方法定代表人或其委托代理人签署并</w:t>
      </w:r>
      <w:r>
        <w:rPr>
          <w:color w:val="auto"/>
          <w:sz w:val="24"/>
          <w:highlight w:val="none"/>
        </w:rPr>
        <w:t>加盖单位章后生效。乙方完成全部设计工作且设计费用结清后失效。</w:t>
      </w:r>
    </w:p>
    <w:p>
      <w:pPr>
        <w:tabs>
          <w:tab w:val="left" w:pos="4598"/>
          <w:tab w:val="left" w:pos="8798"/>
        </w:tabs>
        <w:spacing w:before="1" w:line="360" w:lineRule="auto"/>
        <w:ind w:left="398" w:right="806" w:firstLine="480"/>
        <w:jc w:val="left"/>
        <w:rPr>
          <w:color w:val="auto"/>
          <w:sz w:val="24"/>
          <w:highlight w:val="none"/>
        </w:rPr>
      </w:pPr>
      <w:r>
        <w:rPr>
          <w:color w:val="auto"/>
          <w:sz w:val="24"/>
          <w:highlight w:val="none"/>
        </w:rPr>
        <w:t>十、本协议书正本两份，副本</w:t>
      </w:r>
      <w:r>
        <w:rPr>
          <w:color w:val="auto"/>
          <w:sz w:val="24"/>
          <w:highlight w:val="none"/>
          <w:u w:val="single"/>
        </w:rPr>
        <w:t xml:space="preserve"> </w:t>
      </w:r>
      <w:r>
        <w:rPr>
          <w:color w:val="auto"/>
          <w:sz w:val="24"/>
          <w:highlight w:val="none"/>
          <w:u w:val="single"/>
        </w:rPr>
        <w:tab/>
      </w:r>
      <w:r>
        <w:rPr>
          <w:color w:val="auto"/>
          <w:sz w:val="24"/>
          <w:highlight w:val="none"/>
        </w:rPr>
        <w:t>份，合同双方各执正本一份，副本</w:t>
      </w:r>
      <w:r>
        <w:rPr>
          <w:color w:val="auto"/>
          <w:sz w:val="24"/>
          <w:highlight w:val="none"/>
          <w:u w:val="single"/>
        </w:rPr>
        <w:t xml:space="preserve"> </w:t>
      </w:r>
      <w:r>
        <w:rPr>
          <w:color w:val="auto"/>
          <w:sz w:val="24"/>
          <w:highlight w:val="none"/>
          <w:u w:val="single"/>
        </w:rPr>
        <w:tab/>
      </w:r>
      <w:r>
        <w:rPr>
          <w:color w:val="auto"/>
          <w:sz w:val="24"/>
          <w:highlight w:val="none"/>
        </w:rPr>
        <w:t>份</w:t>
      </w:r>
      <w:r>
        <w:rPr>
          <w:color w:val="auto"/>
          <w:spacing w:val="-18"/>
          <w:sz w:val="24"/>
          <w:highlight w:val="none"/>
        </w:rPr>
        <w:t xml:space="preserve">， </w:t>
      </w:r>
      <w:r>
        <w:rPr>
          <w:color w:val="auto"/>
          <w:sz w:val="24"/>
          <w:highlight w:val="none"/>
        </w:rPr>
        <w:t>当正本与副本的内容不一致时，以正本为准。</w:t>
      </w:r>
    </w:p>
    <w:p>
      <w:pPr>
        <w:spacing w:before="1" w:line="360" w:lineRule="auto"/>
        <w:ind w:left="878" w:right="0" w:firstLine="0"/>
        <w:jc w:val="left"/>
        <w:rPr>
          <w:color w:val="auto"/>
          <w:sz w:val="24"/>
          <w:highlight w:val="none"/>
        </w:rPr>
      </w:pPr>
      <w:r>
        <w:rPr>
          <w:color w:val="auto"/>
          <w:sz w:val="24"/>
          <w:highlight w:val="none"/>
        </w:rPr>
        <w:t>十一、合同未尽事宜，双方另行签订补充协议。补充协议是合同的组成部分。</w:t>
      </w:r>
    </w:p>
    <w:p>
      <w:pPr>
        <w:pStyle w:val="2"/>
        <w:rPr>
          <w:color w:val="auto"/>
          <w:sz w:val="24"/>
          <w:highlight w:val="none"/>
        </w:rPr>
      </w:pPr>
    </w:p>
    <w:p>
      <w:pPr>
        <w:pStyle w:val="2"/>
        <w:rPr>
          <w:color w:val="auto"/>
          <w:sz w:val="25"/>
          <w:highlight w:val="none"/>
        </w:rPr>
      </w:pPr>
    </w:p>
    <w:p>
      <w:pPr>
        <w:tabs>
          <w:tab w:val="left" w:pos="4958"/>
          <w:tab w:val="left" w:pos="5078"/>
        </w:tabs>
        <w:spacing w:before="1" w:line="364" w:lineRule="auto"/>
        <w:ind w:left="878" w:right="1046" w:firstLine="0"/>
        <w:jc w:val="left"/>
        <w:rPr>
          <w:color w:val="auto"/>
          <w:sz w:val="24"/>
          <w:highlight w:val="none"/>
        </w:rPr>
      </w:pPr>
      <w:r>
        <w:rPr>
          <w:color w:val="auto"/>
          <w:sz w:val="24"/>
          <w:highlight w:val="none"/>
        </w:rPr>
        <w:t>甲 方：（单位全称） （盖单位章）</w:t>
      </w:r>
      <w:r>
        <w:rPr>
          <w:color w:val="auto"/>
          <w:sz w:val="24"/>
          <w:highlight w:val="none"/>
        </w:rPr>
        <w:tab/>
      </w:r>
      <w:r>
        <w:rPr>
          <w:color w:val="auto"/>
          <w:sz w:val="24"/>
          <w:highlight w:val="none"/>
        </w:rPr>
        <w:tab/>
      </w:r>
      <w:r>
        <w:rPr>
          <w:color w:val="auto"/>
          <w:sz w:val="24"/>
          <w:highlight w:val="none"/>
        </w:rPr>
        <w:t>乙 方： （单位全称） （盖单位章</w:t>
      </w:r>
      <w:r>
        <w:rPr>
          <w:color w:val="auto"/>
          <w:spacing w:val="-18"/>
          <w:sz w:val="24"/>
          <w:highlight w:val="none"/>
        </w:rPr>
        <w:t xml:space="preserve">） </w:t>
      </w:r>
      <w:r>
        <w:rPr>
          <w:color w:val="auto"/>
          <w:sz w:val="24"/>
          <w:highlight w:val="none"/>
        </w:rPr>
        <w:t>法定代表人</w:t>
      </w:r>
      <w:r>
        <w:rPr>
          <w:color w:val="auto"/>
          <w:sz w:val="24"/>
          <w:highlight w:val="none"/>
        </w:rPr>
        <w:tab/>
      </w:r>
      <w:r>
        <w:rPr>
          <w:color w:val="auto"/>
          <w:sz w:val="24"/>
          <w:highlight w:val="none"/>
        </w:rPr>
        <w:t>法定代表人</w:t>
      </w:r>
    </w:p>
    <w:p>
      <w:pPr>
        <w:tabs>
          <w:tab w:val="left" w:pos="4958"/>
        </w:tabs>
        <w:spacing w:before="1"/>
        <w:ind w:left="878" w:right="0" w:firstLine="0"/>
        <w:jc w:val="left"/>
        <w:rPr>
          <w:color w:val="auto"/>
          <w:sz w:val="24"/>
          <w:highlight w:val="none"/>
        </w:rPr>
      </w:pPr>
      <w:r>
        <w:rPr>
          <w:color w:val="auto"/>
          <w:sz w:val="24"/>
          <w:highlight w:val="none"/>
        </w:rPr>
        <w:t>或</w:t>
      </w:r>
      <w:r>
        <w:rPr>
          <w:color w:val="auto"/>
          <w:sz w:val="24"/>
          <w:highlight w:val="none"/>
        </w:rPr>
        <w:tab/>
      </w:r>
      <w:r>
        <w:rPr>
          <w:color w:val="auto"/>
          <w:sz w:val="24"/>
          <w:highlight w:val="none"/>
        </w:rPr>
        <w:t>或</w:t>
      </w:r>
    </w:p>
    <w:p>
      <w:pPr>
        <w:tabs>
          <w:tab w:val="left" w:pos="5078"/>
          <w:tab w:val="left" w:pos="6758"/>
        </w:tabs>
        <w:spacing w:before="160"/>
        <w:ind w:left="878" w:right="0" w:firstLine="0"/>
        <w:jc w:val="left"/>
        <w:rPr>
          <w:color w:val="auto"/>
          <w:sz w:val="24"/>
          <w:highlight w:val="none"/>
        </w:rPr>
      </w:pPr>
      <w:r>
        <w:rPr>
          <w:color w:val="auto"/>
          <w:sz w:val="24"/>
          <w:highlight w:val="none"/>
        </w:rPr>
        <w:t>其委托代理人 （职务）</w:t>
      </w:r>
      <w:r>
        <w:rPr>
          <w:color w:val="auto"/>
          <w:sz w:val="24"/>
          <w:highlight w:val="none"/>
        </w:rPr>
        <w:tab/>
      </w:r>
      <w:r>
        <w:rPr>
          <w:color w:val="auto"/>
          <w:sz w:val="24"/>
          <w:highlight w:val="none"/>
        </w:rPr>
        <w:t>其委托代理人</w:t>
      </w:r>
      <w:r>
        <w:rPr>
          <w:color w:val="auto"/>
          <w:sz w:val="24"/>
          <w:highlight w:val="none"/>
        </w:rPr>
        <w:tab/>
      </w:r>
      <w:r>
        <w:rPr>
          <w:color w:val="auto"/>
          <w:sz w:val="24"/>
          <w:highlight w:val="none"/>
        </w:rPr>
        <w:t>（职务）</w:t>
      </w:r>
    </w:p>
    <w:p>
      <w:pPr>
        <w:tabs>
          <w:tab w:val="left" w:pos="5198"/>
        </w:tabs>
        <w:spacing w:before="161"/>
        <w:ind w:left="878" w:right="0" w:firstLine="0"/>
        <w:jc w:val="left"/>
        <w:rPr>
          <w:color w:val="auto"/>
          <w:sz w:val="24"/>
          <w:highlight w:val="none"/>
        </w:rPr>
      </w:pPr>
      <w:r>
        <w:rPr>
          <w:color w:val="auto"/>
          <w:sz w:val="24"/>
          <w:highlight w:val="none"/>
        </w:rPr>
        <w:t>（姓名）</w:t>
      </w:r>
      <w:r>
        <w:rPr>
          <w:color w:val="auto"/>
          <w:sz w:val="24"/>
          <w:highlight w:val="none"/>
        </w:rPr>
        <w:tab/>
      </w:r>
      <w:r>
        <w:rPr>
          <w:color w:val="auto"/>
          <w:sz w:val="24"/>
          <w:highlight w:val="none"/>
        </w:rPr>
        <w:t>（姓名）</w:t>
      </w:r>
    </w:p>
    <w:p>
      <w:pPr>
        <w:tabs>
          <w:tab w:val="left" w:pos="5198"/>
        </w:tabs>
        <w:spacing w:before="160"/>
        <w:ind w:left="878" w:right="0" w:firstLine="0"/>
        <w:jc w:val="left"/>
        <w:rPr>
          <w:color w:val="auto"/>
          <w:sz w:val="24"/>
          <w:highlight w:val="none"/>
        </w:rPr>
      </w:pPr>
      <w:r>
        <w:rPr>
          <w:color w:val="auto"/>
          <w:sz w:val="24"/>
          <w:highlight w:val="none"/>
        </w:rPr>
        <w:t>（签字）</w:t>
      </w:r>
      <w:r>
        <w:rPr>
          <w:color w:val="auto"/>
          <w:sz w:val="24"/>
          <w:highlight w:val="none"/>
        </w:rPr>
        <w:tab/>
      </w:r>
      <w:r>
        <w:rPr>
          <w:color w:val="auto"/>
          <w:sz w:val="24"/>
          <w:highlight w:val="none"/>
        </w:rPr>
        <w:t>（签字）</w:t>
      </w:r>
    </w:p>
    <w:p>
      <w:pPr>
        <w:tabs>
          <w:tab w:val="left" w:pos="5078"/>
        </w:tabs>
        <w:spacing w:before="161"/>
        <w:ind w:left="878" w:right="0" w:firstLine="0"/>
        <w:jc w:val="left"/>
        <w:rPr>
          <w:color w:val="auto"/>
          <w:sz w:val="24"/>
          <w:highlight w:val="none"/>
        </w:rPr>
      </w:pPr>
      <w:r>
        <w:rPr>
          <w:color w:val="auto"/>
          <w:sz w:val="24"/>
          <w:highlight w:val="none"/>
        </w:rPr>
        <w:t>地址：</w:t>
      </w:r>
      <w:r>
        <w:rPr>
          <w:color w:val="auto"/>
          <w:sz w:val="24"/>
          <w:highlight w:val="none"/>
        </w:rPr>
        <w:tab/>
      </w:r>
      <w:r>
        <w:rPr>
          <w:color w:val="auto"/>
          <w:sz w:val="24"/>
          <w:highlight w:val="none"/>
        </w:rPr>
        <w:t>地址：</w:t>
      </w:r>
    </w:p>
    <w:p>
      <w:pPr>
        <w:tabs>
          <w:tab w:val="left" w:pos="5078"/>
        </w:tabs>
        <w:spacing w:before="160"/>
        <w:ind w:left="878" w:right="0" w:firstLine="0"/>
        <w:jc w:val="left"/>
        <w:rPr>
          <w:color w:val="auto"/>
          <w:sz w:val="24"/>
          <w:highlight w:val="none"/>
        </w:rPr>
      </w:pPr>
      <w:r>
        <w:rPr>
          <w:color w:val="auto"/>
          <w:sz w:val="24"/>
          <w:highlight w:val="none"/>
        </w:rPr>
        <w:t>电话：</w:t>
      </w:r>
      <w:r>
        <w:rPr>
          <w:color w:val="auto"/>
          <w:sz w:val="24"/>
          <w:highlight w:val="none"/>
        </w:rPr>
        <w:tab/>
      </w:r>
      <w:r>
        <w:rPr>
          <w:color w:val="auto"/>
          <w:sz w:val="24"/>
          <w:highlight w:val="none"/>
        </w:rPr>
        <w:t>电话：</w:t>
      </w:r>
    </w:p>
    <w:p>
      <w:pPr>
        <w:tabs>
          <w:tab w:val="left" w:pos="5078"/>
        </w:tabs>
        <w:spacing w:before="161"/>
        <w:ind w:left="878" w:right="0" w:firstLine="0"/>
        <w:jc w:val="left"/>
        <w:rPr>
          <w:color w:val="auto"/>
          <w:sz w:val="24"/>
          <w:highlight w:val="none"/>
        </w:rPr>
      </w:pPr>
      <w:r>
        <w:rPr>
          <w:color w:val="auto"/>
          <w:sz w:val="24"/>
          <w:highlight w:val="none"/>
        </w:rPr>
        <w:t>日期：</w:t>
      </w:r>
      <w:r>
        <w:rPr>
          <w:color w:val="auto"/>
          <w:sz w:val="24"/>
          <w:highlight w:val="none"/>
        </w:rPr>
        <w:tab/>
      </w:r>
      <w:r>
        <w:rPr>
          <w:color w:val="auto"/>
          <w:sz w:val="24"/>
          <w:highlight w:val="none"/>
        </w:rPr>
        <w:t>日期：</w:t>
      </w:r>
    </w:p>
    <w:p>
      <w:pPr>
        <w:spacing w:after="0"/>
        <w:jc w:val="left"/>
        <w:rPr>
          <w:color w:val="auto"/>
          <w:sz w:val="24"/>
          <w:highlight w:val="none"/>
        </w:rPr>
        <w:sectPr>
          <w:pgSz w:w="11910" w:h="16840"/>
          <w:pgMar w:top="1000"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54"/>
        <w:ind w:left="878" w:right="0" w:firstLine="0"/>
        <w:jc w:val="left"/>
        <w:rPr>
          <w:color w:val="auto"/>
          <w:sz w:val="24"/>
          <w:highlight w:val="none"/>
        </w:rPr>
      </w:pPr>
      <w:r>
        <w:rPr>
          <w:color w:val="auto"/>
          <w:sz w:val="24"/>
          <w:highlight w:val="none"/>
        </w:rPr>
        <w:t>附件二</w:t>
      </w:r>
    </w:p>
    <w:p>
      <w:pPr>
        <w:pStyle w:val="2"/>
        <w:spacing w:before="9"/>
        <w:rPr>
          <w:color w:val="auto"/>
          <w:sz w:val="42"/>
          <w:highlight w:val="none"/>
        </w:rPr>
      </w:pPr>
      <w:r>
        <w:rPr>
          <w:color w:val="auto"/>
          <w:highlight w:val="none"/>
        </w:rPr>
        <w:br w:type="column"/>
      </w:r>
    </w:p>
    <w:p>
      <w:pPr>
        <w:spacing w:before="1"/>
        <w:ind w:left="878" w:right="0" w:firstLine="0"/>
        <w:jc w:val="left"/>
        <w:rPr>
          <w:b/>
          <w:color w:val="auto"/>
          <w:sz w:val="32"/>
          <w:highlight w:val="none"/>
        </w:rPr>
      </w:pPr>
      <w:r>
        <w:rPr>
          <w:b/>
          <w:color w:val="auto"/>
          <w:sz w:val="32"/>
          <w:highlight w:val="none"/>
        </w:rPr>
        <w:t>廉政合同</w:t>
      </w:r>
    </w:p>
    <w:p>
      <w:pPr>
        <w:spacing w:after="0"/>
        <w:jc w:val="left"/>
        <w:rPr>
          <w:color w:val="auto"/>
          <w:sz w:val="32"/>
          <w:highlight w:val="none"/>
        </w:rPr>
        <w:sectPr>
          <w:pgSz w:w="11910" w:h="16840"/>
          <w:pgMar w:top="1000" w:right="860" w:bottom="940" w:left="960" w:header="0" w:footer="672" w:gutter="0"/>
          <w:pgBorders>
            <w:top w:val="none" w:sz="0" w:space="0"/>
            <w:left w:val="none" w:sz="0" w:space="0"/>
            <w:bottom w:val="none" w:sz="0" w:space="0"/>
            <w:right w:val="none" w:sz="0" w:space="0"/>
          </w:pgBorders>
          <w:pgNumType w:fmt="decimal"/>
          <w:cols w:equalWidth="0" w:num="2">
            <w:col w:w="1639" w:space="1875"/>
            <w:col w:w="6576"/>
          </w:cols>
        </w:sectPr>
      </w:pPr>
    </w:p>
    <w:p>
      <w:pPr>
        <w:pStyle w:val="2"/>
        <w:spacing w:before="10"/>
        <w:rPr>
          <w:b/>
          <w:color w:val="auto"/>
          <w:sz w:val="10"/>
          <w:highlight w:val="none"/>
        </w:rPr>
      </w:pPr>
    </w:p>
    <w:p>
      <w:pPr>
        <w:tabs>
          <w:tab w:val="left" w:pos="5577"/>
          <w:tab w:val="left" w:pos="7279"/>
          <w:tab w:val="left" w:pos="8719"/>
        </w:tabs>
        <w:spacing w:before="67" w:line="328" w:lineRule="auto"/>
        <w:ind w:left="398" w:right="762" w:firstLine="480"/>
        <w:jc w:val="left"/>
        <w:rPr>
          <w:color w:val="auto"/>
          <w:sz w:val="24"/>
          <w:highlight w:val="none"/>
        </w:rPr>
      </w:pPr>
      <w:r>
        <w:rPr>
          <w:color w:val="auto"/>
          <w:sz w:val="24"/>
          <w:highlight w:val="none"/>
        </w:rPr>
        <w:t>根</w:t>
      </w:r>
      <w:r>
        <w:rPr>
          <w:color w:val="auto"/>
          <w:spacing w:val="-99"/>
          <w:sz w:val="24"/>
          <w:highlight w:val="none"/>
        </w:rPr>
        <w:t>据</w:t>
      </w:r>
      <w:r>
        <w:rPr>
          <w:color w:val="auto"/>
          <w:sz w:val="24"/>
          <w:highlight w:val="none"/>
        </w:rPr>
        <w:t>《关于在交通基础设施建设中加强廉政建设的若干意见</w:t>
      </w:r>
      <w:r>
        <w:rPr>
          <w:color w:val="auto"/>
          <w:spacing w:val="-99"/>
          <w:sz w:val="24"/>
          <w:highlight w:val="none"/>
        </w:rPr>
        <w:t>》</w:t>
      </w:r>
      <w:r>
        <w:rPr>
          <w:color w:val="auto"/>
          <w:sz w:val="24"/>
          <w:highlight w:val="none"/>
        </w:rPr>
        <w:t>以及有关工程建设</w:t>
      </w:r>
      <w:r>
        <w:rPr>
          <w:color w:val="auto"/>
          <w:spacing w:val="-16"/>
          <w:sz w:val="24"/>
          <w:highlight w:val="none"/>
        </w:rPr>
        <w:t>、</w:t>
      </w:r>
      <w:r>
        <w:rPr>
          <w:color w:val="auto"/>
          <w:sz w:val="24"/>
          <w:highlight w:val="none"/>
        </w:rPr>
        <w:t>廉政建设的规定</w:t>
      </w:r>
      <w:r>
        <w:rPr>
          <w:color w:val="auto"/>
          <w:spacing w:val="-27"/>
          <w:sz w:val="24"/>
          <w:highlight w:val="none"/>
        </w:rPr>
        <w:t>，</w:t>
      </w:r>
      <w:r>
        <w:rPr>
          <w:color w:val="auto"/>
          <w:sz w:val="24"/>
          <w:highlight w:val="none"/>
        </w:rPr>
        <w:t>为做好工程建设中的党风廉政建设</w:t>
      </w:r>
      <w:r>
        <w:rPr>
          <w:color w:val="auto"/>
          <w:spacing w:val="-27"/>
          <w:sz w:val="24"/>
          <w:highlight w:val="none"/>
        </w:rPr>
        <w:t>，</w:t>
      </w:r>
      <w:r>
        <w:rPr>
          <w:color w:val="auto"/>
          <w:sz w:val="24"/>
          <w:highlight w:val="none"/>
        </w:rPr>
        <w:t>保证工程建设高效优质</w:t>
      </w:r>
      <w:r>
        <w:rPr>
          <w:color w:val="auto"/>
          <w:spacing w:val="-27"/>
          <w:sz w:val="24"/>
          <w:highlight w:val="none"/>
        </w:rPr>
        <w:t>，</w:t>
      </w:r>
      <w:r>
        <w:rPr>
          <w:color w:val="auto"/>
          <w:sz w:val="24"/>
          <w:highlight w:val="none"/>
        </w:rPr>
        <w:t>保证建设资金的安全和有效使用以及投资效益</w:t>
      </w:r>
      <w:r>
        <w:rPr>
          <w:color w:val="auto"/>
          <w:sz w:val="24"/>
          <w:highlight w:val="none"/>
          <w:u w:val="single"/>
        </w:rPr>
        <w:t>，</w:t>
      </w:r>
      <w:r>
        <w:rPr>
          <w:color w:val="auto"/>
          <w:sz w:val="24"/>
          <w:highlight w:val="none"/>
          <w:u w:val="single"/>
        </w:rPr>
        <w:tab/>
      </w:r>
      <w:r>
        <w:rPr>
          <w:color w:val="auto"/>
          <w:sz w:val="24"/>
          <w:highlight w:val="none"/>
          <w:u w:val="single"/>
        </w:rPr>
        <w:t>（</w:t>
      </w:r>
      <w:r>
        <w:rPr>
          <w:color w:val="auto"/>
          <w:sz w:val="24"/>
          <w:highlight w:val="none"/>
        </w:rPr>
        <w:t>项目名称</w:t>
      </w:r>
      <w:r>
        <w:rPr>
          <w:color w:val="auto"/>
          <w:spacing w:val="-111"/>
          <w:sz w:val="24"/>
          <w:highlight w:val="none"/>
        </w:rPr>
        <w:t>）</w:t>
      </w:r>
      <w:r>
        <w:rPr>
          <w:color w:val="auto"/>
          <w:sz w:val="24"/>
          <w:highlight w:val="none"/>
        </w:rPr>
        <w:t>的项目法人</w:t>
      </w:r>
      <w:r>
        <w:rPr>
          <w:color w:val="auto"/>
          <w:sz w:val="24"/>
          <w:highlight w:val="none"/>
          <w:u w:val="single"/>
        </w:rPr>
        <w:t xml:space="preserve"> </w:t>
      </w:r>
      <w:r>
        <w:rPr>
          <w:color w:val="auto"/>
          <w:sz w:val="24"/>
          <w:highlight w:val="none"/>
          <w:u w:val="single"/>
        </w:rPr>
        <w:tab/>
      </w:r>
      <w:r>
        <w:rPr>
          <w:color w:val="auto"/>
          <w:sz w:val="24"/>
          <w:highlight w:val="none"/>
          <w:u w:val="single"/>
        </w:rPr>
        <w:t>（</w:t>
      </w:r>
      <w:r>
        <w:rPr>
          <w:color w:val="auto"/>
          <w:sz w:val="24"/>
          <w:highlight w:val="none"/>
        </w:rPr>
        <w:t>项目法人名称，以下简称</w:t>
      </w:r>
      <w:r>
        <w:rPr>
          <w:rFonts w:ascii="Arial" w:hAnsi="Arial" w:eastAsia="Arial"/>
          <w:color w:val="auto"/>
          <w:sz w:val="24"/>
          <w:highlight w:val="none"/>
        </w:rPr>
        <w:t>“</w:t>
      </w:r>
      <w:r>
        <w:rPr>
          <w:color w:val="auto"/>
          <w:sz w:val="24"/>
          <w:highlight w:val="none"/>
        </w:rPr>
        <w:t>甲方</w:t>
      </w:r>
      <w:r>
        <w:rPr>
          <w:rFonts w:ascii="Arial" w:hAnsi="Arial" w:eastAsia="Arial"/>
          <w:color w:val="auto"/>
          <w:sz w:val="24"/>
          <w:highlight w:val="none"/>
        </w:rPr>
        <w:t>”</w:t>
      </w:r>
      <w:r>
        <w:rPr>
          <w:color w:val="auto"/>
          <w:sz w:val="24"/>
          <w:highlight w:val="none"/>
        </w:rPr>
        <w:t>）与该项目的设计人</w:t>
      </w:r>
      <w:r>
        <w:rPr>
          <w:color w:val="auto"/>
          <w:sz w:val="24"/>
          <w:highlight w:val="none"/>
          <w:u w:val="single"/>
        </w:rPr>
        <w:t xml:space="preserve"> </w:t>
      </w:r>
      <w:r>
        <w:rPr>
          <w:color w:val="auto"/>
          <w:sz w:val="24"/>
          <w:highlight w:val="none"/>
          <w:u w:val="single"/>
        </w:rPr>
        <w:tab/>
      </w:r>
      <w:r>
        <w:rPr>
          <w:color w:val="auto"/>
          <w:sz w:val="24"/>
          <w:highlight w:val="none"/>
        </w:rPr>
        <w:t>（设计人名称，以下简称</w:t>
      </w:r>
      <w:r>
        <w:rPr>
          <w:rFonts w:ascii="Arial" w:hAnsi="Arial" w:eastAsia="Arial"/>
          <w:color w:val="auto"/>
          <w:sz w:val="24"/>
          <w:highlight w:val="none"/>
        </w:rPr>
        <w:t>“</w:t>
      </w:r>
      <w:r>
        <w:rPr>
          <w:color w:val="auto"/>
          <w:sz w:val="24"/>
          <w:highlight w:val="none"/>
        </w:rPr>
        <w:t>乙方</w:t>
      </w:r>
      <w:r>
        <w:rPr>
          <w:rFonts w:ascii="Arial" w:hAnsi="Arial" w:eastAsia="Arial"/>
          <w:color w:val="auto"/>
          <w:sz w:val="24"/>
          <w:highlight w:val="none"/>
        </w:rPr>
        <w:t>”</w:t>
      </w:r>
      <w:r>
        <w:rPr>
          <w:color w:val="auto"/>
          <w:sz w:val="24"/>
          <w:highlight w:val="none"/>
        </w:rPr>
        <w:t>），特订立如下合同。</w:t>
      </w:r>
    </w:p>
    <w:p>
      <w:pPr>
        <w:spacing w:before="0" w:line="301" w:lineRule="exact"/>
        <w:ind w:left="878" w:right="0" w:firstLine="0"/>
        <w:jc w:val="left"/>
        <w:rPr>
          <w:color w:val="auto"/>
          <w:sz w:val="24"/>
          <w:highlight w:val="none"/>
        </w:rPr>
      </w:pPr>
      <w:r>
        <w:rPr>
          <w:color w:val="auto"/>
          <w:sz w:val="24"/>
          <w:highlight w:val="none"/>
        </w:rPr>
        <w:t>第一条 甲乙双方的权利和义务</w:t>
      </w:r>
    </w:p>
    <w:p>
      <w:pPr>
        <w:spacing w:before="112" w:line="328" w:lineRule="auto"/>
        <w:ind w:left="398" w:right="882" w:firstLine="480"/>
        <w:jc w:val="left"/>
        <w:rPr>
          <w:color w:val="auto"/>
          <w:sz w:val="24"/>
          <w:highlight w:val="none"/>
        </w:rPr>
      </w:pPr>
      <w:r>
        <w:rPr>
          <w:color w:val="auto"/>
          <w:sz w:val="24"/>
          <w:highlight w:val="none"/>
        </w:rPr>
        <w:t>（一</w:t>
      </w:r>
      <w:r>
        <w:rPr>
          <w:color w:val="auto"/>
          <w:spacing w:val="-80"/>
          <w:sz w:val="24"/>
          <w:highlight w:val="none"/>
        </w:rPr>
        <w:t>）</w:t>
      </w:r>
      <w:r>
        <w:rPr>
          <w:color w:val="auto"/>
          <w:spacing w:val="-1"/>
          <w:sz w:val="24"/>
          <w:highlight w:val="none"/>
        </w:rPr>
        <w:t>严格遵守党的政策规定和国家有关法律法规及交通运输部和浙江省交通运</w:t>
      </w:r>
      <w:r>
        <w:rPr>
          <w:color w:val="auto"/>
          <w:sz w:val="24"/>
          <w:highlight w:val="none"/>
        </w:rPr>
        <w:t>输厅的有关规定。</w:t>
      </w:r>
    </w:p>
    <w:p>
      <w:pPr>
        <w:tabs>
          <w:tab w:val="left" w:pos="3998"/>
        </w:tabs>
        <w:spacing w:before="0" w:line="305" w:lineRule="exact"/>
        <w:ind w:left="878" w:right="0" w:firstLine="0"/>
        <w:jc w:val="left"/>
        <w:rPr>
          <w:color w:val="auto"/>
          <w:sz w:val="24"/>
          <w:highlight w:val="none"/>
        </w:rPr>
      </w:pPr>
      <w:r>
        <w:rPr>
          <w:color w:val="auto"/>
          <w:sz w:val="24"/>
          <w:highlight w:val="none"/>
        </w:rPr>
        <w:t>（二）严格执行</w:t>
      </w:r>
      <w:r>
        <w:rPr>
          <w:color w:val="auto"/>
          <w:sz w:val="24"/>
          <w:highlight w:val="none"/>
          <w:u w:val="single"/>
        </w:rPr>
        <w:t xml:space="preserve"> </w:t>
      </w:r>
      <w:r>
        <w:rPr>
          <w:color w:val="auto"/>
          <w:sz w:val="24"/>
          <w:highlight w:val="none"/>
          <w:u w:val="single"/>
        </w:rPr>
        <w:tab/>
      </w:r>
      <w:r>
        <w:rPr>
          <w:color w:val="auto"/>
          <w:sz w:val="24"/>
          <w:highlight w:val="none"/>
        </w:rPr>
        <w:t>（项目名称）设计合同文件，自觉按合同办事。</w:t>
      </w:r>
    </w:p>
    <w:p>
      <w:pPr>
        <w:spacing w:before="113" w:line="328" w:lineRule="auto"/>
        <w:ind w:left="398" w:right="882" w:firstLine="480"/>
        <w:jc w:val="both"/>
        <w:rPr>
          <w:color w:val="auto"/>
          <w:sz w:val="24"/>
          <w:highlight w:val="none"/>
        </w:rPr>
      </w:pPr>
      <w:r>
        <w:rPr>
          <w:color w:val="auto"/>
          <w:sz w:val="24"/>
          <w:highlight w:val="none"/>
        </w:rPr>
        <w:t>（三</w:t>
      </w:r>
      <w:r>
        <w:rPr>
          <w:color w:val="auto"/>
          <w:spacing w:val="-17"/>
          <w:sz w:val="24"/>
          <w:highlight w:val="none"/>
        </w:rPr>
        <w:t>）</w:t>
      </w:r>
      <w:r>
        <w:rPr>
          <w:color w:val="auto"/>
          <w:spacing w:val="-5"/>
          <w:sz w:val="24"/>
          <w:highlight w:val="none"/>
        </w:rPr>
        <w:t>双方的业务活动坚持公开、公正、诚信、透明的原则</w:t>
      </w:r>
      <w:r>
        <w:rPr>
          <w:color w:val="auto"/>
          <w:sz w:val="24"/>
          <w:highlight w:val="none"/>
        </w:rPr>
        <w:t>（</w:t>
      </w:r>
      <w:r>
        <w:rPr>
          <w:color w:val="auto"/>
          <w:spacing w:val="-2"/>
          <w:sz w:val="24"/>
          <w:highlight w:val="none"/>
        </w:rPr>
        <w:t>法律认定的商业秘</w:t>
      </w:r>
      <w:r>
        <w:rPr>
          <w:color w:val="auto"/>
          <w:sz w:val="24"/>
          <w:highlight w:val="none"/>
        </w:rPr>
        <w:t>密和合同文件另有规定除外</w:t>
      </w:r>
      <w:r>
        <w:rPr>
          <w:color w:val="auto"/>
          <w:spacing w:val="-27"/>
          <w:sz w:val="24"/>
          <w:highlight w:val="none"/>
        </w:rPr>
        <w:t>），</w:t>
      </w:r>
      <w:r>
        <w:rPr>
          <w:color w:val="auto"/>
          <w:spacing w:val="-4"/>
          <w:sz w:val="24"/>
          <w:highlight w:val="none"/>
        </w:rPr>
        <w:t>不得损害国家和集体利益，不得违反工程建设管理规</w:t>
      </w:r>
      <w:r>
        <w:rPr>
          <w:color w:val="auto"/>
          <w:sz w:val="24"/>
          <w:highlight w:val="none"/>
        </w:rPr>
        <w:t>章制度。</w:t>
      </w:r>
    </w:p>
    <w:p>
      <w:pPr>
        <w:spacing w:before="0" w:line="328" w:lineRule="auto"/>
        <w:ind w:left="398" w:right="808" w:firstLine="480"/>
        <w:jc w:val="left"/>
        <w:rPr>
          <w:color w:val="auto"/>
          <w:sz w:val="24"/>
          <w:highlight w:val="none"/>
        </w:rPr>
      </w:pPr>
      <w:r>
        <w:rPr>
          <w:color w:val="auto"/>
          <w:sz w:val="24"/>
          <w:highlight w:val="none"/>
        </w:rPr>
        <w:t>（四）建立健全廉政制度，开展廉政教育，设立廉政告示牌，公布举报电话，监督并认真查处违法违纪行为。</w:t>
      </w:r>
    </w:p>
    <w:p>
      <w:pPr>
        <w:spacing w:before="0" w:line="328" w:lineRule="auto"/>
        <w:ind w:left="398" w:right="807" w:firstLine="480"/>
        <w:jc w:val="left"/>
        <w:rPr>
          <w:color w:val="auto"/>
          <w:sz w:val="24"/>
          <w:highlight w:val="none"/>
        </w:rPr>
      </w:pPr>
      <w:r>
        <w:rPr>
          <w:color w:val="auto"/>
          <w:sz w:val="24"/>
          <w:highlight w:val="none"/>
        </w:rPr>
        <w:t>（五）发现对方在业务活动中有违反廉政规定的行为，有及时提醒对方纠正的权利和义务。</w:t>
      </w:r>
    </w:p>
    <w:p>
      <w:pPr>
        <w:spacing w:before="0" w:line="328" w:lineRule="auto"/>
        <w:ind w:left="398" w:right="808" w:firstLine="480"/>
        <w:jc w:val="left"/>
        <w:rPr>
          <w:color w:val="auto"/>
          <w:sz w:val="24"/>
          <w:highlight w:val="none"/>
        </w:rPr>
      </w:pPr>
      <w:r>
        <w:rPr>
          <w:color w:val="auto"/>
          <w:sz w:val="24"/>
          <w:highlight w:val="none"/>
        </w:rPr>
        <w:t>（六）发现对方严重违反本合同义务条款的行为，有向其上级有关部门举报、建议给予处理并要求告知处理结果的权利。</w:t>
      </w:r>
    </w:p>
    <w:p>
      <w:pPr>
        <w:spacing w:before="0" w:line="305" w:lineRule="exact"/>
        <w:ind w:left="878" w:right="0" w:firstLine="0"/>
        <w:jc w:val="left"/>
        <w:rPr>
          <w:color w:val="auto"/>
          <w:sz w:val="24"/>
          <w:highlight w:val="none"/>
        </w:rPr>
      </w:pPr>
      <w:r>
        <w:rPr>
          <w:color w:val="auto"/>
          <w:sz w:val="24"/>
          <w:highlight w:val="none"/>
        </w:rPr>
        <w:t>第二条 甲方的义务</w:t>
      </w:r>
    </w:p>
    <w:p>
      <w:pPr>
        <w:spacing w:before="103" w:line="328" w:lineRule="auto"/>
        <w:ind w:left="398" w:right="808" w:firstLine="480"/>
        <w:jc w:val="left"/>
        <w:rPr>
          <w:color w:val="auto"/>
          <w:sz w:val="24"/>
          <w:highlight w:val="none"/>
        </w:rPr>
      </w:pPr>
      <w:r>
        <w:rPr>
          <w:color w:val="auto"/>
          <w:sz w:val="24"/>
          <w:highlight w:val="none"/>
        </w:rPr>
        <w:t>（一）甲方及其工作人员不得索要或接受乙方的礼金、有价证券和贵重物品，不得在乙方报销任何应由甲方或甲方工作人员个人支付的费用等。</w:t>
      </w:r>
    </w:p>
    <w:p>
      <w:pPr>
        <w:spacing w:before="0" w:line="328" w:lineRule="auto"/>
        <w:ind w:left="398" w:right="807" w:firstLine="480"/>
        <w:jc w:val="left"/>
        <w:rPr>
          <w:color w:val="auto"/>
          <w:sz w:val="24"/>
          <w:highlight w:val="none"/>
        </w:rPr>
      </w:pPr>
      <w:r>
        <w:rPr>
          <w:color w:val="auto"/>
          <w:sz w:val="24"/>
          <w:highlight w:val="none"/>
        </w:rPr>
        <w:t>（二）甲方工作人员不得参加乙方安排的超标准宴请和娱乐活动；不得接受乙方提供的通讯工具、交通工具和高档办公用品等。</w:t>
      </w:r>
    </w:p>
    <w:p>
      <w:pPr>
        <w:spacing w:before="0" w:line="328" w:lineRule="auto"/>
        <w:ind w:left="398" w:right="807" w:firstLine="480"/>
        <w:jc w:val="left"/>
        <w:rPr>
          <w:color w:val="auto"/>
          <w:sz w:val="24"/>
          <w:highlight w:val="none"/>
        </w:rPr>
      </w:pPr>
      <w:r>
        <w:rPr>
          <w:color w:val="auto"/>
          <w:sz w:val="24"/>
          <w:highlight w:val="none"/>
        </w:rPr>
        <w:t>（三）甲方及其工作人员不得要求或者接受乙方为其住房装修、婚丧嫁娶活动、配偶子女及其亲属的工作安排以及出国出境、旅游等提供方便。</w:t>
      </w:r>
    </w:p>
    <w:p>
      <w:pPr>
        <w:spacing w:before="0" w:line="328" w:lineRule="auto"/>
        <w:ind w:left="398" w:right="762" w:firstLine="480"/>
        <w:jc w:val="left"/>
        <w:rPr>
          <w:color w:val="auto"/>
          <w:sz w:val="24"/>
          <w:highlight w:val="none"/>
        </w:rPr>
      </w:pPr>
      <w:r>
        <w:rPr>
          <w:color w:val="auto"/>
          <w:sz w:val="24"/>
          <w:highlight w:val="none"/>
        </w:rPr>
        <w:t>（四</w:t>
      </w:r>
      <w:r>
        <w:rPr>
          <w:color w:val="auto"/>
          <w:spacing w:val="-27"/>
          <w:sz w:val="24"/>
          <w:highlight w:val="none"/>
        </w:rPr>
        <w:t>）</w:t>
      </w:r>
      <w:r>
        <w:rPr>
          <w:color w:val="auto"/>
          <w:spacing w:val="-5"/>
          <w:sz w:val="24"/>
          <w:highlight w:val="none"/>
        </w:rPr>
        <w:t>甲方工作人员及其配偶、子女、亲属不得从事与本设计合同有关的设计业</w:t>
      </w:r>
      <w:r>
        <w:rPr>
          <w:color w:val="auto"/>
          <w:spacing w:val="-16"/>
          <w:sz w:val="24"/>
          <w:highlight w:val="none"/>
        </w:rPr>
        <w:t>务等活动。不得以任何理由要求乙方和相关单位在设计中使用某种产品、材料和设备。</w:t>
      </w:r>
    </w:p>
    <w:p>
      <w:pPr>
        <w:spacing w:before="0" w:line="305" w:lineRule="exact"/>
        <w:ind w:left="878" w:right="0" w:firstLine="0"/>
        <w:jc w:val="left"/>
        <w:rPr>
          <w:color w:val="auto"/>
          <w:sz w:val="24"/>
          <w:highlight w:val="none"/>
        </w:rPr>
      </w:pPr>
      <w:r>
        <w:rPr>
          <w:color w:val="auto"/>
          <w:sz w:val="24"/>
          <w:highlight w:val="none"/>
        </w:rPr>
        <w:t>第三条 乙方的义务</w:t>
      </w:r>
    </w:p>
    <w:p>
      <w:pPr>
        <w:spacing w:before="105" w:line="328" w:lineRule="auto"/>
        <w:ind w:left="398" w:right="808" w:firstLine="480"/>
        <w:jc w:val="left"/>
        <w:rPr>
          <w:color w:val="auto"/>
          <w:sz w:val="24"/>
          <w:highlight w:val="none"/>
        </w:rPr>
      </w:pPr>
      <w:r>
        <w:rPr>
          <w:color w:val="auto"/>
          <w:sz w:val="24"/>
          <w:highlight w:val="none"/>
        </w:rPr>
        <w:t>（一）乙方不得以任何理由向甲方及其工作人员行贿或馈赠礼金、有价证券、贵重礼品。</w:t>
      </w:r>
    </w:p>
    <w:p>
      <w:pPr>
        <w:spacing w:before="0" w:line="328" w:lineRule="auto"/>
        <w:ind w:left="398" w:right="882" w:firstLine="480"/>
        <w:jc w:val="left"/>
        <w:rPr>
          <w:color w:val="auto"/>
          <w:sz w:val="24"/>
          <w:highlight w:val="none"/>
        </w:rPr>
      </w:pPr>
      <w:r>
        <w:rPr>
          <w:color w:val="auto"/>
          <w:sz w:val="24"/>
          <w:highlight w:val="none"/>
        </w:rPr>
        <w:t>（二</w:t>
      </w:r>
      <w:r>
        <w:rPr>
          <w:color w:val="auto"/>
          <w:spacing w:val="-80"/>
          <w:sz w:val="24"/>
          <w:highlight w:val="none"/>
        </w:rPr>
        <w:t>）</w:t>
      </w:r>
      <w:r>
        <w:rPr>
          <w:color w:val="auto"/>
          <w:spacing w:val="-1"/>
          <w:sz w:val="24"/>
          <w:highlight w:val="none"/>
        </w:rPr>
        <w:t>乙方不得以任何名义为甲方及其工作人员报销应由甲方单位或个人支付的</w:t>
      </w:r>
      <w:r>
        <w:rPr>
          <w:color w:val="auto"/>
          <w:sz w:val="24"/>
          <w:highlight w:val="none"/>
        </w:rPr>
        <w:t>任何费用。</w:t>
      </w:r>
    </w:p>
    <w:p>
      <w:pPr>
        <w:spacing w:after="0" w:line="328" w:lineRule="auto"/>
        <w:jc w:val="left"/>
        <w:rPr>
          <w:color w:val="auto"/>
          <w:sz w:val="24"/>
          <w:highlight w:val="none"/>
        </w:rPr>
        <w:sectPr>
          <w:type w:val="continuous"/>
          <w:pgSz w:w="11910" w:h="16840"/>
          <w:pgMar w:top="1580" w:right="860" w:bottom="280" w:left="960" w:header="720" w:footer="720" w:gutter="0"/>
          <w:pgBorders>
            <w:top w:val="none" w:sz="0" w:space="0"/>
            <w:left w:val="none" w:sz="0" w:space="0"/>
            <w:bottom w:val="none" w:sz="0" w:space="0"/>
            <w:right w:val="none" w:sz="0" w:space="0"/>
          </w:pgBorders>
          <w:pgNumType w:fmt="decimal"/>
          <w:cols w:space="720" w:num="1"/>
        </w:sectPr>
      </w:pPr>
    </w:p>
    <w:p>
      <w:pPr>
        <w:spacing w:before="51"/>
        <w:ind w:left="878" w:right="0" w:firstLine="0"/>
        <w:jc w:val="left"/>
        <w:rPr>
          <w:color w:val="auto"/>
          <w:sz w:val="24"/>
          <w:highlight w:val="none"/>
        </w:rPr>
      </w:pPr>
      <w:r>
        <w:rPr>
          <w:color w:val="auto"/>
          <w:sz w:val="24"/>
          <w:highlight w:val="none"/>
        </w:rPr>
        <w:t>（三）乙方不得以任何理由安排甲方工作人员参加超标准宴请及娱乐活动。</w:t>
      </w:r>
    </w:p>
    <w:p>
      <w:pPr>
        <w:spacing w:before="112" w:line="328" w:lineRule="auto"/>
        <w:ind w:left="398" w:right="807" w:firstLine="480"/>
        <w:jc w:val="left"/>
        <w:rPr>
          <w:color w:val="auto"/>
          <w:sz w:val="24"/>
          <w:highlight w:val="none"/>
        </w:rPr>
      </w:pPr>
      <w:r>
        <w:rPr>
          <w:color w:val="auto"/>
          <w:sz w:val="24"/>
          <w:highlight w:val="none"/>
        </w:rPr>
        <w:t>（四）乙方不得为甲方单位和个人购置或提供通信工具、交通工具和高档办公用品等。</w:t>
      </w:r>
    </w:p>
    <w:p>
      <w:pPr>
        <w:spacing w:before="0" w:line="305" w:lineRule="exact"/>
        <w:ind w:left="878" w:right="0" w:firstLine="0"/>
        <w:jc w:val="left"/>
        <w:rPr>
          <w:color w:val="auto"/>
          <w:sz w:val="24"/>
          <w:highlight w:val="none"/>
        </w:rPr>
      </w:pPr>
      <w:r>
        <w:rPr>
          <w:color w:val="auto"/>
          <w:sz w:val="24"/>
          <w:highlight w:val="none"/>
        </w:rPr>
        <w:t>第四条 违约责任</w:t>
      </w:r>
    </w:p>
    <w:p>
      <w:pPr>
        <w:spacing w:before="113" w:line="328" w:lineRule="auto"/>
        <w:ind w:left="398" w:right="882" w:firstLine="480"/>
        <w:jc w:val="both"/>
        <w:rPr>
          <w:color w:val="auto"/>
          <w:sz w:val="24"/>
          <w:highlight w:val="none"/>
        </w:rPr>
      </w:pPr>
      <w:r>
        <w:rPr>
          <w:color w:val="auto"/>
          <w:sz w:val="24"/>
          <w:highlight w:val="none"/>
        </w:rPr>
        <w:t>（一</w:t>
      </w:r>
      <w:r>
        <w:rPr>
          <w:color w:val="auto"/>
          <w:spacing w:val="-20"/>
          <w:sz w:val="24"/>
          <w:highlight w:val="none"/>
        </w:rPr>
        <w:t>）</w:t>
      </w:r>
      <w:r>
        <w:rPr>
          <w:color w:val="auto"/>
          <w:spacing w:val="-5"/>
          <w:sz w:val="24"/>
          <w:highlight w:val="none"/>
        </w:rPr>
        <w:t>甲方及其工作人员违反本合同第一、二条，按管理权限，依据有关规定给</w:t>
      </w:r>
      <w:r>
        <w:rPr>
          <w:color w:val="auto"/>
          <w:spacing w:val="-9"/>
          <w:sz w:val="24"/>
          <w:highlight w:val="none"/>
        </w:rPr>
        <w:t>予党纪、政纪或组织处理；涉嫌犯罪的，移交司法机关追究刑事责任；给乙方单位造</w:t>
      </w:r>
      <w:r>
        <w:rPr>
          <w:color w:val="auto"/>
          <w:sz w:val="24"/>
          <w:highlight w:val="none"/>
        </w:rPr>
        <w:t>成经济损失的，应予以赔偿。</w:t>
      </w:r>
    </w:p>
    <w:p>
      <w:pPr>
        <w:spacing w:before="0" w:line="328" w:lineRule="auto"/>
        <w:ind w:left="398" w:right="807" w:firstLine="480"/>
        <w:jc w:val="left"/>
        <w:rPr>
          <w:color w:val="auto"/>
          <w:sz w:val="24"/>
          <w:highlight w:val="none"/>
        </w:rPr>
      </w:pPr>
      <w:r>
        <w:rPr>
          <w:color w:val="auto"/>
          <w:sz w:val="24"/>
          <w:highlight w:val="none"/>
        </w:rPr>
        <w:t>（二</w:t>
      </w:r>
      <w:r>
        <w:rPr>
          <w:color w:val="auto"/>
          <w:spacing w:val="-20"/>
          <w:sz w:val="24"/>
          <w:highlight w:val="none"/>
        </w:rPr>
        <w:t>）</w:t>
      </w:r>
      <w:r>
        <w:rPr>
          <w:color w:val="auto"/>
          <w:spacing w:val="-4"/>
          <w:sz w:val="24"/>
          <w:highlight w:val="none"/>
        </w:rPr>
        <w:t>乙方及其工作人员违反本合同第一、三条，按管理权限，依据有关规定给</w:t>
      </w:r>
      <w:r>
        <w:rPr>
          <w:color w:val="auto"/>
          <w:spacing w:val="-5"/>
          <w:sz w:val="24"/>
          <w:highlight w:val="none"/>
        </w:rPr>
        <w:t xml:space="preserve">予党纪、政纪或组织处理；给甲方单位造成经济损失的，应予以赔偿；情节严重的， </w:t>
      </w:r>
      <w:r>
        <w:rPr>
          <w:color w:val="auto"/>
          <w:sz w:val="24"/>
          <w:highlight w:val="none"/>
        </w:rPr>
        <w:t>甲方建议交通运输主管部门给予乙方一至三年内不得进入其主管的公路建设市场的 处罚。</w:t>
      </w:r>
    </w:p>
    <w:p>
      <w:pPr>
        <w:spacing w:before="0" w:line="328" w:lineRule="auto"/>
        <w:ind w:left="398" w:right="762" w:firstLine="480"/>
        <w:jc w:val="left"/>
        <w:rPr>
          <w:color w:val="auto"/>
          <w:sz w:val="24"/>
          <w:highlight w:val="none"/>
        </w:rPr>
      </w:pPr>
      <w:r>
        <w:rPr>
          <w:color w:val="auto"/>
          <w:spacing w:val="-10"/>
          <w:sz w:val="24"/>
          <w:highlight w:val="none"/>
        </w:rPr>
        <w:t>第五条 双方约定：本合同由双方或双方上级单位的纪检监察部门负责监督执行。</w:t>
      </w:r>
      <w:r>
        <w:rPr>
          <w:color w:val="auto"/>
          <w:sz w:val="24"/>
          <w:highlight w:val="none"/>
        </w:rPr>
        <w:t>由甲方或甲方上级单位的纪检监察部门约请乙方或乙方上级单位纪检监察部门对本 合同执行情况进行检查，提出在本合同规定范围内的裁定意见。</w:t>
      </w:r>
    </w:p>
    <w:p>
      <w:pPr>
        <w:spacing w:before="0" w:line="304" w:lineRule="exact"/>
        <w:ind w:left="878" w:right="0" w:firstLine="0"/>
        <w:jc w:val="left"/>
        <w:rPr>
          <w:color w:val="auto"/>
          <w:sz w:val="24"/>
          <w:highlight w:val="none"/>
        </w:rPr>
      </w:pPr>
      <w:r>
        <w:rPr>
          <w:color w:val="auto"/>
          <w:sz w:val="24"/>
          <w:highlight w:val="none"/>
        </w:rPr>
        <w:t>第六条 本合同有效期为甲乙双方签署之日起至合同失效日止。</w:t>
      </w:r>
    </w:p>
    <w:p>
      <w:pPr>
        <w:tabs>
          <w:tab w:val="left" w:pos="5318"/>
        </w:tabs>
        <w:spacing w:before="103" w:line="328" w:lineRule="auto"/>
        <w:ind w:left="398" w:right="927" w:firstLine="480"/>
        <w:jc w:val="left"/>
        <w:rPr>
          <w:color w:val="auto"/>
          <w:sz w:val="24"/>
          <w:highlight w:val="none"/>
        </w:rPr>
      </w:pPr>
      <w:r>
        <w:rPr>
          <w:color w:val="auto"/>
          <w:sz w:val="24"/>
          <w:highlight w:val="none"/>
        </w:rPr>
        <w:t>第七条 本合同作为</w:t>
      </w:r>
      <w:r>
        <w:rPr>
          <w:color w:val="auto"/>
          <w:sz w:val="24"/>
          <w:highlight w:val="none"/>
          <w:u w:val="single"/>
        </w:rPr>
        <w:t xml:space="preserve"> </w:t>
      </w:r>
      <w:r>
        <w:rPr>
          <w:color w:val="auto"/>
          <w:sz w:val="24"/>
          <w:highlight w:val="none"/>
          <w:u w:val="single"/>
        </w:rPr>
        <w:tab/>
      </w:r>
      <w:r>
        <w:rPr>
          <w:color w:val="auto"/>
          <w:sz w:val="24"/>
          <w:highlight w:val="none"/>
        </w:rPr>
        <w:t>（项目名称）设计合同的附件，与</w:t>
      </w:r>
      <w:r>
        <w:rPr>
          <w:color w:val="auto"/>
          <w:spacing w:val="-19"/>
          <w:sz w:val="24"/>
          <w:highlight w:val="none"/>
        </w:rPr>
        <w:t>设</w:t>
      </w:r>
      <w:r>
        <w:rPr>
          <w:color w:val="auto"/>
          <w:sz w:val="24"/>
          <w:highlight w:val="none"/>
        </w:rPr>
        <w:t>计合同具有同等的法律效力，经合同双方签署后立即生效。</w:t>
      </w:r>
    </w:p>
    <w:p>
      <w:pPr>
        <w:spacing w:before="0" w:line="328" w:lineRule="auto"/>
        <w:ind w:left="398" w:right="927" w:firstLine="480"/>
        <w:jc w:val="left"/>
        <w:rPr>
          <w:color w:val="auto"/>
          <w:sz w:val="24"/>
          <w:highlight w:val="none"/>
        </w:rPr>
      </w:pPr>
      <w:r>
        <w:rPr>
          <w:color w:val="auto"/>
          <w:sz w:val="24"/>
          <w:highlight w:val="none"/>
        </w:rPr>
        <w:t>第八条 本合同一式四份，由甲乙双方各执一份，送交甲乙双方的监督单位各一份。</w:t>
      </w:r>
    </w:p>
    <w:p>
      <w:pPr>
        <w:pStyle w:val="2"/>
        <w:spacing w:before="5"/>
        <w:rPr>
          <w:color w:val="auto"/>
          <w:sz w:val="32"/>
          <w:highlight w:val="none"/>
        </w:rPr>
      </w:pPr>
    </w:p>
    <w:p>
      <w:pPr>
        <w:tabs>
          <w:tab w:val="left" w:pos="5567"/>
          <w:tab w:val="left" w:pos="5678"/>
        </w:tabs>
        <w:spacing w:before="0" w:line="328" w:lineRule="auto"/>
        <w:ind w:left="878" w:right="762" w:firstLine="0"/>
        <w:jc w:val="left"/>
        <w:rPr>
          <w:color w:val="auto"/>
          <w:sz w:val="24"/>
          <w:highlight w:val="none"/>
        </w:rPr>
      </w:pPr>
      <w:r>
        <w:rPr>
          <w:color w:val="auto"/>
          <w:sz w:val="24"/>
          <w:highlight w:val="none"/>
        </w:rPr>
        <w:t>甲 方</w:t>
      </w:r>
      <w:r>
        <w:rPr>
          <w:color w:val="auto"/>
          <w:spacing w:val="-22"/>
          <w:sz w:val="24"/>
          <w:highlight w:val="none"/>
        </w:rPr>
        <w:t>：（</w:t>
      </w:r>
      <w:r>
        <w:rPr>
          <w:color w:val="auto"/>
          <w:sz w:val="24"/>
          <w:highlight w:val="none"/>
        </w:rPr>
        <w:t>单位全称</w:t>
      </w:r>
      <w:r>
        <w:rPr>
          <w:color w:val="auto"/>
          <w:spacing w:val="-24"/>
          <w:sz w:val="24"/>
          <w:highlight w:val="none"/>
        </w:rPr>
        <w:t>）（</w:t>
      </w:r>
      <w:r>
        <w:rPr>
          <w:color w:val="auto"/>
          <w:sz w:val="24"/>
          <w:highlight w:val="none"/>
        </w:rPr>
        <w:t>盖单位章）</w:t>
      </w:r>
      <w:r>
        <w:rPr>
          <w:color w:val="auto"/>
          <w:sz w:val="24"/>
          <w:highlight w:val="none"/>
        </w:rPr>
        <w:tab/>
      </w:r>
      <w:r>
        <w:rPr>
          <w:color w:val="auto"/>
          <w:sz w:val="24"/>
          <w:highlight w:val="none"/>
        </w:rPr>
        <w:t>乙 方：</w:t>
      </w:r>
      <w:r>
        <w:rPr>
          <w:color w:val="auto"/>
          <w:spacing w:val="-44"/>
          <w:sz w:val="24"/>
          <w:highlight w:val="none"/>
        </w:rPr>
        <w:t xml:space="preserve"> </w:t>
      </w:r>
      <w:r>
        <w:rPr>
          <w:color w:val="auto"/>
          <w:sz w:val="24"/>
          <w:highlight w:val="none"/>
        </w:rPr>
        <w:t>（单位全称</w:t>
      </w:r>
      <w:r>
        <w:rPr>
          <w:color w:val="auto"/>
          <w:spacing w:val="-22"/>
          <w:sz w:val="24"/>
          <w:highlight w:val="none"/>
        </w:rPr>
        <w:t>）（</w:t>
      </w:r>
      <w:r>
        <w:rPr>
          <w:color w:val="auto"/>
          <w:sz w:val="24"/>
          <w:highlight w:val="none"/>
        </w:rPr>
        <w:t>盖单位章</w:t>
      </w:r>
      <w:r>
        <w:rPr>
          <w:color w:val="auto"/>
          <w:spacing w:val="-15"/>
          <w:sz w:val="24"/>
          <w:highlight w:val="none"/>
        </w:rPr>
        <w:t xml:space="preserve">） </w:t>
      </w:r>
      <w:r>
        <w:rPr>
          <w:color w:val="auto"/>
          <w:sz w:val="24"/>
          <w:highlight w:val="none"/>
        </w:rPr>
        <w:t>法定代表人</w:t>
      </w:r>
      <w:r>
        <w:rPr>
          <w:color w:val="auto"/>
          <w:sz w:val="24"/>
          <w:highlight w:val="none"/>
        </w:rPr>
        <w:tab/>
      </w:r>
      <w:r>
        <w:rPr>
          <w:color w:val="auto"/>
          <w:sz w:val="24"/>
          <w:highlight w:val="none"/>
        </w:rPr>
        <w:tab/>
      </w:r>
      <w:r>
        <w:rPr>
          <w:color w:val="auto"/>
          <w:sz w:val="24"/>
          <w:highlight w:val="none"/>
        </w:rPr>
        <w:t>法定代表人</w:t>
      </w:r>
    </w:p>
    <w:p>
      <w:pPr>
        <w:tabs>
          <w:tab w:val="left" w:pos="5558"/>
        </w:tabs>
        <w:spacing w:before="0" w:line="305" w:lineRule="exact"/>
        <w:ind w:left="878" w:right="0" w:firstLine="0"/>
        <w:jc w:val="left"/>
        <w:rPr>
          <w:color w:val="auto"/>
          <w:sz w:val="24"/>
          <w:highlight w:val="none"/>
        </w:rPr>
      </w:pPr>
      <w:r>
        <w:rPr>
          <w:color w:val="auto"/>
          <w:sz w:val="24"/>
          <w:highlight w:val="none"/>
        </w:rPr>
        <w:t>或</w:t>
      </w:r>
      <w:r>
        <w:rPr>
          <w:color w:val="auto"/>
          <w:sz w:val="24"/>
          <w:highlight w:val="none"/>
        </w:rPr>
        <w:tab/>
      </w:r>
      <w:r>
        <w:rPr>
          <w:color w:val="auto"/>
          <w:sz w:val="24"/>
          <w:highlight w:val="none"/>
        </w:rPr>
        <w:t>或</w:t>
      </w:r>
    </w:p>
    <w:p>
      <w:pPr>
        <w:tabs>
          <w:tab w:val="left" w:pos="5678"/>
        </w:tabs>
        <w:spacing w:before="113"/>
        <w:ind w:left="878" w:right="0" w:firstLine="0"/>
        <w:jc w:val="left"/>
        <w:rPr>
          <w:color w:val="auto"/>
          <w:sz w:val="24"/>
          <w:highlight w:val="none"/>
        </w:rPr>
      </w:pPr>
      <w:r>
        <w:rPr>
          <w:color w:val="auto"/>
          <w:sz w:val="24"/>
          <w:highlight w:val="none"/>
        </w:rPr>
        <w:t>其委托代理人 （职务）</w:t>
      </w:r>
      <w:r>
        <w:rPr>
          <w:color w:val="auto"/>
          <w:sz w:val="24"/>
          <w:highlight w:val="none"/>
        </w:rPr>
        <w:tab/>
      </w:r>
      <w:r>
        <w:rPr>
          <w:color w:val="auto"/>
          <w:sz w:val="24"/>
          <w:highlight w:val="none"/>
        </w:rPr>
        <w:t>其委托代理人 （职务）</w:t>
      </w:r>
    </w:p>
    <w:p>
      <w:pPr>
        <w:tabs>
          <w:tab w:val="left" w:pos="5558"/>
        </w:tabs>
        <w:spacing w:before="112"/>
        <w:ind w:left="878" w:right="0" w:firstLine="0"/>
        <w:jc w:val="left"/>
        <w:rPr>
          <w:color w:val="auto"/>
          <w:sz w:val="24"/>
          <w:highlight w:val="none"/>
        </w:rPr>
      </w:pPr>
      <w:r>
        <w:rPr>
          <w:color w:val="auto"/>
          <w:sz w:val="24"/>
          <w:highlight w:val="none"/>
        </w:rPr>
        <w:t>（姓名）</w:t>
      </w:r>
      <w:r>
        <w:rPr>
          <w:color w:val="auto"/>
          <w:sz w:val="24"/>
          <w:highlight w:val="none"/>
        </w:rPr>
        <w:tab/>
      </w:r>
      <w:r>
        <w:rPr>
          <w:color w:val="auto"/>
          <w:sz w:val="24"/>
          <w:highlight w:val="none"/>
        </w:rPr>
        <w:t>（姓名）</w:t>
      </w:r>
    </w:p>
    <w:p>
      <w:pPr>
        <w:tabs>
          <w:tab w:val="left" w:pos="5558"/>
        </w:tabs>
        <w:spacing w:before="113"/>
        <w:ind w:left="878" w:right="0" w:firstLine="0"/>
        <w:jc w:val="left"/>
        <w:rPr>
          <w:color w:val="auto"/>
          <w:sz w:val="24"/>
          <w:highlight w:val="none"/>
        </w:rPr>
      </w:pPr>
      <w:r>
        <w:rPr>
          <w:color w:val="auto"/>
          <w:sz w:val="24"/>
          <w:highlight w:val="none"/>
        </w:rPr>
        <w:t>（签字）</w:t>
      </w:r>
      <w:r>
        <w:rPr>
          <w:color w:val="auto"/>
          <w:sz w:val="24"/>
          <w:highlight w:val="none"/>
        </w:rPr>
        <w:tab/>
      </w:r>
      <w:r>
        <w:rPr>
          <w:color w:val="auto"/>
          <w:sz w:val="24"/>
          <w:highlight w:val="none"/>
        </w:rPr>
        <w:t>（签字）</w:t>
      </w:r>
    </w:p>
    <w:p>
      <w:pPr>
        <w:tabs>
          <w:tab w:val="left" w:pos="5798"/>
        </w:tabs>
        <w:spacing w:before="112"/>
        <w:ind w:left="878" w:right="0" w:firstLine="0"/>
        <w:jc w:val="left"/>
        <w:rPr>
          <w:color w:val="auto"/>
          <w:sz w:val="24"/>
          <w:highlight w:val="none"/>
        </w:rPr>
      </w:pPr>
      <w:r>
        <w:rPr>
          <w:color w:val="auto"/>
          <w:sz w:val="24"/>
          <w:highlight w:val="none"/>
        </w:rPr>
        <w:t>地址：</w:t>
      </w:r>
      <w:r>
        <w:rPr>
          <w:color w:val="auto"/>
          <w:sz w:val="24"/>
          <w:highlight w:val="none"/>
        </w:rPr>
        <w:tab/>
      </w:r>
      <w:r>
        <w:rPr>
          <w:color w:val="auto"/>
          <w:sz w:val="24"/>
          <w:highlight w:val="none"/>
        </w:rPr>
        <w:t>地址：</w:t>
      </w:r>
    </w:p>
    <w:p>
      <w:pPr>
        <w:tabs>
          <w:tab w:val="left" w:pos="5798"/>
        </w:tabs>
        <w:spacing w:before="113"/>
        <w:ind w:left="878" w:right="0" w:firstLine="0"/>
        <w:jc w:val="left"/>
        <w:rPr>
          <w:color w:val="auto"/>
          <w:sz w:val="24"/>
          <w:highlight w:val="none"/>
        </w:rPr>
      </w:pPr>
      <w:r>
        <w:rPr>
          <w:color w:val="auto"/>
          <w:sz w:val="24"/>
          <w:highlight w:val="none"/>
        </w:rPr>
        <w:t>电话：</w:t>
      </w:r>
      <w:r>
        <w:rPr>
          <w:color w:val="auto"/>
          <w:sz w:val="24"/>
          <w:highlight w:val="none"/>
        </w:rPr>
        <w:tab/>
      </w:r>
      <w:r>
        <w:rPr>
          <w:color w:val="auto"/>
          <w:sz w:val="24"/>
          <w:highlight w:val="none"/>
        </w:rPr>
        <w:t>电话：</w:t>
      </w:r>
    </w:p>
    <w:p>
      <w:pPr>
        <w:tabs>
          <w:tab w:val="left" w:pos="5798"/>
        </w:tabs>
        <w:spacing w:before="112"/>
        <w:ind w:left="878" w:right="0" w:firstLine="0"/>
        <w:jc w:val="left"/>
        <w:rPr>
          <w:color w:val="auto"/>
          <w:sz w:val="24"/>
          <w:highlight w:val="none"/>
        </w:rPr>
      </w:pPr>
      <w:r>
        <w:rPr>
          <w:color w:val="auto"/>
          <w:sz w:val="24"/>
          <w:highlight w:val="none"/>
        </w:rPr>
        <w:t>日期：</w:t>
      </w:r>
      <w:r>
        <w:rPr>
          <w:color w:val="auto"/>
          <w:sz w:val="24"/>
          <w:highlight w:val="none"/>
        </w:rPr>
        <w:tab/>
      </w:r>
      <w:r>
        <w:rPr>
          <w:color w:val="auto"/>
          <w:sz w:val="24"/>
          <w:highlight w:val="none"/>
        </w:rPr>
        <w:t>日期：</w:t>
      </w:r>
    </w:p>
    <w:p>
      <w:pPr>
        <w:tabs>
          <w:tab w:val="left" w:pos="5690"/>
        </w:tabs>
        <w:spacing w:before="113"/>
        <w:ind w:left="878" w:right="0" w:firstLine="0"/>
        <w:jc w:val="left"/>
        <w:rPr>
          <w:color w:val="auto"/>
          <w:sz w:val="24"/>
          <w:highlight w:val="none"/>
        </w:rPr>
      </w:pPr>
      <w:r>
        <w:rPr>
          <w:color w:val="auto"/>
          <w:sz w:val="24"/>
          <w:highlight w:val="none"/>
        </w:rPr>
        <w:t>甲方监督单位</w:t>
      </w:r>
      <w:r>
        <w:rPr>
          <w:color w:val="auto"/>
          <w:spacing w:val="-22"/>
          <w:sz w:val="24"/>
          <w:highlight w:val="none"/>
        </w:rPr>
        <w:t>：（</w:t>
      </w:r>
      <w:r>
        <w:rPr>
          <w:color w:val="auto"/>
          <w:sz w:val="24"/>
          <w:highlight w:val="none"/>
        </w:rPr>
        <w:t>单位全称</w:t>
      </w:r>
      <w:r>
        <w:rPr>
          <w:color w:val="auto"/>
          <w:spacing w:val="-22"/>
          <w:sz w:val="24"/>
          <w:highlight w:val="none"/>
        </w:rPr>
        <w:t>）（</w:t>
      </w:r>
      <w:r>
        <w:rPr>
          <w:color w:val="auto"/>
          <w:sz w:val="24"/>
          <w:highlight w:val="none"/>
        </w:rPr>
        <w:t>盖单位章）</w:t>
      </w:r>
      <w:r>
        <w:rPr>
          <w:color w:val="auto"/>
          <w:sz w:val="24"/>
          <w:highlight w:val="none"/>
        </w:rPr>
        <w:tab/>
      </w:r>
      <w:r>
        <w:rPr>
          <w:color w:val="auto"/>
          <w:sz w:val="24"/>
          <w:highlight w:val="none"/>
        </w:rPr>
        <w:t>乙方监督单位</w:t>
      </w:r>
      <w:r>
        <w:rPr>
          <w:color w:val="auto"/>
          <w:spacing w:val="-22"/>
          <w:sz w:val="24"/>
          <w:highlight w:val="none"/>
        </w:rPr>
        <w:t>：（</w:t>
      </w:r>
      <w:r>
        <w:rPr>
          <w:color w:val="auto"/>
          <w:sz w:val="24"/>
          <w:highlight w:val="none"/>
        </w:rPr>
        <w:t>单位全称</w:t>
      </w:r>
      <w:r>
        <w:rPr>
          <w:color w:val="auto"/>
          <w:spacing w:val="-24"/>
          <w:sz w:val="24"/>
          <w:highlight w:val="none"/>
        </w:rPr>
        <w:t>）（</w:t>
      </w:r>
      <w:r>
        <w:rPr>
          <w:color w:val="auto"/>
          <w:sz w:val="24"/>
          <w:highlight w:val="none"/>
        </w:rPr>
        <w:t>盖</w:t>
      </w:r>
    </w:p>
    <w:p>
      <w:pPr>
        <w:spacing w:before="112"/>
        <w:ind w:left="5798" w:right="0" w:firstLine="0"/>
        <w:jc w:val="left"/>
        <w:rPr>
          <w:color w:val="auto"/>
          <w:sz w:val="24"/>
          <w:highlight w:val="none"/>
        </w:rPr>
      </w:pPr>
      <w:r>
        <w:rPr>
          <w:color w:val="auto"/>
          <w:sz w:val="24"/>
          <w:highlight w:val="none"/>
        </w:rPr>
        <w:t>单位章）</w:t>
      </w:r>
    </w:p>
    <w:p>
      <w:pPr>
        <w:spacing w:after="0"/>
        <w:jc w:val="left"/>
        <w:rPr>
          <w:color w:val="auto"/>
          <w:sz w:val="24"/>
          <w:highlight w:val="none"/>
        </w:rPr>
        <w:sectPr>
          <w:pgSz w:w="11910" w:h="16840"/>
          <w:pgMar w:top="1020"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54"/>
        <w:ind w:left="398" w:right="0" w:firstLine="0"/>
        <w:jc w:val="left"/>
        <w:rPr>
          <w:color w:val="auto"/>
          <w:sz w:val="24"/>
          <w:highlight w:val="none"/>
        </w:rPr>
      </w:pPr>
      <w:r>
        <w:rPr>
          <w:color w:val="auto"/>
          <w:sz w:val="24"/>
          <w:highlight w:val="none"/>
        </w:rPr>
        <w:t>附件三</w:t>
      </w:r>
    </w:p>
    <w:p>
      <w:pPr>
        <w:pStyle w:val="2"/>
        <w:spacing w:before="9"/>
        <w:rPr>
          <w:color w:val="auto"/>
          <w:sz w:val="42"/>
          <w:highlight w:val="none"/>
        </w:rPr>
      </w:pPr>
      <w:r>
        <w:rPr>
          <w:color w:val="auto"/>
          <w:highlight w:val="none"/>
        </w:rPr>
        <w:br w:type="column"/>
      </w:r>
    </w:p>
    <w:p>
      <w:pPr>
        <w:spacing w:before="1"/>
        <w:ind w:left="398" w:right="0" w:firstLine="0"/>
        <w:jc w:val="left"/>
        <w:rPr>
          <w:b/>
          <w:color w:val="auto"/>
          <w:sz w:val="32"/>
          <w:highlight w:val="none"/>
        </w:rPr>
      </w:pPr>
      <w:r>
        <w:rPr>
          <w:b/>
          <w:color w:val="auto"/>
          <w:sz w:val="32"/>
          <w:highlight w:val="none"/>
        </w:rPr>
        <w:t>履约保函</w:t>
      </w:r>
    </w:p>
    <w:p>
      <w:pPr>
        <w:spacing w:after="0"/>
        <w:jc w:val="left"/>
        <w:rPr>
          <w:color w:val="auto"/>
          <w:sz w:val="32"/>
          <w:highlight w:val="none"/>
        </w:rPr>
        <w:sectPr>
          <w:pgSz w:w="11910" w:h="16840"/>
          <w:pgMar w:top="1000" w:right="860" w:bottom="940" w:left="960" w:header="0" w:footer="672" w:gutter="0"/>
          <w:pgBorders>
            <w:top w:val="none" w:sz="0" w:space="0"/>
            <w:left w:val="none" w:sz="0" w:space="0"/>
            <w:bottom w:val="none" w:sz="0" w:space="0"/>
            <w:right w:val="none" w:sz="0" w:space="0"/>
          </w:pgBorders>
          <w:pgNumType w:fmt="decimal"/>
          <w:cols w:equalWidth="0" w:num="2">
            <w:col w:w="1159" w:space="2835"/>
            <w:col w:w="6096"/>
          </w:cols>
        </w:sectPr>
      </w:pPr>
    </w:p>
    <w:p>
      <w:pPr>
        <w:pStyle w:val="2"/>
        <w:spacing w:before="11"/>
        <w:rPr>
          <w:b/>
          <w:color w:val="auto"/>
          <w:sz w:val="8"/>
          <w:highlight w:val="none"/>
        </w:rPr>
      </w:pPr>
    </w:p>
    <w:p>
      <w:pPr>
        <w:tabs>
          <w:tab w:val="left" w:pos="2078"/>
        </w:tabs>
        <w:spacing w:before="74"/>
        <w:ind w:left="398" w:right="0" w:firstLine="0"/>
        <w:jc w:val="left"/>
        <w:rPr>
          <w:color w:val="auto"/>
          <w:sz w:val="24"/>
          <w:highlight w:val="none"/>
        </w:rPr>
      </w:pPr>
      <w:r>
        <w:rPr>
          <w:color w:val="auto"/>
          <w:sz w:val="24"/>
          <w:highlight w:val="none"/>
        </w:rPr>
        <w:t>致：</w:t>
      </w:r>
      <w:r>
        <w:rPr>
          <w:color w:val="auto"/>
          <w:sz w:val="24"/>
          <w:highlight w:val="none"/>
          <w:u w:val="single"/>
        </w:rPr>
        <w:t xml:space="preserve"> </w:t>
      </w:r>
      <w:r>
        <w:rPr>
          <w:color w:val="auto"/>
          <w:sz w:val="24"/>
          <w:highlight w:val="none"/>
          <w:u w:val="single"/>
        </w:rPr>
        <w:tab/>
      </w:r>
      <w:r>
        <w:rPr>
          <w:color w:val="auto"/>
          <w:sz w:val="24"/>
          <w:highlight w:val="none"/>
        </w:rPr>
        <w:t>（发包人全称）</w:t>
      </w:r>
    </w:p>
    <w:p>
      <w:pPr>
        <w:tabs>
          <w:tab w:val="left" w:pos="2774"/>
          <w:tab w:val="left" w:pos="7641"/>
        </w:tabs>
        <w:spacing w:before="161"/>
        <w:ind w:left="878" w:right="0" w:firstLine="0"/>
        <w:jc w:val="left"/>
        <w:rPr>
          <w:color w:val="auto"/>
          <w:sz w:val="24"/>
          <w:highlight w:val="none"/>
        </w:rPr>
      </w:pPr>
      <w:r>
        <w:rPr>
          <w:color w:val="auto"/>
          <w:sz w:val="24"/>
          <w:highlight w:val="none"/>
        </w:rPr>
        <w:t>鉴于</w:t>
      </w:r>
      <w:r>
        <w:rPr>
          <w:color w:val="auto"/>
          <w:sz w:val="24"/>
          <w:highlight w:val="none"/>
          <w:u w:val="single"/>
        </w:rPr>
        <w:t xml:space="preserve"> </w:t>
      </w:r>
      <w:r>
        <w:rPr>
          <w:color w:val="auto"/>
          <w:sz w:val="24"/>
          <w:highlight w:val="none"/>
          <w:u w:val="single"/>
        </w:rPr>
        <w:tab/>
      </w:r>
      <w:r>
        <w:rPr>
          <w:color w:val="auto"/>
          <w:sz w:val="24"/>
          <w:highlight w:val="none"/>
        </w:rPr>
        <w:t>（设计人全称</w:t>
      </w:r>
      <w:r>
        <w:rPr>
          <w:color w:val="auto"/>
          <w:spacing w:val="-24"/>
          <w:sz w:val="24"/>
          <w:highlight w:val="none"/>
        </w:rPr>
        <w:t>）（</w:t>
      </w:r>
      <w:r>
        <w:rPr>
          <w:color w:val="auto"/>
          <w:sz w:val="24"/>
          <w:highlight w:val="none"/>
        </w:rPr>
        <w:t>下称</w:t>
      </w:r>
      <w:r>
        <w:rPr>
          <w:rFonts w:ascii="Arial" w:hAnsi="Arial" w:eastAsia="Arial"/>
          <w:color w:val="auto"/>
          <w:sz w:val="24"/>
          <w:highlight w:val="none"/>
        </w:rPr>
        <w:t>“</w:t>
      </w:r>
      <w:r>
        <w:rPr>
          <w:color w:val="auto"/>
          <w:sz w:val="24"/>
          <w:highlight w:val="none"/>
        </w:rPr>
        <w:t>设计人</w:t>
      </w:r>
      <w:r>
        <w:rPr>
          <w:rFonts w:ascii="Arial" w:hAnsi="Arial" w:eastAsia="Arial"/>
          <w:color w:val="auto"/>
          <w:spacing w:val="-13"/>
          <w:sz w:val="24"/>
          <w:highlight w:val="none"/>
        </w:rPr>
        <w:t>”</w:t>
      </w:r>
      <w:r>
        <w:rPr>
          <w:color w:val="auto"/>
          <w:spacing w:val="-13"/>
          <w:sz w:val="24"/>
          <w:highlight w:val="none"/>
        </w:rPr>
        <w:t>）</w:t>
      </w:r>
      <w:r>
        <w:rPr>
          <w:color w:val="auto"/>
          <w:sz w:val="24"/>
          <w:highlight w:val="none"/>
        </w:rPr>
        <w:t>与</w:t>
      </w:r>
      <w:r>
        <w:rPr>
          <w:color w:val="auto"/>
          <w:sz w:val="24"/>
          <w:highlight w:val="none"/>
          <w:u w:val="single"/>
        </w:rPr>
        <w:t xml:space="preserve"> </w:t>
      </w:r>
      <w:r>
        <w:rPr>
          <w:color w:val="auto"/>
          <w:sz w:val="24"/>
          <w:highlight w:val="none"/>
          <w:u w:val="single"/>
        </w:rPr>
        <w:tab/>
      </w:r>
      <w:r>
        <w:rPr>
          <w:color w:val="auto"/>
          <w:sz w:val="24"/>
          <w:highlight w:val="none"/>
        </w:rPr>
        <w:t>（发包人全称）</w:t>
      </w:r>
    </w:p>
    <w:p>
      <w:pPr>
        <w:tabs>
          <w:tab w:val="left" w:pos="3861"/>
        </w:tabs>
        <w:spacing w:before="160" w:line="364" w:lineRule="auto"/>
        <w:ind w:left="398" w:right="760" w:firstLine="0"/>
        <w:jc w:val="left"/>
        <w:rPr>
          <w:color w:val="auto"/>
          <w:sz w:val="24"/>
          <w:highlight w:val="none"/>
        </w:rPr>
      </w:pPr>
      <w:r>
        <w:rPr>
          <w:color w:val="auto"/>
          <w:sz w:val="24"/>
          <w:highlight w:val="none"/>
        </w:rPr>
        <w:t>（下称</w:t>
      </w:r>
      <w:r>
        <w:rPr>
          <w:rFonts w:ascii="Arial" w:hAnsi="Arial" w:eastAsia="Arial"/>
          <w:color w:val="auto"/>
          <w:sz w:val="24"/>
          <w:highlight w:val="none"/>
        </w:rPr>
        <w:t>“</w:t>
      </w:r>
      <w:r>
        <w:rPr>
          <w:color w:val="auto"/>
          <w:sz w:val="24"/>
          <w:highlight w:val="none"/>
        </w:rPr>
        <w:t>发包人</w:t>
      </w:r>
      <w:r>
        <w:rPr>
          <w:rFonts w:ascii="Arial" w:hAnsi="Arial" w:eastAsia="Arial"/>
          <w:color w:val="auto"/>
          <w:spacing w:val="-15"/>
          <w:sz w:val="24"/>
          <w:highlight w:val="none"/>
        </w:rPr>
        <w:t>”</w:t>
      </w:r>
      <w:r>
        <w:rPr>
          <w:color w:val="auto"/>
          <w:spacing w:val="-15"/>
          <w:sz w:val="24"/>
          <w:highlight w:val="none"/>
        </w:rPr>
        <w:t>）</w:t>
      </w:r>
      <w:r>
        <w:rPr>
          <w:color w:val="auto"/>
          <w:sz w:val="24"/>
          <w:highlight w:val="none"/>
        </w:rPr>
        <w:t>签订了</w:t>
      </w:r>
      <w:r>
        <w:rPr>
          <w:color w:val="auto"/>
          <w:sz w:val="24"/>
          <w:highlight w:val="none"/>
          <w:u w:val="single"/>
        </w:rPr>
        <w:t xml:space="preserve"> </w:t>
      </w:r>
      <w:r>
        <w:rPr>
          <w:color w:val="auto"/>
          <w:sz w:val="24"/>
          <w:highlight w:val="none"/>
          <w:u w:val="single"/>
        </w:rPr>
        <w:tab/>
      </w:r>
      <w:r>
        <w:rPr>
          <w:color w:val="auto"/>
          <w:sz w:val="24"/>
          <w:highlight w:val="none"/>
        </w:rPr>
        <w:t>（项目名称</w:t>
      </w:r>
      <w:r>
        <w:rPr>
          <w:color w:val="auto"/>
          <w:spacing w:val="-29"/>
          <w:sz w:val="24"/>
          <w:highlight w:val="none"/>
        </w:rPr>
        <w:t>）</w:t>
      </w:r>
      <w:r>
        <w:rPr>
          <w:color w:val="auto"/>
          <w:sz w:val="24"/>
          <w:highlight w:val="none"/>
        </w:rPr>
        <w:t>设计合同协议书</w:t>
      </w:r>
      <w:r>
        <w:rPr>
          <w:color w:val="auto"/>
          <w:spacing w:val="-29"/>
          <w:sz w:val="24"/>
          <w:highlight w:val="none"/>
        </w:rPr>
        <w:t>，</w:t>
      </w:r>
      <w:r>
        <w:rPr>
          <w:color w:val="auto"/>
          <w:sz w:val="24"/>
          <w:highlight w:val="none"/>
        </w:rPr>
        <w:t>我方愿意无条件地</w:t>
      </w:r>
      <w:r>
        <w:rPr>
          <w:color w:val="auto"/>
          <w:spacing w:val="-17"/>
          <w:sz w:val="24"/>
          <w:highlight w:val="none"/>
        </w:rPr>
        <w:t>、</w:t>
      </w:r>
      <w:r>
        <w:rPr>
          <w:color w:val="auto"/>
          <w:sz w:val="24"/>
          <w:highlight w:val="none"/>
        </w:rPr>
        <w:t>不可撤销地就设计人与你方订立的合同，向你方提供担保。</w:t>
      </w:r>
    </w:p>
    <w:p>
      <w:pPr>
        <w:tabs>
          <w:tab w:val="left" w:pos="5092"/>
          <w:tab w:val="left" w:pos="6787"/>
        </w:tabs>
        <w:spacing w:before="2"/>
        <w:ind w:left="878" w:right="0" w:firstLine="0"/>
        <w:jc w:val="left"/>
        <w:rPr>
          <w:color w:val="auto"/>
          <w:sz w:val="24"/>
          <w:highlight w:val="none"/>
        </w:rPr>
      </w:pPr>
      <w:r>
        <w:rPr>
          <w:rFonts w:ascii="Arial" w:hAnsi="Arial" w:eastAsia="Arial"/>
          <w:color w:val="auto"/>
          <w:sz w:val="24"/>
          <w:highlight w:val="none"/>
        </w:rPr>
        <w:t>1</w:t>
      </w:r>
      <w:r>
        <w:rPr>
          <w:color w:val="auto"/>
          <w:sz w:val="24"/>
          <w:highlight w:val="none"/>
        </w:rPr>
        <w:t>、担保金额为人民币（大写）</w:t>
      </w:r>
      <w:r>
        <w:rPr>
          <w:color w:val="auto"/>
          <w:sz w:val="24"/>
          <w:highlight w:val="none"/>
          <w:u w:val="single"/>
        </w:rPr>
        <w:t xml:space="preserve"> </w:t>
      </w:r>
      <w:r>
        <w:rPr>
          <w:color w:val="auto"/>
          <w:sz w:val="24"/>
          <w:highlight w:val="none"/>
          <w:u w:val="single"/>
        </w:rPr>
        <w:tab/>
      </w:r>
      <w:r>
        <w:rPr>
          <w:color w:val="auto"/>
          <w:sz w:val="24"/>
          <w:highlight w:val="none"/>
        </w:rPr>
        <w:t>元（</w:t>
      </w:r>
      <w:r>
        <w:rPr>
          <w:rFonts w:ascii="Arial" w:hAnsi="Arial" w:eastAsia="Arial"/>
          <w:color w:val="auto"/>
          <w:sz w:val="24"/>
          <w:highlight w:val="none"/>
        </w:rPr>
        <w:t>¥</w:t>
      </w:r>
      <w:r>
        <w:rPr>
          <w:rFonts w:ascii="Arial" w:hAnsi="Arial" w:eastAsia="Arial"/>
          <w:color w:val="auto"/>
          <w:sz w:val="24"/>
          <w:highlight w:val="none"/>
          <w:u w:val="single"/>
        </w:rPr>
        <w:t xml:space="preserve"> </w:t>
      </w:r>
      <w:r>
        <w:rPr>
          <w:rFonts w:ascii="Arial" w:hAnsi="Arial" w:eastAsia="Arial"/>
          <w:color w:val="auto"/>
          <w:sz w:val="24"/>
          <w:highlight w:val="none"/>
          <w:u w:val="single"/>
        </w:rPr>
        <w:tab/>
      </w:r>
      <w:r>
        <w:rPr>
          <w:color w:val="auto"/>
          <w:sz w:val="24"/>
          <w:highlight w:val="none"/>
        </w:rPr>
        <w:t>）。</w:t>
      </w:r>
    </w:p>
    <w:p>
      <w:pPr>
        <w:tabs>
          <w:tab w:val="left" w:pos="3172"/>
          <w:tab w:val="left" w:pos="7852"/>
        </w:tabs>
        <w:spacing w:before="160" w:line="364" w:lineRule="auto"/>
        <w:ind w:left="398" w:right="791" w:firstLine="480"/>
        <w:jc w:val="left"/>
        <w:rPr>
          <w:color w:val="auto"/>
          <w:sz w:val="24"/>
          <w:highlight w:val="none"/>
        </w:rPr>
      </w:pPr>
      <w:r>
        <w:rPr>
          <w:rFonts w:ascii="Arial" w:eastAsia="Arial"/>
          <w:color w:val="auto"/>
          <w:sz w:val="24"/>
          <w:highlight w:val="none"/>
        </w:rPr>
        <w:t>2</w:t>
      </w:r>
      <w:r>
        <w:rPr>
          <w:color w:val="auto"/>
          <w:sz w:val="24"/>
          <w:highlight w:val="none"/>
        </w:rPr>
        <w:t>、本保函自</w:t>
      </w:r>
      <w:r>
        <w:rPr>
          <w:color w:val="auto"/>
          <w:sz w:val="24"/>
          <w:highlight w:val="none"/>
          <w:u w:val="single"/>
        </w:rPr>
        <w:t xml:space="preserve"> </w:t>
      </w:r>
      <w:r>
        <w:rPr>
          <w:color w:val="auto"/>
          <w:sz w:val="24"/>
          <w:highlight w:val="none"/>
          <w:u w:val="single"/>
        </w:rPr>
        <w:tab/>
      </w:r>
      <w:r>
        <w:rPr>
          <w:color w:val="auto"/>
          <w:sz w:val="24"/>
          <w:highlight w:val="none"/>
        </w:rPr>
        <w:t>（生效日期）之日起生效，至</w:t>
      </w:r>
      <w:r>
        <w:rPr>
          <w:color w:val="auto"/>
          <w:sz w:val="24"/>
          <w:highlight w:val="none"/>
          <w:u w:val="single"/>
        </w:rPr>
        <w:t xml:space="preserve"> </w:t>
      </w:r>
      <w:r>
        <w:rPr>
          <w:color w:val="auto"/>
          <w:sz w:val="24"/>
          <w:highlight w:val="none"/>
          <w:u w:val="single"/>
        </w:rPr>
        <w:tab/>
      </w:r>
      <w:r>
        <w:rPr>
          <w:color w:val="auto"/>
          <w:sz w:val="24"/>
          <w:highlight w:val="none"/>
        </w:rPr>
        <w:t>（失效日期</w:t>
      </w:r>
      <w:r>
        <w:rPr>
          <w:color w:val="auto"/>
          <w:spacing w:val="-17"/>
          <w:sz w:val="24"/>
          <w:highlight w:val="none"/>
        </w:rPr>
        <w:t xml:space="preserve">） </w:t>
      </w:r>
      <w:r>
        <w:rPr>
          <w:color w:val="auto"/>
          <w:sz w:val="24"/>
          <w:highlight w:val="none"/>
        </w:rPr>
        <w:t>之日失效。</w:t>
      </w:r>
    </w:p>
    <w:p>
      <w:pPr>
        <w:spacing w:before="1" w:line="364" w:lineRule="auto"/>
        <w:ind w:left="398" w:right="878" w:firstLine="480"/>
        <w:jc w:val="both"/>
        <w:rPr>
          <w:color w:val="auto"/>
          <w:sz w:val="24"/>
          <w:highlight w:val="none"/>
        </w:rPr>
      </w:pPr>
      <w:r>
        <w:rPr>
          <w:rFonts w:ascii="Arial" w:eastAsia="Arial"/>
          <w:color w:val="auto"/>
          <w:sz w:val="24"/>
          <w:highlight w:val="none"/>
        </w:rPr>
        <w:t>3</w:t>
      </w:r>
      <w:r>
        <w:rPr>
          <w:color w:val="auto"/>
          <w:sz w:val="24"/>
          <w:highlight w:val="none"/>
        </w:rPr>
        <w:t>、在本担保有效期内，如你方认为设计人违反合同约定的义务给你方造成经济</w:t>
      </w:r>
      <w:r>
        <w:rPr>
          <w:color w:val="auto"/>
          <w:spacing w:val="-11"/>
          <w:sz w:val="24"/>
          <w:highlight w:val="none"/>
        </w:rPr>
        <w:t xml:space="preserve">损失，我方在收到你方以书面形式提出的担保金额内的赔偿要求后，在 </w:t>
      </w:r>
      <w:r>
        <w:rPr>
          <w:rFonts w:ascii="Arial" w:eastAsia="Arial"/>
          <w:color w:val="auto"/>
          <w:sz w:val="24"/>
          <w:highlight w:val="none"/>
        </w:rPr>
        <w:t xml:space="preserve">7 </w:t>
      </w:r>
      <w:r>
        <w:rPr>
          <w:color w:val="auto"/>
          <w:spacing w:val="-4"/>
          <w:sz w:val="24"/>
          <w:highlight w:val="none"/>
        </w:rPr>
        <w:t>天内无条件</w:t>
      </w:r>
      <w:r>
        <w:rPr>
          <w:color w:val="auto"/>
          <w:sz w:val="24"/>
          <w:highlight w:val="none"/>
        </w:rPr>
        <w:t>支付，无须你方出具证明或陈述理由。</w:t>
      </w:r>
    </w:p>
    <w:p>
      <w:pPr>
        <w:spacing w:before="2" w:line="364" w:lineRule="auto"/>
        <w:ind w:left="398" w:right="911" w:firstLine="480"/>
        <w:jc w:val="left"/>
        <w:rPr>
          <w:color w:val="auto"/>
          <w:sz w:val="24"/>
          <w:highlight w:val="none"/>
        </w:rPr>
      </w:pPr>
      <w:r>
        <w:rPr>
          <w:rFonts w:ascii="Arial" w:eastAsia="Arial"/>
          <w:color w:val="auto"/>
          <w:sz w:val="24"/>
          <w:highlight w:val="none"/>
        </w:rPr>
        <w:t>4</w:t>
      </w:r>
      <w:r>
        <w:rPr>
          <w:color w:val="auto"/>
          <w:sz w:val="24"/>
          <w:highlight w:val="none"/>
        </w:rPr>
        <w:t>、发包人和设计人对合同条款进行的任何修改或补充，我方承担本保函规定的义务不变。</w:t>
      </w:r>
    </w:p>
    <w:p>
      <w:pPr>
        <w:pStyle w:val="2"/>
        <w:rPr>
          <w:color w:val="auto"/>
          <w:sz w:val="24"/>
          <w:highlight w:val="none"/>
        </w:rPr>
      </w:pPr>
    </w:p>
    <w:p>
      <w:pPr>
        <w:tabs>
          <w:tab w:val="left" w:pos="4358"/>
          <w:tab w:val="left" w:pos="6278"/>
        </w:tabs>
        <w:spacing w:before="162" w:line="364" w:lineRule="auto"/>
        <w:ind w:left="878" w:right="2847" w:firstLine="0"/>
        <w:jc w:val="left"/>
        <w:rPr>
          <w:color w:val="auto"/>
          <w:sz w:val="24"/>
          <w:highlight w:val="none"/>
        </w:rPr>
      </w:pPr>
      <w:r>
        <w:rPr>
          <w:color w:val="auto"/>
          <w:sz w:val="24"/>
          <w:highlight w:val="none"/>
        </w:rPr>
        <w:t>担保银行：</w:t>
      </w:r>
      <w:r>
        <w:rPr>
          <w:color w:val="auto"/>
          <w:sz w:val="24"/>
          <w:highlight w:val="none"/>
        </w:rPr>
        <w:tab/>
      </w:r>
      <w:r>
        <w:rPr>
          <w:color w:val="auto"/>
          <w:sz w:val="24"/>
          <w:highlight w:val="none"/>
        </w:rPr>
        <w:t>（银行全称）（盖单位章</w:t>
      </w:r>
      <w:r>
        <w:rPr>
          <w:color w:val="auto"/>
          <w:spacing w:val="-19"/>
          <w:sz w:val="24"/>
          <w:highlight w:val="none"/>
        </w:rPr>
        <w:t xml:space="preserve">） </w:t>
      </w:r>
      <w:r>
        <w:rPr>
          <w:color w:val="auto"/>
          <w:sz w:val="24"/>
          <w:highlight w:val="none"/>
        </w:rPr>
        <w:t>法定代表人或其委托代理人：</w:t>
      </w:r>
      <w:r>
        <w:rPr>
          <w:color w:val="auto"/>
          <w:sz w:val="24"/>
          <w:highlight w:val="none"/>
        </w:rPr>
        <w:tab/>
      </w:r>
      <w:r>
        <w:rPr>
          <w:color w:val="auto"/>
          <w:sz w:val="24"/>
          <w:highlight w:val="none"/>
        </w:rPr>
        <w:tab/>
      </w:r>
      <w:r>
        <w:rPr>
          <w:color w:val="auto"/>
          <w:sz w:val="24"/>
          <w:highlight w:val="none"/>
        </w:rPr>
        <w:t>（职务</w:t>
      </w:r>
      <w:r>
        <w:rPr>
          <w:color w:val="auto"/>
          <w:spacing w:val="-19"/>
          <w:sz w:val="24"/>
          <w:highlight w:val="none"/>
        </w:rPr>
        <w:t>）</w:t>
      </w:r>
    </w:p>
    <w:p>
      <w:pPr>
        <w:spacing w:before="1"/>
        <w:ind w:left="822" w:right="6590" w:firstLine="0"/>
        <w:jc w:val="center"/>
        <w:rPr>
          <w:rFonts w:ascii="Arial" w:eastAsia="Arial"/>
          <w:color w:val="auto"/>
          <w:sz w:val="24"/>
          <w:highlight w:val="none"/>
        </w:rPr>
      </w:pPr>
      <w:r>
        <w:rPr>
          <w:rFonts w:hint="eastAsia" w:ascii="Arial" w:eastAsia="宋体"/>
          <w:color w:val="auto"/>
          <w:sz w:val="24"/>
          <w:highlight w:val="none"/>
          <w:lang w:eastAsia="zh-CN"/>
        </w:rPr>
        <w:t>（</w:t>
      </w:r>
      <w:r>
        <w:rPr>
          <w:color w:val="auto"/>
          <w:sz w:val="24"/>
          <w:highlight w:val="none"/>
        </w:rPr>
        <w:t>姓名</w:t>
      </w:r>
      <w:r>
        <w:rPr>
          <w:rFonts w:hint="eastAsia"/>
          <w:color w:val="auto"/>
          <w:sz w:val="24"/>
          <w:highlight w:val="none"/>
          <w:lang w:eastAsia="zh-CN"/>
        </w:rPr>
        <w:t>）</w:t>
      </w:r>
    </w:p>
    <w:p>
      <w:pPr>
        <w:spacing w:before="161"/>
        <w:ind w:left="822" w:right="6509" w:firstLine="0"/>
        <w:jc w:val="center"/>
        <w:rPr>
          <w:color w:val="auto"/>
          <w:sz w:val="24"/>
          <w:highlight w:val="none"/>
        </w:rPr>
      </w:pPr>
      <w:r>
        <w:rPr>
          <w:color w:val="auto"/>
          <w:sz w:val="24"/>
          <w:highlight w:val="none"/>
        </w:rPr>
        <w:t>（签字）</w:t>
      </w:r>
    </w:p>
    <w:p>
      <w:pPr>
        <w:spacing w:before="160"/>
        <w:ind w:left="878" w:right="0" w:firstLine="0"/>
        <w:jc w:val="left"/>
        <w:rPr>
          <w:color w:val="auto"/>
          <w:sz w:val="24"/>
          <w:highlight w:val="none"/>
        </w:rPr>
      </w:pPr>
      <w:r>
        <w:rPr>
          <w:color w:val="auto"/>
          <w:sz w:val="24"/>
          <w:highlight w:val="none"/>
        </w:rPr>
        <w:t>地址：</w:t>
      </w:r>
    </w:p>
    <w:p>
      <w:pPr>
        <w:spacing w:before="161" w:line="364" w:lineRule="auto"/>
        <w:ind w:left="878" w:right="8006" w:firstLine="0"/>
        <w:jc w:val="left"/>
        <w:rPr>
          <w:color w:val="auto"/>
          <w:sz w:val="24"/>
          <w:highlight w:val="none"/>
        </w:rPr>
      </w:pPr>
      <w:r>
        <w:rPr>
          <w:color w:val="auto"/>
          <w:spacing w:val="-4"/>
          <w:sz w:val="24"/>
          <w:highlight w:val="none"/>
        </w:rPr>
        <w:t xml:space="preserve">邮政编码： </w:t>
      </w:r>
      <w:r>
        <w:rPr>
          <w:color w:val="auto"/>
          <w:sz w:val="24"/>
          <w:highlight w:val="none"/>
        </w:rPr>
        <w:t>电话：</w:t>
      </w:r>
    </w:p>
    <w:p>
      <w:pPr>
        <w:spacing w:before="1"/>
        <w:ind w:left="878" w:right="0" w:firstLine="0"/>
        <w:jc w:val="left"/>
        <w:rPr>
          <w:color w:val="auto"/>
          <w:sz w:val="24"/>
          <w:highlight w:val="none"/>
        </w:rPr>
      </w:pPr>
      <w:r>
        <w:rPr>
          <w:color w:val="auto"/>
          <w:sz w:val="24"/>
          <w:highlight w:val="none"/>
        </w:rPr>
        <w:t>传真：</w:t>
      </w:r>
    </w:p>
    <w:p>
      <w:pPr>
        <w:tabs>
          <w:tab w:val="left" w:pos="1598"/>
          <w:tab w:val="left" w:pos="2438"/>
        </w:tabs>
        <w:spacing w:before="160"/>
        <w:ind w:left="998" w:right="0" w:firstLine="1440" w:firstLineChars="600"/>
        <w:jc w:val="left"/>
        <w:rPr>
          <w:color w:val="auto"/>
          <w:sz w:val="24"/>
          <w:highlight w:val="none"/>
        </w:rPr>
      </w:pPr>
      <w:r>
        <w:rPr>
          <w:color w:val="auto"/>
          <w:sz w:val="24"/>
          <w:highlight w:val="none"/>
        </w:rPr>
        <w:t>年</w:t>
      </w:r>
      <w:r>
        <w:rPr>
          <w:color w:val="auto"/>
          <w:sz w:val="24"/>
          <w:highlight w:val="none"/>
        </w:rPr>
        <w:tab/>
      </w:r>
      <w:r>
        <w:rPr>
          <w:color w:val="auto"/>
          <w:sz w:val="24"/>
          <w:highlight w:val="none"/>
        </w:rPr>
        <w:t>月</w:t>
      </w:r>
      <w:r>
        <w:rPr>
          <w:color w:val="auto"/>
          <w:sz w:val="24"/>
          <w:highlight w:val="none"/>
        </w:rPr>
        <w:tab/>
      </w:r>
      <w:r>
        <w:rPr>
          <w:color w:val="auto"/>
          <w:sz w:val="24"/>
          <w:highlight w:val="none"/>
        </w:rPr>
        <w:t>日</w:t>
      </w:r>
    </w:p>
    <w:p>
      <w:pPr>
        <w:spacing w:after="0"/>
        <w:jc w:val="left"/>
        <w:rPr>
          <w:color w:val="auto"/>
          <w:sz w:val="24"/>
          <w:highlight w:val="none"/>
        </w:rPr>
        <w:sectPr>
          <w:type w:val="continuous"/>
          <w:pgSz w:w="11910" w:h="16840"/>
          <w:pgMar w:top="1580" w:right="860" w:bottom="280" w:left="960" w:header="720" w:footer="720" w:gutter="0"/>
          <w:pgBorders>
            <w:top w:val="none" w:sz="0" w:space="0"/>
            <w:left w:val="none" w:sz="0" w:space="0"/>
            <w:bottom w:val="none" w:sz="0" w:space="0"/>
            <w:right w:val="none" w:sz="0" w:space="0"/>
          </w:pgBorders>
          <w:pgNumType w:fmt="decimal"/>
          <w:cols w:space="720" w:num="1"/>
        </w:sect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spacing w:before="2"/>
        <w:rPr>
          <w:color w:val="auto"/>
          <w:sz w:val="17"/>
          <w:highlight w:val="none"/>
        </w:rPr>
      </w:pPr>
    </w:p>
    <w:p>
      <w:pPr>
        <w:pStyle w:val="5"/>
        <w:tabs>
          <w:tab w:val="left" w:pos="2349"/>
        </w:tabs>
        <w:spacing w:before="170"/>
        <w:outlineLvl w:val="0"/>
        <w:rPr>
          <w:rFonts w:hint="eastAsia"/>
          <w:color w:val="auto"/>
          <w:highlight w:val="none"/>
        </w:rPr>
      </w:pPr>
      <w:bookmarkStart w:id="211" w:name="第五章   设计技术要求"/>
      <w:bookmarkEnd w:id="211"/>
      <w:bookmarkStart w:id="212" w:name="_Toc6258"/>
      <w:r>
        <w:rPr>
          <w:rFonts w:hint="eastAsia"/>
          <w:color w:val="auto"/>
          <w:highlight w:val="none"/>
        </w:rPr>
        <w:t>第五章</w:t>
      </w:r>
      <w:r>
        <w:rPr>
          <w:rFonts w:hint="eastAsia"/>
          <w:color w:val="auto"/>
          <w:highlight w:val="none"/>
        </w:rPr>
        <w:tab/>
      </w:r>
      <w:r>
        <w:rPr>
          <w:rFonts w:hint="eastAsia"/>
          <w:color w:val="auto"/>
          <w:highlight w:val="none"/>
        </w:rPr>
        <w:t>设计技术要求</w:t>
      </w:r>
      <w:bookmarkEnd w:id="212"/>
    </w:p>
    <w:p>
      <w:pPr>
        <w:spacing w:after="0"/>
        <w:jc w:val="center"/>
        <w:rPr>
          <w:rFonts w:hint="eastAsia" w:ascii="黑体" w:eastAsia="黑体"/>
          <w:color w:val="auto"/>
          <w:sz w:val="52"/>
          <w:highlight w:val="none"/>
        </w:rPr>
        <w:sectPr>
          <w:pgSz w:w="11910" w:h="16840"/>
          <w:pgMar w:top="1580" w:right="860" w:bottom="940" w:left="960" w:header="0" w:footer="672" w:gutter="0"/>
          <w:pgBorders>
            <w:top w:val="none" w:sz="0" w:space="0"/>
            <w:left w:val="none" w:sz="0" w:space="0"/>
            <w:bottom w:val="none" w:sz="0" w:space="0"/>
            <w:right w:val="none" w:sz="0" w:space="0"/>
          </w:pgBorders>
          <w:pgNumType w:fmt="decimal"/>
          <w:cols w:space="720" w:num="1"/>
        </w:sectPr>
      </w:pPr>
    </w:p>
    <w:p>
      <w:pPr>
        <w:tabs>
          <w:tab w:val="left" w:pos="1351"/>
        </w:tabs>
        <w:spacing w:before="33"/>
        <w:ind w:left="0" w:right="16" w:firstLine="0"/>
        <w:jc w:val="center"/>
        <w:rPr>
          <w:rFonts w:hint="eastAsia" w:ascii="黑体" w:eastAsia="黑体"/>
          <w:color w:val="auto"/>
          <w:sz w:val="30"/>
          <w:highlight w:val="none"/>
        </w:rPr>
      </w:pPr>
      <w:r>
        <w:rPr>
          <w:rFonts w:hint="eastAsia" w:ascii="黑体" w:eastAsia="黑体"/>
          <w:color w:val="auto"/>
          <w:sz w:val="30"/>
          <w:highlight w:val="none"/>
        </w:rPr>
        <w:t>第五章</w:t>
      </w:r>
      <w:r>
        <w:rPr>
          <w:rFonts w:hint="eastAsia" w:ascii="黑体" w:eastAsia="黑体"/>
          <w:color w:val="auto"/>
          <w:sz w:val="30"/>
          <w:highlight w:val="none"/>
        </w:rPr>
        <w:tab/>
      </w:r>
      <w:r>
        <w:rPr>
          <w:rFonts w:hint="eastAsia" w:ascii="黑体" w:eastAsia="黑体"/>
          <w:color w:val="auto"/>
          <w:sz w:val="30"/>
          <w:highlight w:val="none"/>
        </w:rPr>
        <w:t>设计技术要求</w:t>
      </w:r>
    </w:p>
    <w:p>
      <w:pPr>
        <w:pStyle w:val="2"/>
        <w:spacing w:before="11"/>
        <w:rPr>
          <w:rFonts w:ascii="黑体"/>
          <w:color w:val="auto"/>
          <w:sz w:val="27"/>
          <w:highlight w:val="none"/>
        </w:rPr>
      </w:pPr>
    </w:p>
    <w:p>
      <w:pPr>
        <w:spacing w:before="0"/>
        <w:ind w:left="878" w:right="0" w:firstLine="0"/>
        <w:jc w:val="left"/>
        <w:outlineLvl w:val="2"/>
        <w:rPr>
          <w:rFonts w:hint="eastAsia" w:ascii="黑体" w:eastAsia="黑体"/>
          <w:color w:val="auto"/>
          <w:sz w:val="24"/>
          <w:highlight w:val="none"/>
        </w:rPr>
      </w:pPr>
      <w:bookmarkStart w:id="213" w:name="_Toc7054"/>
      <w:bookmarkStart w:id="214" w:name="_Toc28954"/>
      <w:r>
        <w:rPr>
          <w:rFonts w:hint="eastAsia" w:ascii="黑体" w:eastAsia="黑体"/>
          <w:color w:val="auto"/>
          <w:sz w:val="24"/>
          <w:highlight w:val="none"/>
        </w:rPr>
        <w:t>一、设计技术标准与规范</w:t>
      </w:r>
      <w:bookmarkEnd w:id="213"/>
      <w:bookmarkEnd w:id="214"/>
    </w:p>
    <w:p>
      <w:pPr>
        <w:spacing w:before="160" w:line="364" w:lineRule="auto"/>
        <w:ind w:left="398" w:right="402" w:firstLine="420"/>
        <w:jc w:val="both"/>
        <w:rPr>
          <w:color w:val="auto"/>
          <w:sz w:val="24"/>
          <w:highlight w:val="none"/>
        </w:rPr>
      </w:pPr>
      <w:r>
        <w:rPr>
          <w:color w:val="auto"/>
          <w:spacing w:val="4"/>
          <w:sz w:val="24"/>
          <w:highlight w:val="none"/>
        </w:rPr>
        <w:t>本工程的设计过程和成果必须符合国家有关工程建设标准强制性条文和交通部运输</w:t>
      </w:r>
      <w:r>
        <w:rPr>
          <w:color w:val="auto"/>
          <w:spacing w:val="-6"/>
          <w:sz w:val="24"/>
          <w:highlight w:val="none"/>
        </w:rPr>
        <w:t>部关于公路设计方面现行的标准、规范、规程、定额、办法、示例，以及浙江省关于公路工程设计方面的文件、规定。</w:t>
      </w:r>
    </w:p>
    <w:p>
      <w:pPr>
        <w:spacing w:before="2" w:line="364" w:lineRule="auto"/>
        <w:ind w:left="398" w:right="363" w:firstLine="420"/>
        <w:jc w:val="left"/>
        <w:rPr>
          <w:color w:val="auto"/>
          <w:sz w:val="24"/>
          <w:highlight w:val="none"/>
        </w:rPr>
      </w:pPr>
      <w:r>
        <w:rPr>
          <w:color w:val="auto"/>
          <w:sz w:val="24"/>
          <w:highlight w:val="none"/>
        </w:rPr>
        <w:t>设计人在设计工作中使用或参考上述标准、规范以外的技术标准、规范时，应征得发包人或发包人的指定代表人的同意。</w:t>
      </w:r>
    </w:p>
    <w:p>
      <w:pPr>
        <w:spacing w:before="1" w:line="364" w:lineRule="auto"/>
        <w:ind w:left="398" w:right="364" w:firstLine="420"/>
        <w:jc w:val="left"/>
        <w:rPr>
          <w:color w:val="auto"/>
          <w:sz w:val="24"/>
          <w:highlight w:val="none"/>
        </w:rPr>
      </w:pPr>
      <w:r>
        <w:rPr>
          <w:color w:val="auto"/>
          <w:sz w:val="24"/>
          <w:highlight w:val="none"/>
        </w:rPr>
        <w:t>在设计过程中，如果国家或有关部门颁布了新的技术标准或规范，则设计人应采用新的标准或规范进行设计。</w:t>
      </w:r>
    </w:p>
    <w:p>
      <w:pPr>
        <w:spacing w:before="1" w:line="364" w:lineRule="auto"/>
        <w:ind w:left="398" w:right="411" w:firstLine="420"/>
        <w:jc w:val="left"/>
        <w:rPr>
          <w:color w:val="auto"/>
          <w:sz w:val="24"/>
          <w:highlight w:val="none"/>
        </w:rPr>
      </w:pPr>
      <w:r>
        <w:rPr>
          <w:color w:val="auto"/>
          <w:spacing w:val="-4"/>
          <w:sz w:val="24"/>
          <w:highlight w:val="none"/>
        </w:rPr>
        <w:t>设计人在设计工作中必须使用中华人民共和国《工程建设标准强制性条文》</w:t>
      </w:r>
      <w:r>
        <w:rPr>
          <w:color w:val="auto"/>
          <w:sz w:val="24"/>
          <w:highlight w:val="none"/>
        </w:rPr>
        <w:t>（公路工程部分）和下述标准、规范（不限于</w:t>
      </w:r>
      <w:r>
        <w:rPr>
          <w:color w:val="auto"/>
          <w:spacing w:val="-120"/>
          <w:sz w:val="24"/>
          <w:highlight w:val="none"/>
        </w:rPr>
        <w:t>）</w:t>
      </w:r>
      <w:r>
        <w:rPr>
          <w:color w:val="auto"/>
          <w:sz w:val="24"/>
          <w:highlight w:val="none"/>
        </w:rPr>
        <w:t>：</w:t>
      </w:r>
    </w:p>
    <w:p>
      <w:pPr>
        <w:numPr>
          <w:ilvl w:val="0"/>
          <w:numId w:val="30"/>
        </w:numPr>
        <w:spacing w:before="50"/>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JTG</w:t>
      </w:r>
      <w:r>
        <w:rPr>
          <w:rFonts w:ascii="Arial" w:eastAsia="Arial"/>
          <w:color w:val="auto"/>
          <w:spacing w:val="-4"/>
          <w:sz w:val="24"/>
          <w:highlight w:val="none"/>
        </w:rPr>
        <w:t xml:space="preserve"> </w:t>
      </w:r>
      <w:r>
        <w:rPr>
          <w:rFonts w:ascii="Arial" w:eastAsia="Arial"/>
          <w:color w:val="auto"/>
          <w:sz w:val="24"/>
          <w:highlight w:val="none"/>
        </w:rPr>
        <w:t>B01</w:t>
      </w:r>
      <w:r>
        <w:rPr>
          <w:rFonts w:hint="eastAsia" w:ascii="Arial"/>
          <w:color w:val="auto"/>
          <w:sz w:val="24"/>
          <w:highlight w:val="none"/>
          <w:lang w:eastAsia="zh-CN"/>
        </w:rPr>
        <w:t>—</w:t>
      </w:r>
      <w:r>
        <w:rPr>
          <w:rFonts w:ascii="Arial" w:eastAsia="Arial"/>
          <w:color w:val="auto"/>
          <w:sz w:val="24"/>
          <w:highlight w:val="none"/>
        </w:rPr>
        <w:t>2014</w:t>
      </w:r>
      <w:r>
        <w:rPr>
          <w:color w:val="auto"/>
          <w:sz w:val="24"/>
          <w:highlight w:val="none"/>
        </w:rPr>
        <w:t>）</w:t>
      </w:r>
      <w:r>
        <w:rPr>
          <w:color w:val="auto"/>
          <w:spacing w:val="-2"/>
          <w:sz w:val="24"/>
          <w:highlight w:val="none"/>
        </w:rPr>
        <w:t xml:space="preserve"> 《公路工程技术标准》</w:t>
      </w:r>
    </w:p>
    <w:p>
      <w:pPr>
        <w:numPr>
          <w:ilvl w:val="0"/>
          <w:numId w:val="30"/>
        </w:numPr>
        <w:spacing w:before="151"/>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JTG</w:t>
      </w:r>
      <w:r>
        <w:rPr>
          <w:rFonts w:ascii="Arial" w:eastAsia="Arial"/>
          <w:color w:val="auto"/>
          <w:spacing w:val="-4"/>
          <w:sz w:val="24"/>
          <w:highlight w:val="none"/>
        </w:rPr>
        <w:t xml:space="preserve"> </w:t>
      </w:r>
      <w:r>
        <w:rPr>
          <w:rFonts w:ascii="Arial" w:eastAsia="Arial"/>
          <w:color w:val="auto"/>
          <w:spacing w:val="-1"/>
          <w:sz w:val="24"/>
          <w:highlight w:val="none"/>
        </w:rPr>
        <w:t>D3</w:t>
      </w:r>
      <w:r>
        <w:rPr>
          <w:rFonts w:hint="eastAsia" w:ascii="Arial" w:eastAsia="宋体"/>
          <w:color w:val="auto"/>
          <w:spacing w:val="-1"/>
          <w:sz w:val="24"/>
          <w:highlight w:val="none"/>
          <w:lang w:val="en-US" w:eastAsia="zh-CN"/>
        </w:rPr>
        <w:t>0</w:t>
      </w:r>
      <w:r>
        <w:rPr>
          <w:rFonts w:hint="eastAsia" w:ascii="Arial"/>
          <w:color w:val="auto"/>
          <w:sz w:val="24"/>
          <w:highlight w:val="none"/>
          <w:lang w:eastAsia="zh-CN"/>
        </w:rPr>
        <w:t>—</w:t>
      </w:r>
      <w:r>
        <w:rPr>
          <w:rFonts w:ascii="Arial" w:eastAsia="Arial"/>
          <w:color w:val="auto"/>
          <w:sz w:val="24"/>
          <w:highlight w:val="none"/>
        </w:rPr>
        <w:t>201</w:t>
      </w:r>
      <w:r>
        <w:rPr>
          <w:rFonts w:hint="eastAsia" w:ascii="Arial" w:eastAsia="宋体"/>
          <w:color w:val="auto"/>
          <w:sz w:val="24"/>
          <w:highlight w:val="none"/>
          <w:lang w:val="en-US" w:eastAsia="zh-CN"/>
        </w:rPr>
        <w:t>5</w:t>
      </w:r>
      <w:r>
        <w:rPr>
          <w:color w:val="auto"/>
          <w:sz w:val="24"/>
          <w:highlight w:val="none"/>
        </w:rPr>
        <w:t>）</w:t>
      </w:r>
      <w:r>
        <w:rPr>
          <w:rFonts w:hint="eastAsia"/>
          <w:color w:val="auto"/>
          <w:sz w:val="24"/>
          <w:highlight w:val="none"/>
          <w:lang w:val="en-US" w:eastAsia="zh-CN"/>
        </w:rPr>
        <w:t xml:space="preserve"> </w:t>
      </w:r>
      <w:r>
        <w:rPr>
          <w:rFonts w:hint="eastAsia"/>
          <w:color w:val="auto"/>
          <w:sz w:val="24"/>
          <w:highlight w:val="none"/>
        </w:rPr>
        <w:t>《公路路基设计规范》</w:t>
      </w:r>
    </w:p>
    <w:p>
      <w:pPr>
        <w:numPr>
          <w:ilvl w:val="0"/>
          <w:numId w:val="30"/>
        </w:numPr>
        <w:spacing w:before="153"/>
        <w:ind w:left="0" w:leftChars="0" w:right="0" w:firstLine="476" w:firstLineChars="200"/>
        <w:jc w:val="left"/>
        <w:rPr>
          <w:color w:val="auto"/>
          <w:sz w:val="24"/>
          <w:highlight w:val="none"/>
        </w:rPr>
      </w:pPr>
      <w:r>
        <w:rPr>
          <w:color w:val="auto"/>
          <w:spacing w:val="-1"/>
          <w:sz w:val="24"/>
          <w:highlight w:val="none"/>
        </w:rPr>
        <w:t>（</w:t>
      </w:r>
      <w:r>
        <w:rPr>
          <w:rFonts w:ascii="Arial" w:eastAsia="Arial"/>
          <w:color w:val="auto"/>
          <w:spacing w:val="-1"/>
          <w:sz w:val="24"/>
          <w:highlight w:val="none"/>
        </w:rPr>
        <w:t>JTG/TD33</w:t>
      </w:r>
      <w:r>
        <w:rPr>
          <w:rFonts w:hint="eastAsia" w:ascii="Arial"/>
          <w:color w:val="auto"/>
          <w:spacing w:val="-1"/>
          <w:sz w:val="24"/>
          <w:highlight w:val="none"/>
          <w:lang w:eastAsia="zh-CN"/>
        </w:rPr>
        <w:t>—</w:t>
      </w:r>
      <w:r>
        <w:rPr>
          <w:rFonts w:ascii="Arial" w:eastAsia="Arial"/>
          <w:color w:val="auto"/>
          <w:spacing w:val="-1"/>
          <w:sz w:val="24"/>
          <w:highlight w:val="none"/>
        </w:rPr>
        <w:t>2012</w:t>
      </w:r>
      <w:r>
        <w:rPr>
          <w:color w:val="auto"/>
          <w:spacing w:val="-1"/>
          <w:sz w:val="24"/>
          <w:highlight w:val="none"/>
        </w:rPr>
        <w:t>）</w:t>
      </w:r>
      <w:r>
        <w:rPr>
          <w:color w:val="auto"/>
          <w:sz w:val="24"/>
          <w:highlight w:val="none"/>
        </w:rPr>
        <w:t>《公路排水设计规范》</w:t>
      </w:r>
    </w:p>
    <w:p>
      <w:pPr>
        <w:numPr>
          <w:ilvl w:val="0"/>
          <w:numId w:val="30"/>
        </w:numPr>
        <w:spacing w:before="153"/>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JTG T522</w:t>
      </w:r>
      <w:r>
        <w:rPr>
          <w:rFonts w:hint="eastAsia" w:ascii="Arial"/>
          <w:color w:val="auto"/>
          <w:sz w:val="24"/>
          <w:highlight w:val="none"/>
          <w:lang w:eastAsia="zh-CN"/>
        </w:rPr>
        <w:t>—</w:t>
      </w:r>
      <w:r>
        <w:rPr>
          <w:rFonts w:ascii="Arial" w:eastAsia="Arial"/>
          <w:color w:val="auto"/>
          <w:sz w:val="24"/>
          <w:highlight w:val="none"/>
        </w:rPr>
        <w:t>2008</w:t>
      </w:r>
      <w:r>
        <w:rPr>
          <w:color w:val="auto"/>
          <w:sz w:val="24"/>
          <w:highlight w:val="none"/>
        </w:rPr>
        <w:t>）《公路桥梁加固设计规范》</w:t>
      </w:r>
    </w:p>
    <w:p>
      <w:pPr>
        <w:numPr>
          <w:ilvl w:val="0"/>
          <w:numId w:val="30"/>
        </w:numPr>
        <w:spacing w:before="151"/>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JTG 3362</w:t>
      </w:r>
      <w:r>
        <w:rPr>
          <w:rFonts w:hint="eastAsia" w:ascii="Arial"/>
          <w:color w:val="auto"/>
          <w:sz w:val="24"/>
          <w:highlight w:val="none"/>
          <w:lang w:eastAsia="zh-CN"/>
        </w:rPr>
        <w:t>—</w:t>
      </w:r>
      <w:r>
        <w:rPr>
          <w:rFonts w:ascii="Arial" w:eastAsia="Arial"/>
          <w:color w:val="auto"/>
          <w:sz w:val="24"/>
          <w:highlight w:val="none"/>
        </w:rPr>
        <w:t>2018</w:t>
      </w:r>
      <w:r>
        <w:rPr>
          <w:color w:val="auto"/>
          <w:sz w:val="24"/>
          <w:highlight w:val="none"/>
        </w:rPr>
        <w:t>）《公路钢筋混凝土及预应力混凝土桥涵设计规范》</w:t>
      </w:r>
    </w:p>
    <w:p>
      <w:pPr>
        <w:numPr>
          <w:ilvl w:val="0"/>
          <w:numId w:val="30"/>
        </w:numPr>
        <w:spacing w:before="153"/>
        <w:ind w:left="0" w:leftChars="0" w:right="0" w:firstLine="480" w:firstLineChars="200"/>
        <w:jc w:val="left"/>
        <w:rPr>
          <w:color w:val="auto"/>
          <w:sz w:val="24"/>
          <w:highlight w:val="none"/>
        </w:rPr>
      </w:pPr>
      <w:r>
        <w:rPr>
          <w:rFonts w:hint="eastAsia" w:ascii="Arial" w:eastAsia="Arial"/>
          <w:color w:val="auto"/>
          <w:sz w:val="24"/>
          <w:highlight w:val="none"/>
        </w:rPr>
        <w:t>（JTG D60-2015）</w:t>
      </w:r>
      <w:r>
        <w:rPr>
          <w:rFonts w:hint="eastAsia" w:ascii="Arial" w:eastAsia="宋体"/>
          <w:color w:val="auto"/>
          <w:sz w:val="24"/>
          <w:highlight w:val="none"/>
          <w:lang w:val="en-US" w:eastAsia="zh-CN"/>
        </w:rPr>
        <w:t xml:space="preserve"> </w:t>
      </w:r>
      <w:r>
        <w:rPr>
          <w:rFonts w:hint="eastAsia"/>
          <w:color w:val="auto"/>
          <w:sz w:val="24"/>
          <w:highlight w:val="none"/>
        </w:rPr>
        <w:t>《公路桥涵设计通用规范》</w:t>
      </w:r>
    </w:p>
    <w:p>
      <w:pPr>
        <w:numPr>
          <w:ilvl w:val="0"/>
          <w:numId w:val="30"/>
        </w:numPr>
        <w:spacing w:before="154"/>
        <w:ind w:left="0" w:leftChars="0" w:right="0" w:firstLine="480" w:firstLineChars="200"/>
        <w:jc w:val="left"/>
        <w:rPr>
          <w:color w:val="auto"/>
          <w:sz w:val="24"/>
          <w:highlight w:val="none"/>
        </w:rPr>
      </w:pPr>
      <w:r>
        <w:rPr>
          <w:rFonts w:hint="eastAsia" w:ascii="Arial" w:eastAsia="Arial"/>
          <w:color w:val="auto"/>
          <w:sz w:val="24"/>
          <w:highlight w:val="none"/>
        </w:rPr>
        <w:t>（JTG D63-2019）</w:t>
      </w:r>
      <w:r>
        <w:rPr>
          <w:rFonts w:hint="eastAsia"/>
          <w:color w:val="auto"/>
          <w:sz w:val="24"/>
          <w:highlight w:val="none"/>
        </w:rPr>
        <w:t>《公路桥涵地基与基础设计规范》</w:t>
      </w:r>
    </w:p>
    <w:p>
      <w:pPr>
        <w:numPr>
          <w:ilvl w:val="0"/>
          <w:numId w:val="30"/>
        </w:numPr>
        <w:spacing w:before="151"/>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JT/T 327</w:t>
      </w:r>
      <w:r>
        <w:rPr>
          <w:rFonts w:hint="eastAsia" w:ascii="Arial"/>
          <w:color w:val="auto"/>
          <w:sz w:val="24"/>
          <w:highlight w:val="none"/>
          <w:lang w:eastAsia="zh-CN"/>
        </w:rPr>
        <w:t>—</w:t>
      </w:r>
      <w:r>
        <w:rPr>
          <w:rFonts w:ascii="Arial" w:eastAsia="Arial"/>
          <w:color w:val="auto"/>
          <w:sz w:val="24"/>
          <w:highlight w:val="none"/>
        </w:rPr>
        <w:t>2016</w:t>
      </w:r>
      <w:r>
        <w:rPr>
          <w:color w:val="auto"/>
          <w:sz w:val="24"/>
          <w:highlight w:val="none"/>
        </w:rPr>
        <w:t>）《公路桥梁伸缩装置》</w:t>
      </w:r>
    </w:p>
    <w:p>
      <w:pPr>
        <w:numPr>
          <w:ilvl w:val="0"/>
          <w:numId w:val="30"/>
        </w:numPr>
        <w:spacing w:before="153"/>
        <w:ind w:left="0" w:leftChars="0" w:right="0" w:firstLine="476" w:firstLineChars="200"/>
        <w:jc w:val="left"/>
        <w:rPr>
          <w:color w:val="auto"/>
          <w:sz w:val="24"/>
          <w:highlight w:val="none"/>
        </w:rPr>
      </w:pPr>
      <w:r>
        <w:rPr>
          <w:color w:val="auto"/>
          <w:spacing w:val="-1"/>
          <w:sz w:val="24"/>
          <w:highlight w:val="none"/>
        </w:rPr>
        <w:t>（</w:t>
      </w:r>
      <w:r>
        <w:rPr>
          <w:rFonts w:ascii="Arial" w:eastAsia="Arial"/>
          <w:color w:val="auto"/>
          <w:spacing w:val="-1"/>
          <w:sz w:val="24"/>
          <w:highlight w:val="none"/>
        </w:rPr>
        <w:t>JTG/TF50</w:t>
      </w:r>
      <w:r>
        <w:rPr>
          <w:rFonts w:hint="eastAsia" w:ascii="Arial"/>
          <w:color w:val="auto"/>
          <w:spacing w:val="-1"/>
          <w:sz w:val="24"/>
          <w:highlight w:val="none"/>
          <w:lang w:eastAsia="zh-CN"/>
        </w:rPr>
        <w:t>—</w:t>
      </w:r>
      <w:r>
        <w:rPr>
          <w:rFonts w:ascii="Arial" w:eastAsia="Arial"/>
          <w:color w:val="auto"/>
          <w:spacing w:val="-1"/>
          <w:sz w:val="24"/>
          <w:highlight w:val="none"/>
        </w:rPr>
        <w:t>2011</w:t>
      </w:r>
      <w:r>
        <w:rPr>
          <w:color w:val="auto"/>
          <w:spacing w:val="-1"/>
          <w:sz w:val="24"/>
          <w:highlight w:val="none"/>
        </w:rPr>
        <w:t>）</w:t>
      </w:r>
      <w:r>
        <w:rPr>
          <w:color w:val="auto"/>
          <w:sz w:val="24"/>
          <w:highlight w:val="none"/>
        </w:rPr>
        <w:t>《公路桥涵施工技术规范》</w:t>
      </w:r>
    </w:p>
    <w:p>
      <w:pPr>
        <w:numPr>
          <w:ilvl w:val="0"/>
          <w:numId w:val="30"/>
        </w:numPr>
        <w:spacing w:before="154"/>
        <w:ind w:left="0" w:leftChars="0" w:right="0" w:firstLine="480" w:firstLineChars="200"/>
        <w:jc w:val="left"/>
        <w:rPr>
          <w:rFonts w:ascii="Arial" w:eastAsia="Arial"/>
          <w:color w:val="auto"/>
          <w:sz w:val="24"/>
          <w:highlight w:val="none"/>
        </w:rPr>
      </w:pPr>
      <w:r>
        <w:rPr>
          <w:rFonts w:hint="eastAsia" w:ascii="Arial" w:eastAsia="Arial"/>
          <w:color w:val="auto"/>
          <w:sz w:val="24"/>
          <w:highlight w:val="none"/>
        </w:rPr>
        <w:t>（JTJ025-86）《公路桥涵钢结构及木结构设计规范》</w:t>
      </w:r>
    </w:p>
    <w:p>
      <w:pPr>
        <w:numPr>
          <w:ilvl w:val="0"/>
          <w:numId w:val="30"/>
        </w:numPr>
        <w:spacing w:before="153"/>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JTG</w:t>
      </w:r>
      <w:r>
        <w:rPr>
          <w:rFonts w:ascii="Arial" w:eastAsia="Arial"/>
          <w:color w:val="auto"/>
          <w:spacing w:val="-9"/>
          <w:sz w:val="24"/>
          <w:highlight w:val="none"/>
        </w:rPr>
        <w:t xml:space="preserve"> </w:t>
      </w:r>
      <w:r>
        <w:rPr>
          <w:rFonts w:ascii="Arial" w:eastAsia="Arial"/>
          <w:color w:val="auto"/>
          <w:sz w:val="24"/>
          <w:highlight w:val="none"/>
        </w:rPr>
        <w:t>D50</w:t>
      </w:r>
      <w:r>
        <w:rPr>
          <w:rFonts w:hint="eastAsia" w:ascii="Arial"/>
          <w:color w:val="auto"/>
          <w:sz w:val="24"/>
          <w:highlight w:val="none"/>
          <w:lang w:eastAsia="zh-CN"/>
        </w:rPr>
        <w:t>—</w:t>
      </w:r>
      <w:r>
        <w:rPr>
          <w:rFonts w:ascii="Arial" w:eastAsia="Arial"/>
          <w:color w:val="auto"/>
          <w:sz w:val="24"/>
          <w:highlight w:val="none"/>
        </w:rPr>
        <w:t>2017</w:t>
      </w:r>
      <w:r>
        <w:rPr>
          <w:color w:val="auto"/>
          <w:sz w:val="24"/>
          <w:highlight w:val="none"/>
        </w:rPr>
        <w:t>）《公路沥青路面设计规范》</w:t>
      </w:r>
    </w:p>
    <w:p>
      <w:pPr>
        <w:numPr>
          <w:ilvl w:val="0"/>
          <w:numId w:val="30"/>
        </w:numPr>
        <w:spacing w:before="151"/>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JTG D40</w:t>
      </w:r>
      <w:r>
        <w:rPr>
          <w:rFonts w:hint="eastAsia" w:ascii="Arial"/>
          <w:color w:val="auto"/>
          <w:sz w:val="24"/>
          <w:highlight w:val="none"/>
          <w:lang w:eastAsia="zh-CN"/>
        </w:rPr>
        <w:t>—</w:t>
      </w:r>
      <w:r>
        <w:rPr>
          <w:rFonts w:ascii="Arial" w:eastAsia="Arial"/>
          <w:color w:val="auto"/>
          <w:sz w:val="24"/>
          <w:highlight w:val="none"/>
        </w:rPr>
        <w:t>2011</w:t>
      </w:r>
      <w:r>
        <w:rPr>
          <w:color w:val="auto"/>
          <w:sz w:val="24"/>
          <w:highlight w:val="none"/>
        </w:rPr>
        <w:t>）《公路水泥混凝土路面设计规范》</w:t>
      </w:r>
    </w:p>
    <w:p>
      <w:pPr>
        <w:numPr>
          <w:ilvl w:val="0"/>
          <w:numId w:val="30"/>
        </w:numPr>
        <w:spacing w:before="153"/>
        <w:ind w:left="0" w:leftChars="0" w:right="0" w:firstLine="480" w:firstLineChars="200"/>
        <w:jc w:val="left"/>
        <w:rPr>
          <w:color w:val="auto"/>
          <w:sz w:val="24"/>
          <w:highlight w:val="none"/>
        </w:rPr>
      </w:pPr>
      <w:r>
        <w:rPr>
          <w:rFonts w:hint="eastAsia"/>
          <w:color w:val="auto"/>
          <w:sz w:val="24"/>
          <w:highlight w:val="none"/>
          <w:lang w:val="en-US" w:eastAsia="zh-CN"/>
        </w:rPr>
        <w:t>（</w:t>
      </w:r>
      <w:r>
        <w:rPr>
          <w:rFonts w:hint="eastAsia" w:ascii="Arial" w:eastAsia="Arial"/>
          <w:color w:val="auto"/>
          <w:sz w:val="24"/>
          <w:highlight w:val="none"/>
        </w:rPr>
        <w:t>GB5768-2017</w:t>
      </w:r>
      <w:r>
        <w:rPr>
          <w:rFonts w:hint="eastAsia"/>
          <w:color w:val="auto"/>
          <w:sz w:val="24"/>
          <w:highlight w:val="none"/>
          <w:lang w:val="en-US" w:eastAsia="zh-CN"/>
        </w:rPr>
        <w:t>）</w:t>
      </w:r>
      <w:r>
        <w:rPr>
          <w:rFonts w:hint="eastAsia" w:ascii="Arial" w:eastAsia="Arial"/>
          <w:color w:val="auto"/>
          <w:sz w:val="24"/>
          <w:highlight w:val="none"/>
        </w:rPr>
        <w:t>《</w:t>
      </w:r>
      <w:r>
        <w:rPr>
          <w:rFonts w:hint="eastAsia"/>
          <w:color w:val="auto"/>
          <w:sz w:val="24"/>
          <w:highlight w:val="none"/>
        </w:rPr>
        <w:t>道路交通标志和标线》</w:t>
      </w:r>
    </w:p>
    <w:p>
      <w:pPr>
        <w:numPr>
          <w:ilvl w:val="0"/>
          <w:numId w:val="30"/>
        </w:numPr>
        <w:spacing w:before="154"/>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JTG H10</w:t>
      </w:r>
      <w:r>
        <w:rPr>
          <w:rFonts w:hint="eastAsia" w:ascii="Arial"/>
          <w:color w:val="auto"/>
          <w:sz w:val="24"/>
          <w:highlight w:val="none"/>
          <w:lang w:eastAsia="zh-CN"/>
        </w:rPr>
        <w:t>—</w:t>
      </w:r>
      <w:r>
        <w:rPr>
          <w:rFonts w:ascii="Arial" w:eastAsia="Arial"/>
          <w:color w:val="auto"/>
          <w:sz w:val="24"/>
          <w:highlight w:val="none"/>
        </w:rPr>
        <w:t>2009</w:t>
      </w:r>
      <w:r>
        <w:rPr>
          <w:color w:val="auto"/>
          <w:sz w:val="24"/>
          <w:highlight w:val="none"/>
        </w:rPr>
        <w:t>）《公路养护技术规范》</w:t>
      </w:r>
    </w:p>
    <w:p>
      <w:pPr>
        <w:numPr>
          <w:ilvl w:val="0"/>
          <w:numId w:val="30"/>
        </w:numPr>
        <w:spacing w:before="151"/>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JTG H20</w:t>
      </w:r>
      <w:r>
        <w:rPr>
          <w:rFonts w:hint="eastAsia" w:ascii="Arial"/>
          <w:color w:val="auto"/>
          <w:sz w:val="24"/>
          <w:highlight w:val="none"/>
          <w:lang w:eastAsia="zh-CN"/>
        </w:rPr>
        <w:t>—</w:t>
      </w:r>
      <w:r>
        <w:rPr>
          <w:rFonts w:ascii="Arial" w:eastAsia="Arial"/>
          <w:color w:val="auto"/>
          <w:sz w:val="24"/>
          <w:highlight w:val="none"/>
        </w:rPr>
        <w:t>2007</w:t>
      </w:r>
      <w:r>
        <w:rPr>
          <w:color w:val="auto"/>
          <w:sz w:val="24"/>
          <w:highlight w:val="none"/>
        </w:rPr>
        <w:t>）《公路技术状况评定标准》</w:t>
      </w:r>
    </w:p>
    <w:p>
      <w:pPr>
        <w:numPr>
          <w:ilvl w:val="0"/>
          <w:numId w:val="30"/>
        </w:numPr>
        <w:spacing w:before="153"/>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JTG</w:t>
      </w:r>
      <w:r>
        <w:rPr>
          <w:rFonts w:ascii="Arial" w:eastAsia="Arial"/>
          <w:color w:val="auto"/>
          <w:spacing w:val="-9"/>
          <w:sz w:val="24"/>
          <w:highlight w:val="none"/>
        </w:rPr>
        <w:t xml:space="preserve"> </w:t>
      </w:r>
      <w:r>
        <w:rPr>
          <w:rFonts w:ascii="Arial" w:eastAsia="Arial"/>
          <w:color w:val="auto"/>
          <w:sz w:val="24"/>
          <w:highlight w:val="none"/>
        </w:rPr>
        <w:t>F41</w:t>
      </w:r>
      <w:r>
        <w:rPr>
          <w:rFonts w:hint="eastAsia" w:ascii="Arial"/>
          <w:color w:val="auto"/>
          <w:sz w:val="24"/>
          <w:highlight w:val="none"/>
          <w:lang w:eastAsia="zh-CN"/>
        </w:rPr>
        <w:t>—</w:t>
      </w:r>
      <w:r>
        <w:rPr>
          <w:rFonts w:ascii="Arial" w:eastAsia="Arial"/>
          <w:color w:val="auto"/>
          <w:sz w:val="24"/>
          <w:highlight w:val="none"/>
        </w:rPr>
        <w:t>2008</w:t>
      </w:r>
      <w:r>
        <w:rPr>
          <w:color w:val="auto"/>
          <w:sz w:val="24"/>
          <w:highlight w:val="none"/>
        </w:rPr>
        <w:t>）《公路沥青路面再生技术规范》</w:t>
      </w:r>
    </w:p>
    <w:p>
      <w:pPr>
        <w:numPr>
          <w:ilvl w:val="0"/>
          <w:numId w:val="30"/>
        </w:numPr>
        <w:spacing w:before="153"/>
        <w:ind w:left="0" w:leftChars="0" w:right="0" w:firstLine="480" w:firstLineChars="200"/>
        <w:jc w:val="left"/>
        <w:rPr>
          <w:color w:val="auto"/>
          <w:sz w:val="24"/>
          <w:highlight w:val="none"/>
        </w:rPr>
      </w:pPr>
      <w:r>
        <w:rPr>
          <w:rFonts w:hint="eastAsia" w:ascii="Arial" w:eastAsia="Arial"/>
          <w:color w:val="auto"/>
          <w:sz w:val="24"/>
          <w:highlight w:val="none"/>
        </w:rPr>
        <w:t xml:space="preserve">（JTG </w:t>
      </w:r>
      <w:r>
        <w:rPr>
          <w:rFonts w:hint="eastAsia" w:ascii="Arial" w:eastAsia="宋体"/>
          <w:color w:val="auto"/>
          <w:sz w:val="24"/>
          <w:highlight w:val="none"/>
          <w:lang w:val="en-US" w:eastAsia="zh-CN"/>
        </w:rPr>
        <w:t>5421</w:t>
      </w:r>
      <w:r>
        <w:rPr>
          <w:rFonts w:hint="eastAsia" w:ascii="Arial" w:eastAsia="Arial"/>
          <w:color w:val="auto"/>
          <w:sz w:val="24"/>
          <w:highlight w:val="none"/>
        </w:rPr>
        <w:t>-201</w:t>
      </w:r>
      <w:r>
        <w:rPr>
          <w:rFonts w:hint="eastAsia" w:ascii="Arial" w:eastAsia="宋体"/>
          <w:color w:val="auto"/>
          <w:sz w:val="24"/>
          <w:highlight w:val="none"/>
          <w:lang w:val="en-US" w:eastAsia="zh-CN"/>
        </w:rPr>
        <w:t>8</w:t>
      </w:r>
      <w:r>
        <w:rPr>
          <w:rFonts w:hint="eastAsia" w:ascii="Arial" w:eastAsia="Arial"/>
          <w:color w:val="auto"/>
          <w:sz w:val="24"/>
          <w:highlight w:val="none"/>
        </w:rPr>
        <w:t>）</w:t>
      </w:r>
      <w:r>
        <w:rPr>
          <w:rFonts w:hint="eastAsia" w:ascii="Arial" w:eastAsia="Arial"/>
          <w:color w:val="auto"/>
          <w:sz w:val="24"/>
          <w:highlight w:val="none"/>
        </w:rPr>
        <w:tab/>
      </w:r>
      <w:r>
        <w:rPr>
          <w:rFonts w:hint="eastAsia"/>
          <w:color w:val="auto"/>
          <w:sz w:val="24"/>
          <w:highlight w:val="none"/>
        </w:rPr>
        <w:t>《公路沥青路面</w:t>
      </w:r>
      <w:r>
        <w:rPr>
          <w:rFonts w:hint="eastAsia"/>
          <w:color w:val="auto"/>
          <w:sz w:val="24"/>
          <w:highlight w:val="none"/>
          <w:lang w:eastAsia="zh-CN"/>
        </w:rPr>
        <w:t>养护</w:t>
      </w:r>
      <w:r>
        <w:rPr>
          <w:rFonts w:hint="eastAsia"/>
          <w:color w:val="auto"/>
          <w:sz w:val="24"/>
          <w:highlight w:val="none"/>
        </w:rPr>
        <w:t>设计规范》</w:t>
      </w:r>
    </w:p>
    <w:p>
      <w:pPr>
        <w:numPr>
          <w:ilvl w:val="0"/>
          <w:numId w:val="30"/>
        </w:numPr>
        <w:spacing w:before="151"/>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JTG E20</w:t>
      </w:r>
      <w:r>
        <w:rPr>
          <w:rFonts w:hint="eastAsia" w:ascii="Arial"/>
          <w:color w:val="auto"/>
          <w:sz w:val="24"/>
          <w:highlight w:val="none"/>
          <w:lang w:eastAsia="zh-CN"/>
        </w:rPr>
        <w:t>—</w:t>
      </w:r>
      <w:r>
        <w:rPr>
          <w:rFonts w:ascii="Arial" w:eastAsia="Arial"/>
          <w:color w:val="auto"/>
          <w:sz w:val="24"/>
          <w:highlight w:val="none"/>
        </w:rPr>
        <w:t>2011</w:t>
      </w:r>
      <w:r>
        <w:rPr>
          <w:color w:val="auto"/>
          <w:sz w:val="24"/>
          <w:highlight w:val="none"/>
        </w:rPr>
        <w:t>）《公路工程沥青及沥青混合料试验规程》</w:t>
      </w:r>
    </w:p>
    <w:p>
      <w:pPr>
        <w:numPr>
          <w:ilvl w:val="0"/>
          <w:numId w:val="30"/>
        </w:numPr>
        <w:spacing w:before="153"/>
        <w:ind w:left="0" w:leftChars="0" w:right="0" w:firstLine="480" w:firstLineChars="200"/>
        <w:jc w:val="left"/>
        <w:rPr>
          <w:color w:val="auto"/>
          <w:sz w:val="24"/>
          <w:highlight w:val="none"/>
        </w:rPr>
      </w:pPr>
      <w:r>
        <w:rPr>
          <w:color w:val="auto"/>
          <w:sz w:val="24"/>
          <w:highlight w:val="none"/>
        </w:rPr>
        <w:t>（交公路发</w:t>
      </w:r>
      <w:r>
        <w:rPr>
          <w:rFonts w:hint="eastAsia"/>
          <w:color w:val="auto"/>
          <w:sz w:val="24"/>
          <w:highlight w:val="none"/>
          <w:lang w:eastAsia="zh-CN"/>
        </w:rPr>
        <w:t>〔</w:t>
      </w:r>
      <w:r>
        <w:rPr>
          <w:rFonts w:ascii="Arial" w:eastAsia="Arial"/>
          <w:color w:val="auto"/>
          <w:sz w:val="24"/>
          <w:highlight w:val="none"/>
        </w:rPr>
        <w:t>2007</w:t>
      </w:r>
      <w:r>
        <w:rPr>
          <w:rFonts w:hint="eastAsia" w:ascii="Arial" w:eastAsia="宋体"/>
          <w:color w:val="auto"/>
          <w:sz w:val="24"/>
          <w:highlight w:val="none"/>
          <w:lang w:eastAsia="zh-CN"/>
        </w:rPr>
        <w:t>〕</w:t>
      </w:r>
      <w:r>
        <w:rPr>
          <w:rFonts w:ascii="Arial" w:eastAsia="Arial"/>
          <w:color w:val="auto"/>
          <w:sz w:val="24"/>
          <w:highlight w:val="none"/>
        </w:rPr>
        <w:t>358</w:t>
      </w:r>
      <w:r>
        <w:rPr>
          <w:color w:val="auto"/>
          <w:sz w:val="24"/>
          <w:highlight w:val="none"/>
        </w:rPr>
        <w:t>号）《公路工程基本建设项目设计文件编制办法》</w:t>
      </w:r>
    </w:p>
    <w:p>
      <w:pPr>
        <w:numPr>
          <w:ilvl w:val="0"/>
          <w:numId w:val="30"/>
        </w:numPr>
        <w:spacing w:before="154"/>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JTG 3830</w:t>
      </w:r>
      <w:r>
        <w:rPr>
          <w:rFonts w:hint="eastAsia" w:ascii="Arial"/>
          <w:color w:val="auto"/>
          <w:sz w:val="24"/>
          <w:highlight w:val="none"/>
          <w:lang w:eastAsia="zh-CN"/>
        </w:rPr>
        <w:t>—</w:t>
      </w:r>
      <w:r>
        <w:rPr>
          <w:rFonts w:ascii="Arial" w:eastAsia="Arial"/>
          <w:color w:val="auto"/>
          <w:sz w:val="24"/>
          <w:highlight w:val="none"/>
        </w:rPr>
        <w:t>2018</w:t>
      </w:r>
      <w:r>
        <w:rPr>
          <w:color w:val="auto"/>
          <w:sz w:val="24"/>
          <w:highlight w:val="none"/>
        </w:rPr>
        <w:t>）《公路工程建设项目概算预算编制方法》</w:t>
      </w:r>
    </w:p>
    <w:p>
      <w:pPr>
        <w:spacing w:after="0"/>
        <w:jc w:val="left"/>
        <w:rPr>
          <w:color w:val="auto"/>
          <w:sz w:val="24"/>
          <w:highlight w:val="none"/>
        </w:rPr>
        <w:sectPr>
          <w:pgSz w:w="11910" w:h="16840"/>
          <w:pgMar w:top="1060" w:right="860" w:bottom="940" w:left="960" w:header="0" w:footer="672" w:gutter="0"/>
          <w:pgBorders>
            <w:top w:val="none" w:sz="0" w:space="0"/>
            <w:left w:val="none" w:sz="0" w:space="0"/>
            <w:bottom w:val="none" w:sz="0" w:space="0"/>
            <w:right w:val="none" w:sz="0" w:space="0"/>
          </w:pgBorders>
          <w:pgNumType w:fmt="decimal"/>
          <w:cols w:space="720" w:num="1"/>
        </w:sectPr>
      </w:pPr>
    </w:p>
    <w:p>
      <w:pPr>
        <w:numPr>
          <w:ilvl w:val="0"/>
          <w:numId w:val="30"/>
        </w:numPr>
        <w:spacing w:before="62"/>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JTG/T</w:t>
      </w:r>
      <w:r>
        <w:rPr>
          <w:rFonts w:ascii="Arial" w:eastAsia="Arial"/>
          <w:color w:val="auto"/>
          <w:spacing w:val="-9"/>
          <w:sz w:val="24"/>
          <w:highlight w:val="none"/>
        </w:rPr>
        <w:t xml:space="preserve"> </w:t>
      </w:r>
      <w:r>
        <w:rPr>
          <w:rFonts w:ascii="Arial" w:eastAsia="Arial"/>
          <w:color w:val="auto"/>
          <w:sz w:val="24"/>
          <w:highlight w:val="none"/>
        </w:rPr>
        <w:t>3831</w:t>
      </w:r>
      <w:r>
        <w:rPr>
          <w:rFonts w:hint="eastAsia" w:ascii="Arial"/>
          <w:color w:val="auto"/>
          <w:sz w:val="24"/>
          <w:highlight w:val="none"/>
          <w:lang w:eastAsia="zh-CN"/>
        </w:rPr>
        <w:t>—</w:t>
      </w:r>
      <w:r>
        <w:rPr>
          <w:rFonts w:ascii="Arial" w:eastAsia="Arial"/>
          <w:color w:val="auto"/>
          <w:sz w:val="24"/>
          <w:highlight w:val="none"/>
        </w:rPr>
        <w:t>2018</w:t>
      </w:r>
      <w:r>
        <w:rPr>
          <w:color w:val="auto"/>
          <w:sz w:val="24"/>
          <w:highlight w:val="none"/>
        </w:rPr>
        <w:t>）</w:t>
      </w:r>
      <w:r>
        <w:rPr>
          <w:color w:val="auto"/>
          <w:spacing w:val="-1"/>
          <w:sz w:val="24"/>
          <w:highlight w:val="none"/>
        </w:rPr>
        <w:t>《公路工程概算定额》</w:t>
      </w:r>
    </w:p>
    <w:p>
      <w:pPr>
        <w:numPr>
          <w:ilvl w:val="0"/>
          <w:numId w:val="30"/>
        </w:numPr>
        <w:spacing w:before="151"/>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JTG/T</w:t>
      </w:r>
      <w:r>
        <w:rPr>
          <w:rFonts w:ascii="Arial" w:eastAsia="Arial"/>
          <w:color w:val="auto"/>
          <w:spacing w:val="-9"/>
          <w:sz w:val="24"/>
          <w:highlight w:val="none"/>
        </w:rPr>
        <w:t xml:space="preserve"> </w:t>
      </w:r>
      <w:r>
        <w:rPr>
          <w:rFonts w:ascii="Arial" w:eastAsia="Arial"/>
          <w:color w:val="auto"/>
          <w:sz w:val="24"/>
          <w:highlight w:val="none"/>
        </w:rPr>
        <w:t>3832</w:t>
      </w:r>
      <w:r>
        <w:rPr>
          <w:rFonts w:hint="eastAsia" w:ascii="Arial"/>
          <w:color w:val="auto"/>
          <w:sz w:val="24"/>
          <w:highlight w:val="none"/>
          <w:lang w:eastAsia="zh-CN"/>
        </w:rPr>
        <w:t>—</w:t>
      </w:r>
      <w:r>
        <w:rPr>
          <w:rFonts w:ascii="Arial" w:eastAsia="Arial"/>
          <w:color w:val="auto"/>
          <w:sz w:val="24"/>
          <w:highlight w:val="none"/>
        </w:rPr>
        <w:t>2018</w:t>
      </w:r>
      <w:r>
        <w:rPr>
          <w:color w:val="auto"/>
          <w:sz w:val="24"/>
          <w:highlight w:val="none"/>
        </w:rPr>
        <w:t>）</w:t>
      </w:r>
      <w:r>
        <w:rPr>
          <w:color w:val="auto"/>
          <w:spacing w:val="-1"/>
          <w:sz w:val="24"/>
          <w:highlight w:val="none"/>
        </w:rPr>
        <w:t>《公路工程预算定额》</w:t>
      </w:r>
    </w:p>
    <w:p>
      <w:pPr>
        <w:numPr>
          <w:ilvl w:val="0"/>
          <w:numId w:val="30"/>
        </w:numPr>
        <w:spacing w:before="153"/>
        <w:ind w:left="0" w:leftChars="0" w:right="0" w:firstLine="480" w:firstLineChars="200"/>
        <w:jc w:val="left"/>
        <w:rPr>
          <w:color w:val="auto"/>
          <w:sz w:val="24"/>
          <w:highlight w:val="none"/>
        </w:rPr>
      </w:pPr>
      <w:r>
        <w:rPr>
          <w:color w:val="auto"/>
          <w:sz w:val="24"/>
          <w:highlight w:val="none"/>
        </w:rPr>
        <w:t>（</w:t>
      </w:r>
      <w:r>
        <w:rPr>
          <w:rFonts w:ascii="Arial" w:eastAsia="Arial"/>
          <w:color w:val="auto"/>
          <w:sz w:val="24"/>
          <w:highlight w:val="none"/>
        </w:rPr>
        <w:t>JTG/T 3833</w:t>
      </w:r>
      <w:r>
        <w:rPr>
          <w:rFonts w:hint="eastAsia" w:ascii="Arial"/>
          <w:color w:val="auto"/>
          <w:sz w:val="24"/>
          <w:highlight w:val="none"/>
          <w:lang w:eastAsia="zh-CN"/>
        </w:rPr>
        <w:t>—</w:t>
      </w:r>
      <w:r>
        <w:rPr>
          <w:rFonts w:ascii="Arial" w:eastAsia="Arial"/>
          <w:color w:val="auto"/>
          <w:sz w:val="24"/>
          <w:highlight w:val="none"/>
        </w:rPr>
        <w:t>2018</w:t>
      </w:r>
      <w:r>
        <w:rPr>
          <w:color w:val="auto"/>
          <w:sz w:val="24"/>
          <w:highlight w:val="none"/>
        </w:rPr>
        <w:t>）《公路工程机械台班费用定额》</w:t>
      </w:r>
    </w:p>
    <w:p>
      <w:pPr>
        <w:pStyle w:val="30"/>
        <w:numPr>
          <w:ilvl w:val="0"/>
          <w:numId w:val="30"/>
        </w:numPr>
        <w:tabs>
          <w:tab w:val="left" w:pos="1215"/>
        </w:tabs>
        <w:spacing w:before="154" w:after="0" w:line="240" w:lineRule="auto"/>
        <w:ind w:left="0" w:leftChars="0" w:right="0" w:firstLine="452" w:firstLineChars="200"/>
        <w:jc w:val="left"/>
        <w:rPr>
          <w:color w:val="auto"/>
          <w:sz w:val="24"/>
          <w:highlight w:val="none"/>
        </w:rPr>
      </w:pPr>
      <w:r>
        <w:rPr>
          <w:color w:val="auto"/>
          <w:spacing w:val="-7"/>
          <w:sz w:val="24"/>
          <w:highlight w:val="none"/>
        </w:rPr>
        <w:t>浙江省交通运输厅</w:t>
      </w:r>
      <w:r>
        <w:rPr>
          <w:color w:val="auto"/>
          <w:spacing w:val="-3"/>
          <w:sz w:val="24"/>
          <w:highlight w:val="none"/>
        </w:rPr>
        <w:t>（</w:t>
      </w:r>
      <w:r>
        <w:rPr>
          <w:color w:val="auto"/>
          <w:sz w:val="24"/>
          <w:highlight w:val="none"/>
        </w:rPr>
        <w:t>原交通厅</w:t>
      </w:r>
      <w:r>
        <w:rPr>
          <w:color w:val="auto"/>
          <w:spacing w:val="-6"/>
          <w:sz w:val="24"/>
          <w:highlight w:val="none"/>
        </w:rPr>
        <w:t>）</w:t>
      </w:r>
      <w:r>
        <w:rPr>
          <w:rFonts w:ascii="Arial" w:eastAsia="Arial"/>
          <w:color w:val="auto"/>
          <w:spacing w:val="-6"/>
          <w:sz w:val="24"/>
          <w:highlight w:val="none"/>
        </w:rPr>
        <w:t>[2005]224</w:t>
      </w:r>
      <w:r>
        <w:rPr>
          <w:color w:val="auto"/>
          <w:spacing w:val="-8"/>
          <w:sz w:val="24"/>
          <w:highlight w:val="none"/>
        </w:rPr>
        <w:t>号《浙江省公路养护工程预算编制办法》</w:t>
      </w:r>
    </w:p>
    <w:p>
      <w:pPr>
        <w:pStyle w:val="30"/>
        <w:numPr>
          <w:ilvl w:val="0"/>
          <w:numId w:val="30"/>
        </w:numPr>
        <w:tabs>
          <w:tab w:val="left" w:pos="1215"/>
        </w:tabs>
        <w:spacing w:before="150" w:after="0" w:line="240" w:lineRule="auto"/>
        <w:ind w:left="0" w:leftChars="0" w:right="0" w:firstLine="476" w:firstLineChars="200"/>
        <w:jc w:val="left"/>
        <w:rPr>
          <w:color w:val="auto"/>
          <w:sz w:val="24"/>
          <w:highlight w:val="none"/>
        </w:rPr>
      </w:pPr>
      <w:r>
        <w:rPr>
          <w:color w:val="auto"/>
          <w:spacing w:val="-1"/>
          <w:sz w:val="24"/>
          <w:highlight w:val="none"/>
        </w:rPr>
        <w:t>浙江省交通运输厅</w:t>
      </w:r>
      <w:r>
        <w:rPr>
          <w:color w:val="auto"/>
          <w:sz w:val="24"/>
          <w:highlight w:val="none"/>
        </w:rPr>
        <w:t>（原交通厅）</w:t>
      </w:r>
      <w:r>
        <w:rPr>
          <w:rFonts w:ascii="Arial" w:eastAsia="Arial"/>
          <w:color w:val="auto"/>
          <w:sz w:val="24"/>
          <w:highlight w:val="none"/>
        </w:rPr>
        <w:t>[2005]224</w:t>
      </w:r>
      <w:r>
        <w:rPr>
          <w:color w:val="auto"/>
          <w:sz w:val="24"/>
          <w:highlight w:val="none"/>
        </w:rPr>
        <w:t>号《浙江省公路养护工程预算定额》</w:t>
      </w:r>
    </w:p>
    <w:p>
      <w:pPr>
        <w:pStyle w:val="30"/>
        <w:numPr>
          <w:ilvl w:val="0"/>
          <w:numId w:val="30"/>
        </w:numPr>
        <w:tabs>
          <w:tab w:val="left" w:pos="1215"/>
        </w:tabs>
        <w:spacing w:before="154" w:after="0" w:line="360" w:lineRule="auto"/>
        <w:ind w:left="0" w:leftChars="0" w:right="412" w:firstLine="468" w:firstLineChars="200"/>
        <w:jc w:val="left"/>
        <w:rPr>
          <w:color w:val="auto"/>
          <w:sz w:val="24"/>
          <w:highlight w:val="none"/>
        </w:rPr>
      </w:pPr>
      <w:r>
        <w:rPr>
          <w:color w:val="auto"/>
          <w:spacing w:val="-3"/>
          <w:sz w:val="24"/>
          <w:highlight w:val="none"/>
        </w:rPr>
        <w:t>浙江省交通运输厅</w:t>
      </w:r>
      <w:r>
        <w:rPr>
          <w:color w:val="auto"/>
          <w:sz w:val="24"/>
          <w:highlight w:val="none"/>
        </w:rPr>
        <w:t>（原交通厅</w:t>
      </w:r>
      <w:r>
        <w:rPr>
          <w:color w:val="auto"/>
          <w:spacing w:val="-3"/>
          <w:sz w:val="24"/>
          <w:highlight w:val="none"/>
        </w:rPr>
        <w:t>）</w:t>
      </w:r>
      <w:r>
        <w:rPr>
          <w:rFonts w:ascii="Arial" w:eastAsia="Arial"/>
          <w:color w:val="auto"/>
          <w:spacing w:val="-3"/>
          <w:sz w:val="24"/>
          <w:highlight w:val="none"/>
        </w:rPr>
        <w:t>[2005]224</w:t>
      </w:r>
      <w:r>
        <w:rPr>
          <w:color w:val="auto"/>
          <w:spacing w:val="-4"/>
          <w:sz w:val="24"/>
          <w:highlight w:val="none"/>
        </w:rPr>
        <w:t>号《浙江省公路养护工程机械台班费用定额》</w:t>
      </w:r>
    </w:p>
    <w:p>
      <w:pPr>
        <w:pStyle w:val="30"/>
        <w:numPr>
          <w:ilvl w:val="0"/>
          <w:numId w:val="30"/>
        </w:numPr>
        <w:tabs>
          <w:tab w:val="left" w:pos="1217"/>
        </w:tabs>
        <w:spacing w:before="0" w:after="0" w:line="360" w:lineRule="auto"/>
        <w:ind w:left="0" w:leftChars="0" w:right="412" w:firstLine="480" w:firstLineChars="200"/>
        <w:jc w:val="left"/>
        <w:rPr>
          <w:color w:val="auto"/>
          <w:sz w:val="24"/>
          <w:highlight w:val="none"/>
        </w:rPr>
      </w:pPr>
      <w:r>
        <w:rPr>
          <w:color w:val="auto"/>
          <w:sz w:val="24"/>
          <w:highlight w:val="none"/>
        </w:rPr>
        <w:t>浙江省交通运输厅（原交通厅）</w:t>
      </w:r>
      <w:r>
        <w:rPr>
          <w:rFonts w:ascii="Arial" w:eastAsia="Arial"/>
          <w:color w:val="auto"/>
          <w:sz w:val="24"/>
          <w:highlight w:val="none"/>
        </w:rPr>
        <w:t>[2008]85</w:t>
      </w:r>
      <w:r>
        <w:rPr>
          <w:color w:val="auto"/>
          <w:sz w:val="24"/>
          <w:highlight w:val="none"/>
        </w:rPr>
        <w:t>号《浙江省公路工程概预算编制补充规定》</w:t>
      </w:r>
    </w:p>
    <w:p>
      <w:pPr>
        <w:pStyle w:val="30"/>
        <w:numPr>
          <w:ilvl w:val="0"/>
          <w:numId w:val="30"/>
        </w:numPr>
        <w:tabs>
          <w:tab w:val="left" w:pos="1217"/>
        </w:tabs>
        <w:spacing w:before="0" w:after="0" w:line="357" w:lineRule="auto"/>
        <w:ind w:left="0" w:leftChars="0" w:right="412" w:firstLine="480" w:firstLineChars="200"/>
        <w:jc w:val="left"/>
        <w:rPr>
          <w:color w:val="auto"/>
          <w:sz w:val="24"/>
          <w:highlight w:val="none"/>
        </w:rPr>
      </w:pPr>
      <w:r>
        <w:rPr>
          <w:color w:val="auto"/>
          <w:sz w:val="24"/>
          <w:highlight w:val="none"/>
        </w:rPr>
        <w:t>浙江省交通运输厅</w:t>
      </w:r>
      <w:r>
        <w:rPr>
          <w:rFonts w:ascii="Arial" w:eastAsia="Arial"/>
          <w:color w:val="auto"/>
          <w:sz w:val="24"/>
          <w:highlight w:val="none"/>
        </w:rPr>
        <w:t>[2012]88</w:t>
      </w:r>
      <w:r>
        <w:rPr>
          <w:color w:val="auto"/>
          <w:sz w:val="24"/>
          <w:highlight w:val="none"/>
        </w:rPr>
        <w:t>号《关于调整我省公路工程概预算编制人工费单价的通知》</w:t>
      </w:r>
    </w:p>
    <w:p>
      <w:pPr>
        <w:pStyle w:val="30"/>
        <w:numPr>
          <w:ilvl w:val="0"/>
          <w:numId w:val="30"/>
        </w:numPr>
        <w:tabs>
          <w:tab w:val="left" w:pos="1217"/>
        </w:tabs>
        <w:spacing w:before="0" w:after="0" w:line="357" w:lineRule="auto"/>
        <w:ind w:left="0" w:leftChars="0" w:right="412" w:firstLine="480" w:firstLineChars="200"/>
        <w:jc w:val="left"/>
        <w:rPr>
          <w:color w:val="auto"/>
          <w:sz w:val="20"/>
          <w:highlight w:val="none"/>
        </w:rPr>
      </w:pPr>
      <w:r>
        <w:rPr>
          <w:rFonts w:hint="eastAsia" w:ascii="宋体" w:hAnsi="宋体" w:eastAsia="宋体" w:cs="宋体"/>
          <w:color w:val="auto"/>
          <w:sz w:val="24"/>
          <w:highlight w:val="none"/>
          <w:lang w:eastAsia="zh-CN"/>
        </w:rPr>
        <w:t>浙江省公路路面大中修工程设计文件编制指南</w:t>
      </w: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3"/>
        <w:rPr>
          <w:color w:val="auto"/>
          <w:sz w:val="20"/>
          <w:highlight w:val="none"/>
        </w:rPr>
      </w:pPr>
    </w:p>
    <w:p>
      <w:pPr>
        <w:pStyle w:val="4"/>
        <w:rPr>
          <w:color w:val="auto"/>
          <w:sz w:val="20"/>
          <w:highlight w:val="none"/>
        </w:rPr>
      </w:pPr>
    </w:p>
    <w:p>
      <w:pPr>
        <w:rPr>
          <w:color w:val="auto"/>
          <w:sz w:val="20"/>
          <w:highlight w:val="none"/>
        </w:rPr>
      </w:pPr>
    </w:p>
    <w:p>
      <w:pPr>
        <w:pStyle w:val="2"/>
        <w:rPr>
          <w:color w:val="auto"/>
          <w:sz w:val="20"/>
          <w:highlight w:val="none"/>
        </w:rPr>
      </w:pPr>
    </w:p>
    <w:p>
      <w:pPr>
        <w:pStyle w:val="3"/>
        <w:rPr>
          <w:color w:val="auto"/>
          <w:sz w:val="20"/>
          <w:highlight w:val="none"/>
        </w:rPr>
      </w:pPr>
    </w:p>
    <w:p>
      <w:pPr>
        <w:pStyle w:val="4"/>
        <w:rPr>
          <w:color w:val="auto"/>
          <w:sz w:val="20"/>
          <w:highlight w:val="none"/>
        </w:rPr>
      </w:pPr>
    </w:p>
    <w:p>
      <w:pPr>
        <w:rPr>
          <w:color w:val="auto"/>
          <w:sz w:val="20"/>
          <w:highlight w:val="none"/>
        </w:rPr>
      </w:pPr>
    </w:p>
    <w:p>
      <w:pPr>
        <w:pStyle w:val="2"/>
        <w:rPr>
          <w:color w:val="auto"/>
          <w:sz w:val="20"/>
          <w:highlight w:val="none"/>
        </w:rPr>
      </w:pPr>
    </w:p>
    <w:p>
      <w:pPr>
        <w:pStyle w:val="3"/>
        <w:rPr>
          <w:color w:val="auto"/>
          <w:sz w:val="20"/>
          <w:highlight w:val="none"/>
        </w:rPr>
      </w:pPr>
    </w:p>
    <w:p>
      <w:pPr>
        <w:pStyle w:val="4"/>
        <w:rPr>
          <w:color w:val="auto"/>
          <w:sz w:val="20"/>
          <w:highlight w:val="none"/>
        </w:rPr>
      </w:pPr>
    </w:p>
    <w:p>
      <w:pPr>
        <w:rPr>
          <w:color w:val="auto"/>
          <w:sz w:val="20"/>
          <w:highlight w:val="none"/>
        </w:rPr>
      </w:pPr>
    </w:p>
    <w:p>
      <w:pPr>
        <w:pStyle w:val="2"/>
        <w:rPr>
          <w:color w:val="auto"/>
          <w:sz w:val="20"/>
          <w:highlight w:val="none"/>
        </w:rPr>
      </w:pPr>
    </w:p>
    <w:p>
      <w:pPr>
        <w:pStyle w:val="3"/>
        <w:rPr>
          <w:color w:val="auto"/>
          <w:sz w:val="20"/>
          <w:highlight w:val="none"/>
        </w:rPr>
      </w:pPr>
    </w:p>
    <w:p>
      <w:pPr>
        <w:pStyle w:val="4"/>
        <w:rPr>
          <w:color w:val="auto"/>
          <w:sz w:val="20"/>
          <w:highlight w:val="none"/>
        </w:rPr>
      </w:pPr>
    </w:p>
    <w:p>
      <w:pPr>
        <w:rPr>
          <w:color w:val="auto"/>
          <w:sz w:val="20"/>
          <w:highlight w:val="none"/>
        </w:rPr>
      </w:pPr>
    </w:p>
    <w:p>
      <w:pPr>
        <w:pStyle w:val="2"/>
        <w:rPr>
          <w:color w:val="auto"/>
          <w:sz w:val="20"/>
          <w:highlight w:val="none"/>
        </w:rPr>
      </w:pPr>
    </w:p>
    <w:p>
      <w:pPr>
        <w:pStyle w:val="3"/>
        <w:rPr>
          <w:color w:val="auto"/>
          <w:sz w:val="20"/>
          <w:highlight w:val="none"/>
        </w:rPr>
      </w:pPr>
    </w:p>
    <w:p>
      <w:pPr>
        <w:pStyle w:val="4"/>
        <w:rPr>
          <w:color w:val="auto"/>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spacing w:before="2"/>
        <w:rPr>
          <w:color w:val="auto"/>
          <w:sz w:val="17"/>
          <w:highlight w:val="none"/>
        </w:rPr>
      </w:pPr>
    </w:p>
    <w:p>
      <w:pPr>
        <w:tabs>
          <w:tab w:val="left" w:pos="2349"/>
        </w:tabs>
        <w:spacing w:before="28"/>
        <w:ind w:left="0" w:right="10" w:firstLine="0"/>
        <w:jc w:val="center"/>
        <w:outlineLvl w:val="0"/>
        <w:rPr>
          <w:rFonts w:hint="eastAsia" w:ascii="黑体" w:eastAsia="黑体"/>
          <w:b/>
          <w:color w:val="auto"/>
          <w:sz w:val="52"/>
          <w:highlight w:val="none"/>
        </w:rPr>
      </w:pPr>
      <w:bookmarkStart w:id="215" w:name="第六章   投标文件格式"/>
      <w:bookmarkEnd w:id="215"/>
      <w:bookmarkStart w:id="216" w:name="_Toc17616"/>
      <w:r>
        <w:rPr>
          <w:rFonts w:hint="eastAsia" w:ascii="黑体" w:eastAsia="黑体"/>
          <w:b/>
          <w:color w:val="auto"/>
          <w:sz w:val="52"/>
          <w:highlight w:val="none"/>
        </w:rPr>
        <w:t>第六章</w:t>
      </w:r>
      <w:r>
        <w:rPr>
          <w:rFonts w:hint="eastAsia" w:ascii="黑体" w:eastAsia="黑体"/>
          <w:b/>
          <w:color w:val="auto"/>
          <w:sz w:val="52"/>
          <w:highlight w:val="none"/>
        </w:rPr>
        <w:tab/>
      </w:r>
      <w:r>
        <w:rPr>
          <w:rFonts w:hint="eastAsia" w:ascii="黑体" w:eastAsia="黑体"/>
          <w:b/>
          <w:color w:val="auto"/>
          <w:sz w:val="52"/>
          <w:highlight w:val="none"/>
        </w:rPr>
        <w:t>投标文件格式</w:t>
      </w:r>
      <w:bookmarkEnd w:id="216"/>
    </w:p>
    <w:p>
      <w:pPr>
        <w:spacing w:after="0"/>
        <w:jc w:val="center"/>
        <w:rPr>
          <w:rFonts w:hint="eastAsia" w:ascii="黑体" w:eastAsia="黑体"/>
          <w:color w:val="auto"/>
          <w:sz w:val="52"/>
          <w:highlight w:val="none"/>
        </w:rPr>
        <w:sectPr>
          <w:pgSz w:w="11910" w:h="16840"/>
          <w:pgMar w:top="1580"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23"/>
        <w:ind w:left="298" w:right="314" w:firstLine="0"/>
        <w:jc w:val="center"/>
        <w:rPr>
          <w:b/>
          <w:color w:val="auto"/>
          <w:sz w:val="44"/>
          <w:highlight w:val="none"/>
        </w:rPr>
      </w:pPr>
      <w:r>
        <w:rPr>
          <w:b/>
          <w:color w:val="auto"/>
          <w:sz w:val="44"/>
          <w:highlight w:val="none"/>
        </w:rPr>
        <w:t>浙 江 省</w:t>
      </w:r>
    </w:p>
    <w:p>
      <w:pPr>
        <w:spacing w:before="60"/>
        <w:ind w:right="192" w:firstLine="442" w:firstLineChars="100"/>
        <w:jc w:val="both"/>
        <w:rPr>
          <w:rFonts w:hint="eastAsia"/>
          <w:b/>
          <w:color w:val="auto"/>
          <w:sz w:val="44"/>
          <w:highlight w:val="none"/>
          <w:u w:val="single"/>
          <w:lang w:val="en-US" w:eastAsia="zh-CN"/>
        </w:rPr>
      </w:pPr>
    </w:p>
    <w:p>
      <w:pPr>
        <w:spacing w:before="60"/>
        <w:ind w:right="192" w:firstLine="442" w:firstLineChars="100"/>
        <w:jc w:val="both"/>
        <w:rPr>
          <w:b/>
          <w:color w:val="auto"/>
          <w:sz w:val="44"/>
          <w:highlight w:val="none"/>
        </w:rPr>
      </w:pPr>
      <w:r>
        <w:rPr>
          <w:rFonts w:hint="eastAsia"/>
          <w:b/>
          <w:color w:val="auto"/>
          <w:sz w:val="44"/>
          <w:highlight w:val="none"/>
          <w:u w:val="single"/>
          <w:lang w:val="en-US" w:eastAsia="zh-CN"/>
        </w:rPr>
        <w:t xml:space="preserve">           </w:t>
      </w:r>
      <w:r>
        <w:rPr>
          <w:b/>
          <w:color w:val="auto"/>
          <w:sz w:val="44"/>
          <w:highlight w:val="none"/>
        </w:rPr>
        <w:t>（项目名称）</w:t>
      </w:r>
      <w:r>
        <w:rPr>
          <w:rFonts w:hint="eastAsia"/>
          <w:b/>
          <w:color w:val="auto"/>
          <w:sz w:val="44"/>
          <w:highlight w:val="none"/>
          <w:u w:val="single"/>
          <w:lang w:val="en-US" w:eastAsia="zh-CN"/>
        </w:rPr>
        <w:t xml:space="preserve">   </w:t>
      </w:r>
      <w:r>
        <w:rPr>
          <w:rFonts w:hint="eastAsia"/>
          <w:b/>
          <w:color w:val="auto"/>
          <w:sz w:val="44"/>
          <w:highlight w:val="none"/>
          <w:u w:val="none"/>
          <w:lang w:val="en-US" w:eastAsia="zh-CN"/>
        </w:rPr>
        <w:t>（标段名称）</w:t>
      </w:r>
      <w:r>
        <w:rPr>
          <w:b/>
          <w:color w:val="auto"/>
          <w:sz w:val="44"/>
          <w:highlight w:val="none"/>
        </w:rPr>
        <w:t>设计</w:t>
      </w:r>
    </w:p>
    <w:p>
      <w:pPr>
        <w:pStyle w:val="2"/>
        <w:rPr>
          <w:b/>
          <w:color w:val="auto"/>
          <w:sz w:val="44"/>
          <w:highlight w:val="none"/>
        </w:rPr>
      </w:pPr>
    </w:p>
    <w:p>
      <w:pPr>
        <w:pStyle w:val="2"/>
        <w:rPr>
          <w:b/>
          <w:color w:val="auto"/>
          <w:sz w:val="44"/>
          <w:highlight w:val="none"/>
        </w:rPr>
      </w:pPr>
    </w:p>
    <w:p>
      <w:pPr>
        <w:pStyle w:val="2"/>
        <w:rPr>
          <w:b/>
          <w:color w:val="auto"/>
          <w:sz w:val="44"/>
          <w:highlight w:val="none"/>
        </w:rPr>
      </w:pPr>
    </w:p>
    <w:p>
      <w:pPr>
        <w:pStyle w:val="2"/>
        <w:rPr>
          <w:b/>
          <w:color w:val="auto"/>
          <w:sz w:val="44"/>
          <w:highlight w:val="none"/>
        </w:rPr>
      </w:pPr>
    </w:p>
    <w:p>
      <w:pPr>
        <w:pStyle w:val="2"/>
        <w:rPr>
          <w:b/>
          <w:color w:val="auto"/>
          <w:sz w:val="44"/>
          <w:highlight w:val="none"/>
        </w:rPr>
      </w:pPr>
    </w:p>
    <w:p>
      <w:pPr>
        <w:pStyle w:val="2"/>
        <w:rPr>
          <w:b/>
          <w:color w:val="auto"/>
          <w:sz w:val="44"/>
          <w:highlight w:val="none"/>
        </w:rPr>
      </w:pPr>
    </w:p>
    <w:p>
      <w:pPr>
        <w:pStyle w:val="2"/>
        <w:spacing w:before="1"/>
        <w:rPr>
          <w:b/>
          <w:color w:val="auto"/>
          <w:sz w:val="31"/>
          <w:highlight w:val="none"/>
        </w:rPr>
      </w:pPr>
    </w:p>
    <w:p>
      <w:pPr>
        <w:spacing w:before="1"/>
        <w:ind w:left="293" w:right="314" w:firstLine="0"/>
        <w:jc w:val="center"/>
        <w:rPr>
          <w:b/>
          <w:color w:val="auto"/>
          <w:sz w:val="72"/>
          <w:highlight w:val="none"/>
        </w:rPr>
      </w:pPr>
      <w:r>
        <w:rPr>
          <w:b/>
          <w:color w:val="auto"/>
          <w:sz w:val="72"/>
          <w:highlight w:val="none"/>
        </w:rPr>
        <w:t>投 标 文 件</w:t>
      </w:r>
    </w:p>
    <w:p>
      <w:pPr>
        <w:tabs>
          <w:tab w:val="left" w:pos="2081"/>
        </w:tabs>
        <w:spacing w:before="609"/>
        <w:ind w:left="0" w:right="11" w:firstLine="0"/>
        <w:jc w:val="center"/>
        <w:rPr>
          <w:rFonts w:hint="eastAsia" w:ascii="黑体" w:eastAsia="黑体"/>
          <w:color w:val="auto"/>
          <w:sz w:val="52"/>
          <w:highlight w:val="none"/>
        </w:rPr>
      </w:pPr>
      <w:bookmarkStart w:id="217" w:name="第一卷  商务文件"/>
      <w:bookmarkEnd w:id="217"/>
      <w:r>
        <w:rPr>
          <w:rFonts w:hint="eastAsia" w:ascii="黑体" w:eastAsia="黑体"/>
          <w:color w:val="auto"/>
          <w:sz w:val="52"/>
          <w:highlight w:val="none"/>
        </w:rPr>
        <w:t>第一卷</w:t>
      </w:r>
      <w:r>
        <w:rPr>
          <w:rFonts w:hint="eastAsia" w:ascii="黑体" w:eastAsia="黑体"/>
          <w:color w:val="auto"/>
          <w:sz w:val="52"/>
          <w:highlight w:val="none"/>
        </w:rPr>
        <w:tab/>
      </w:r>
      <w:r>
        <w:rPr>
          <w:rFonts w:hint="eastAsia" w:ascii="黑体" w:eastAsia="黑体"/>
          <w:color w:val="auto"/>
          <w:sz w:val="52"/>
          <w:highlight w:val="none"/>
        </w:rPr>
        <w:t>商务文件</w:t>
      </w:r>
    </w:p>
    <w:p>
      <w:pPr>
        <w:pStyle w:val="2"/>
        <w:rPr>
          <w:rFonts w:ascii="黑体"/>
          <w:color w:val="auto"/>
          <w:sz w:val="52"/>
          <w:highlight w:val="none"/>
        </w:rPr>
      </w:pPr>
    </w:p>
    <w:p>
      <w:pPr>
        <w:pStyle w:val="2"/>
        <w:rPr>
          <w:rFonts w:ascii="黑体"/>
          <w:color w:val="auto"/>
          <w:sz w:val="52"/>
          <w:highlight w:val="none"/>
        </w:rPr>
      </w:pPr>
    </w:p>
    <w:p>
      <w:pPr>
        <w:pStyle w:val="2"/>
        <w:rPr>
          <w:rFonts w:ascii="黑体"/>
          <w:color w:val="auto"/>
          <w:sz w:val="52"/>
          <w:highlight w:val="none"/>
        </w:rPr>
      </w:pPr>
    </w:p>
    <w:p>
      <w:pPr>
        <w:pStyle w:val="2"/>
        <w:rPr>
          <w:rFonts w:ascii="黑体"/>
          <w:color w:val="auto"/>
          <w:sz w:val="52"/>
          <w:highlight w:val="none"/>
        </w:rPr>
      </w:pPr>
    </w:p>
    <w:p>
      <w:pPr>
        <w:pStyle w:val="2"/>
        <w:rPr>
          <w:rFonts w:ascii="黑体"/>
          <w:color w:val="auto"/>
          <w:sz w:val="52"/>
          <w:highlight w:val="none"/>
        </w:rPr>
      </w:pPr>
    </w:p>
    <w:p>
      <w:pPr>
        <w:pStyle w:val="2"/>
        <w:rPr>
          <w:rFonts w:ascii="黑体"/>
          <w:color w:val="auto"/>
          <w:sz w:val="52"/>
          <w:highlight w:val="none"/>
        </w:rPr>
      </w:pPr>
    </w:p>
    <w:p>
      <w:pPr>
        <w:pStyle w:val="2"/>
        <w:spacing w:before="4"/>
        <w:rPr>
          <w:rFonts w:ascii="黑体"/>
          <w:color w:val="auto"/>
          <w:sz w:val="70"/>
          <w:highlight w:val="none"/>
        </w:rPr>
      </w:pPr>
    </w:p>
    <w:p>
      <w:pPr>
        <w:tabs>
          <w:tab w:val="left" w:pos="3074"/>
        </w:tabs>
        <w:spacing w:before="0"/>
        <w:ind w:left="0" w:right="13" w:firstLine="0"/>
        <w:jc w:val="center"/>
        <w:rPr>
          <w:b/>
          <w:color w:val="auto"/>
          <w:sz w:val="36"/>
          <w:highlight w:val="none"/>
        </w:rPr>
      </w:pPr>
      <w:r>
        <w:rPr>
          <w:b/>
          <w:color w:val="auto"/>
          <w:sz w:val="36"/>
          <w:highlight w:val="none"/>
        </w:rPr>
        <w:t>投标人：</w:t>
      </w:r>
      <w:r>
        <w:rPr>
          <w:b/>
          <w:color w:val="auto"/>
          <w:sz w:val="36"/>
          <w:highlight w:val="none"/>
          <w:u w:val="thick"/>
        </w:rPr>
        <w:t xml:space="preserve"> </w:t>
      </w:r>
      <w:r>
        <w:rPr>
          <w:b/>
          <w:color w:val="auto"/>
          <w:sz w:val="36"/>
          <w:highlight w:val="none"/>
          <w:u w:val="thick"/>
        </w:rPr>
        <w:tab/>
      </w:r>
      <w:r>
        <w:rPr>
          <w:b/>
          <w:color w:val="auto"/>
          <w:sz w:val="36"/>
          <w:highlight w:val="none"/>
        </w:rPr>
        <w:t>（全称并盖电子公章）</w:t>
      </w:r>
    </w:p>
    <w:p>
      <w:pPr>
        <w:tabs>
          <w:tab w:val="left" w:pos="904"/>
          <w:tab w:val="left" w:pos="1989"/>
          <w:tab w:val="left" w:pos="3074"/>
        </w:tabs>
        <w:spacing w:before="163"/>
        <w:ind w:left="0" w:right="314" w:firstLine="0"/>
        <w:jc w:val="center"/>
        <w:rPr>
          <w:b/>
          <w:color w:val="auto"/>
          <w:sz w:val="36"/>
          <w:highlight w:val="none"/>
        </w:rPr>
      </w:pPr>
      <w:r>
        <w:rPr>
          <w:rFonts w:ascii="Times New Roman" w:eastAsia="Times New Roman"/>
          <w:b/>
          <w:color w:val="auto"/>
          <w:sz w:val="36"/>
          <w:highlight w:val="none"/>
          <w:u w:val="thick"/>
        </w:rPr>
        <w:t xml:space="preserve"> </w:t>
      </w:r>
      <w:r>
        <w:rPr>
          <w:rFonts w:ascii="Times New Roman" w:eastAsia="Times New Roman"/>
          <w:b/>
          <w:color w:val="auto"/>
          <w:sz w:val="36"/>
          <w:highlight w:val="none"/>
          <w:u w:val="thick"/>
        </w:rPr>
        <w:tab/>
      </w:r>
      <w:r>
        <w:rPr>
          <w:b/>
          <w:color w:val="auto"/>
          <w:sz w:val="36"/>
          <w:highlight w:val="none"/>
        </w:rPr>
        <w:t>年</w:t>
      </w:r>
      <w:r>
        <w:rPr>
          <w:b/>
          <w:color w:val="auto"/>
          <w:sz w:val="36"/>
          <w:highlight w:val="none"/>
          <w:u w:val="thick"/>
        </w:rPr>
        <w:t xml:space="preserve"> </w:t>
      </w:r>
      <w:r>
        <w:rPr>
          <w:b/>
          <w:color w:val="auto"/>
          <w:sz w:val="36"/>
          <w:highlight w:val="none"/>
          <w:u w:val="thick"/>
        </w:rPr>
        <w:tab/>
      </w:r>
      <w:r>
        <w:rPr>
          <w:b/>
          <w:color w:val="auto"/>
          <w:sz w:val="36"/>
          <w:highlight w:val="none"/>
        </w:rPr>
        <w:t>月</w:t>
      </w:r>
      <w:r>
        <w:rPr>
          <w:b/>
          <w:color w:val="auto"/>
          <w:sz w:val="36"/>
          <w:highlight w:val="none"/>
          <w:u w:val="thick"/>
        </w:rPr>
        <w:t xml:space="preserve"> </w:t>
      </w:r>
      <w:r>
        <w:rPr>
          <w:b/>
          <w:color w:val="auto"/>
          <w:sz w:val="36"/>
          <w:highlight w:val="none"/>
          <w:u w:val="thick"/>
        </w:rPr>
        <w:tab/>
      </w:r>
      <w:r>
        <w:rPr>
          <w:b/>
          <w:color w:val="auto"/>
          <w:sz w:val="36"/>
          <w:highlight w:val="none"/>
        </w:rPr>
        <w:t>日</w:t>
      </w:r>
    </w:p>
    <w:p>
      <w:pPr>
        <w:spacing w:after="0"/>
        <w:jc w:val="center"/>
        <w:rPr>
          <w:color w:val="auto"/>
          <w:sz w:val="36"/>
          <w:highlight w:val="none"/>
        </w:rPr>
        <w:sectPr>
          <w:pgSz w:w="11910" w:h="16840"/>
          <w:pgMar w:top="980" w:right="860" w:bottom="940" w:left="960" w:header="0" w:footer="672" w:gutter="0"/>
          <w:pgBorders>
            <w:top w:val="none" w:sz="0" w:space="0"/>
            <w:left w:val="none" w:sz="0" w:space="0"/>
            <w:bottom w:val="none" w:sz="0" w:space="0"/>
            <w:right w:val="none" w:sz="0" w:space="0"/>
          </w:pgBorders>
          <w:pgNumType w:fmt="decimal"/>
          <w:cols w:space="720" w:num="1"/>
        </w:sectPr>
      </w:pPr>
    </w:p>
    <w:p>
      <w:pPr>
        <w:pStyle w:val="35"/>
        <w:jc w:val="center"/>
        <w:outlineLvl w:val="1"/>
        <w:rPr>
          <w:rFonts w:hint="eastAsia"/>
          <w:b/>
          <w:bCs/>
          <w:color w:val="auto"/>
          <w:szCs w:val="28"/>
          <w:highlight w:val="none"/>
        </w:rPr>
      </w:pPr>
      <w:bookmarkStart w:id="218" w:name="一、投标函"/>
      <w:bookmarkEnd w:id="218"/>
      <w:bookmarkStart w:id="219" w:name="_Toc32499"/>
      <w:bookmarkStart w:id="220" w:name="_Toc115375399"/>
      <w:bookmarkStart w:id="221" w:name="_Toc883"/>
      <w:r>
        <w:rPr>
          <w:rFonts w:hint="eastAsia"/>
          <w:b/>
          <w:bCs/>
          <w:color w:val="auto"/>
          <w:szCs w:val="28"/>
          <w:highlight w:val="none"/>
        </w:rPr>
        <w:t>自查、自评表</w:t>
      </w:r>
      <w:bookmarkEnd w:id="219"/>
      <w:bookmarkEnd w:id="220"/>
      <w:bookmarkEnd w:id="221"/>
    </w:p>
    <w:p>
      <w:pPr>
        <w:ind w:firstLine="440" w:firstLineChars="200"/>
        <w:jc w:val="left"/>
        <w:rPr>
          <w:rFonts w:hint="eastAsia"/>
          <w:color w:val="auto"/>
          <w:highlight w:val="none"/>
        </w:rPr>
      </w:pPr>
      <w:r>
        <w:rPr>
          <w:rFonts w:hint="eastAsia"/>
          <w:color w:val="auto"/>
          <w:szCs w:val="21"/>
          <w:highlight w:val="none"/>
        </w:rPr>
        <w:t>为方便各位专家快捷、高效地评标，特针对招标文件 “第一信封（商务文件）”进行了自查。以下列表仅供参考：</w:t>
      </w:r>
      <w:r>
        <w:rPr>
          <w:rFonts w:hint="eastAsia"/>
          <w:color w:val="auto"/>
          <w:highlight w:val="none"/>
        </w:rPr>
        <w:t xml:space="preserve"> </w:t>
      </w:r>
    </w:p>
    <w:tbl>
      <w:tblPr>
        <w:tblStyle w:val="26"/>
        <w:tblW w:w="98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400"/>
        <w:gridCol w:w="1302"/>
        <w:gridCol w:w="7267"/>
        <w:gridCol w:w="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06" w:hRule="atLeast"/>
          <w:jc w:val="center"/>
        </w:trPr>
        <w:tc>
          <w:tcPr>
            <w:tcW w:w="400" w:type="dxa"/>
            <w:tcBorders>
              <w:bottom w:val="single" w:color="auto" w:sz="4" w:space="0"/>
            </w:tcBorders>
            <w:noWrap w:val="0"/>
            <w:vAlign w:val="center"/>
          </w:tcPr>
          <w:p>
            <w:pPr>
              <w:widowControl/>
              <w:spacing w:line="240" w:lineRule="exact"/>
              <w:jc w:val="center"/>
              <w:rPr>
                <w:color w:val="auto"/>
                <w:sz w:val="18"/>
                <w:szCs w:val="18"/>
                <w:highlight w:val="none"/>
              </w:rPr>
            </w:pPr>
            <w:r>
              <w:rPr>
                <w:rFonts w:hint="eastAsia"/>
                <w:color w:val="auto"/>
                <w:sz w:val="18"/>
                <w:szCs w:val="18"/>
                <w:highlight w:val="none"/>
              </w:rPr>
              <w:t>序号</w:t>
            </w:r>
          </w:p>
        </w:tc>
        <w:tc>
          <w:tcPr>
            <w:tcW w:w="8569" w:type="dxa"/>
            <w:gridSpan w:val="2"/>
            <w:noWrap w:val="0"/>
            <w:vAlign w:val="center"/>
          </w:tcPr>
          <w:p>
            <w:pPr>
              <w:spacing w:line="240" w:lineRule="exact"/>
              <w:jc w:val="center"/>
              <w:rPr>
                <w:color w:val="auto"/>
                <w:sz w:val="18"/>
                <w:szCs w:val="18"/>
                <w:highlight w:val="none"/>
              </w:rPr>
            </w:pPr>
            <w:r>
              <w:rPr>
                <w:rFonts w:hint="eastAsia"/>
                <w:b/>
                <w:bCs/>
                <w:color w:val="auto"/>
                <w:sz w:val="18"/>
                <w:szCs w:val="18"/>
                <w:highlight w:val="none"/>
              </w:rPr>
              <w:t>评分标准</w:t>
            </w:r>
          </w:p>
        </w:tc>
        <w:tc>
          <w:tcPr>
            <w:tcW w:w="850" w:type="dxa"/>
            <w:noWrap w:val="0"/>
            <w:vAlign w:val="center"/>
          </w:tcPr>
          <w:p>
            <w:pPr>
              <w:widowControl/>
              <w:spacing w:line="240" w:lineRule="exact"/>
              <w:jc w:val="center"/>
              <w:rPr>
                <w:rFonts w:hint="eastAsia"/>
                <w:b/>
                <w:bCs/>
                <w:color w:val="auto"/>
                <w:sz w:val="18"/>
                <w:szCs w:val="18"/>
                <w:highlight w:val="none"/>
              </w:rPr>
            </w:pPr>
            <w:r>
              <w:rPr>
                <w:rFonts w:hint="eastAsia"/>
                <w:b/>
                <w:bCs/>
                <w:color w:val="auto"/>
                <w:sz w:val="18"/>
                <w:szCs w:val="18"/>
                <w:highlight w:val="none"/>
              </w:rPr>
              <w:t>投标人</w:t>
            </w:r>
          </w:p>
          <w:p>
            <w:pPr>
              <w:widowControl/>
              <w:spacing w:line="240" w:lineRule="exact"/>
              <w:jc w:val="center"/>
              <w:rPr>
                <w:bCs/>
                <w:snapToGrid w:val="0"/>
                <w:color w:val="auto"/>
                <w:kern w:val="0"/>
                <w:sz w:val="18"/>
                <w:szCs w:val="18"/>
                <w:highlight w:val="none"/>
              </w:rPr>
            </w:pPr>
            <w:r>
              <w:rPr>
                <w:rFonts w:hint="eastAsia"/>
                <w:b/>
                <w:bCs/>
                <w:color w:val="auto"/>
                <w:sz w:val="18"/>
                <w:szCs w:val="18"/>
                <w:highlight w:val="none"/>
              </w:rPr>
              <w:t>自评分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276" w:hRule="atLeast"/>
          <w:jc w:val="center"/>
        </w:trPr>
        <w:tc>
          <w:tcPr>
            <w:tcW w:w="400" w:type="dxa"/>
            <w:tcBorders>
              <w:top w:val="single" w:color="auto" w:sz="4" w:space="0"/>
            </w:tcBorders>
            <w:noWrap w:val="0"/>
            <w:vAlign w:val="center"/>
          </w:tcPr>
          <w:p>
            <w:pPr>
              <w:pStyle w:val="32"/>
              <w:spacing w:line="240" w:lineRule="exact"/>
              <w:jc w:val="center"/>
              <w:rPr>
                <w:rFonts w:hAnsi="宋体" w:cs="Times New Roman"/>
                <w:color w:val="auto"/>
                <w:sz w:val="18"/>
                <w:szCs w:val="18"/>
                <w:highlight w:val="none"/>
              </w:rPr>
            </w:pPr>
            <w:r>
              <w:rPr>
                <w:rFonts w:hint="eastAsia" w:hAnsi="宋体" w:cs="Times New Roman"/>
                <w:color w:val="auto"/>
                <w:sz w:val="18"/>
                <w:szCs w:val="18"/>
                <w:highlight w:val="none"/>
              </w:rPr>
              <w:t>1</w:t>
            </w:r>
          </w:p>
        </w:tc>
        <w:tc>
          <w:tcPr>
            <w:tcW w:w="1302" w:type="dxa"/>
            <w:tcBorders>
              <w:top w:val="single" w:color="auto" w:sz="4" w:space="0"/>
              <w:bottom w:val="single" w:color="auto" w:sz="4" w:space="0"/>
            </w:tcBorders>
            <w:noWrap w:val="0"/>
            <w:vAlign w:val="center"/>
          </w:tcPr>
          <w:p>
            <w:pPr>
              <w:pStyle w:val="31"/>
              <w:jc w:val="center"/>
              <w:rPr>
                <w:color w:val="auto"/>
                <w:sz w:val="20"/>
                <w:highlight w:val="none"/>
              </w:rPr>
            </w:pPr>
          </w:p>
          <w:p>
            <w:pPr>
              <w:pStyle w:val="31"/>
              <w:spacing w:line="278" w:lineRule="auto"/>
              <w:ind w:left="6" w:leftChars="0" w:right="83" w:rightChars="0" w:hanging="6" w:firstLineChars="0"/>
              <w:jc w:val="center"/>
              <w:rPr>
                <w:rFonts w:ascii="宋体" w:hAnsi="宋体" w:eastAsia="宋体" w:cs="宋体"/>
                <w:color w:val="auto"/>
                <w:sz w:val="21"/>
                <w:szCs w:val="22"/>
                <w:highlight w:val="none"/>
                <w:lang w:val="zh-CN" w:eastAsia="zh-CN" w:bidi="zh-CN"/>
              </w:rPr>
            </w:pPr>
            <w:r>
              <w:rPr>
                <w:color w:val="auto"/>
                <w:sz w:val="21"/>
                <w:highlight w:val="none"/>
              </w:rPr>
              <w:t>类似设计项目业绩</w:t>
            </w:r>
          </w:p>
        </w:tc>
        <w:tc>
          <w:tcPr>
            <w:tcW w:w="7267" w:type="dxa"/>
            <w:noWrap w:val="0"/>
            <w:vAlign w:val="center"/>
          </w:tcPr>
          <w:p>
            <w:pPr>
              <w:pStyle w:val="31"/>
              <w:spacing w:line="278" w:lineRule="auto"/>
              <w:ind w:left="0" w:leftChars="0" w:right="129" w:rightChars="0" w:firstLine="220" w:firstLineChars="105"/>
              <w:jc w:val="both"/>
              <w:rPr>
                <w:rFonts w:hint="eastAsia" w:ascii="宋体" w:hAnsi="宋体" w:eastAsia="宋体" w:cs="宋体"/>
                <w:color w:val="auto"/>
                <w:sz w:val="21"/>
                <w:szCs w:val="22"/>
                <w:highlight w:val="none"/>
                <w:lang w:val="zh-CN" w:eastAsia="zh-CN" w:bidi="zh-CN"/>
              </w:rPr>
            </w:pPr>
            <w:r>
              <w:rPr>
                <w:color w:val="auto"/>
                <w:sz w:val="21"/>
                <w:highlight w:val="none"/>
              </w:rPr>
              <w:t>满足资格审查条件的，得基本分</w:t>
            </w:r>
            <w:r>
              <w:rPr>
                <w:rFonts w:ascii="Arial" w:eastAsia="Arial"/>
                <w:color w:val="auto"/>
                <w:sz w:val="21"/>
                <w:highlight w:val="none"/>
              </w:rPr>
              <w:t>1</w:t>
            </w:r>
            <w:r>
              <w:rPr>
                <w:rFonts w:hint="eastAsia" w:ascii="Arial" w:eastAsia="宋体"/>
                <w:color w:val="auto"/>
                <w:sz w:val="21"/>
                <w:highlight w:val="none"/>
                <w:lang w:val="en-US" w:eastAsia="zh-CN"/>
              </w:rPr>
              <w:t>9</w:t>
            </w:r>
            <w:r>
              <w:rPr>
                <w:color w:val="auto"/>
                <w:sz w:val="21"/>
                <w:highlight w:val="none"/>
              </w:rPr>
              <w:t>分；除满足资格审查条件外，每增加一个满足资格审查条件的项目业绩（</w:t>
            </w:r>
            <w:r>
              <w:rPr>
                <w:b/>
                <w:bCs/>
                <w:color w:val="auto"/>
                <w:sz w:val="21"/>
                <w:highlight w:val="none"/>
              </w:rPr>
              <w:t>需附证明材料，</w:t>
            </w:r>
            <w:r>
              <w:rPr>
                <w:rFonts w:hint="eastAsia"/>
                <w:b/>
                <w:bCs/>
                <w:color w:val="auto"/>
                <w:sz w:val="21"/>
                <w:highlight w:val="none"/>
              </w:rPr>
              <w:t>同资格审查条件附录2要求</w:t>
            </w:r>
            <w:r>
              <w:rPr>
                <w:color w:val="auto"/>
                <w:sz w:val="21"/>
                <w:highlight w:val="none"/>
              </w:rPr>
              <w:t>）加</w:t>
            </w:r>
            <w:r>
              <w:rPr>
                <w:rFonts w:hint="eastAsia" w:ascii="Arial" w:eastAsia="宋体"/>
                <w:color w:val="auto"/>
                <w:sz w:val="21"/>
                <w:highlight w:val="none"/>
                <w:lang w:val="en-US" w:eastAsia="zh-CN"/>
              </w:rPr>
              <w:t>1</w:t>
            </w:r>
            <w:r>
              <w:rPr>
                <w:color w:val="auto"/>
                <w:sz w:val="21"/>
                <w:highlight w:val="none"/>
              </w:rPr>
              <w:t>分，</w:t>
            </w:r>
            <w:r>
              <w:rPr>
                <w:rFonts w:hint="eastAsia"/>
                <w:color w:val="auto"/>
                <w:sz w:val="21"/>
                <w:highlight w:val="none"/>
                <w:lang w:eastAsia="zh-CN"/>
              </w:rPr>
              <w:t>最多加1分</w:t>
            </w:r>
            <w:r>
              <w:rPr>
                <w:color w:val="auto"/>
                <w:sz w:val="21"/>
                <w:highlight w:val="none"/>
              </w:rPr>
              <w:t>。</w:t>
            </w:r>
          </w:p>
        </w:tc>
        <w:tc>
          <w:tcPr>
            <w:tcW w:w="850" w:type="dxa"/>
            <w:noWrap w:val="0"/>
            <w:vAlign w:val="center"/>
          </w:tcPr>
          <w:p>
            <w:pPr>
              <w:pStyle w:val="32"/>
              <w:spacing w:line="300" w:lineRule="exact"/>
              <w:ind w:firstLine="271" w:firstLineChars="150"/>
              <w:jc w:val="both"/>
              <w:rPr>
                <w:rFonts w:hint="eastAsia" w:hAnsi="宋体"/>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336" w:hRule="atLeast"/>
          <w:jc w:val="center"/>
        </w:trPr>
        <w:tc>
          <w:tcPr>
            <w:tcW w:w="400" w:type="dxa"/>
            <w:tcBorders>
              <w:bottom w:val="single" w:color="auto" w:sz="4" w:space="0"/>
            </w:tcBorders>
            <w:noWrap w:val="0"/>
            <w:vAlign w:val="center"/>
          </w:tcPr>
          <w:p>
            <w:pPr>
              <w:pStyle w:val="32"/>
              <w:spacing w:line="240" w:lineRule="exact"/>
              <w:jc w:val="center"/>
              <w:rPr>
                <w:rFonts w:hAnsi="宋体" w:cs="Times New Roman"/>
                <w:color w:val="auto"/>
                <w:sz w:val="18"/>
                <w:szCs w:val="18"/>
                <w:highlight w:val="none"/>
              </w:rPr>
            </w:pPr>
            <w:r>
              <w:rPr>
                <w:rFonts w:hint="eastAsia" w:hAnsi="宋体" w:cs="Times New Roman"/>
                <w:color w:val="auto"/>
                <w:sz w:val="18"/>
                <w:szCs w:val="18"/>
                <w:highlight w:val="none"/>
              </w:rPr>
              <w:t>2</w:t>
            </w:r>
          </w:p>
        </w:tc>
        <w:tc>
          <w:tcPr>
            <w:tcW w:w="1302" w:type="dxa"/>
            <w:tcBorders>
              <w:top w:val="single" w:color="auto" w:sz="4" w:space="0"/>
            </w:tcBorders>
            <w:noWrap w:val="0"/>
            <w:vAlign w:val="center"/>
          </w:tcPr>
          <w:p>
            <w:pPr>
              <w:pStyle w:val="31"/>
              <w:spacing w:before="178" w:line="278" w:lineRule="auto"/>
              <w:ind w:left="118" w:leftChars="0" w:right="83" w:rightChars="0"/>
              <w:jc w:val="center"/>
              <w:rPr>
                <w:rFonts w:hint="eastAsia" w:ascii="宋体" w:hAnsi="宋体" w:eastAsia="宋体" w:cs="宋体"/>
                <w:color w:val="auto"/>
                <w:sz w:val="21"/>
                <w:szCs w:val="22"/>
                <w:highlight w:val="none"/>
                <w:lang w:val="zh-CN" w:eastAsia="zh-CN" w:bidi="zh-CN"/>
              </w:rPr>
            </w:pPr>
            <w:r>
              <w:rPr>
                <w:color w:val="auto"/>
                <w:sz w:val="21"/>
                <w:highlight w:val="none"/>
              </w:rPr>
              <w:t>项目负责人任职资格与业绩</w:t>
            </w:r>
          </w:p>
        </w:tc>
        <w:tc>
          <w:tcPr>
            <w:tcW w:w="7267" w:type="dxa"/>
            <w:noWrap w:val="0"/>
            <w:vAlign w:val="center"/>
          </w:tcPr>
          <w:p>
            <w:pPr>
              <w:pStyle w:val="31"/>
              <w:spacing w:before="22" w:line="278" w:lineRule="auto"/>
              <w:ind w:left="0" w:leftChars="0" w:right="128" w:rightChars="0" w:firstLine="212" w:firstLineChars="105"/>
              <w:jc w:val="both"/>
              <w:rPr>
                <w:rFonts w:hint="eastAsia" w:ascii="宋体" w:hAnsi="宋体" w:eastAsia="宋体" w:cs="宋体"/>
                <w:color w:val="auto"/>
                <w:sz w:val="21"/>
                <w:szCs w:val="22"/>
                <w:highlight w:val="none"/>
                <w:lang w:val="zh-CN" w:eastAsia="zh-CN" w:bidi="zh-CN"/>
              </w:rPr>
            </w:pPr>
            <w:r>
              <w:rPr>
                <w:color w:val="auto"/>
                <w:spacing w:val="-4"/>
                <w:sz w:val="21"/>
                <w:highlight w:val="none"/>
              </w:rPr>
              <w:t>满足资格审查条件的，得基本分</w:t>
            </w:r>
            <w:r>
              <w:rPr>
                <w:rFonts w:hint="eastAsia" w:ascii="Arial" w:eastAsia="宋体"/>
                <w:color w:val="auto"/>
                <w:sz w:val="21"/>
                <w:highlight w:val="none"/>
                <w:lang w:val="en-US" w:eastAsia="zh-CN"/>
              </w:rPr>
              <w:t>4</w:t>
            </w:r>
            <w:r>
              <w:rPr>
                <w:color w:val="auto"/>
                <w:spacing w:val="-5"/>
                <w:sz w:val="21"/>
                <w:highlight w:val="none"/>
              </w:rPr>
              <w:t>分；除满足资</w:t>
            </w:r>
            <w:r>
              <w:rPr>
                <w:color w:val="auto"/>
                <w:sz w:val="21"/>
                <w:highlight w:val="none"/>
              </w:rPr>
              <w:t>格审查条件外，每增加一个满足资格审查条件的项目业绩（</w:t>
            </w:r>
            <w:r>
              <w:rPr>
                <w:b/>
                <w:bCs/>
                <w:color w:val="auto"/>
                <w:sz w:val="21"/>
                <w:highlight w:val="none"/>
              </w:rPr>
              <w:t>需附证明材料，</w:t>
            </w:r>
            <w:r>
              <w:rPr>
                <w:rFonts w:hint="eastAsia"/>
                <w:b/>
                <w:bCs/>
                <w:color w:val="auto"/>
                <w:sz w:val="21"/>
                <w:highlight w:val="none"/>
              </w:rPr>
              <w:t>同资格审查条件附录</w:t>
            </w:r>
            <w:r>
              <w:rPr>
                <w:rFonts w:hint="eastAsia"/>
                <w:b/>
                <w:bCs/>
                <w:color w:val="auto"/>
                <w:sz w:val="21"/>
                <w:highlight w:val="none"/>
                <w:lang w:val="en-US" w:eastAsia="zh-CN"/>
              </w:rPr>
              <w:t>3</w:t>
            </w:r>
            <w:r>
              <w:rPr>
                <w:rFonts w:hint="eastAsia"/>
                <w:b/>
                <w:bCs/>
                <w:color w:val="auto"/>
                <w:sz w:val="21"/>
                <w:highlight w:val="none"/>
              </w:rPr>
              <w:t>要求</w:t>
            </w:r>
            <w:r>
              <w:rPr>
                <w:color w:val="auto"/>
                <w:sz w:val="21"/>
                <w:highlight w:val="none"/>
              </w:rPr>
              <w:t>）加</w:t>
            </w:r>
            <w:r>
              <w:rPr>
                <w:rFonts w:hint="eastAsia" w:ascii="Arial" w:eastAsia="宋体"/>
                <w:color w:val="auto"/>
                <w:sz w:val="21"/>
                <w:highlight w:val="none"/>
                <w:lang w:val="en-US" w:eastAsia="zh-CN"/>
              </w:rPr>
              <w:t>1</w:t>
            </w:r>
            <w:r>
              <w:rPr>
                <w:color w:val="auto"/>
                <w:sz w:val="21"/>
                <w:highlight w:val="none"/>
              </w:rPr>
              <w:t>分，最多加</w:t>
            </w:r>
            <w:r>
              <w:rPr>
                <w:rFonts w:hint="eastAsia" w:ascii="Arial" w:eastAsia="宋体"/>
                <w:color w:val="auto"/>
                <w:sz w:val="21"/>
                <w:highlight w:val="none"/>
                <w:lang w:val="en-US" w:eastAsia="zh-CN"/>
              </w:rPr>
              <w:t>1</w:t>
            </w:r>
            <w:r>
              <w:rPr>
                <w:color w:val="auto"/>
                <w:sz w:val="21"/>
                <w:highlight w:val="none"/>
              </w:rPr>
              <w:t>分。</w:t>
            </w:r>
          </w:p>
        </w:tc>
        <w:tc>
          <w:tcPr>
            <w:tcW w:w="850" w:type="dxa"/>
            <w:noWrap w:val="0"/>
            <w:vAlign w:val="center"/>
          </w:tcPr>
          <w:p>
            <w:pPr>
              <w:pStyle w:val="32"/>
              <w:spacing w:line="300" w:lineRule="exact"/>
              <w:ind w:firstLine="271" w:firstLineChars="150"/>
              <w:jc w:val="both"/>
              <w:rPr>
                <w:rFonts w:hint="eastAsia" w:hAnsi="宋体"/>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84" w:hRule="atLeast"/>
          <w:jc w:val="center"/>
        </w:trPr>
        <w:tc>
          <w:tcPr>
            <w:tcW w:w="400" w:type="dxa"/>
            <w:tcBorders>
              <w:top w:val="single" w:color="auto" w:sz="4" w:space="0"/>
            </w:tcBorders>
            <w:noWrap w:val="0"/>
            <w:vAlign w:val="center"/>
          </w:tcPr>
          <w:p>
            <w:pPr>
              <w:pStyle w:val="32"/>
              <w:spacing w:line="240" w:lineRule="exact"/>
              <w:jc w:val="center"/>
              <w:rPr>
                <w:rFonts w:hAnsi="宋体" w:cs="Times New Roman"/>
                <w:color w:val="auto"/>
                <w:sz w:val="18"/>
                <w:szCs w:val="18"/>
                <w:highlight w:val="none"/>
              </w:rPr>
            </w:pPr>
            <w:r>
              <w:rPr>
                <w:rFonts w:hint="eastAsia" w:hAnsi="宋体" w:cs="Times New Roman"/>
                <w:color w:val="auto"/>
                <w:sz w:val="18"/>
                <w:szCs w:val="18"/>
                <w:highlight w:val="none"/>
              </w:rPr>
              <w:t>3</w:t>
            </w:r>
          </w:p>
        </w:tc>
        <w:tc>
          <w:tcPr>
            <w:tcW w:w="1302" w:type="dxa"/>
            <w:noWrap w:val="0"/>
            <w:vAlign w:val="center"/>
          </w:tcPr>
          <w:p>
            <w:pPr>
              <w:pStyle w:val="31"/>
              <w:spacing w:before="29" w:line="266" w:lineRule="auto"/>
              <w:ind w:right="83"/>
              <w:jc w:val="center"/>
              <w:rPr>
                <w:rFonts w:ascii="宋体" w:hAnsi="宋体" w:eastAsia="宋体" w:cs="宋体"/>
                <w:color w:val="auto"/>
                <w:sz w:val="21"/>
                <w:szCs w:val="22"/>
                <w:highlight w:val="none"/>
                <w:lang w:val="zh-CN" w:eastAsia="zh-CN" w:bidi="zh-CN"/>
              </w:rPr>
            </w:pPr>
            <w:r>
              <w:rPr>
                <w:color w:val="auto"/>
                <w:sz w:val="21"/>
                <w:highlight w:val="none"/>
              </w:rPr>
              <w:t>各分项负</w:t>
            </w:r>
            <w:r>
              <w:rPr>
                <w:color w:val="auto"/>
                <w:spacing w:val="-5"/>
                <w:sz w:val="21"/>
                <w:highlight w:val="none"/>
              </w:rPr>
              <w:t>责人任职资</w:t>
            </w:r>
            <w:r>
              <w:rPr>
                <w:color w:val="auto"/>
                <w:spacing w:val="-1"/>
                <w:sz w:val="21"/>
                <w:highlight w:val="none"/>
              </w:rPr>
              <w:t>格与业绩</w:t>
            </w:r>
          </w:p>
        </w:tc>
        <w:tc>
          <w:tcPr>
            <w:tcW w:w="7267" w:type="dxa"/>
            <w:noWrap w:val="0"/>
            <w:vAlign w:val="center"/>
          </w:tcPr>
          <w:p>
            <w:pPr>
              <w:pStyle w:val="31"/>
              <w:spacing w:before="44" w:line="247" w:lineRule="auto"/>
              <w:ind w:left="0" w:leftChars="0" w:right="73" w:rightChars="0" w:firstLine="220" w:firstLineChars="105"/>
              <w:jc w:val="both"/>
              <w:rPr>
                <w:rFonts w:hint="eastAsia" w:ascii="宋体" w:hAnsi="宋体" w:eastAsia="宋体" w:cs="宋体"/>
                <w:color w:val="auto"/>
                <w:sz w:val="21"/>
                <w:szCs w:val="22"/>
                <w:highlight w:val="none"/>
                <w:lang w:val="zh-CN" w:eastAsia="zh-CN" w:bidi="zh-CN"/>
              </w:rPr>
            </w:pPr>
            <w:r>
              <w:rPr>
                <w:color w:val="auto"/>
                <w:sz w:val="21"/>
                <w:highlight w:val="none"/>
              </w:rPr>
              <w:t>满足资格审查条件的，得基本分</w:t>
            </w:r>
            <w:r>
              <w:rPr>
                <w:rFonts w:hint="eastAsia" w:ascii="Arial"/>
                <w:color w:val="auto"/>
                <w:sz w:val="21"/>
                <w:highlight w:val="none"/>
                <w:lang w:val="en-US" w:eastAsia="zh-CN"/>
              </w:rPr>
              <w:t>4</w:t>
            </w:r>
            <w:r>
              <w:rPr>
                <w:color w:val="auto"/>
                <w:spacing w:val="-3"/>
                <w:sz w:val="21"/>
                <w:highlight w:val="none"/>
              </w:rPr>
              <w:t>分；各分项负</w:t>
            </w:r>
            <w:r>
              <w:rPr>
                <w:color w:val="auto"/>
                <w:spacing w:val="-7"/>
                <w:sz w:val="21"/>
                <w:highlight w:val="none"/>
              </w:rPr>
              <w:t>责人每有一人提高职称等级的，加</w:t>
            </w:r>
            <w:r>
              <w:rPr>
                <w:rFonts w:hint="eastAsia" w:ascii="Arial" w:eastAsia="宋体"/>
                <w:color w:val="auto"/>
                <w:spacing w:val="-3"/>
                <w:sz w:val="21"/>
                <w:highlight w:val="none"/>
                <w:lang w:val="en-US" w:eastAsia="zh-CN"/>
              </w:rPr>
              <w:t>0.5</w:t>
            </w:r>
            <w:r>
              <w:rPr>
                <w:color w:val="auto"/>
                <w:spacing w:val="-11"/>
                <w:sz w:val="21"/>
                <w:highlight w:val="none"/>
              </w:rPr>
              <w:t>分，最多加</w:t>
            </w:r>
            <w:r>
              <w:rPr>
                <w:rFonts w:hint="eastAsia" w:ascii="Arial" w:eastAsia="宋体"/>
                <w:color w:val="auto"/>
                <w:spacing w:val="-13"/>
                <w:sz w:val="21"/>
                <w:highlight w:val="none"/>
                <w:lang w:val="en-US" w:eastAsia="zh-CN"/>
              </w:rPr>
              <w:t>1.5</w:t>
            </w:r>
            <w:r>
              <w:rPr>
                <w:color w:val="auto"/>
                <w:sz w:val="21"/>
                <w:highlight w:val="none"/>
              </w:rPr>
              <w:t>分。</w:t>
            </w:r>
          </w:p>
        </w:tc>
        <w:tc>
          <w:tcPr>
            <w:tcW w:w="850" w:type="dxa"/>
            <w:noWrap w:val="0"/>
            <w:vAlign w:val="center"/>
          </w:tcPr>
          <w:p>
            <w:pPr>
              <w:pStyle w:val="32"/>
              <w:spacing w:line="240" w:lineRule="exact"/>
              <w:ind w:firstLine="360" w:firstLineChars="200"/>
              <w:jc w:val="both"/>
              <w:rPr>
                <w:rFonts w:hint="eastAsia"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830" w:hRule="atLeast"/>
          <w:jc w:val="center"/>
        </w:trPr>
        <w:tc>
          <w:tcPr>
            <w:tcW w:w="400" w:type="dxa"/>
            <w:noWrap w:val="0"/>
            <w:vAlign w:val="center"/>
          </w:tcPr>
          <w:p>
            <w:pPr>
              <w:pStyle w:val="32"/>
              <w:spacing w:line="240" w:lineRule="exact"/>
              <w:jc w:val="center"/>
              <w:rPr>
                <w:rFonts w:hAnsi="宋体" w:cs="Times New Roman"/>
                <w:color w:val="auto"/>
                <w:sz w:val="18"/>
                <w:szCs w:val="18"/>
                <w:highlight w:val="none"/>
              </w:rPr>
            </w:pPr>
            <w:r>
              <w:rPr>
                <w:rFonts w:hint="eastAsia" w:hAnsi="宋体" w:cs="Times New Roman"/>
                <w:color w:val="auto"/>
                <w:sz w:val="18"/>
                <w:szCs w:val="18"/>
                <w:highlight w:val="none"/>
              </w:rPr>
              <w:t>4</w:t>
            </w:r>
          </w:p>
        </w:tc>
        <w:tc>
          <w:tcPr>
            <w:tcW w:w="1302" w:type="dxa"/>
            <w:noWrap w:val="0"/>
            <w:vAlign w:val="center"/>
          </w:tcPr>
          <w:p>
            <w:pPr>
              <w:pStyle w:val="32"/>
              <w:spacing w:line="240" w:lineRule="exact"/>
              <w:jc w:val="center"/>
              <w:rPr>
                <w:rFonts w:ascii="宋体" w:hAnsi="Times New Roman" w:eastAsia="宋体" w:cs="宋体"/>
                <w:color w:val="auto"/>
                <w:sz w:val="21"/>
                <w:szCs w:val="24"/>
                <w:highlight w:val="none"/>
                <w:lang w:val="en-US" w:eastAsia="zh-CN" w:bidi="ar-SA"/>
              </w:rPr>
            </w:pPr>
            <w:r>
              <w:rPr>
                <w:rFonts w:hint="eastAsia" w:hAnsi="宋体"/>
                <w:color w:val="auto"/>
                <w:sz w:val="21"/>
                <w:szCs w:val="21"/>
                <w:highlight w:val="none"/>
              </w:rPr>
              <w:t>后续服务负责人任职资格</w:t>
            </w:r>
          </w:p>
        </w:tc>
        <w:tc>
          <w:tcPr>
            <w:tcW w:w="7267" w:type="dxa"/>
            <w:noWrap w:val="0"/>
            <w:vAlign w:val="center"/>
          </w:tcPr>
          <w:p>
            <w:pPr>
              <w:pStyle w:val="32"/>
              <w:spacing w:line="240" w:lineRule="exact"/>
              <w:ind w:left="0" w:leftChars="0" w:firstLine="220" w:firstLineChars="105"/>
              <w:jc w:val="both"/>
              <w:rPr>
                <w:rFonts w:hint="eastAsia" w:ascii="宋体" w:hAnsi="Times New Roman" w:eastAsia="宋体" w:cs="宋体"/>
                <w:color w:val="auto"/>
                <w:sz w:val="21"/>
                <w:szCs w:val="24"/>
                <w:highlight w:val="none"/>
                <w:lang w:val="en-US" w:eastAsia="zh-CN" w:bidi="ar-SA"/>
              </w:rPr>
            </w:pPr>
            <w:r>
              <w:rPr>
                <w:rFonts w:hint="eastAsia" w:hAnsi="宋体"/>
                <w:color w:val="auto"/>
                <w:sz w:val="21"/>
                <w:szCs w:val="21"/>
                <w:highlight w:val="none"/>
              </w:rPr>
              <w:t>满足资格审查条件的，得基本分3分；由项目负责人担任的，加</w:t>
            </w:r>
            <w:r>
              <w:rPr>
                <w:rFonts w:hAnsi="宋体"/>
                <w:color w:val="auto"/>
                <w:sz w:val="21"/>
                <w:szCs w:val="21"/>
                <w:highlight w:val="none"/>
              </w:rPr>
              <w:t>1</w:t>
            </w:r>
            <w:r>
              <w:rPr>
                <w:rFonts w:hint="eastAsia" w:hAnsi="宋体"/>
                <w:color w:val="auto"/>
                <w:sz w:val="21"/>
                <w:szCs w:val="21"/>
                <w:highlight w:val="none"/>
              </w:rPr>
              <w:t>分。</w:t>
            </w:r>
          </w:p>
        </w:tc>
        <w:tc>
          <w:tcPr>
            <w:tcW w:w="850" w:type="dxa"/>
            <w:noWrap w:val="0"/>
            <w:vAlign w:val="center"/>
          </w:tcPr>
          <w:p>
            <w:pPr>
              <w:pStyle w:val="32"/>
              <w:spacing w:line="240" w:lineRule="exact"/>
              <w:ind w:firstLine="360" w:firstLineChars="200"/>
              <w:jc w:val="both"/>
              <w:rPr>
                <w:rFonts w:hint="eastAsia"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779" w:hRule="atLeast"/>
          <w:jc w:val="center"/>
        </w:trPr>
        <w:tc>
          <w:tcPr>
            <w:tcW w:w="400" w:type="dxa"/>
            <w:noWrap w:val="0"/>
            <w:vAlign w:val="center"/>
          </w:tcPr>
          <w:p>
            <w:pPr>
              <w:pStyle w:val="32"/>
              <w:spacing w:line="240" w:lineRule="exact"/>
              <w:jc w:val="center"/>
              <w:rPr>
                <w:rFonts w:hint="eastAsia" w:hAnsi="宋体" w:eastAsia="宋体" w:cs="Times New Roman"/>
                <w:color w:val="auto"/>
                <w:sz w:val="18"/>
                <w:szCs w:val="18"/>
                <w:highlight w:val="none"/>
                <w:lang w:eastAsia="zh-CN"/>
              </w:rPr>
            </w:pPr>
            <w:r>
              <w:rPr>
                <w:rFonts w:hint="eastAsia" w:hAnsi="宋体" w:cs="Times New Roman"/>
                <w:color w:val="auto"/>
                <w:sz w:val="18"/>
                <w:szCs w:val="18"/>
                <w:highlight w:val="none"/>
                <w:lang w:val="en-US" w:eastAsia="zh-CN"/>
              </w:rPr>
              <w:t>5</w:t>
            </w:r>
          </w:p>
        </w:tc>
        <w:tc>
          <w:tcPr>
            <w:tcW w:w="1302" w:type="dxa"/>
            <w:noWrap w:val="0"/>
            <w:vAlign w:val="center"/>
          </w:tcPr>
          <w:p>
            <w:pPr>
              <w:pStyle w:val="32"/>
              <w:spacing w:line="240" w:lineRule="exact"/>
              <w:jc w:val="center"/>
              <w:rPr>
                <w:rFonts w:ascii="宋体" w:hAnsi="Times New Roman" w:eastAsia="宋体" w:cs="宋体"/>
                <w:color w:val="auto"/>
                <w:sz w:val="21"/>
                <w:szCs w:val="24"/>
                <w:highlight w:val="none"/>
                <w:lang w:val="en-US" w:eastAsia="zh-CN" w:bidi="ar-SA"/>
              </w:rPr>
            </w:pPr>
            <w:r>
              <w:rPr>
                <w:rFonts w:hint="eastAsia" w:hAnsi="宋体"/>
                <w:color w:val="auto"/>
                <w:sz w:val="21"/>
                <w:szCs w:val="21"/>
                <w:highlight w:val="none"/>
              </w:rPr>
              <w:t>信息公开</w:t>
            </w:r>
          </w:p>
        </w:tc>
        <w:tc>
          <w:tcPr>
            <w:tcW w:w="7267" w:type="dxa"/>
            <w:noWrap w:val="0"/>
            <w:vAlign w:val="center"/>
          </w:tcPr>
          <w:p>
            <w:pPr>
              <w:pStyle w:val="32"/>
              <w:spacing w:line="240" w:lineRule="exact"/>
              <w:ind w:firstLine="210" w:firstLineChars="100"/>
              <w:jc w:val="both"/>
              <w:rPr>
                <w:rFonts w:hint="eastAsia"/>
                <w:color w:val="auto"/>
                <w:sz w:val="21"/>
                <w:szCs w:val="21"/>
                <w:highlight w:val="none"/>
              </w:rPr>
            </w:pPr>
            <w:r>
              <w:rPr>
                <w:rFonts w:hint="eastAsia"/>
                <w:color w:val="auto"/>
                <w:sz w:val="21"/>
                <w:szCs w:val="21"/>
                <w:highlight w:val="none"/>
              </w:rPr>
              <w:t>投标人在浙江交通网诚信信息系统中向社会公开信息的，得</w:t>
            </w:r>
            <w:r>
              <w:rPr>
                <w:rFonts w:hint="eastAsia" w:ascii="宋体g彇...." w:eastAsia="宋体g彇...." w:cs="宋体g彇...."/>
                <w:color w:val="auto"/>
                <w:sz w:val="21"/>
                <w:szCs w:val="21"/>
                <w:highlight w:val="none"/>
              </w:rPr>
              <w:t>2</w:t>
            </w:r>
            <w:r>
              <w:rPr>
                <w:rFonts w:hint="eastAsia"/>
                <w:color w:val="auto"/>
                <w:sz w:val="21"/>
                <w:szCs w:val="21"/>
                <w:highlight w:val="none"/>
              </w:rPr>
              <w:t>分；</w:t>
            </w:r>
          </w:p>
          <w:p>
            <w:pPr>
              <w:pStyle w:val="32"/>
              <w:spacing w:line="240" w:lineRule="exact"/>
              <w:ind w:firstLine="210" w:firstLineChars="100"/>
              <w:jc w:val="both"/>
              <w:rPr>
                <w:rFonts w:hint="eastAsia"/>
                <w:color w:val="auto"/>
                <w:sz w:val="21"/>
                <w:szCs w:val="21"/>
                <w:highlight w:val="none"/>
              </w:rPr>
            </w:pPr>
            <w:r>
              <w:rPr>
                <w:rFonts w:hint="eastAsia"/>
                <w:color w:val="auto"/>
                <w:sz w:val="21"/>
                <w:szCs w:val="21"/>
                <w:highlight w:val="none"/>
              </w:rPr>
              <w:t>项目负责人的职称等相关证书信息在浙江交通网诚信信息系统中公开的，得</w:t>
            </w:r>
            <w:r>
              <w:rPr>
                <w:rFonts w:hint="eastAsia" w:ascii="宋体g彇...." w:eastAsia="宋体g彇...." w:cs="宋体g彇...."/>
                <w:color w:val="auto"/>
                <w:sz w:val="21"/>
                <w:szCs w:val="21"/>
                <w:highlight w:val="none"/>
              </w:rPr>
              <w:t>1</w:t>
            </w:r>
            <w:r>
              <w:rPr>
                <w:rFonts w:hint="eastAsia"/>
                <w:color w:val="auto"/>
                <w:sz w:val="21"/>
                <w:szCs w:val="21"/>
                <w:highlight w:val="none"/>
              </w:rPr>
              <w:t>分；</w:t>
            </w:r>
          </w:p>
          <w:p>
            <w:pPr>
              <w:pStyle w:val="32"/>
              <w:spacing w:line="240" w:lineRule="exact"/>
              <w:ind w:firstLine="210" w:firstLineChars="100"/>
              <w:jc w:val="both"/>
              <w:rPr>
                <w:rFonts w:hint="eastAsia"/>
                <w:color w:val="auto"/>
                <w:sz w:val="21"/>
                <w:szCs w:val="21"/>
                <w:highlight w:val="none"/>
              </w:rPr>
            </w:pPr>
            <w:r>
              <w:rPr>
                <w:rFonts w:hint="eastAsia"/>
                <w:color w:val="auto"/>
                <w:sz w:val="21"/>
                <w:szCs w:val="21"/>
                <w:highlight w:val="none"/>
              </w:rPr>
              <w:t>其他所有分项负责人的职称等相关证书信息在浙江交通网诚信信息系统中公开的，得</w:t>
            </w:r>
            <w:r>
              <w:rPr>
                <w:rFonts w:hint="eastAsia" w:ascii="宋体g彇...." w:eastAsia="宋体g彇...." w:cs="宋体g彇...."/>
                <w:color w:val="auto"/>
                <w:sz w:val="21"/>
                <w:szCs w:val="21"/>
                <w:highlight w:val="none"/>
              </w:rPr>
              <w:t>1</w:t>
            </w:r>
            <w:r>
              <w:rPr>
                <w:rFonts w:hint="eastAsia"/>
                <w:color w:val="auto"/>
                <w:sz w:val="21"/>
                <w:szCs w:val="21"/>
                <w:highlight w:val="none"/>
              </w:rPr>
              <w:t>分，否则不得分。</w:t>
            </w:r>
          </w:p>
          <w:p>
            <w:pPr>
              <w:pStyle w:val="32"/>
              <w:spacing w:line="240" w:lineRule="exact"/>
              <w:jc w:val="both"/>
              <w:rPr>
                <w:rFonts w:ascii="宋体" w:hAnsi="Times New Roman" w:eastAsia="宋体" w:cs="宋体"/>
                <w:color w:val="auto"/>
                <w:sz w:val="21"/>
                <w:szCs w:val="24"/>
                <w:highlight w:val="none"/>
                <w:lang w:val="en-US" w:eastAsia="zh-CN" w:bidi="ar-SA"/>
              </w:rPr>
            </w:pPr>
            <w:r>
              <w:rPr>
                <w:rFonts w:hint="eastAsia"/>
                <w:color w:val="auto"/>
                <w:sz w:val="21"/>
                <w:szCs w:val="21"/>
                <w:highlight w:val="none"/>
              </w:rPr>
              <w:t>以上信息公开内容均应提供查询结果打印件，否则视为未公开。</w:t>
            </w:r>
          </w:p>
        </w:tc>
        <w:tc>
          <w:tcPr>
            <w:tcW w:w="850" w:type="dxa"/>
            <w:noWrap w:val="0"/>
            <w:vAlign w:val="center"/>
          </w:tcPr>
          <w:p>
            <w:pPr>
              <w:pStyle w:val="32"/>
              <w:spacing w:line="240" w:lineRule="exact"/>
              <w:ind w:firstLine="360" w:firstLineChars="200"/>
              <w:jc w:val="both"/>
              <w:rPr>
                <w:rFonts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087" w:hRule="atLeast"/>
          <w:jc w:val="center"/>
        </w:trPr>
        <w:tc>
          <w:tcPr>
            <w:tcW w:w="400" w:type="dxa"/>
            <w:noWrap w:val="0"/>
            <w:vAlign w:val="center"/>
          </w:tcPr>
          <w:p>
            <w:pPr>
              <w:pStyle w:val="32"/>
              <w:spacing w:line="240" w:lineRule="exact"/>
              <w:jc w:val="center"/>
              <w:rPr>
                <w:rFonts w:hint="eastAsia" w:hAnsi="宋体" w:eastAsia="宋体" w:cs="Times New Roman"/>
                <w:color w:val="auto"/>
                <w:sz w:val="18"/>
                <w:szCs w:val="18"/>
                <w:highlight w:val="none"/>
                <w:lang w:eastAsia="zh-CN"/>
              </w:rPr>
            </w:pPr>
            <w:r>
              <w:rPr>
                <w:rFonts w:hint="eastAsia" w:hAnsi="宋体" w:cs="Times New Roman"/>
                <w:color w:val="auto"/>
                <w:sz w:val="18"/>
                <w:szCs w:val="18"/>
                <w:highlight w:val="none"/>
                <w:lang w:val="en-US" w:eastAsia="zh-CN"/>
              </w:rPr>
              <w:t>6</w:t>
            </w:r>
          </w:p>
        </w:tc>
        <w:tc>
          <w:tcPr>
            <w:tcW w:w="1302" w:type="dxa"/>
            <w:noWrap w:val="0"/>
            <w:vAlign w:val="center"/>
          </w:tcPr>
          <w:p>
            <w:pPr>
              <w:spacing w:before="156" w:beforeLines="50" w:line="240" w:lineRule="exact"/>
              <w:ind w:left="0" w:leftChars="0" w:right="0" w:rightChars="0"/>
              <w:jc w:val="center"/>
              <w:rPr>
                <w:rFonts w:ascii="宋体" w:hAnsi="宋体" w:eastAsia="宋体" w:cs="宋体"/>
                <w:color w:val="auto"/>
                <w:sz w:val="21"/>
                <w:szCs w:val="22"/>
                <w:highlight w:val="none"/>
                <w:lang w:val="zh-CN" w:eastAsia="zh-CN" w:bidi="zh-CN"/>
              </w:rPr>
            </w:pPr>
            <w:r>
              <w:rPr>
                <w:rFonts w:hint="eastAsia" w:ascii="宋体" w:hAnsi="宋体" w:cs="宋体"/>
                <w:color w:val="auto"/>
                <w:kern w:val="0"/>
                <w:szCs w:val="24"/>
                <w:highlight w:val="none"/>
              </w:rPr>
              <w:t>信用评价</w:t>
            </w:r>
          </w:p>
        </w:tc>
        <w:tc>
          <w:tcPr>
            <w:tcW w:w="7267" w:type="dxa"/>
            <w:noWrap w:val="0"/>
            <w:vAlign w:val="center"/>
          </w:tcPr>
          <w:p>
            <w:pPr>
              <w:pStyle w:val="32"/>
              <w:spacing w:line="240" w:lineRule="exact"/>
              <w:ind w:firstLine="210" w:firstLineChars="100"/>
              <w:rPr>
                <w:rFonts w:ascii="宋体" w:hAnsi="Times New Roman" w:eastAsia="宋体" w:cs="宋体"/>
                <w:color w:val="auto"/>
                <w:sz w:val="21"/>
                <w:szCs w:val="24"/>
                <w:highlight w:val="none"/>
                <w:lang w:val="en-US" w:eastAsia="zh-CN" w:bidi="ar-SA"/>
              </w:rPr>
            </w:pPr>
            <w:r>
              <w:rPr>
                <w:rFonts w:hint="eastAsia"/>
                <w:color w:val="auto"/>
                <w:sz w:val="21"/>
                <w:szCs w:val="21"/>
                <w:highlight w:val="none"/>
              </w:rPr>
              <w:t>近三年在浙江省交通运输主管部门发布的企业信用评价中，投标人若只有近一年被评为AA的，得0.5分；若有近二年被评为AA的，得1分；若三个年度都评为AA的，得1.5分；最多得1.5分。（以投标截止时间前浙江省交通运输厅发布的最近三年的设计企业信用评价结果为准）</w:t>
            </w:r>
          </w:p>
        </w:tc>
        <w:tc>
          <w:tcPr>
            <w:tcW w:w="850" w:type="dxa"/>
            <w:noWrap w:val="0"/>
            <w:vAlign w:val="center"/>
          </w:tcPr>
          <w:p>
            <w:pPr>
              <w:pStyle w:val="32"/>
              <w:spacing w:line="240" w:lineRule="exact"/>
              <w:jc w:val="both"/>
              <w:rPr>
                <w:rFonts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270" w:hRule="atLeast"/>
          <w:jc w:val="center"/>
        </w:trPr>
        <w:tc>
          <w:tcPr>
            <w:tcW w:w="400" w:type="dxa"/>
            <w:noWrap w:val="0"/>
            <w:vAlign w:val="center"/>
          </w:tcPr>
          <w:p>
            <w:pPr>
              <w:pStyle w:val="32"/>
              <w:spacing w:line="240" w:lineRule="exact"/>
              <w:jc w:val="center"/>
              <w:rPr>
                <w:rFonts w:hint="eastAsia" w:hAnsi="宋体" w:eastAsia="宋体" w:cs="Times New Roman"/>
                <w:color w:val="auto"/>
                <w:sz w:val="18"/>
                <w:szCs w:val="18"/>
                <w:highlight w:val="none"/>
                <w:lang w:eastAsia="zh-CN"/>
              </w:rPr>
            </w:pPr>
            <w:r>
              <w:rPr>
                <w:rFonts w:hint="eastAsia" w:hAnsi="宋体" w:cs="Times New Roman"/>
                <w:color w:val="auto"/>
                <w:sz w:val="18"/>
                <w:szCs w:val="18"/>
                <w:highlight w:val="none"/>
                <w:lang w:val="en-US" w:eastAsia="zh-CN"/>
              </w:rPr>
              <w:t>7</w:t>
            </w:r>
          </w:p>
        </w:tc>
        <w:tc>
          <w:tcPr>
            <w:tcW w:w="1302" w:type="dxa"/>
            <w:noWrap w:val="0"/>
            <w:vAlign w:val="center"/>
          </w:tcPr>
          <w:p>
            <w:pPr>
              <w:pStyle w:val="32"/>
              <w:spacing w:line="240" w:lineRule="exact"/>
              <w:jc w:val="center"/>
              <w:rPr>
                <w:rFonts w:hint="eastAsia" w:ascii="宋体" w:hAnsi="宋体" w:eastAsia="宋体" w:cs="宋体"/>
                <w:color w:val="auto"/>
                <w:sz w:val="21"/>
                <w:szCs w:val="21"/>
                <w:highlight w:val="none"/>
                <w:lang w:val="en-US" w:eastAsia="zh-CN" w:bidi="ar-SA"/>
              </w:rPr>
            </w:pPr>
            <w:r>
              <w:rPr>
                <w:rFonts w:hint="eastAsia" w:hAnsi="宋体"/>
                <w:color w:val="auto"/>
                <w:sz w:val="21"/>
                <w:szCs w:val="21"/>
                <w:highlight w:val="none"/>
              </w:rPr>
              <w:t>不良信誉扣分</w:t>
            </w:r>
          </w:p>
        </w:tc>
        <w:tc>
          <w:tcPr>
            <w:tcW w:w="7267" w:type="dxa"/>
            <w:noWrap w:val="0"/>
            <w:vAlign w:val="center"/>
          </w:tcPr>
          <w:p>
            <w:pPr>
              <w:pStyle w:val="32"/>
              <w:spacing w:line="240" w:lineRule="exact"/>
              <w:ind w:firstLine="210" w:firstLineChars="100"/>
              <w:rPr>
                <w:rFonts w:hint="eastAsia" w:hAnsi="宋体"/>
                <w:color w:val="auto"/>
                <w:sz w:val="21"/>
                <w:szCs w:val="21"/>
                <w:highlight w:val="none"/>
              </w:rPr>
            </w:pPr>
            <w:r>
              <w:rPr>
                <w:rFonts w:hint="eastAsia" w:hAnsi="宋体"/>
                <w:color w:val="auto"/>
                <w:sz w:val="21"/>
                <w:szCs w:val="21"/>
                <w:highlight w:val="none"/>
              </w:rPr>
              <w:t>自</w:t>
            </w:r>
            <w:r>
              <w:rPr>
                <w:rFonts w:hint="eastAsia" w:hAnsi="宋体"/>
                <w:color w:val="auto"/>
                <w:sz w:val="21"/>
                <w:szCs w:val="21"/>
                <w:highlight w:val="none"/>
                <w:lang w:eastAsia="zh-CN"/>
              </w:rPr>
              <w:t>20</w:t>
            </w:r>
            <w:r>
              <w:rPr>
                <w:rFonts w:hint="eastAsia" w:hAnsi="宋体"/>
                <w:color w:val="auto"/>
                <w:sz w:val="21"/>
                <w:szCs w:val="21"/>
                <w:highlight w:val="none"/>
                <w:lang w:val="en-US" w:eastAsia="zh-CN"/>
              </w:rPr>
              <w:t>22</w:t>
            </w:r>
            <w:r>
              <w:rPr>
                <w:rFonts w:hint="eastAsia" w:hAnsi="宋体"/>
                <w:color w:val="auto"/>
                <w:sz w:val="21"/>
                <w:szCs w:val="21"/>
                <w:highlight w:val="none"/>
                <w:lang w:eastAsia="zh-CN"/>
              </w:rPr>
              <w:t>年7月1日</w:t>
            </w:r>
            <w:r>
              <w:rPr>
                <w:rFonts w:hint="eastAsia" w:hAnsi="宋体"/>
                <w:color w:val="auto"/>
                <w:sz w:val="21"/>
                <w:szCs w:val="21"/>
                <w:highlight w:val="none"/>
              </w:rPr>
              <w:t>以来，被交通运输部、浙江省交通运输厅、浙江省发展和改革委员会三部门以外的省级及以上单位（部门）书面通报限制投标，并在处罚期内的，如实填报的扣1分；</w:t>
            </w:r>
          </w:p>
          <w:p>
            <w:pPr>
              <w:pStyle w:val="32"/>
              <w:spacing w:line="240" w:lineRule="exact"/>
              <w:ind w:firstLine="210" w:firstLineChars="100"/>
              <w:rPr>
                <w:rFonts w:hint="eastAsia" w:hAnsi="宋体"/>
                <w:color w:val="auto"/>
                <w:sz w:val="21"/>
                <w:szCs w:val="21"/>
                <w:highlight w:val="none"/>
              </w:rPr>
            </w:pPr>
            <w:r>
              <w:rPr>
                <w:rFonts w:hint="eastAsia" w:hAnsi="宋体"/>
                <w:color w:val="auto"/>
                <w:sz w:val="21"/>
                <w:szCs w:val="21"/>
                <w:highlight w:val="none"/>
              </w:rPr>
              <w:t>自</w:t>
            </w:r>
            <w:r>
              <w:rPr>
                <w:rFonts w:hint="eastAsia" w:hAnsi="宋体"/>
                <w:color w:val="auto"/>
                <w:sz w:val="21"/>
                <w:szCs w:val="21"/>
                <w:highlight w:val="none"/>
                <w:lang w:eastAsia="zh-CN"/>
              </w:rPr>
              <w:t>20</w:t>
            </w:r>
            <w:r>
              <w:rPr>
                <w:rFonts w:hint="eastAsia" w:hAnsi="宋体"/>
                <w:color w:val="auto"/>
                <w:sz w:val="21"/>
                <w:szCs w:val="21"/>
                <w:highlight w:val="none"/>
                <w:lang w:val="en-US" w:eastAsia="zh-CN"/>
              </w:rPr>
              <w:t>20</w:t>
            </w:r>
            <w:r>
              <w:rPr>
                <w:rFonts w:hint="eastAsia" w:hAnsi="宋体"/>
                <w:color w:val="auto"/>
                <w:sz w:val="21"/>
                <w:szCs w:val="21"/>
                <w:highlight w:val="none"/>
                <w:lang w:eastAsia="zh-CN"/>
              </w:rPr>
              <w:t>年7月1日</w:t>
            </w:r>
            <w:r>
              <w:rPr>
                <w:rFonts w:hint="eastAsia" w:hAnsi="宋体"/>
                <w:color w:val="auto"/>
                <w:sz w:val="21"/>
                <w:szCs w:val="21"/>
                <w:highlight w:val="none"/>
              </w:rPr>
              <w:t>以来，投标人或拟委任的项目负责人在工程建设领域中，有行贿行为未构成犯罪的，如实填报的扣1分；</w:t>
            </w:r>
          </w:p>
          <w:p>
            <w:pPr>
              <w:pStyle w:val="32"/>
              <w:spacing w:line="240" w:lineRule="exact"/>
              <w:ind w:firstLine="211" w:firstLineChars="100"/>
              <w:jc w:val="both"/>
              <w:rPr>
                <w:rFonts w:hint="eastAsia" w:ascii="宋体" w:hAnsi="Times New Roman" w:eastAsia="宋体" w:cs="宋体"/>
                <w:color w:val="auto"/>
                <w:sz w:val="21"/>
                <w:szCs w:val="21"/>
                <w:highlight w:val="none"/>
                <w:lang w:val="en-US" w:eastAsia="zh-CN" w:bidi="ar-SA"/>
              </w:rPr>
            </w:pPr>
            <w:r>
              <w:rPr>
                <w:rFonts w:hint="eastAsia" w:hAnsi="宋体"/>
                <w:b/>
                <w:color w:val="auto"/>
                <w:sz w:val="21"/>
                <w:szCs w:val="21"/>
                <w:highlight w:val="none"/>
              </w:rPr>
              <w:t>有上述行为隐瞒不报的，一经查实，作否决投标处理，并视为投标人提供虚假材料。</w:t>
            </w:r>
          </w:p>
        </w:tc>
        <w:tc>
          <w:tcPr>
            <w:tcW w:w="850" w:type="dxa"/>
            <w:noWrap w:val="0"/>
            <w:vAlign w:val="center"/>
          </w:tcPr>
          <w:p>
            <w:pPr>
              <w:pStyle w:val="32"/>
              <w:spacing w:line="240" w:lineRule="exact"/>
              <w:ind w:firstLine="360" w:firstLineChars="200"/>
              <w:rPr>
                <w:rFonts w:hint="eastAsia"/>
                <w:color w:val="auto"/>
                <w:sz w:val="18"/>
                <w:szCs w:val="18"/>
                <w:highlight w:val="none"/>
              </w:rPr>
            </w:pPr>
          </w:p>
        </w:tc>
      </w:tr>
    </w:tbl>
    <w:p>
      <w:pPr>
        <w:spacing w:line="400" w:lineRule="exact"/>
        <w:ind w:firstLine="3850" w:firstLineChars="1750"/>
        <w:rPr>
          <w:rFonts w:hint="eastAsia"/>
          <w:color w:val="auto"/>
          <w:szCs w:val="21"/>
          <w:highlight w:val="none"/>
        </w:rPr>
      </w:pPr>
    </w:p>
    <w:p>
      <w:pPr>
        <w:spacing w:line="400" w:lineRule="exact"/>
        <w:ind w:firstLine="3850" w:firstLineChars="1750"/>
        <w:rPr>
          <w:color w:val="auto"/>
          <w:szCs w:val="21"/>
          <w:highlight w:val="none"/>
        </w:rPr>
      </w:pPr>
      <w:r>
        <w:rPr>
          <w:rFonts w:hint="eastAsia"/>
          <w:color w:val="auto"/>
          <w:szCs w:val="21"/>
          <w:highlight w:val="none"/>
        </w:rPr>
        <w:t>投标人：</w:t>
      </w:r>
      <w:r>
        <w:rPr>
          <w:color w:val="auto"/>
          <w:szCs w:val="21"/>
          <w:highlight w:val="none"/>
        </w:rPr>
        <w:t xml:space="preserve"> </w:t>
      </w:r>
      <w:r>
        <w:rPr>
          <w:rFonts w:hint="eastAsia"/>
          <w:color w:val="auto"/>
          <w:szCs w:val="21"/>
          <w:highlight w:val="none"/>
          <w:u w:val="single"/>
        </w:rPr>
        <w:t xml:space="preserve">                    </w:t>
      </w:r>
      <w:r>
        <w:rPr>
          <w:rFonts w:hint="eastAsia"/>
          <w:color w:val="auto"/>
          <w:szCs w:val="21"/>
          <w:highlight w:val="none"/>
        </w:rPr>
        <w:t>（盖单位电子公章）</w:t>
      </w:r>
    </w:p>
    <w:p>
      <w:pPr>
        <w:spacing w:line="400" w:lineRule="exact"/>
        <w:ind w:firstLine="5610" w:firstLineChars="2550"/>
        <w:rPr>
          <w:rFonts w:hint="eastAsia" w:eastAsia="黑体"/>
          <w:color w:val="auto"/>
          <w:sz w:val="20"/>
          <w:highlight w:val="none"/>
        </w:rPr>
      </w:pPr>
      <w:r>
        <w:rPr>
          <w:rFonts w:hint="eastAsia"/>
          <w:color w:val="auto"/>
          <w:szCs w:val="21"/>
          <w:highlight w:val="none"/>
          <w:u w:val="single"/>
        </w:rPr>
        <w:t xml:space="preserve">       </w:t>
      </w:r>
      <w:r>
        <w:rPr>
          <w:rFonts w:hint="eastAsia"/>
          <w:color w:val="auto"/>
          <w:szCs w:val="21"/>
          <w:highlight w:val="none"/>
        </w:rPr>
        <w:t>年</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 xml:space="preserve">月 </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日</w:t>
      </w:r>
    </w:p>
    <w:p>
      <w:pPr>
        <w:rPr>
          <w:rFonts w:hint="eastAsia" w:ascii="黑体" w:eastAsia="黑体"/>
          <w:color w:val="auto"/>
          <w:sz w:val="44"/>
          <w:highlight w:val="none"/>
        </w:rPr>
      </w:pPr>
      <w:r>
        <w:rPr>
          <w:rFonts w:hint="eastAsia" w:ascii="黑体" w:eastAsia="黑体"/>
          <w:color w:val="auto"/>
          <w:sz w:val="44"/>
          <w:highlight w:val="none"/>
        </w:rPr>
        <w:br w:type="page"/>
      </w:r>
    </w:p>
    <w:p>
      <w:pPr>
        <w:spacing w:before="23"/>
        <w:ind w:left="298" w:right="314" w:firstLine="0"/>
        <w:jc w:val="center"/>
        <w:outlineLvl w:val="1"/>
        <w:rPr>
          <w:rFonts w:hint="eastAsia" w:ascii="黑体" w:eastAsia="黑体"/>
          <w:color w:val="auto"/>
          <w:sz w:val="44"/>
          <w:highlight w:val="none"/>
        </w:rPr>
      </w:pPr>
      <w:bookmarkStart w:id="222" w:name="_Toc1472"/>
      <w:r>
        <w:rPr>
          <w:rFonts w:hint="eastAsia" w:ascii="黑体" w:eastAsia="黑体"/>
          <w:color w:val="auto"/>
          <w:sz w:val="44"/>
          <w:highlight w:val="none"/>
        </w:rPr>
        <w:t>一、投标函</w:t>
      </w:r>
      <w:bookmarkEnd w:id="222"/>
    </w:p>
    <w:p>
      <w:pPr>
        <w:pStyle w:val="2"/>
        <w:rPr>
          <w:rFonts w:ascii="黑体"/>
          <w:color w:val="auto"/>
          <w:sz w:val="20"/>
          <w:highlight w:val="none"/>
        </w:rPr>
      </w:pPr>
    </w:p>
    <w:p>
      <w:pPr>
        <w:pStyle w:val="2"/>
        <w:rPr>
          <w:rFonts w:ascii="黑体"/>
          <w:color w:val="auto"/>
          <w:sz w:val="20"/>
          <w:highlight w:val="none"/>
        </w:rPr>
      </w:pPr>
    </w:p>
    <w:p>
      <w:pPr>
        <w:spacing w:before="67"/>
        <w:ind w:left="1958" w:right="0" w:firstLine="0"/>
        <w:jc w:val="left"/>
        <w:rPr>
          <w:color w:val="auto"/>
          <w:sz w:val="24"/>
          <w:highlight w:val="none"/>
        </w:rPr>
      </w:pPr>
      <w:r>
        <w:rPr>
          <w:color w:val="auto"/>
          <w:highlight w:val="none"/>
        </w:rPr>
        <mc:AlternateContent>
          <mc:Choice Requires="wps">
            <w:drawing>
              <wp:anchor distT="0" distB="0" distL="114300" distR="114300" simplePos="0" relativeHeight="251662336" behindDoc="0" locked="0" layoutInCell="1" allowOverlap="1">
                <wp:simplePos x="0" y="0"/>
                <wp:positionH relativeFrom="page">
                  <wp:posOffset>862330</wp:posOffset>
                </wp:positionH>
                <wp:positionV relativeFrom="paragraph">
                  <wp:posOffset>216535</wp:posOffset>
                </wp:positionV>
                <wp:extent cx="989965" cy="0"/>
                <wp:effectExtent l="0" t="0" r="0" b="0"/>
                <wp:wrapNone/>
                <wp:docPr id="22" name="直线 20"/>
                <wp:cNvGraphicFramePr/>
                <a:graphic xmlns:a="http://schemas.openxmlformats.org/drawingml/2006/main">
                  <a:graphicData uri="http://schemas.microsoft.com/office/word/2010/wordprocessingShape">
                    <wps:wsp>
                      <wps:cNvCnPr/>
                      <wps:spPr>
                        <a:xfrm>
                          <a:off x="0" y="0"/>
                          <a:ext cx="989965" cy="0"/>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67.9pt;margin-top:17.05pt;height:0pt;width:77.95pt;mso-position-horizontal-relative:page;z-index:251662336;mso-width-relative:page;mso-height-relative:page;" filled="f" stroked="t" coordsize="21600,21600" o:gfxdata="UEsDBAoAAAAAAIdO4kAAAAAAAAAAAAAAAAAEAAAAZHJzL1BLAwQUAAAACACHTuJAdrXp8tgAAAAJ&#10;AQAADwAAAGRycy9kb3ducmV2LnhtbE2PzU7DMBCE70i8g7VI3Kjjtvw0xOkBCalCApUW9ezGSxKw&#10;11HsNqFPzyIOcJyd0cy3xXL0Thyxj20gDWqSgUCqgm2p1vC2fby6AxGTIWtcINTwhRGW5flZYXIb&#10;BnrF4ybVgkso5kZDk1KXSxmrBr2Jk9Ahsfceem8Sy76WtjcDl3snp1l2I71piRca0+FDg9Xn5uA1&#10;zIfVuHjarV7Gbfxw8nl3Uuv6pPXlhcruQSQc018YfvAZHUpm2ocD2Sgc69k1oycNs7kCwYHpQt2C&#10;2P8eZFnI/x+U31BLAwQUAAAACACHTuJAW70CwOgBAADdAwAADgAAAGRycy9lMm9Eb2MueG1srVNL&#10;jtswDN0X6B0E7RsnBhpMjDizmHS6KdoAbQ/ASLItQD+ISpycpdfoqpseZ65RSskk0+kmi3ohUyL1&#10;yPdILe8P1rC9iqi9a/lsMuVMOeGldn3Lv397fHfHGSZwEox3quVHhfx+9fbNcgyNqv3gjVSREYjD&#10;ZgwtH1IKTVWhGJQFnPigHDk7Hy0k2sa+khFGQremqqfTeTX6KEP0QiHS6frk5GfEeAug7zot1NqL&#10;nVUunVCjMpCIEg46IF+VartOifSl61AlZlpOTFNZKQnZ27xWqyU0fYQwaHEuAW4p4RUnC9pR0gvU&#10;GhKwXdT/QFktokffpYnwtjoRKYoQi9n0lTZfBwiqcCGpMVxEx/8HKz7vN5Fp2fK65syBpY4//fj5&#10;9Os3q4s6Y8CGgh7cJpJWeYdhEzPVQxdt/hMJdiiKHi+KqkNigg4Xd4vF/D1n4tlVXe+FiOmj8pZl&#10;o+VGu8wVGth/wkS5KPQ5JB8bx0aa1+l8TgMqgCavo46TaQNVj64vl9EbLR+1MfkKxn77YCLbQ+5+&#10;+XLDCfivsJxlDTic4orrNBeDAvnBSZaOgWRx9Bx4rsEqyZlR9HqyVSYogTa3RFJq46iCq47Z2np5&#10;pC7sQtT9QFLMSpXZQ10v9Z4nNI/Vy31Bur7K1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2teny&#10;2AAAAAkBAAAPAAAAAAAAAAEAIAAAACIAAABkcnMvZG93bnJldi54bWxQSwECFAAUAAAACACHTuJA&#10;W70CwOgBAADdAwAADgAAAAAAAAABACAAAAAnAQAAZHJzL2Uyb0RvYy54bWxQSwUGAAAAAAYABgBZ&#10;AQAAgQUAAAAA&#10;">
                <v:fill on="f" focussize="0,0"/>
                <v:stroke weight="0.84pt" color="#000000" joinstyle="round"/>
                <v:imagedata o:title=""/>
                <o:lock v:ext="edit" aspectratio="f"/>
              </v:line>
            </w:pict>
          </mc:Fallback>
        </mc:AlternateContent>
      </w:r>
      <w:r>
        <w:rPr>
          <w:color w:val="auto"/>
          <w:sz w:val="24"/>
          <w:highlight w:val="none"/>
        </w:rPr>
        <w:t>（招标人全称）</w:t>
      </w:r>
    </w:p>
    <w:p>
      <w:pPr>
        <w:pStyle w:val="2"/>
        <w:rPr>
          <w:color w:val="auto"/>
          <w:sz w:val="24"/>
          <w:highlight w:val="none"/>
        </w:rPr>
      </w:pPr>
    </w:p>
    <w:p>
      <w:pPr>
        <w:pStyle w:val="2"/>
        <w:rPr>
          <w:color w:val="auto"/>
          <w:sz w:val="25"/>
          <w:highlight w:val="none"/>
        </w:rPr>
      </w:pPr>
    </w:p>
    <w:p>
      <w:pPr>
        <w:tabs>
          <w:tab w:val="left" w:pos="2896"/>
          <w:tab w:val="left" w:pos="8099"/>
          <w:tab w:val="left" w:pos="9191"/>
        </w:tabs>
        <w:spacing w:before="1" w:line="364" w:lineRule="auto"/>
        <w:ind w:left="398" w:right="407" w:firstLine="420"/>
        <w:jc w:val="left"/>
        <w:rPr>
          <w:rFonts w:hint="eastAsia" w:eastAsia="宋体"/>
          <w:color w:val="auto"/>
          <w:sz w:val="24"/>
          <w:highlight w:val="none"/>
          <w:lang w:eastAsia="zh-CN"/>
        </w:rPr>
      </w:pPr>
      <w:r>
        <w:rPr>
          <w:rFonts w:ascii="Arial" w:eastAsia="Arial"/>
          <w:color w:val="auto"/>
          <w:spacing w:val="3"/>
          <w:sz w:val="24"/>
          <w:highlight w:val="none"/>
        </w:rPr>
        <w:t>1</w:t>
      </w:r>
      <w:r>
        <w:rPr>
          <w:rFonts w:hint="eastAsia" w:ascii="Arial" w:eastAsia="宋体"/>
          <w:color w:val="auto"/>
          <w:spacing w:val="3"/>
          <w:sz w:val="24"/>
          <w:highlight w:val="none"/>
          <w:lang w:eastAsia="zh-CN"/>
        </w:rPr>
        <w:t>、</w:t>
      </w:r>
      <w:r>
        <w:rPr>
          <w:rFonts w:hint="eastAsia"/>
          <w:color w:val="auto"/>
          <w:sz w:val="24"/>
          <w:highlight w:val="none"/>
        </w:rPr>
        <w:t>经研究</w:t>
      </w:r>
      <w:r>
        <w:rPr>
          <w:rFonts w:hint="eastAsia"/>
          <w:color w:val="auto"/>
          <w:sz w:val="24"/>
          <w:highlight w:val="none"/>
          <w:u w:val="single"/>
        </w:rPr>
        <w:t xml:space="preserve">              </w:t>
      </w:r>
      <w:r>
        <w:rPr>
          <w:rFonts w:hint="eastAsia"/>
          <w:color w:val="auto"/>
          <w:sz w:val="24"/>
          <w:highlight w:val="none"/>
        </w:rPr>
        <w:t>（项目名称）</w:t>
      </w:r>
      <w:r>
        <w:rPr>
          <w:rFonts w:hint="eastAsia"/>
          <w:color w:val="auto"/>
          <w:sz w:val="24"/>
          <w:highlight w:val="none"/>
          <w:u w:val="single"/>
          <w:lang w:val="en-US" w:eastAsia="zh-CN"/>
        </w:rPr>
        <w:t xml:space="preserve">     </w:t>
      </w:r>
      <w:r>
        <w:rPr>
          <w:rFonts w:hint="eastAsia"/>
          <w:color w:val="auto"/>
          <w:sz w:val="24"/>
          <w:highlight w:val="none"/>
          <w:u w:val="none"/>
          <w:lang w:val="en-US" w:eastAsia="zh-CN"/>
        </w:rPr>
        <w:t>（标段名称）</w:t>
      </w:r>
      <w:r>
        <w:rPr>
          <w:rFonts w:hint="eastAsia"/>
          <w:color w:val="auto"/>
          <w:sz w:val="24"/>
          <w:highlight w:val="none"/>
        </w:rPr>
        <w:t>招标文件的全部内容（含第</w:t>
      </w:r>
      <w:r>
        <w:rPr>
          <w:rFonts w:hint="eastAsia"/>
          <w:color w:val="auto"/>
          <w:sz w:val="24"/>
          <w:highlight w:val="none"/>
          <w:u w:val="single"/>
        </w:rPr>
        <w:t xml:space="preserve">   </w:t>
      </w:r>
      <w:r>
        <w:rPr>
          <w:rFonts w:hint="eastAsia"/>
          <w:color w:val="auto"/>
          <w:sz w:val="24"/>
          <w:highlight w:val="none"/>
        </w:rPr>
        <w:t>号至第</w:t>
      </w:r>
      <w:r>
        <w:rPr>
          <w:rFonts w:hint="eastAsia"/>
          <w:color w:val="auto"/>
          <w:sz w:val="24"/>
          <w:highlight w:val="none"/>
          <w:u w:val="single"/>
        </w:rPr>
        <w:t xml:space="preserve">   </w:t>
      </w:r>
      <w:r>
        <w:rPr>
          <w:rFonts w:hint="eastAsia"/>
          <w:color w:val="auto"/>
          <w:sz w:val="24"/>
          <w:highlight w:val="none"/>
        </w:rPr>
        <w:t>号补遗书）后，我方就上述设计任务及相关服务进行投标，其中投标价详见报价函。</w:t>
      </w:r>
    </w:p>
    <w:p>
      <w:pPr>
        <w:spacing w:before="1" w:line="364" w:lineRule="auto"/>
        <w:ind w:left="398" w:right="292" w:firstLine="420"/>
        <w:jc w:val="left"/>
        <w:rPr>
          <w:color w:val="auto"/>
          <w:sz w:val="24"/>
          <w:highlight w:val="none"/>
        </w:rPr>
      </w:pPr>
      <w:r>
        <w:rPr>
          <w:rFonts w:ascii="Arial" w:eastAsia="Arial"/>
          <w:color w:val="auto"/>
          <w:sz w:val="24"/>
          <w:highlight w:val="none"/>
        </w:rPr>
        <w:t>2</w:t>
      </w:r>
      <w:r>
        <w:rPr>
          <w:color w:val="auto"/>
          <w:spacing w:val="-8"/>
          <w:sz w:val="24"/>
          <w:highlight w:val="none"/>
        </w:rPr>
        <w:t xml:space="preserve">、如果我方中标，我方保证在收到中标通知书规定的期限内与你方签订合同协议书， </w:t>
      </w:r>
      <w:r>
        <w:rPr>
          <w:color w:val="auto"/>
          <w:sz w:val="24"/>
          <w:highlight w:val="none"/>
        </w:rPr>
        <w:t>并在设计合同协议书所规定的期限内完成通知要求的设计任务。</w:t>
      </w:r>
    </w:p>
    <w:p>
      <w:pPr>
        <w:tabs>
          <w:tab w:val="left" w:pos="1598"/>
          <w:tab w:val="left" w:pos="4175"/>
          <w:tab w:val="left" w:pos="5848"/>
          <w:tab w:val="left" w:pos="7281"/>
          <w:tab w:val="left" w:pos="9434"/>
        </w:tabs>
        <w:spacing w:before="1" w:line="364" w:lineRule="auto"/>
        <w:ind w:left="398" w:right="410" w:firstLine="420"/>
        <w:jc w:val="left"/>
        <w:rPr>
          <w:color w:val="auto"/>
          <w:sz w:val="24"/>
          <w:highlight w:val="none"/>
        </w:rPr>
      </w:pPr>
      <w:r>
        <w:rPr>
          <w:rFonts w:ascii="Arial" w:eastAsia="Arial"/>
          <w:color w:val="auto"/>
          <w:sz w:val="24"/>
          <w:highlight w:val="none"/>
        </w:rPr>
        <w:t>3</w:t>
      </w:r>
      <w:r>
        <w:rPr>
          <w:color w:val="auto"/>
          <w:spacing w:val="-8"/>
          <w:sz w:val="24"/>
          <w:highlight w:val="none"/>
        </w:rPr>
        <w:t>、</w:t>
      </w:r>
      <w:r>
        <w:rPr>
          <w:color w:val="auto"/>
          <w:sz w:val="24"/>
          <w:highlight w:val="none"/>
        </w:rPr>
        <w:t>项目负责人姓名</w:t>
      </w:r>
      <w:r>
        <w:rPr>
          <w:color w:val="auto"/>
          <w:spacing w:val="-8"/>
          <w:sz w:val="24"/>
          <w:highlight w:val="none"/>
        </w:rPr>
        <w:t>：</w:t>
      </w:r>
      <w:r>
        <w:rPr>
          <w:color w:val="auto"/>
          <w:spacing w:val="-8"/>
          <w:sz w:val="24"/>
          <w:highlight w:val="none"/>
          <w:u w:val="single"/>
        </w:rPr>
        <w:t xml:space="preserve"> </w:t>
      </w:r>
      <w:r>
        <w:rPr>
          <w:color w:val="auto"/>
          <w:spacing w:val="-8"/>
          <w:sz w:val="24"/>
          <w:highlight w:val="none"/>
          <w:u w:val="single"/>
        </w:rPr>
        <w:tab/>
      </w:r>
      <w:r>
        <w:rPr>
          <w:color w:val="auto"/>
          <w:sz w:val="24"/>
          <w:highlight w:val="none"/>
        </w:rPr>
        <w:t>性别</w:t>
      </w:r>
      <w:r>
        <w:rPr>
          <w:color w:val="auto"/>
          <w:spacing w:val="-8"/>
          <w:sz w:val="24"/>
          <w:highlight w:val="none"/>
        </w:rPr>
        <w:t>：</w:t>
      </w:r>
      <w:r>
        <w:rPr>
          <w:color w:val="auto"/>
          <w:spacing w:val="-8"/>
          <w:sz w:val="24"/>
          <w:highlight w:val="none"/>
          <w:u w:val="single"/>
        </w:rPr>
        <w:t xml:space="preserve"> </w:t>
      </w:r>
      <w:r>
        <w:rPr>
          <w:color w:val="auto"/>
          <w:spacing w:val="-8"/>
          <w:sz w:val="24"/>
          <w:highlight w:val="none"/>
          <w:u w:val="single"/>
        </w:rPr>
        <w:tab/>
      </w:r>
      <w:r>
        <w:rPr>
          <w:color w:val="auto"/>
          <w:sz w:val="24"/>
          <w:highlight w:val="none"/>
        </w:rPr>
        <w:t>年龄</w:t>
      </w:r>
      <w:r>
        <w:rPr>
          <w:color w:val="auto"/>
          <w:spacing w:val="-8"/>
          <w:sz w:val="24"/>
          <w:highlight w:val="none"/>
        </w:rPr>
        <w:t>：</w:t>
      </w:r>
      <w:r>
        <w:rPr>
          <w:color w:val="auto"/>
          <w:spacing w:val="-8"/>
          <w:sz w:val="24"/>
          <w:highlight w:val="none"/>
          <w:u w:val="single"/>
        </w:rPr>
        <w:t xml:space="preserve"> </w:t>
      </w:r>
      <w:r>
        <w:rPr>
          <w:color w:val="auto"/>
          <w:spacing w:val="-8"/>
          <w:sz w:val="24"/>
          <w:highlight w:val="none"/>
          <w:u w:val="single"/>
        </w:rPr>
        <w:tab/>
      </w:r>
      <w:r>
        <w:rPr>
          <w:color w:val="auto"/>
          <w:sz w:val="24"/>
          <w:highlight w:val="none"/>
        </w:rPr>
        <w:t>现任职务</w:t>
      </w:r>
      <w:r>
        <w:rPr>
          <w:color w:val="auto"/>
          <w:spacing w:val="-8"/>
          <w:sz w:val="24"/>
          <w:highlight w:val="none"/>
        </w:rPr>
        <w:t>：</w:t>
      </w:r>
      <w:r>
        <w:rPr>
          <w:color w:val="auto"/>
          <w:spacing w:val="-8"/>
          <w:sz w:val="24"/>
          <w:highlight w:val="none"/>
          <w:u w:val="single"/>
        </w:rPr>
        <w:t xml:space="preserve"> </w:t>
      </w:r>
      <w:r>
        <w:rPr>
          <w:color w:val="auto"/>
          <w:spacing w:val="-8"/>
          <w:sz w:val="24"/>
          <w:highlight w:val="none"/>
          <w:u w:val="single"/>
        </w:rPr>
        <w:tab/>
      </w:r>
      <w:r>
        <w:rPr>
          <w:color w:val="auto"/>
          <w:spacing w:val="-18"/>
          <w:sz w:val="24"/>
          <w:highlight w:val="none"/>
        </w:rPr>
        <w:t>职</w:t>
      </w:r>
      <w:r>
        <w:rPr>
          <w:color w:val="auto"/>
          <w:sz w:val="24"/>
          <w:highlight w:val="none"/>
        </w:rPr>
        <w:t>称：</w:t>
      </w:r>
      <w:r>
        <w:rPr>
          <w:color w:val="auto"/>
          <w:sz w:val="24"/>
          <w:highlight w:val="none"/>
          <w:u w:val="single"/>
        </w:rPr>
        <w:t xml:space="preserve"> </w:t>
      </w:r>
      <w:r>
        <w:rPr>
          <w:color w:val="auto"/>
          <w:sz w:val="24"/>
          <w:highlight w:val="none"/>
          <w:u w:val="single"/>
        </w:rPr>
        <w:tab/>
      </w:r>
      <w:r>
        <w:rPr>
          <w:color w:val="auto"/>
          <w:sz w:val="24"/>
          <w:highlight w:val="none"/>
        </w:rPr>
        <w:t>。</w:t>
      </w:r>
    </w:p>
    <w:p>
      <w:pPr>
        <w:spacing w:before="1"/>
        <w:ind w:left="818" w:right="0" w:firstLine="0"/>
        <w:jc w:val="left"/>
        <w:rPr>
          <w:color w:val="auto"/>
          <w:sz w:val="24"/>
          <w:highlight w:val="none"/>
        </w:rPr>
      </w:pPr>
      <w:r>
        <w:rPr>
          <w:rFonts w:ascii="Arial" w:eastAsia="Arial"/>
          <w:color w:val="auto"/>
          <w:sz w:val="24"/>
          <w:highlight w:val="none"/>
        </w:rPr>
        <w:t>4</w:t>
      </w:r>
      <w:r>
        <w:rPr>
          <w:color w:val="auto"/>
          <w:sz w:val="24"/>
          <w:highlight w:val="none"/>
        </w:rPr>
        <w:t>、如果我方中标，我方将按照规定提交履约担保，共同地和分别地承担责任。</w:t>
      </w:r>
    </w:p>
    <w:p>
      <w:pPr>
        <w:spacing w:before="161"/>
        <w:ind w:left="818" w:right="0" w:firstLine="0"/>
        <w:jc w:val="left"/>
        <w:rPr>
          <w:color w:val="auto"/>
          <w:sz w:val="24"/>
          <w:highlight w:val="none"/>
        </w:rPr>
      </w:pPr>
      <w:r>
        <w:rPr>
          <w:rFonts w:ascii="Arial" w:eastAsia="Arial"/>
          <w:color w:val="auto"/>
          <w:sz w:val="24"/>
          <w:highlight w:val="none"/>
        </w:rPr>
        <w:t>5</w:t>
      </w:r>
      <w:r>
        <w:rPr>
          <w:color w:val="auto"/>
          <w:sz w:val="24"/>
          <w:highlight w:val="none"/>
        </w:rPr>
        <w:t>、我方承诺在本投标文件有效期内，本投标函对我方具有约束力，并随时接受中标。</w:t>
      </w:r>
    </w:p>
    <w:p>
      <w:pPr>
        <w:spacing w:before="160" w:line="364" w:lineRule="auto"/>
        <w:ind w:left="398" w:right="409" w:firstLine="420"/>
        <w:jc w:val="left"/>
        <w:rPr>
          <w:color w:val="auto"/>
          <w:sz w:val="24"/>
          <w:highlight w:val="none"/>
        </w:rPr>
      </w:pPr>
      <w:r>
        <w:rPr>
          <w:rFonts w:ascii="Arial" w:eastAsia="Arial"/>
          <w:color w:val="auto"/>
          <w:sz w:val="24"/>
          <w:highlight w:val="none"/>
        </w:rPr>
        <w:t>6</w:t>
      </w:r>
      <w:r>
        <w:rPr>
          <w:color w:val="auto"/>
          <w:sz w:val="24"/>
          <w:highlight w:val="none"/>
        </w:rPr>
        <w:t>、在合同协议书正式签署生效之前，本投标函连同你方的中标通知书将构成我们双方之间共同遵守的文件，对双方具有约束力。</w:t>
      </w:r>
    </w:p>
    <w:p>
      <w:pPr>
        <w:tabs>
          <w:tab w:val="left" w:pos="4072"/>
        </w:tabs>
        <w:spacing w:before="1"/>
        <w:ind w:left="818" w:right="0" w:firstLine="0"/>
        <w:jc w:val="left"/>
        <w:outlineLvl w:val="2"/>
        <w:rPr>
          <w:color w:val="auto"/>
          <w:sz w:val="24"/>
          <w:highlight w:val="none"/>
        </w:rPr>
      </w:pPr>
      <w:bookmarkStart w:id="223" w:name="_Toc3307"/>
      <w:bookmarkStart w:id="224" w:name="_Toc15761"/>
      <w:r>
        <w:rPr>
          <w:rFonts w:ascii="Arial" w:eastAsia="Arial"/>
          <w:color w:val="auto"/>
          <w:sz w:val="24"/>
          <w:highlight w:val="none"/>
        </w:rPr>
        <w:t>7</w:t>
      </w:r>
      <w:r>
        <w:rPr>
          <w:color w:val="auto"/>
          <w:sz w:val="24"/>
          <w:highlight w:val="none"/>
        </w:rPr>
        <w:t>、我方以金额为人民币</w:t>
      </w:r>
      <w:r>
        <w:rPr>
          <w:color w:val="auto"/>
          <w:sz w:val="24"/>
          <w:highlight w:val="none"/>
          <w:u w:val="single"/>
        </w:rPr>
        <w:t xml:space="preserve"> </w:t>
      </w:r>
      <w:r>
        <w:rPr>
          <w:color w:val="auto"/>
          <w:sz w:val="24"/>
          <w:highlight w:val="none"/>
          <w:u w:val="single"/>
        </w:rPr>
        <w:tab/>
      </w:r>
      <w:r>
        <w:rPr>
          <w:color w:val="auto"/>
          <w:sz w:val="24"/>
          <w:highlight w:val="none"/>
        </w:rPr>
        <w:t>元投标保证金与本投标函同时递交。</w:t>
      </w:r>
      <w:bookmarkEnd w:id="223"/>
      <w:bookmarkEnd w:id="224"/>
    </w:p>
    <w:p>
      <w:pPr>
        <w:tabs>
          <w:tab w:val="left" w:pos="6518"/>
        </w:tabs>
        <w:spacing w:before="161" w:line="364" w:lineRule="auto"/>
        <w:ind w:left="398" w:right="409" w:firstLine="420"/>
        <w:jc w:val="left"/>
        <w:rPr>
          <w:color w:val="auto"/>
          <w:sz w:val="24"/>
          <w:highlight w:val="none"/>
        </w:rPr>
      </w:pPr>
      <w:r>
        <w:rPr>
          <w:rFonts w:ascii="Arial" w:eastAsia="Arial"/>
          <w:color w:val="auto"/>
          <w:spacing w:val="3"/>
          <w:sz w:val="24"/>
          <w:highlight w:val="none"/>
        </w:rPr>
        <w:t>8</w:t>
      </w:r>
      <w:r>
        <w:rPr>
          <w:color w:val="auto"/>
          <w:sz w:val="24"/>
          <w:highlight w:val="none"/>
        </w:rPr>
        <w:t>、在此我方郑重承诺：我方将按发包人的要求提供高质量的后续服务，后续服务的承诺为：</w:t>
      </w:r>
      <w:r>
        <w:rPr>
          <w:color w:val="auto"/>
          <w:sz w:val="24"/>
          <w:highlight w:val="none"/>
          <w:u w:val="single"/>
        </w:rPr>
        <w:t xml:space="preserve"> </w:t>
      </w:r>
      <w:r>
        <w:rPr>
          <w:color w:val="auto"/>
          <w:sz w:val="24"/>
          <w:highlight w:val="none"/>
          <w:u w:val="single"/>
        </w:rPr>
        <w:tab/>
      </w:r>
      <w:r>
        <w:rPr>
          <w:color w:val="auto"/>
          <w:sz w:val="24"/>
          <w:highlight w:val="none"/>
        </w:rPr>
        <w:t>。</w:t>
      </w:r>
    </w:p>
    <w:p>
      <w:pPr>
        <w:pStyle w:val="2"/>
        <w:rPr>
          <w:color w:val="auto"/>
          <w:sz w:val="26"/>
          <w:highlight w:val="none"/>
        </w:rPr>
      </w:pPr>
    </w:p>
    <w:p>
      <w:pPr>
        <w:pStyle w:val="2"/>
        <w:rPr>
          <w:color w:val="auto"/>
          <w:sz w:val="26"/>
          <w:highlight w:val="none"/>
        </w:rPr>
      </w:pPr>
    </w:p>
    <w:p>
      <w:pPr>
        <w:pStyle w:val="2"/>
        <w:spacing w:before="2"/>
        <w:rPr>
          <w:color w:val="auto"/>
          <w:highlight w:val="none"/>
        </w:rPr>
      </w:pPr>
    </w:p>
    <w:p>
      <w:pPr>
        <w:tabs>
          <w:tab w:val="left" w:pos="3995"/>
          <w:tab w:val="left" w:pos="7389"/>
          <w:tab w:val="left" w:pos="8195"/>
          <w:tab w:val="left" w:pos="9275"/>
        </w:tabs>
        <w:spacing w:before="0" w:line="364" w:lineRule="auto"/>
        <w:ind w:left="3516" w:right="294" w:firstLine="0"/>
        <w:jc w:val="left"/>
        <w:rPr>
          <w:rFonts w:ascii="Times New Roman" w:eastAsia="Times New Roman"/>
          <w:color w:val="auto"/>
          <w:sz w:val="24"/>
          <w:highlight w:val="none"/>
        </w:rPr>
      </w:pPr>
      <w:r>
        <w:rPr>
          <w:color w:val="auto"/>
          <w:sz w:val="24"/>
          <w:highlight w:val="none"/>
        </w:rPr>
        <w:t>投标人</w:t>
      </w:r>
      <w:r>
        <w:rPr>
          <w:color w:val="auto"/>
          <w:sz w:val="24"/>
          <w:highlight w:val="none"/>
          <w:u w:val="single"/>
        </w:rPr>
        <w:t>：</w:t>
      </w:r>
      <w:r>
        <w:rPr>
          <w:color w:val="auto"/>
          <w:sz w:val="24"/>
          <w:highlight w:val="none"/>
          <w:u w:val="single"/>
        </w:rPr>
        <w:tab/>
      </w:r>
      <w:r>
        <w:rPr>
          <w:color w:val="auto"/>
          <w:sz w:val="24"/>
          <w:highlight w:val="none"/>
          <w:u w:val="single"/>
        </w:rPr>
        <w:t>（</w:t>
      </w:r>
      <w:r>
        <w:rPr>
          <w:color w:val="auto"/>
          <w:sz w:val="24"/>
          <w:highlight w:val="none"/>
        </w:rPr>
        <w:t>全称并盖电子公章</w:t>
      </w:r>
      <w:r>
        <w:rPr>
          <w:color w:val="auto"/>
          <w:spacing w:val="-17"/>
          <w:sz w:val="24"/>
          <w:highlight w:val="none"/>
        </w:rPr>
        <w:t xml:space="preserve">） </w:t>
      </w:r>
      <w:r>
        <w:rPr>
          <w:color w:val="auto"/>
          <w:sz w:val="24"/>
          <w:highlight w:val="none"/>
        </w:rPr>
        <w:t>法定代表人：</w:t>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rPr>
        <w:t>（盖电子章） 地</w:t>
      </w:r>
      <w:r>
        <w:rPr>
          <w:color w:val="auto"/>
          <w:sz w:val="24"/>
          <w:highlight w:val="none"/>
        </w:rPr>
        <w:tab/>
      </w:r>
      <w:r>
        <w:rPr>
          <w:color w:val="auto"/>
          <w:sz w:val="24"/>
          <w:highlight w:val="none"/>
        </w:rPr>
        <w:t>址：</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ab/>
      </w:r>
    </w:p>
    <w:p>
      <w:pPr>
        <w:tabs>
          <w:tab w:val="left" w:pos="9275"/>
        </w:tabs>
        <w:spacing w:before="2" w:line="364" w:lineRule="auto"/>
        <w:ind w:left="3516" w:right="808" w:firstLine="0"/>
        <w:jc w:val="both"/>
        <w:rPr>
          <w:rFonts w:ascii="Times New Roman" w:eastAsia="Times New Roman"/>
          <w:color w:val="auto"/>
          <w:sz w:val="24"/>
          <w:highlight w:val="none"/>
        </w:rPr>
      </w:pPr>
      <w:r>
        <w:rPr>
          <w:color w:val="auto"/>
          <w:sz w:val="24"/>
          <w:highlight w:val="none"/>
        </w:rPr>
        <w:t>网  址：</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电  话：</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传  真：</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邮政编码：</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tabs>
          <w:tab w:val="left" w:pos="6623"/>
          <w:tab w:val="left" w:pos="7583"/>
          <w:tab w:val="left" w:pos="8663"/>
        </w:tabs>
        <w:spacing w:before="2"/>
        <w:ind w:left="5784" w:right="0" w:firstLine="0"/>
        <w:jc w:val="left"/>
        <w:rPr>
          <w:color w:val="auto"/>
          <w:sz w:val="24"/>
          <w:highlight w:val="none"/>
        </w:rPr>
      </w:pP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u w:val="single"/>
        </w:rPr>
        <w:tab/>
      </w:r>
      <w:r>
        <w:rPr>
          <w:color w:val="auto"/>
          <w:sz w:val="24"/>
          <w:highlight w:val="none"/>
        </w:rPr>
        <w:t>月</w:t>
      </w:r>
      <w:r>
        <w:rPr>
          <w:color w:val="auto"/>
          <w:sz w:val="24"/>
          <w:highlight w:val="none"/>
          <w:u w:val="single"/>
        </w:rPr>
        <w:t xml:space="preserve"> </w:t>
      </w:r>
      <w:r>
        <w:rPr>
          <w:color w:val="auto"/>
          <w:sz w:val="24"/>
          <w:highlight w:val="none"/>
          <w:u w:val="single"/>
        </w:rPr>
        <w:tab/>
      </w:r>
      <w:r>
        <w:rPr>
          <w:color w:val="auto"/>
          <w:sz w:val="24"/>
          <w:highlight w:val="none"/>
        </w:rPr>
        <w:t>日</w:t>
      </w:r>
    </w:p>
    <w:p>
      <w:pPr>
        <w:spacing w:after="0"/>
        <w:jc w:val="left"/>
        <w:rPr>
          <w:color w:val="auto"/>
          <w:sz w:val="24"/>
          <w:highlight w:val="none"/>
        </w:rPr>
        <w:sectPr>
          <w:pgSz w:w="11910" w:h="16840"/>
          <w:pgMar w:top="980"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37"/>
        <w:ind w:left="302" w:right="314" w:firstLine="0"/>
        <w:jc w:val="center"/>
        <w:outlineLvl w:val="1"/>
        <w:rPr>
          <w:b/>
          <w:color w:val="auto"/>
          <w:sz w:val="36"/>
          <w:highlight w:val="none"/>
        </w:rPr>
      </w:pPr>
      <w:bookmarkStart w:id="225" w:name="二、法定代表人身份证明或法定代表人的授权委托书"/>
      <w:bookmarkEnd w:id="225"/>
      <w:bookmarkStart w:id="226" w:name="_Toc13095"/>
      <w:r>
        <w:rPr>
          <w:b/>
          <w:color w:val="auto"/>
          <w:sz w:val="36"/>
          <w:highlight w:val="none"/>
        </w:rPr>
        <w:t>二、法定代表人身份证明或法定代表人的授权委托书</w:t>
      </w:r>
      <w:bookmarkEnd w:id="226"/>
    </w:p>
    <w:p>
      <w:pPr>
        <w:pStyle w:val="2"/>
        <w:rPr>
          <w:b/>
          <w:color w:val="auto"/>
          <w:sz w:val="36"/>
          <w:highlight w:val="none"/>
        </w:rPr>
      </w:pPr>
    </w:p>
    <w:p>
      <w:pPr>
        <w:pStyle w:val="2"/>
        <w:spacing w:before="2"/>
        <w:rPr>
          <w:b/>
          <w:color w:val="auto"/>
          <w:sz w:val="27"/>
          <w:highlight w:val="none"/>
        </w:rPr>
      </w:pPr>
    </w:p>
    <w:p>
      <w:pPr>
        <w:spacing w:before="0"/>
        <w:ind w:left="301" w:right="314" w:firstLine="0"/>
        <w:jc w:val="center"/>
        <w:outlineLvl w:val="2"/>
        <w:rPr>
          <w:b/>
          <w:color w:val="auto"/>
          <w:sz w:val="32"/>
          <w:highlight w:val="none"/>
        </w:rPr>
      </w:pPr>
      <w:bookmarkStart w:id="227" w:name="（一）法定代表人身份证明"/>
      <w:bookmarkEnd w:id="227"/>
      <w:bookmarkStart w:id="228" w:name="_Toc8682"/>
      <w:bookmarkStart w:id="229" w:name="_Toc8580"/>
      <w:r>
        <w:rPr>
          <w:b/>
          <w:color w:val="auto"/>
          <w:sz w:val="32"/>
          <w:highlight w:val="none"/>
        </w:rPr>
        <w:t>（一）法定代表人身份证明</w:t>
      </w:r>
      <w:bookmarkEnd w:id="228"/>
      <w:bookmarkEnd w:id="229"/>
    </w:p>
    <w:p>
      <w:pPr>
        <w:pStyle w:val="2"/>
        <w:rPr>
          <w:b/>
          <w:color w:val="auto"/>
          <w:sz w:val="32"/>
          <w:highlight w:val="none"/>
        </w:rPr>
      </w:pPr>
    </w:p>
    <w:p>
      <w:pPr>
        <w:tabs>
          <w:tab w:val="left" w:pos="4838"/>
        </w:tabs>
        <w:spacing w:before="247" w:line="364" w:lineRule="auto"/>
        <w:ind w:left="398" w:right="5246" w:firstLine="0"/>
        <w:jc w:val="both"/>
        <w:rPr>
          <w:color w:val="auto"/>
          <w:sz w:val="24"/>
          <w:highlight w:val="none"/>
        </w:rPr>
      </w:pPr>
      <w:r>
        <w:rPr>
          <w:color w:val="auto"/>
          <w:sz w:val="24"/>
          <w:highlight w:val="none"/>
        </w:rPr>
        <w:t>投标人名称：</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单位性质：</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地   址：</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成立时间：</w:t>
      </w:r>
      <w:r>
        <w:rPr>
          <w:color w:val="auto"/>
          <w:sz w:val="24"/>
          <w:highlight w:val="none"/>
          <w:u w:val="single"/>
        </w:rPr>
        <w:t xml:space="preserve"> </w:t>
      </w:r>
      <w:r>
        <w:rPr>
          <w:rFonts w:hint="eastAsia"/>
          <w:color w:val="auto"/>
          <w:sz w:val="24"/>
          <w:highlight w:val="none"/>
          <w:u w:val="single"/>
          <w:lang w:val="en-US" w:eastAsia="zh-CN"/>
        </w:rPr>
        <w:t xml:space="preserve">   </w:t>
      </w:r>
      <w:r>
        <w:rPr>
          <w:color w:val="auto"/>
          <w:sz w:val="24"/>
          <w:highlight w:val="none"/>
        </w:rPr>
        <w:t>年</w:t>
      </w:r>
      <w:r>
        <w:rPr>
          <w:color w:val="auto"/>
          <w:sz w:val="24"/>
          <w:highlight w:val="none"/>
          <w:u w:val="single"/>
        </w:rPr>
        <w:t xml:space="preserve"> </w:t>
      </w:r>
      <w:r>
        <w:rPr>
          <w:rFonts w:hint="eastAsia"/>
          <w:color w:val="auto"/>
          <w:sz w:val="24"/>
          <w:highlight w:val="none"/>
          <w:u w:val="singl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pacing w:val="119"/>
          <w:sz w:val="24"/>
          <w:highlight w:val="none"/>
          <w:u w:val="single"/>
        </w:rPr>
        <w:t xml:space="preserve"> </w:t>
      </w:r>
      <w:r>
        <w:rPr>
          <w:rFonts w:hint="eastAsia"/>
          <w:color w:val="auto"/>
          <w:spacing w:val="119"/>
          <w:sz w:val="24"/>
          <w:highlight w:val="none"/>
          <w:u w:val="single"/>
          <w:lang w:val="en-US" w:eastAsia="zh-CN"/>
        </w:rPr>
        <w:t xml:space="preserve"> </w:t>
      </w:r>
      <w:r>
        <w:rPr>
          <w:color w:val="auto"/>
          <w:sz w:val="24"/>
          <w:highlight w:val="none"/>
        </w:rPr>
        <w:t>日</w:t>
      </w:r>
    </w:p>
    <w:p>
      <w:pPr>
        <w:tabs>
          <w:tab w:val="left" w:pos="2198"/>
          <w:tab w:val="left" w:pos="2438"/>
          <w:tab w:val="left" w:pos="3638"/>
          <w:tab w:val="left" w:pos="5078"/>
        </w:tabs>
        <w:spacing w:before="2" w:line="364" w:lineRule="auto"/>
        <w:ind w:left="398" w:right="3565" w:firstLine="0"/>
        <w:jc w:val="both"/>
        <w:rPr>
          <w:color w:val="auto"/>
          <w:sz w:val="24"/>
          <w:highlight w:val="none"/>
        </w:rPr>
      </w:pPr>
      <w:r>
        <w:rPr>
          <w:color w:val="auto"/>
          <w:sz w:val="24"/>
          <w:highlight w:val="none"/>
        </w:rPr>
        <w:t>姓名：</w:t>
      </w:r>
      <w:r>
        <w:rPr>
          <w:color w:val="auto"/>
          <w:sz w:val="24"/>
          <w:highlight w:val="none"/>
          <w:u w:val="single"/>
        </w:rPr>
        <w:t xml:space="preserve"> </w:t>
      </w:r>
      <w:r>
        <w:rPr>
          <w:color w:val="auto"/>
          <w:sz w:val="24"/>
          <w:highlight w:val="none"/>
          <w:u w:val="single"/>
        </w:rPr>
        <w:tab/>
      </w:r>
      <w:r>
        <w:rPr>
          <w:color w:val="auto"/>
          <w:sz w:val="24"/>
          <w:highlight w:val="none"/>
        </w:rPr>
        <w:t>性别：</w:t>
      </w:r>
      <w:r>
        <w:rPr>
          <w:color w:val="auto"/>
          <w:sz w:val="24"/>
          <w:highlight w:val="none"/>
          <w:u w:val="single"/>
        </w:rPr>
        <w:t xml:space="preserve"> </w:t>
      </w:r>
      <w:r>
        <w:rPr>
          <w:color w:val="auto"/>
          <w:sz w:val="24"/>
          <w:highlight w:val="none"/>
          <w:u w:val="single"/>
        </w:rPr>
        <w:tab/>
      </w:r>
      <w:r>
        <w:rPr>
          <w:color w:val="auto"/>
          <w:sz w:val="24"/>
          <w:highlight w:val="none"/>
        </w:rPr>
        <w:t>年龄：</w:t>
      </w:r>
      <w:r>
        <w:rPr>
          <w:color w:val="auto"/>
          <w:sz w:val="24"/>
          <w:highlight w:val="none"/>
          <w:u w:val="single"/>
        </w:rPr>
        <w:t xml:space="preserve"> </w:t>
      </w:r>
      <w:r>
        <w:rPr>
          <w:color w:val="auto"/>
          <w:sz w:val="24"/>
          <w:highlight w:val="none"/>
          <w:u w:val="single"/>
        </w:rPr>
        <w:tab/>
      </w:r>
      <w:r>
        <w:rPr>
          <w:color w:val="auto"/>
          <w:sz w:val="24"/>
          <w:highlight w:val="none"/>
        </w:rPr>
        <w:t>职 务 ：</w:t>
      </w:r>
      <w:r>
        <w:rPr>
          <w:color w:val="auto"/>
          <w:sz w:val="24"/>
          <w:highlight w:val="none"/>
          <w:u w:val="single"/>
        </w:rPr>
        <w:t xml:space="preserve">  </w:t>
      </w:r>
      <w:r>
        <w:rPr>
          <w:color w:val="auto"/>
          <w:sz w:val="24"/>
          <w:highlight w:val="none"/>
        </w:rPr>
        <w:t>系</w:t>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rPr>
        <w:t>（投标人名称）的法定代表人。</w:t>
      </w:r>
    </w:p>
    <w:p>
      <w:pPr>
        <w:pStyle w:val="2"/>
        <w:spacing w:before="8"/>
        <w:rPr>
          <w:color w:val="auto"/>
          <w:sz w:val="36"/>
          <w:highlight w:val="none"/>
        </w:rPr>
      </w:pPr>
    </w:p>
    <w:p>
      <w:pPr>
        <w:spacing w:before="0"/>
        <w:ind w:left="878" w:right="0" w:firstLine="0"/>
        <w:jc w:val="left"/>
        <w:rPr>
          <w:color w:val="auto"/>
          <w:sz w:val="24"/>
          <w:highlight w:val="none"/>
        </w:rPr>
      </w:pPr>
      <w:r>
        <w:rPr>
          <w:color w:val="auto"/>
          <w:sz w:val="24"/>
          <w:highlight w:val="none"/>
        </w:rPr>
        <w:t>特此证明。</w:t>
      </w:r>
    </w:p>
    <w:p>
      <w:pPr>
        <w:pStyle w:val="2"/>
        <w:rPr>
          <w:color w:val="auto"/>
          <w:sz w:val="24"/>
          <w:highlight w:val="none"/>
        </w:rPr>
      </w:pPr>
    </w:p>
    <w:p>
      <w:pPr>
        <w:pStyle w:val="2"/>
        <w:spacing w:before="1"/>
        <w:rPr>
          <w:color w:val="auto"/>
          <w:sz w:val="25"/>
          <w:highlight w:val="none"/>
        </w:rPr>
      </w:pPr>
    </w:p>
    <w:p>
      <w:pPr>
        <w:tabs>
          <w:tab w:val="left" w:pos="7391"/>
        </w:tabs>
        <w:spacing w:before="0"/>
        <w:ind w:left="4598" w:right="0" w:firstLine="0"/>
        <w:jc w:val="left"/>
        <w:rPr>
          <w:color w:val="auto"/>
          <w:sz w:val="24"/>
          <w:highlight w:val="none"/>
        </w:rPr>
      </w:pPr>
      <w:r>
        <w:rPr>
          <w:color w:val="auto"/>
          <w:sz w:val="24"/>
          <w:highlight w:val="none"/>
        </w:rPr>
        <w:t>投标人：</w:t>
      </w:r>
      <w:r>
        <w:rPr>
          <w:color w:val="auto"/>
          <w:sz w:val="24"/>
          <w:highlight w:val="none"/>
          <w:u w:val="single"/>
        </w:rPr>
        <w:t xml:space="preserve"> </w:t>
      </w:r>
      <w:r>
        <w:rPr>
          <w:color w:val="auto"/>
          <w:sz w:val="24"/>
          <w:highlight w:val="none"/>
          <w:u w:val="single"/>
        </w:rPr>
        <w:tab/>
      </w:r>
      <w:r>
        <w:rPr>
          <w:color w:val="auto"/>
          <w:sz w:val="24"/>
          <w:highlight w:val="none"/>
          <w:u w:val="single"/>
        </w:rPr>
        <w:t>（</w:t>
      </w:r>
      <w:r>
        <w:rPr>
          <w:color w:val="auto"/>
          <w:sz w:val="24"/>
          <w:highlight w:val="none"/>
        </w:rPr>
        <w:t>全称并盖电子公章）</w:t>
      </w:r>
    </w:p>
    <w:p>
      <w:pPr>
        <w:tabs>
          <w:tab w:val="left" w:pos="7070"/>
          <w:tab w:val="left" w:pos="7790"/>
          <w:tab w:val="left" w:pos="8630"/>
        </w:tabs>
        <w:spacing w:before="160"/>
        <w:ind w:left="6350" w:right="0" w:firstLine="0"/>
        <w:jc w:val="left"/>
        <w:rPr>
          <w:color w:val="auto"/>
          <w:sz w:val="24"/>
          <w:highlight w:val="none"/>
        </w:rPr>
      </w:pP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u w:val="single"/>
        </w:rPr>
        <w:tab/>
      </w:r>
      <w:r>
        <w:rPr>
          <w:color w:val="auto"/>
          <w:sz w:val="24"/>
          <w:highlight w:val="none"/>
        </w:rPr>
        <w:t>月</w:t>
      </w:r>
      <w:r>
        <w:rPr>
          <w:color w:val="auto"/>
          <w:sz w:val="24"/>
          <w:highlight w:val="none"/>
          <w:u w:val="single"/>
        </w:rPr>
        <w:t xml:space="preserve"> </w:t>
      </w:r>
      <w:r>
        <w:rPr>
          <w:color w:val="auto"/>
          <w:sz w:val="24"/>
          <w:highlight w:val="none"/>
          <w:u w:val="single"/>
        </w:rPr>
        <w:tab/>
      </w:r>
      <w:r>
        <w:rPr>
          <w:color w:val="auto"/>
          <w:sz w:val="24"/>
          <w:highlight w:val="none"/>
        </w:rPr>
        <w:t>日</w:t>
      </w:r>
    </w:p>
    <w:p>
      <w:pPr>
        <w:spacing w:after="0"/>
        <w:jc w:val="left"/>
        <w:rPr>
          <w:color w:val="auto"/>
          <w:sz w:val="24"/>
          <w:highlight w:val="none"/>
        </w:rPr>
        <w:sectPr>
          <w:pgSz w:w="11910" w:h="16840"/>
          <w:pgMar w:top="1020"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40"/>
        <w:ind w:left="296" w:right="314" w:firstLine="0"/>
        <w:jc w:val="center"/>
        <w:outlineLvl w:val="2"/>
        <w:rPr>
          <w:b/>
          <w:color w:val="auto"/>
          <w:sz w:val="32"/>
          <w:highlight w:val="none"/>
        </w:rPr>
      </w:pPr>
      <w:bookmarkStart w:id="230" w:name="（二）授权委托书"/>
      <w:bookmarkEnd w:id="230"/>
      <w:bookmarkStart w:id="231" w:name="_Toc6375"/>
      <w:bookmarkStart w:id="232" w:name="_Toc13097"/>
      <w:r>
        <w:rPr>
          <w:b/>
          <w:color w:val="auto"/>
          <w:sz w:val="32"/>
          <w:highlight w:val="none"/>
        </w:rPr>
        <w:t>（二）授权委托书</w:t>
      </w:r>
      <w:bookmarkEnd w:id="231"/>
      <w:bookmarkEnd w:id="232"/>
    </w:p>
    <w:p>
      <w:pPr>
        <w:pStyle w:val="2"/>
        <w:rPr>
          <w:b/>
          <w:color w:val="auto"/>
          <w:sz w:val="32"/>
          <w:highlight w:val="none"/>
        </w:rPr>
      </w:pPr>
    </w:p>
    <w:p>
      <w:pPr>
        <w:tabs>
          <w:tab w:val="left" w:pos="1727"/>
          <w:tab w:val="left" w:pos="2443"/>
          <w:tab w:val="left" w:pos="4180"/>
          <w:tab w:val="left" w:pos="5819"/>
        </w:tabs>
        <w:spacing w:before="246" w:line="364" w:lineRule="auto"/>
        <w:ind w:left="398" w:right="412" w:firstLine="480"/>
        <w:jc w:val="both"/>
        <w:rPr>
          <w:color w:val="auto"/>
          <w:sz w:val="24"/>
          <w:highlight w:val="none"/>
        </w:rPr>
      </w:pPr>
      <w:r>
        <w:rPr>
          <w:color w:val="auto"/>
          <w:sz w:val="24"/>
          <w:highlight w:val="none"/>
        </w:rPr>
        <w:t>本人</w:t>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rPr>
        <w:t>（姓名）系</w:t>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rPr>
        <w:t>（投标人名称）的法定代表人，现</w:t>
      </w:r>
      <w:r>
        <w:rPr>
          <w:color w:val="auto"/>
          <w:spacing w:val="-13"/>
          <w:sz w:val="24"/>
          <w:highlight w:val="none"/>
        </w:rPr>
        <w:t>委</w:t>
      </w:r>
      <w:r>
        <w:rPr>
          <w:color w:val="auto"/>
          <w:sz w:val="24"/>
          <w:highlight w:val="none"/>
        </w:rPr>
        <w:t>托</w:t>
      </w:r>
      <w:r>
        <w:rPr>
          <w:color w:val="auto"/>
          <w:sz w:val="24"/>
          <w:highlight w:val="none"/>
          <w:u w:val="single"/>
        </w:rPr>
        <w:t xml:space="preserve"> </w:t>
      </w:r>
      <w:r>
        <w:rPr>
          <w:color w:val="auto"/>
          <w:sz w:val="24"/>
          <w:highlight w:val="none"/>
          <w:u w:val="single"/>
        </w:rPr>
        <w:tab/>
      </w:r>
      <w:r>
        <w:rPr>
          <w:color w:val="auto"/>
          <w:sz w:val="24"/>
          <w:highlight w:val="none"/>
        </w:rPr>
        <w:t>（姓名）为我方代理人。代理人根据授权，以我方名义签署、澄清、说明</w:t>
      </w:r>
      <w:r>
        <w:rPr>
          <w:color w:val="auto"/>
          <w:spacing w:val="-11"/>
          <w:sz w:val="24"/>
          <w:highlight w:val="none"/>
        </w:rPr>
        <w:t>、</w:t>
      </w:r>
      <w:r>
        <w:rPr>
          <w:color w:val="auto"/>
          <w:sz w:val="24"/>
          <w:highlight w:val="none"/>
        </w:rPr>
        <w:t>补正</w:t>
      </w:r>
      <w:r>
        <w:rPr>
          <w:color w:val="auto"/>
          <w:spacing w:val="-15"/>
          <w:sz w:val="24"/>
          <w:highlight w:val="none"/>
        </w:rPr>
        <w:t>、</w:t>
      </w:r>
      <w:r>
        <w:rPr>
          <w:color w:val="auto"/>
          <w:sz w:val="24"/>
          <w:highlight w:val="none"/>
        </w:rPr>
        <w:t>递交</w:t>
      </w:r>
      <w:r>
        <w:rPr>
          <w:color w:val="auto"/>
          <w:spacing w:val="-15"/>
          <w:sz w:val="24"/>
          <w:highlight w:val="none"/>
        </w:rPr>
        <w:t>、</w:t>
      </w:r>
      <w:r>
        <w:rPr>
          <w:color w:val="auto"/>
          <w:sz w:val="24"/>
          <w:highlight w:val="none"/>
        </w:rPr>
        <w:t>撤回</w:t>
      </w:r>
      <w:r>
        <w:rPr>
          <w:color w:val="auto"/>
          <w:spacing w:val="-15"/>
          <w:sz w:val="24"/>
          <w:highlight w:val="none"/>
        </w:rPr>
        <w:t>、</w:t>
      </w:r>
      <w:r>
        <w:rPr>
          <w:color w:val="auto"/>
          <w:sz w:val="24"/>
          <w:highlight w:val="none"/>
        </w:rPr>
        <w:t>修改</w:t>
      </w:r>
      <w:r>
        <w:rPr>
          <w:rFonts w:hint="eastAsia"/>
          <w:color w:val="auto"/>
          <w:sz w:val="24"/>
          <w:highlight w:val="none"/>
          <w:u w:val="single"/>
        </w:rPr>
        <w:t xml:space="preserve">              </w:t>
      </w:r>
      <w:r>
        <w:rPr>
          <w:rFonts w:hint="eastAsia"/>
          <w:color w:val="auto"/>
          <w:sz w:val="24"/>
          <w:highlight w:val="none"/>
        </w:rPr>
        <w:t>（项目名称）</w:t>
      </w:r>
      <w:r>
        <w:rPr>
          <w:rFonts w:hint="eastAsia"/>
          <w:color w:val="auto"/>
          <w:sz w:val="24"/>
          <w:highlight w:val="none"/>
          <w:u w:val="single"/>
          <w:lang w:val="en-US" w:eastAsia="zh-CN"/>
        </w:rPr>
        <w:t xml:space="preserve">     </w:t>
      </w:r>
      <w:r>
        <w:rPr>
          <w:rFonts w:hint="eastAsia"/>
          <w:color w:val="auto"/>
          <w:sz w:val="24"/>
          <w:highlight w:val="none"/>
          <w:u w:val="none"/>
          <w:lang w:val="en-US" w:eastAsia="zh-CN"/>
        </w:rPr>
        <w:t>（标段名称）</w:t>
      </w:r>
      <w:r>
        <w:rPr>
          <w:color w:val="auto"/>
          <w:sz w:val="24"/>
          <w:highlight w:val="none"/>
        </w:rPr>
        <w:t>设计投标文件</w:t>
      </w:r>
      <w:r>
        <w:rPr>
          <w:color w:val="auto"/>
          <w:spacing w:val="-15"/>
          <w:sz w:val="24"/>
          <w:highlight w:val="none"/>
        </w:rPr>
        <w:t>、</w:t>
      </w:r>
      <w:r>
        <w:rPr>
          <w:color w:val="auto"/>
          <w:sz w:val="24"/>
          <w:highlight w:val="none"/>
        </w:rPr>
        <w:t>签订合同和处理有关</w:t>
      </w:r>
      <w:r>
        <w:rPr>
          <w:color w:val="auto"/>
          <w:spacing w:val="-16"/>
          <w:sz w:val="24"/>
          <w:highlight w:val="none"/>
        </w:rPr>
        <w:t>事</w:t>
      </w:r>
      <w:r>
        <w:rPr>
          <w:color w:val="auto"/>
          <w:sz w:val="24"/>
          <w:highlight w:val="none"/>
        </w:rPr>
        <w:t>宜，其法律后果由我方承担。</w:t>
      </w:r>
    </w:p>
    <w:p>
      <w:pPr>
        <w:tabs>
          <w:tab w:val="left" w:pos="4238"/>
        </w:tabs>
        <w:spacing w:before="2" w:line="364" w:lineRule="auto"/>
        <w:ind w:left="878" w:right="5486" w:firstLine="0"/>
        <w:jc w:val="both"/>
        <w:rPr>
          <w:color w:val="auto"/>
          <w:sz w:val="24"/>
          <w:highlight w:val="none"/>
        </w:rPr>
      </w:pPr>
      <w:r>
        <w:rPr>
          <w:color w:val="auto"/>
          <w:sz w:val="24"/>
          <w:highlight w:val="none"/>
        </w:rPr>
        <w:t>委托期限：</w:t>
      </w:r>
      <w:r>
        <w:rPr>
          <w:color w:val="auto"/>
          <w:sz w:val="24"/>
          <w:highlight w:val="none"/>
          <w:u w:val="single"/>
        </w:rPr>
        <w:t xml:space="preserve"> </w:t>
      </w:r>
      <w:r>
        <w:rPr>
          <w:color w:val="auto"/>
          <w:sz w:val="24"/>
          <w:highlight w:val="none"/>
          <w:u w:val="single"/>
        </w:rPr>
        <w:tab/>
      </w:r>
      <w:r>
        <w:rPr>
          <w:color w:val="auto"/>
          <w:spacing w:val="-18"/>
          <w:sz w:val="24"/>
          <w:highlight w:val="none"/>
        </w:rPr>
        <w:t>。</w:t>
      </w:r>
      <w:r>
        <w:rPr>
          <w:color w:val="auto"/>
          <w:sz w:val="24"/>
          <w:highlight w:val="none"/>
        </w:rPr>
        <w:t>代理人无转委托权。</w:t>
      </w:r>
    </w:p>
    <w:p>
      <w:pPr>
        <w:pStyle w:val="2"/>
        <w:rPr>
          <w:color w:val="auto"/>
          <w:sz w:val="24"/>
          <w:highlight w:val="none"/>
        </w:rPr>
      </w:pPr>
    </w:p>
    <w:p>
      <w:pPr>
        <w:pStyle w:val="2"/>
        <w:rPr>
          <w:color w:val="auto"/>
          <w:sz w:val="24"/>
          <w:highlight w:val="none"/>
        </w:rPr>
      </w:pPr>
    </w:p>
    <w:p>
      <w:pPr>
        <w:pStyle w:val="2"/>
        <w:spacing w:before="2"/>
        <w:rPr>
          <w:color w:val="auto"/>
          <w:sz w:val="25"/>
          <w:highlight w:val="none"/>
        </w:rPr>
      </w:pPr>
    </w:p>
    <w:p>
      <w:pPr>
        <w:tabs>
          <w:tab w:val="left" w:pos="7391"/>
          <w:tab w:val="left" w:pos="8318"/>
          <w:tab w:val="left" w:pos="9638"/>
          <w:tab w:val="left" w:pos="9671"/>
        </w:tabs>
        <w:spacing w:before="0" w:line="364" w:lineRule="auto"/>
        <w:ind w:left="4118" w:right="292" w:firstLine="0"/>
        <w:jc w:val="left"/>
        <w:rPr>
          <w:color w:val="auto"/>
          <w:sz w:val="24"/>
          <w:highlight w:val="none"/>
        </w:rPr>
      </w:pPr>
      <w:r>
        <w:rPr>
          <w:color w:val="auto"/>
          <w:sz w:val="24"/>
          <w:highlight w:val="none"/>
        </w:rPr>
        <w:t>投标人</w:t>
      </w:r>
      <w:r>
        <w:rPr>
          <w:color w:val="auto"/>
          <w:sz w:val="24"/>
          <w:highlight w:val="none"/>
          <w:u w:val="single"/>
        </w:rPr>
        <w:t>：</w:t>
      </w:r>
      <w:r>
        <w:rPr>
          <w:color w:val="auto"/>
          <w:sz w:val="24"/>
          <w:highlight w:val="none"/>
          <w:u w:val="single"/>
        </w:rPr>
        <w:tab/>
      </w:r>
      <w:r>
        <w:rPr>
          <w:color w:val="auto"/>
          <w:sz w:val="24"/>
          <w:highlight w:val="none"/>
          <w:u w:val="single"/>
        </w:rPr>
        <w:t>（</w:t>
      </w:r>
      <w:r>
        <w:rPr>
          <w:color w:val="auto"/>
          <w:sz w:val="24"/>
          <w:highlight w:val="none"/>
        </w:rPr>
        <w:t>全称并盖电子公章</w:t>
      </w:r>
      <w:r>
        <w:rPr>
          <w:color w:val="auto"/>
          <w:spacing w:val="-17"/>
          <w:sz w:val="24"/>
          <w:highlight w:val="none"/>
        </w:rPr>
        <w:t xml:space="preserve">） </w:t>
      </w:r>
      <w:r>
        <w:rPr>
          <w:color w:val="auto"/>
          <w:sz w:val="24"/>
          <w:highlight w:val="none"/>
        </w:rPr>
        <w:t>法定代表人：</w:t>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rPr>
        <w:t>（盖电子章） 身份证号码：</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委托代理人：</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身份证号码</w:t>
      </w:r>
      <w:r>
        <w:rPr>
          <w:color w:val="auto"/>
          <w:sz w:val="24"/>
          <w:highlight w:val="none"/>
          <w:u w:val="single"/>
        </w:rPr>
        <w:t>：</w:t>
      </w:r>
      <w:r>
        <w:rPr>
          <w:color w:val="auto"/>
          <w:sz w:val="24"/>
          <w:highlight w:val="none"/>
          <w:u w:val="single"/>
        </w:rPr>
        <w:tab/>
      </w:r>
      <w:r>
        <w:rPr>
          <w:color w:val="auto"/>
          <w:sz w:val="24"/>
          <w:highlight w:val="none"/>
          <w:u w:val="single"/>
        </w:rPr>
        <w:tab/>
      </w:r>
      <w:r>
        <w:rPr>
          <w:color w:val="auto"/>
          <w:sz w:val="24"/>
          <w:highlight w:val="none"/>
          <w:u w:val="single"/>
        </w:rPr>
        <w:tab/>
      </w:r>
      <w:r>
        <w:rPr>
          <w:color w:val="auto"/>
          <w:sz w:val="24"/>
          <w:highlight w:val="none"/>
          <w:u w:val="single"/>
        </w:rPr>
        <w:tab/>
      </w:r>
    </w:p>
    <w:p>
      <w:pPr>
        <w:tabs>
          <w:tab w:val="left" w:pos="599"/>
          <w:tab w:val="left" w:pos="1439"/>
          <w:tab w:val="left" w:pos="2279"/>
        </w:tabs>
        <w:spacing w:before="3"/>
        <w:ind w:left="0" w:right="412" w:firstLine="0"/>
        <w:jc w:val="right"/>
        <w:rPr>
          <w:color w:val="auto"/>
          <w:sz w:val="24"/>
          <w:highlight w:val="none"/>
        </w:rPr>
      </w:pP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u w:val="single"/>
        </w:rPr>
        <w:tab/>
      </w:r>
      <w:r>
        <w:rPr>
          <w:color w:val="auto"/>
          <w:sz w:val="24"/>
          <w:highlight w:val="none"/>
        </w:rPr>
        <w:t>月</w:t>
      </w:r>
      <w:r>
        <w:rPr>
          <w:color w:val="auto"/>
          <w:sz w:val="24"/>
          <w:highlight w:val="none"/>
          <w:u w:val="single"/>
        </w:rPr>
        <w:t xml:space="preserve"> </w:t>
      </w:r>
      <w:r>
        <w:rPr>
          <w:color w:val="auto"/>
          <w:sz w:val="24"/>
          <w:highlight w:val="none"/>
          <w:u w:val="single"/>
        </w:rPr>
        <w:tab/>
      </w:r>
      <w:r>
        <w:rPr>
          <w:color w:val="auto"/>
          <w:sz w:val="24"/>
          <w:highlight w:val="none"/>
        </w:rPr>
        <w:t>日</w:t>
      </w:r>
    </w:p>
    <w:p>
      <w:pPr>
        <w:spacing w:after="0"/>
        <w:jc w:val="right"/>
        <w:rPr>
          <w:color w:val="auto"/>
          <w:sz w:val="24"/>
          <w:highlight w:val="none"/>
        </w:rPr>
        <w:sectPr>
          <w:pgSz w:w="11910" w:h="16840"/>
          <w:pgMar w:top="1040"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40"/>
        <w:ind w:left="298" w:right="314" w:firstLine="0"/>
        <w:jc w:val="center"/>
        <w:outlineLvl w:val="1"/>
        <w:rPr>
          <w:b/>
          <w:color w:val="auto"/>
          <w:sz w:val="32"/>
          <w:highlight w:val="none"/>
        </w:rPr>
      </w:pPr>
      <w:bookmarkStart w:id="233" w:name="三、投标保证金"/>
      <w:bookmarkEnd w:id="233"/>
      <w:bookmarkStart w:id="234" w:name="_Toc8450"/>
      <w:r>
        <w:rPr>
          <w:b/>
          <w:color w:val="auto"/>
          <w:sz w:val="32"/>
          <w:highlight w:val="none"/>
        </w:rPr>
        <w:t>三、投标保证金</w:t>
      </w:r>
      <w:bookmarkEnd w:id="234"/>
    </w:p>
    <w:p>
      <w:pPr>
        <w:pStyle w:val="2"/>
        <w:rPr>
          <w:b/>
          <w:color w:val="auto"/>
          <w:sz w:val="32"/>
          <w:highlight w:val="none"/>
        </w:rPr>
      </w:pPr>
    </w:p>
    <w:p>
      <w:pPr>
        <w:spacing w:before="246"/>
        <w:ind w:right="0" w:firstLine="480" w:firstLineChars="200"/>
        <w:jc w:val="left"/>
        <w:rPr>
          <w:rFonts w:hint="eastAsia" w:eastAsia="宋体"/>
          <w:color w:val="auto"/>
          <w:sz w:val="24"/>
          <w:highlight w:val="none"/>
          <w:lang w:eastAsia="zh-CN"/>
        </w:rPr>
      </w:pPr>
      <w:r>
        <w:rPr>
          <w:rFonts w:hint="eastAsia"/>
          <w:color w:val="auto"/>
          <w:sz w:val="24"/>
          <w:highlight w:val="none"/>
        </w:rPr>
        <w:t>投标人在此提供银行汇款凭证或转账凭证或电子保单或银行保函或保险机构保证保险保单或融资担保公司保函或保兑支票或银行汇票或现金支票或协会联保证明的扫描件</w:t>
      </w:r>
      <w:r>
        <w:rPr>
          <w:rFonts w:hint="eastAsia"/>
          <w:color w:val="auto"/>
          <w:sz w:val="24"/>
          <w:highlight w:val="none"/>
          <w:lang w:eastAsia="zh-CN"/>
        </w:rPr>
        <w:t>。</w:t>
      </w:r>
    </w:p>
    <w:p>
      <w:pPr>
        <w:rPr>
          <w:rFonts w:hint="eastAsia" w:ascii="Times New Roman" w:hAnsi="Times New Roman" w:eastAsia="宋体" w:cs="宋体"/>
          <w:b/>
          <w:bCs/>
          <w:color w:val="auto"/>
          <w:sz w:val="32"/>
          <w:szCs w:val="32"/>
          <w:highlight w:val="none"/>
        </w:rPr>
      </w:pPr>
      <w:r>
        <w:rPr>
          <w:rFonts w:hint="eastAsia" w:ascii="Times New Roman" w:hAnsi="Times New Roman" w:eastAsia="宋体" w:cs="宋体"/>
          <w:b/>
          <w:bCs/>
          <w:color w:val="auto"/>
          <w:sz w:val="32"/>
          <w:szCs w:val="32"/>
          <w:highlight w:val="none"/>
        </w:rPr>
        <w:br w:type="page"/>
      </w:r>
    </w:p>
    <w:p>
      <w:pPr>
        <w:spacing w:line="360" w:lineRule="auto"/>
        <w:ind w:firstLine="420"/>
        <w:jc w:val="center"/>
        <w:outlineLvl w:val="1"/>
        <w:rPr>
          <w:rFonts w:hint="eastAsia" w:cs="宋体"/>
          <w:b/>
          <w:bCs/>
          <w:color w:val="auto"/>
          <w:sz w:val="32"/>
          <w:szCs w:val="32"/>
          <w:highlight w:val="none"/>
        </w:rPr>
      </w:pPr>
      <w:bookmarkStart w:id="235" w:name="_Toc1062"/>
      <w:r>
        <w:rPr>
          <w:rFonts w:hint="eastAsia" w:ascii="Times New Roman" w:hAnsi="Times New Roman" w:cs="宋体"/>
          <w:b/>
          <w:bCs/>
          <w:color w:val="auto"/>
          <w:sz w:val="32"/>
          <w:szCs w:val="32"/>
          <w:highlight w:val="none"/>
          <w:lang w:eastAsia="zh-CN"/>
        </w:rPr>
        <w:t>四</w:t>
      </w:r>
      <w:r>
        <w:rPr>
          <w:rFonts w:hint="eastAsia" w:ascii="Times New Roman" w:hAnsi="Times New Roman" w:eastAsia="宋体" w:cs="宋体"/>
          <w:b/>
          <w:bCs/>
          <w:color w:val="auto"/>
          <w:sz w:val="32"/>
          <w:szCs w:val="32"/>
          <w:highlight w:val="none"/>
        </w:rPr>
        <w:t>、拟分包项目情况表</w:t>
      </w:r>
      <w:bookmarkEnd w:id="235"/>
    </w:p>
    <w:tbl>
      <w:tblPr>
        <w:tblStyle w:val="26"/>
        <w:tblW w:w="0" w:type="auto"/>
        <w:jc w:val="center"/>
        <w:tblLayout w:type="fixed"/>
        <w:tblCellMar>
          <w:top w:w="0" w:type="dxa"/>
          <w:left w:w="108" w:type="dxa"/>
          <w:bottom w:w="0" w:type="dxa"/>
          <w:right w:w="108" w:type="dxa"/>
        </w:tblCellMar>
      </w:tblPr>
      <w:tblGrid>
        <w:gridCol w:w="2650"/>
        <w:gridCol w:w="2660"/>
        <w:gridCol w:w="1602"/>
        <w:gridCol w:w="2293"/>
      </w:tblGrid>
      <w:tr>
        <w:tblPrEx>
          <w:tblCellMar>
            <w:top w:w="0" w:type="dxa"/>
            <w:left w:w="108" w:type="dxa"/>
            <w:bottom w:w="0" w:type="dxa"/>
            <w:right w:w="108" w:type="dxa"/>
          </w:tblCellMar>
        </w:tblPrEx>
        <w:trPr>
          <w:trHeight w:val="740" w:hRule="atLeast"/>
          <w:jc w:val="center"/>
        </w:trPr>
        <w:tc>
          <w:tcPr>
            <w:tcW w:w="2650" w:type="dxa"/>
            <w:tcBorders>
              <w:top w:val="single" w:color="000000" w:sz="12" w:space="0"/>
              <w:left w:val="single" w:color="000000" w:sz="12" w:space="0"/>
              <w:bottom w:val="single" w:color="000000" w:sz="8" w:space="0"/>
              <w:right w:val="single" w:color="000000" w:sz="6" w:space="0"/>
            </w:tcBorders>
            <w:noWrap w:val="0"/>
            <w:vAlign w:val="center"/>
          </w:tcPr>
          <w:p>
            <w:pPr>
              <w:pStyle w:val="32"/>
              <w:jc w:val="center"/>
              <w:rPr>
                <w:rFonts w:hAnsi="宋体"/>
                <w:color w:val="auto"/>
                <w:sz w:val="21"/>
                <w:szCs w:val="21"/>
                <w:highlight w:val="none"/>
              </w:rPr>
            </w:pPr>
            <w:r>
              <w:rPr>
                <w:rFonts w:hint="eastAsia" w:hAnsi="宋体"/>
                <w:color w:val="auto"/>
                <w:sz w:val="21"/>
                <w:szCs w:val="21"/>
                <w:highlight w:val="none"/>
              </w:rPr>
              <w:t>分包人名称</w:t>
            </w:r>
          </w:p>
        </w:tc>
        <w:tc>
          <w:tcPr>
            <w:tcW w:w="2660" w:type="dxa"/>
            <w:tcBorders>
              <w:top w:val="single" w:color="000000" w:sz="12" w:space="0"/>
              <w:left w:val="single" w:color="000000" w:sz="6" w:space="0"/>
              <w:bottom w:val="single" w:color="000000" w:sz="8" w:space="0"/>
              <w:right w:val="single" w:color="000000" w:sz="6" w:space="0"/>
            </w:tcBorders>
            <w:noWrap w:val="0"/>
            <w:vAlign w:val="top"/>
          </w:tcPr>
          <w:p>
            <w:pPr>
              <w:pStyle w:val="32"/>
              <w:rPr>
                <w:rFonts w:hAnsi="宋体" w:cs="Times New Roman"/>
                <w:color w:val="auto"/>
                <w:highlight w:val="none"/>
              </w:rPr>
            </w:pPr>
          </w:p>
        </w:tc>
        <w:tc>
          <w:tcPr>
            <w:tcW w:w="1602" w:type="dxa"/>
            <w:tcBorders>
              <w:top w:val="single" w:color="000000" w:sz="12" w:space="0"/>
              <w:left w:val="single" w:color="000000" w:sz="6" w:space="0"/>
              <w:bottom w:val="single" w:color="000000" w:sz="8" w:space="0"/>
              <w:right w:val="single" w:color="000000" w:sz="6" w:space="0"/>
            </w:tcBorders>
            <w:noWrap w:val="0"/>
            <w:vAlign w:val="center"/>
          </w:tcPr>
          <w:p>
            <w:pPr>
              <w:pStyle w:val="32"/>
              <w:jc w:val="center"/>
              <w:rPr>
                <w:rFonts w:hAnsi="宋体"/>
                <w:color w:val="auto"/>
                <w:sz w:val="21"/>
                <w:szCs w:val="21"/>
                <w:highlight w:val="none"/>
              </w:rPr>
            </w:pPr>
            <w:r>
              <w:rPr>
                <w:rFonts w:hint="eastAsia" w:hAnsi="宋体"/>
                <w:color w:val="auto"/>
                <w:sz w:val="21"/>
                <w:szCs w:val="21"/>
                <w:highlight w:val="none"/>
              </w:rPr>
              <w:t>地 址</w:t>
            </w:r>
          </w:p>
        </w:tc>
        <w:tc>
          <w:tcPr>
            <w:tcW w:w="2293" w:type="dxa"/>
            <w:tcBorders>
              <w:top w:val="single" w:color="000000" w:sz="12" w:space="0"/>
              <w:left w:val="single" w:color="000000" w:sz="6" w:space="0"/>
              <w:bottom w:val="single" w:color="000000" w:sz="8" w:space="0"/>
              <w:right w:val="single" w:color="000000" w:sz="12" w:space="0"/>
            </w:tcBorders>
            <w:noWrap w:val="0"/>
            <w:vAlign w:val="top"/>
          </w:tcPr>
          <w:p>
            <w:pPr>
              <w:pStyle w:val="32"/>
              <w:rPr>
                <w:rFonts w:hAnsi="宋体" w:cs="Times New Roman"/>
                <w:color w:val="auto"/>
                <w:highlight w:val="none"/>
              </w:rPr>
            </w:pPr>
          </w:p>
        </w:tc>
      </w:tr>
      <w:tr>
        <w:tblPrEx>
          <w:tblCellMar>
            <w:top w:w="0" w:type="dxa"/>
            <w:left w:w="108" w:type="dxa"/>
            <w:bottom w:w="0" w:type="dxa"/>
            <w:right w:w="108" w:type="dxa"/>
          </w:tblCellMar>
        </w:tblPrEx>
        <w:trPr>
          <w:trHeight w:val="557" w:hRule="atLeast"/>
          <w:jc w:val="center"/>
        </w:trPr>
        <w:tc>
          <w:tcPr>
            <w:tcW w:w="2650" w:type="dxa"/>
            <w:tcBorders>
              <w:top w:val="single" w:color="000000" w:sz="8" w:space="0"/>
              <w:left w:val="single" w:color="000000" w:sz="12" w:space="0"/>
              <w:bottom w:val="single" w:color="000000" w:sz="8" w:space="0"/>
              <w:right w:val="single" w:color="000000" w:sz="6" w:space="0"/>
            </w:tcBorders>
            <w:noWrap w:val="0"/>
            <w:vAlign w:val="center"/>
          </w:tcPr>
          <w:p>
            <w:pPr>
              <w:pStyle w:val="32"/>
              <w:jc w:val="center"/>
              <w:rPr>
                <w:rFonts w:hAnsi="宋体"/>
                <w:color w:val="auto"/>
                <w:sz w:val="21"/>
                <w:szCs w:val="21"/>
                <w:highlight w:val="none"/>
              </w:rPr>
            </w:pPr>
            <w:r>
              <w:rPr>
                <w:rFonts w:hint="eastAsia" w:hAnsi="宋体"/>
                <w:color w:val="auto"/>
                <w:sz w:val="21"/>
                <w:szCs w:val="21"/>
                <w:highlight w:val="none"/>
              </w:rPr>
              <w:t>法定代表人</w:t>
            </w:r>
          </w:p>
        </w:tc>
        <w:tc>
          <w:tcPr>
            <w:tcW w:w="2660" w:type="dxa"/>
            <w:tcBorders>
              <w:top w:val="single" w:color="000000" w:sz="8" w:space="0"/>
              <w:left w:val="single" w:color="000000" w:sz="6" w:space="0"/>
              <w:bottom w:val="single" w:color="000000" w:sz="8" w:space="0"/>
              <w:right w:val="single" w:color="000000" w:sz="6" w:space="0"/>
            </w:tcBorders>
            <w:noWrap w:val="0"/>
            <w:vAlign w:val="top"/>
          </w:tcPr>
          <w:p>
            <w:pPr>
              <w:pStyle w:val="32"/>
              <w:rPr>
                <w:rFonts w:hAnsi="宋体" w:cs="Times New Roman"/>
                <w:color w:val="auto"/>
                <w:highlight w:val="none"/>
              </w:rPr>
            </w:pPr>
          </w:p>
        </w:tc>
        <w:tc>
          <w:tcPr>
            <w:tcW w:w="1602" w:type="dxa"/>
            <w:tcBorders>
              <w:top w:val="single" w:color="000000" w:sz="8" w:space="0"/>
              <w:left w:val="single" w:color="000000" w:sz="6" w:space="0"/>
              <w:bottom w:val="single" w:color="000000" w:sz="8" w:space="0"/>
              <w:right w:val="single" w:color="000000" w:sz="6" w:space="0"/>
            </w:tcBorders>
            <w:noWrap w:val="0"/>
            <w:vAlign w:val="center"/>
          </w:tcPr>
          <w:p>
            <w:pPr>
              <w:pStyle w:val="32"/>
              <w:jc w:val="center"/>
              <w:rPr>
                <w:rFonts w:hAnsi="宋体"/>
                <w:color w:val="auto"/>
                <w:sz w:val="21"/>
                <w:szCs w:val="21"/>
                <w:highlight w:val="none"/>
              </w:rPr>
            </w:pPr>
            <w:r>
              <w:rPr>
                <w:rFonts w:hint="eastAsia" w:hAnsi="宋体"/>
                <w:color w:val="auto"/>
                <w:sz w:val="21"/>
                <w:szCs w:val="21"/>
                <w:highlight w:val="none"/>
              </w:rPr>
              <w:t>电 话</w:t>
            </w:r>
          </w:p>
        </w:tc>
        <w:tc>
          <w:tcPr>
            <w:tcW w:w="2293" w:type="dxa"/>
            <w:tcBorders>
              <w:top w:val="single" w:color="000000" w:sz="8" w:space="0"/>
              <w:left w:val="single" w:color="000000" w:sz="6" w:space="0"/>
              <w:bottom w:val="single" w:color="000000" w:sz="8" w:space="0"/>
              <w:right w:val="single" w:color="000000" w:sz="12" w:space="0"/>
            </w:tcBorders>
            <w:noWrap w:val="0"/>
            <w:vAlign w:val="top"/>
          </w:tcPr>
          <w:p>
            <w:pPr>
              <w:pStyle w:val="32"/>
              <w:rPr>
                <w:rFonts w:hAnsi="宋体" w:cs="Times New Roman"/>
                <w:color w:val="auto"/>
                <w:highlight w:val="none"/>
              </w:rPr>
            </w:pPr>
          </w:p>
        </w:tc>
      </w:tr>
      <w:tr>
        <w:tblPrEx>
          <w:tblCellMar>
            <w:top w:w="0" w:type="dxa"/>
            <w:left w:w="108" w:type="dxa"/>
            <w:bottom w:w="0" w:type="dxa"/>
            <w:right w:w="108" w:type="dxa"/>
          </w:tblCellMar>
        </w:tblPrEx>
        <w:trPr>
          <w:trHeight w:val="552" w:hRule="atLeast"/>
          <w:jc w:val="center"/>
        </w:trPr>
        <w:tc>
          <w:tcPr>
            <w:tcW w:w="2650" w:type="dxa"/>
            <w:tcBorders>
              <w:top w:val="single" w:color="000000" w:sz="8" w:space="0"/>
              <w:left w:val="single" w:color="000000" w:sz="12" w:space="0"/>
              <w:bottom w:val="single" w:color="000000" w:sz="8" w:space="0"/>
              <w:right w:val="single" w:color="000000" w:sz="6" w:space="0"/>
            </w:tcBorders>
            <w:noWrap w:val="0"/>
            <w:vAlign w:val="center"/>
          </w:tcPr>
          <w:p>
            <w:pPr>
              <w:pStyle w:val="32"/>
              <w:jc w:val="center"/>
              <w:rPr>
                <w:rFonts w:hAnsi="宋体"/>
                <w:color w:val="auto"/>
                <w:sz w:val="21"/>
                <w:szCs w:val="21"/>
                <w:highlight w:val="none"/>
              </w:rPr>
            </w:pPr>
            <w:r>
              <w:rPr>
                <w:rFonts w:hint="eastAsia" w:hAnsi="宋体"/>
                <w:color w:val="auto"/>
                <w:sz w:val="21"/>
                <w:szCs w:val="21"/>
                <w:highlight w:val="none"/>
              </w:rPr>
              <w:t>营业执照号码</w:t>
            </w:r>
          </w:p>
        </w:tc>
        <w:tc>
          <w:tcPr>
            <w:tcW w:w="2660" w:type="dxa"/>
            <w:tcBorders>
              <w:top w:val="single" w:color="000000" w:sz="8" w:space="0"/>
              <w:left w:val="single" w:color="000000" w:sz="6" w:space="0"/>
              <w:bottom w:val="single" w:color="000000" w:sz="8" w:space="0"/>
              <w:right w:val="single" w:color="000000" w:sz="6" w:space="0"/>
            </w:tcBorders>
            <w:noWrap w:val="0"/>
            <w:vAlign w:val="top"/>
          </w:tcPr>
          <w:p>
            <w:pPr>
              <w:pStyle w:val="32"/>
              <w:rPr>
                <w:rFonts w:hAnsi="宋体" w:cs="Times New Roman"/>
                <w:color w:val="auto"/>
                <w:highlight w:val="none"/>
              </w:rPr>
            </w:pPr>
          </w:p>
        </w:tc>
        <w:tc>
          <w:tcPr>
            <w:tcW w:w="1602" w:type="dxa"/>
            <w:tcBorders>
              <w:top w:val="single" w:color="000000" w:sz="8" w:space="0"/>
              <w:left w:val="single" w:color="000000" w:sz="6" w:space="0"/>
              <w:bottom w:val="single" w:color="000000" w:sz="8" w:space="0"/>
              <w:right w:val="single" w:color="000000" w:sz="6" w:space="0"/>
            </w:tcBorders>
            <w:noWrap w:val="0"/>
            <w:vAlign w:val="center"/>
          </w:tcPr>
          <w:p>
            <w:pPr>
              <w:pStyle w:val="32"/>
              <w:jc w:val="center"/>
              <w:rPr>
                <w:rFonts w:hAnsi="宋体"/>
                <w:color w:val="auto"/>
                <w:sz w:val="21"/>
                <w:szCs w:val="21"/>
                <w:highlight w:val="none"/>
              </w:rPr>
            </w:pPr>
            <w:r>
              <w:rPr>
                <w:rFonts w:hint="eastAsia" w:hAnsi="宋体"/>
                <w:color w:val="auto"/>
                <w:sz w:val="21"/>
                <w:szCs w:val="21"/>
                <w:highlight w:val="none"/>
              </w:rPr>
              <w:t>资质等级</w:t>
            </w:r>
          </w:p>
        </w:tc>
        <w:tc>
          <w:tcPr>
            <w:tcW w:w="2293" w:type="dxa"/>
            <w:tcBorders>
              <w:top w:val="single" w:color="000000" w:sz="8" w:space="0"/>
              <w:left w:val="single" w:color="000000" w:sz="6" w:space="0"/>
              <w:bottom w:val="single" w:color="000000" w:sz="8" w:space="0"/>
              <w:right w:val="single" w:color="000000" w:sz="12" w:space="0"/>
            </w:tcBorders>
            <w:noWrap w:val="0"/>
            <w:vAlign w:val="top"/>
          </w:tcPr>
          <w:p>
            <w:pPr>
              <w:pStyle w:val="32"/>
              <w:rPr>
                <w:rFonts w:hAnsi="宋体" w:cs="Times New Roman"/>
                <w:color w:val="auto"/>
                <w:highlight w:val="none"/>
              </w:rPr>
            </w:pPr>
          </w:p>
        </w:tc>
      </w:tr>
      <w:tr>
        <w:tblPrEx>
          <w:tblCellMar>
            <w:top w:w="0" w:type="dxa"/>
            <w:left w:w="108" w:type="dxa"/>
            <w:bottom w:w="0" w:type="dxa"/>
            <w:right w:w="108" w:type="dxa"/>
          </w:tblCellMar>
        </w:tblPrEx>
        <w:trPr>
          <w:trHeight w:val="1987" w:hRule="atLeast"/>
          <w:jc w:val="center"/>
        </w:trPr>
        <w:tc>
          <w:tcPr>
            <w:tcW w:w="2650" w:type="dxa"/>
            <w:tcBorders>
              <w:top w:val="single" w:color="000000" w:sz="8" w:space="0"/>
              <w:left w:val="single" w:color="000000" w:sz="12" w:space="0"/>
              <w:bottom w:val="single" w:color="000000" w:sz="8" w:space="0"/>
              <w:right w:val="single" w:color="000000" w:sz="6" w:space="0"/>
            </w:tcBorders>
            <w:noWrap w:val="0"/>
            <w:vAlign w:val="center"/>
          </w:tcPr>
          <w:p>
            <w:pPr>
              <w:pStyle w:val="32"/>
              <w:jc w:val="center"/>
              <w:rPr>
                <w:rFonts w:hAnsi="宋体"/>
                <w:color w:val="auto"/>
                <w:sz w:val="21"/>
                <w:szCs w:val="21"/>
                <w:highlight w:val="none"/>
              </w:rPr>
            </w:pPr>
            <w:r>
              <w:rPr>
                <w:rFonts w:hint="eastAsia" w:hAnsi="宋体"/>
                <w:color w:val="auto"/>
                <w:sz w:val="21"/>
                <w:szCs w:val="21"/>
                <w:highlight w:val="none"/>
              </w:rPr>
              <w:t>拟分包的服务任务及其工作量</w:t>
            </w:r>
          </w:p>
        </w:tc>
        <w:tc>
          <w:tcPr>
            <w:tcW w:w="6555" w:type="dxa"/>
            <w:gridSpan w:val="3"/>
            <w:tcBorders>
              <w:top w:val="single" w:color="000000" w:sz="8" w:space="0"/>
              <w:left w:val="single" w:color="000000" w:sz="6" w:space="0"/>
              <w:bottom w:val="single" w:color="000000" w:sz="8" w:space="0"/>
              <w:right w:val="single" w:color="000000" w:sz="12" w:space="0"/>
            </w:tcBorders>
            <w:noWrap w:val="0"/>
            <w:vAlign w:val="top"/>
          </w:tcPr>
          <w:p>
            <w:pPr>
              <w:pStyle w:val="32"/>
              <w:rPr>
                <w:rFonts w:hAnsi="宋体" w:cs="Times New Roman"/>
                <w:color w:val="auto"/>
                <w:highlight w:val="none"/>
              </w:rPr>
            </w:pPr>
          </w:p>
        </w:tc>
      </w:tr>
      <w:tr>
        <w:tblPrEx>
          <w:tblCellMar>
            <w:top w:w="0" w:type="dxa"/>
            <w:left w:w="108" w:type="dxa"/>
            <w:bottom w:w="0" w:type="dxa"/>
            <w:right w:w="108" w:type="dxa"/>
          </w:tblCellMar>
        </w:tblPrEx>
        <w:trPr>
          <w:trHeight w:val="1972" w:hRule="atLeast"/>
          <w:jc w:val="center"/>
        </w:trPr>
        <w:tc>
          <w:tcPr>
            <w:tcW w:w="2650" w:type="dxa"/>
            <w:tcBorders>
              <w:top w:val="single" w:color="000000" w:sz="8" w:space="0"/>
              <w:left w:val="single" w:color="000000" w:sz="12" w:space="0"/>
              <w:bottom w:val="single" w:color="000000" w:sz="6" w:space="0"/>
              <w:right w:val="single" w:color="000000" w:sz="6" w:space="0"/>
            </w:tcBorders>
            <w:noWrap w:val="0"/>
            <w:vAlign w:val="center"/>
          </w:tcPr>
          <w:p>
            <w:pPr>
              <w:pStyle w:val="32"/>
              <w:jc w:val="center"/>
              <w:rPr>
                <w:rFonts w:hint="eastAsia" w:hAnsi="宋体" w:cs="宋体g彇...."/>
                <w:color w:val="auto"/>
                <w:sz w:val="21"/>
                <w:szCs w:val="21"/>
                <w:highlight w:val="none"/>
              </w:rPr>
            </w:pPr>
            <w:r>
              <w:rPr>
                <w:rFonts w:hint="eastAsia" w:hAnsi="宋体"/>
                <w:color w:val="auto"/>
                <w:sz w:val="21"/>
                <w:szCs w:val="21"/>
                <w:highlight w:val="none"/>
              </w:rPr>
              <w:t>分包工作量占总工作量的比例（</w:t>
            </w:r>
            <w:r>
              <w:rPr>
                <w:rFonts w:hAnsi="宋体" w:cs="宋体g彇...."/>
                <w:color w:val="auto"/>
                <w:sz w:val="21"/>
                <w:szCs w:val="21"/>
                <w:highlight w:val="none"/>
              </w:rPr>
              <w:t>%</w:t>
            </w:r>
            <w:r>
              <w:rPr>
                <w:rFonts w:hint="eastAsia" w:hAnsi="宋体" w:cs="宋体g彇...."/>
                <w:color w:val="auto"/>
                <w:sz w:val="21"/>
                <w:szCs w:val="21"/>
                <w:highlight w:val="none"/>
              </w:rPr>
              <w:t>）</w:t>
            </w:r>
          </w:p>
        </w:tc>
        <w:tc>
          <w:tcPr>
            <w:tcW w:w="6555" w:type="dxa"/>
            <w:gridSpan w:val="3"/>
            <w:tcBorders>
              <w:top w:val="single" w:color="000000" w:sz="8" w:space="0"/>
              <w:left w:val="single" w:color="000000" w:sz="6" w:space="0"/>
              <w:bottom w:val="single" w:color="000000" w:sz="6" w:space="0"/>
              <w:right w:val="single" w:color="000000" w:sz="12" w:space="0"/>
            </w:tcBorders>
            <w:noWrap w:val="0"/>
            <w:vAlign w:val="top"/>
          </w:tcPr>
          <w:p>
            <w:pPr>
              <w:pStyle w:val="32"/>
              <w:rPr>
                <w:rFonts w:hAnsi="宋体" w:cs="Times New Roman"/>
                <w:color w:val="auto"/>
                <w:highlight w:val="none"/>
              </w:rPr>
            </w:pPr>
          </w:p>
        </w:tc>
      </w:tr>
      <w:tr>
        <w:tblPrEx>
          <w:tblCellMar>
            <w:top w:w="0" w:type="dxa"/>
            <w:left w:w="108" w:type="dxa"/>
            <w:bottom w:w="0" w:type="dxa"/>
            <w:right w:w="108" w:type="dxa"/>
          </w:tblCellMar>
        </w:tblPrEx>
        <w:trPr>
          <w:trHeight w:val="2400" w:hRule="atLeast"/>
          <w:jc w:val="center"/>
        </w:trPr>
        <w:tc>
          <w:tcPr>
            <w:tcW w:w="2650" w:type="dxa"/>
            <w:tcBorders>
              <w:top w:val="single" w:color="000000" w:sz="6" w:space="0"/>
              <w:left w:val="single" w:color="000000" w:sz="12" w:space="0"/>
              <w:bottom w:val="single" w:color="000000" w:sz="6" w:space="0"/>
              <w:right w:val="single" w:color="000000" w:sz="6" w:space="0"/>
            </w:tcBorders>
            <w:noWrap w:val="0"/>
            <w:vAlign w:val="center"/>
          </w:tcPr>
          <w:p>
            <w:pPr>
              <w:pStyle w:val="32"/>
              <w:jc w:val="center"/>
              <w:rPr>
                <w:rFonts w:hAnsi="宋体"/>
                <w:color w:val="auto"/>
                <w:sz w:val="21"/>
                <w:szCs w:val="21"/>
                <w:highlight w:val="none"/>
              </w:rPr>
            </w:pPr>
            <w:r>
              <w:rPr>
                <w:rFonts w:hint="eastAsia" w:hAnsi="宋体"/>
                <w:color w:val="auto"/>
                <w:sz w:val="21"/>
                <w:szCs w:val="21"/>
                <w:highlight w:val="none"/>
              </w:rPr>
              <w:t>分包人完成类似服务任务的经历</w:t>
            </w:r>
          </w:p>
        </w:tc>
        <w:tc>
          <w:tcPr>
            <w:tcW w:w="6555" w:type="dxa"/>
            <w:gridSpan w:val="3"/>
            <w:tcBorders>
              <w:top w:val="single" w:color="000000" w:sz="6" w:space="0"/>
              <w:left w:val="single" w:color="000000" w:sz="6" w:space="0"/>
              <w:bottom w:val="single" w:color="000000" w:sz="6" w:space="0"/>
              <w:right w:val="single" w:color="000000" w:sz="12" w:space="0"/>
            </w:tcBorders>
            <w:noWrap w:val="0"/>
            <w:vAlign w:val="center"/>
          </w:tcPr>
          <w:p>
            <w:pPr>
              <w:pStyle w:val="32"/>
              <w:rPr>
                <w:rFonts w:hAnsi="宋体"/>
                <w:color w:val="auto"/>
                <w:sz w:val="21"/>
                <w:szCs w:val="21"/>
                <w:highlight w:val="none"/>
              </w:rPr>
            </w:pPr>
            <w:r>
              <w:rPr>
                <w:rFonts w:hint="eastAsia" w:hAnsi="宋体"/>
                <w:color w:val="auto"/>
                <w:sz w:val="21"/>
                <w:szCs w:val="21"/>
                <w:highlight w:val="none"/>
              </w:rPr>
              <w:t>注：本栏应写明分包人以往做过的类似服务任务，包括工程名称、工程地点、造价、设计周期和其发包人的名称和地址。</w:t>
            </w:r>
          </w:p>
        </w:tc>
      </w:tr>
      <w:tr>
        <w:tblPrEx>
          <w:tblCellMar>
            <w:top w:w="0" w:type="dxa"/>
            <w:left w:w="108" w:type="dxa"/>
            <w:bottom w:w="0" w:type="dxa"/>
            <w:right w:w="108" w:type="dxa"/>
          </w:tblCellMar>
        </w:tblPrEx>
        <w:trPr>
          <w:trHeight w:val="2660" w:hRule="atLeast"/>
          <w:jc w:val="center"/>
        </w:trPr>
        <w:tc>
          <w:tcPr>
            <w:tcW w:w="2650" w:type="dxa"/>
            <w:tcBorders>
              <w:top w:val="single" w:color="000000" w:sz="6" w:space="0"/>
              <w:left w:val="single" w:color="000000" w:sz="12" w:space="0"/>
              <w:bottom w:val="single" w:color="000000" w:sz="12" w:space="0"/>
              <w:right w:val="single" w:color="000000" w:sz="6" w:space="0"/>
            </w:tcBorders>
            <w:noWrap w:val="0"/>
            <w:vAlign w:val="center"/>
          </w:tcPr>
          <w:p>
            <w:pPr>
              <w:pStyle w:val="32"/>
              <w:rPr>
                <w:rFonts w:hAnsi="宋体"/>
                <w:color w:val="auto"/>
                <w:sz w:val="21"/>
                <w:szCs w:val="21"/>
                <w:highlight w:val="none"/>
              </w:rPr>
            </w:pPr>
            <w:r>
              <w:rPr>
                <w:rFonts w:hint="eastAsia" w:hAnsi="宋体"/>
                <w:color w:val="auto"/>
                <w:sz w:val="21"/>
                <w:szCs w:val="21"/>
                <w:highlight w:val="none"/>
              </w:rPr>
              <w:t>拟配备主要人员的情况</w:t>
            </w:r>
          </w:p>
        </w:tc>
        <w:tc>
          <w:tcPr>
            <w:tcW w:w="6555" w:type="dxa"/>
            <w:gridSpan w:val="3"/>
            <w:tcBorders>
              <w:top w:val="single" w:color="000000" w:sz="6" w:space="0"/>
              <w:left w:val="single" w:color="000000" w:sz="6" w:space="0"/>
              <w:bottom w:val="single" w:color="000000" w:sz="12" w:space="0"/>
              <w:right w:val="single" w:color="000000" w:sz="12" w:space="0"/>
            </w:tcBorders>
            <w:noWrap w:val="0"/>
            <w:vAlign w:val="center"/>
          </w:tcPr>
          <w:p>
            <w:pPr>
              <w:pStyle w:val="32"/>
              <w:rPr>
                <w:rFonts w:hAnsi="宋体"/>
                <w:color w:val="auto"/>
                <w:sz w:val="21"/>
                <w:szCs w:val="21"/>
                <w:highlight w:val="none"/>
              </w:rPr>
            </w:pPr>
            <w:r>
              <w:rPr>
                <w:rFonts w:hint="eastAsia" w:hAnsi="宋体"/>
                <w:color w:val="auto"/>
                <w:sz w:val="21"/>
                <w:szCs w:val="21"/>
                <w:highlight w:val="none"/>
              </w:rPr>
              <w:t>注：本栏应写明发包人拟配备的主要人员，包括姓名、性别、年龄、职称、拟担任职务、工作经历等内容。</w:t>
            </w:r>
          </w:p>
        </w:tc>
      </w:tr>
    </w:tbl>
    <w:p>
      <w:pPr>
        <w:autoSpaceDE w:val="0"/>
        <w:autoSpaceDN w:val="0"/>
        <w:adjustRightInd w:val="0"/>
        <w:ind w:firstLine="440" w:firstLineChars="200"/>
        <w:jc w:val="left"/>
        <w:rPr>
          <w:rFonts w:cs="宋体"/>
          <w:color w:val="auto"/>
          <w:kern w:val="0"/>
          <w:szCs w:val="21"/>
          <w:highlight w:val="none"/>
        </w:rPr>
      </w:pPr>
      <w:r>
        <w:rPr>
          <w:rFonts w:hint="eastAsia" w:cs="宋体"/>
          <w:color w:val="auto"/>
          <w:kern w:val="0"/>
          <w:szCs w:val="21"/>
          <w:highlight w:val="none"/>
        </w:rPr>
        <w:t>注：</w:t>
      </w:r>
      <w:r>
        <w:rPr>
          <w:color w:val="auto"/>
          <w:kern w:val="0"/>
          <w:szCs w:val="21"/>
          <w:highlight w:val="none"/>
        </w:rPr>
        <w:t>1.</w:t>
      </w:r>
      <w:r>
        <w:rPr>
          <w:rFonts w:hint="eastAsia" w:cs="宋体"/>
          <w:color w:val="auto"/>
          <w:kern w:val="0"/>
          <w:szCs w:val="21"/>
          <w:highlight w:val="none"/>
        </w:rPr>
        <w:t>若无分包人，则投标人应填写“无”。</w:t>
      </w:r>
    </w:p>
    <w:p>
      <w:pPr>
        <w:autoSpaceDE w:val="0"/>
        <w:autoSpaceDN w:val="0"/>
        <w:adjustRightInd w:val="0"/>
        <w:ind w:left="440" w:leftChars="200" w:firstLine="440" w:firstLineChars="200"/>
        <w:jc w:val="left"/>
        <w:rPr>
          <w:rFonts w:hint="eastAsia" w:cs="宋体"/>
          <w:color w:val="auto"/>
          <w:kern w:val="0"/>
          <w:szCs w:val="21"/>
          <w:highlight w:val="none"/>
        </w:rPr>
      </w:pPr>
      <w:r>
        <w:rPr>
          <w:color w:val="auto"/>
          <w:kern w:val="0"/>
          <w:szCs w:val="21"/>
          <w:highlight w:val="none"/>
        </w:rPr>
        <w:t>2.</w:t>
      </w:r>
      <w:r>
        <w:rPr>
          <w:rFonts w:hint="eastAsia" w:cs="宋体"/>
          <w:color w:val="auto"/>
          <w:kern w:val="0"/>
          <w:szCs w:val="21"/>
          <w:highlight w:val="none"/>
        </w:rPr>
        <w:t>如有分包人，在本表后应附分包人营业执照副本（全本）的复印件、资质证书副本（全本）的复印件。上述所有执照、证书复印件均应加盖分包人单位章。</w:t>
      </w:r>
    </w:p>
    <w:p>
      <w:pPr>
        <w:spacing w:after="0"/>
        <w:jc w:val="left"/>
        <w:rPr>
          <w:color w:val="auto"/>
          <w:sz w:val="24"/>
          <w:highlight w:val="none"/>
        </w:rPr>
        <w:sectPr>
          <w:pgSz w:w="11910" w:h="16840"/>
          <w:pgMar w:top="1040"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40"/>
        <w:ind w:left="718" w:right="314" w:firstLine="0"/>
        <w:jc w:val="center"/>
        <w:outlineLvl w:val="1"/>
        <w:rPr>
          <w:b/>
          <w:color w:val="auto"/>
          <w:sz w:val="32"/>
          <w:highlight w:val="none"/>
        </w:rPr>
      </w:pPr>
      <w:bookmarkStart w:id="236" w:name="四、资格审查表"/>
      <w:bookmarkEnd w:id="236"/>
      <w:bookmarkStart w:id="237" w:name="_Toc24670"/>
      <w:r>
        <w:rPr>
          <w:rFonts w:hint="eastAsia"/>
          <w:b/>
          <w:color w:val="auto"/>
          <w:sz w:val="32"/>
          <w:highlight w:val="none"/>
          <w:lang w:eastAsia="zh-CN"/>
        </w:rPr>
        <w:t>五</w:t>
      </w:r>
      <w:r>
        <w:rPr>
          <w:b/>
          <w:color w:val="auto"/>
          <w:sz w:val="32"/>
          <w:highlight w:val="none"/>
        </w:rPr>
        <w:t>、资格审查表</w:t>
      </w:r>
      <w:bookmarkEnd w:id="237"/>
    </w:p>
    <w:p>
      <w:pPr>
        <w:spacing w:before="214"/>
        <w:ind w:left="300" w:right="314" w:firstLine="0"/>
        <w:jc w:val="center"/>
        <w:outlineLvl w:val="2"/>
        <w:rPr>
          <w:rFonts w:hint="eastAsia" w:ascii="黑体" w:eastAsia="黑体"/>
          <w:color w:val="auto"/>
          <w:sz w:val="32"/>
          <w:highlight w:val="none"/>
        </w:rPr>
      </w:pPr>
      <w:bookmarkStart w:id="238" w:name="（一）投标人基本情况表"/>
      <w:bookmarkEnd w:id="238"/>
      <w:bookmarkStart w:id="239" w:name="_Toc16494"/>
      <w:bookmarkStart w:id="240" w:name="_Toc22464"/>
      <w:r>
        <w:rPr>
          <w:rFonts w:hint="eastAsia" w:ascii="黑体" w:eastAsia="黑体"/>
          <w:color w:val="auto"/>
          <w:sz w:val="32"/>
          <w:highlight w:val="none"/>
        </w:rPr>
        <w:t>（一）投标人基本情况表</w:t>
      </w:r>
      <w:bookmarkEnd w:id="239"/>
      <w:bookmarkEnd w:id="240"/>
    </w:p>
    <w:p>
      <w:pPr>
        <w:pStyle w:val="2"/>
        <w:spacing w:before="6"/>
        <w:rPr>
          <w:rFonts w:ascii="黑体"/>
          <w:color w:val="auto"/>
          <w:sz w:val="8"/>
          <w:highlight w:val="none"/>
        </w:rPr>
      </w:pPr>
    </w:p>
    <w:tbl>
      <w:tblPr>
        <w:tblStyle w:val="26"/>
        <w:tblW w:w="0" w:type="auto"/>
        <w:tblInd w:w="45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052"/>
        <w:gridCol w:w="1267"/>
        <w:gridCol w:w="1219"/>
        <w:gridCol w:w="1296"/>
        <w:gridCol w:w="1406"/>
        <w:gridCol w:w="314"/>
        <w:gridCol w:w="676"/>
        <w:gridCol w:w="9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3" w:hRule="atLeast"/>
        </w:trPr>
        <w:tc>
          <w:tcPr>
            <w:tcW w:w="2052" w:type="dxa"/>
            <w:tcBorders>
              <w:bottom w:val="single" w:color="000000" w:sz="4" w:space="0"/>
              <w:right w:val="single" w:color="000000" w:sz="4" w:space="0"/>
            </w:tcBorders>
          </w:tcPr>
          <w:p>
            <w:pPr>
              <w:pStyle w:val="31"/>
              <w:spacing w:before="113"/>
              <w:ind w:left="165" w:right="147"/>
              <w:jc w:val="center"/>
              <w:rPr>
                <w:color w:val="auto"/>
                <w:sz w:val="21"/>
                <w:highlight w:val="none"/>
              </w:rPr>
            </w:pPr>
            <w:r>
              <w:rPr>
                <w:color w:val="auto"/>
                <w:sz w:val="21"/>
                <w:highlight w:val="none"/>
              </w:rPr>
              <w:t>投标人名称</w:t>
            </w:r>
          </w:p>
        </w:tc>
        <w:tc>
          <w:tcPr>
            <w:tcW w:w="7147" w:type="dxa"/>
            <w:gridSpan w:val="7"/>
            <w:tcBorders>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2052" w:type="dxa"/>
            <w:tcBorders>
              <w:top w:val="single" w:color="000000" w:sz="4" w:space="0"/>
              <w:bottom w:val="single" w:color="000000" w:sz="4" w:space="0"/>
              <w:right w:val="single" w:color="000000" w:sz="4" w:space="0"/>
            </w:tcBorders>
          </w:tcPr>
          <w:p>
            <w:pPr>
              <w:pStyle w:val="31"/>
              <w:spacing w:before="106"/>
              <w:ind w:left="165" w:right="147"/>
              <w:jc w:val="center"/>
              <w:rPr>
                <w:color w:val="auto"/>
                <w:sz w:val="21"/>
                <w:highlight w:val="none"/>
              </w:rPr>
            </w:pPr>
            <w:r>
              <w:rPr>
                <w:color w:val="auto"/>
                <w:sz w:val="21"/>
                <w:highlight w:val="none"/>
              </w:rPr>
              <w:t>注册地址</w:t>
            </w:r>
          </w:p>
        </w:tc>
        <w:tc>
          <w:tcPr>
            <w:tcW w:w="3782" w:type="dxa"/>
            <w:gridSpan w:val="3"/>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1406" w:type="dxa"/>
            <w:tcBorders>
              <w:top w:val="single" w:color="000000" w:sz="4" w:space="0"/>
              <w:left w:val="single" w:color="000000" w:sz="4" w:space="0"/>
              <w:bottom w:val="single" w:color="000000" w:sz="4" w:space="0"/>
              <w:right w:val="single" w:color="000000" w:sz="4" w:space="0"/>
            </w:tcBorders>
          </w:tcPr>
          <w:p>
            <w:pPr>
              <w:pStyle w:val="31"/>
              <w:spacing w:before="106"/>
              <w:ind w:left="274" w:right="242"/>
              <w:jc w:val="center"/>
              <w:rPr>
                <w:color w:val="auto"/>
                <w:sz w:val="21"/>
                <w:highlight w:val="none"/>
              </w:rPr>
            </w:pPr>
            <w:r>
              <w:rPr>
                <w:color w:val="auto"/>
                <w:sz w:val="21"/>
                <w:highlight w:val="none"/>
              </w:rPr>
              <w:t>邮政编码</w:t>
            </w:r>
          </w:p>
        </w:tc>
        <w:tc>
          <w:tcPr>
            <w:tcW w:w="1959" w:type="dxa"/>
            <w:gridSpan w:val="3"/>
            <w:tcBorders>
              <w:top w:val="single" w:color="000000" w:sz="4" w:space="0"/>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4" w:hRule="atLeast"/>
        </w:trPr>
        <w:tc>
          <w:tcPr>
            <w:tcW w:w="2052" w:type="dxa"/>
            <w:vMerge w:val="restart"/>
            <w:tcBorders>
              <w:top w:val="single" w:color="000000" w:sz="4" w:space="0"/>
              <w:bottom w:val="single" w:color="000000" w:sz="4" w:space="0"/>
              <w:right w:val="single" w:color="000000" w:sz="4" w:space="0"/>
            </w:tcBorders>
          </w:tcPr>
          <w:p>
            <w:pPr>
              <w:pStyle w:val="31"/>
              <w:rPr>
                <w:rFonts w:ascii="黑体"/>
                <w:color w:val="auto"/>
                <w:sz w:val="20"/>
                <w:highlight w:val="none"/>
              </w:rPr>
            </w:pPr>
          </w:p>
          <w:p>
            <w:pPr>
              <w:pStyle w:val="31"/>
              <w:spacing w:before="128"/>
              <w:ind w:left="604"/>
              <w:rPr>
                <w:color w:val="auto"/>
                <w:sz w:val="21"/>
                <w:highlight w:val="none"/>
              </w:rPr>
            </w:pPr>
            <w:r>
              <w:rPr>
                <w:color w:val="auto"/>
                <w:sz w:val="21"/>
                <w:highlight w:val="none"/>
              </w:rPr>
              <w:t>联系方式</w:t>
            </w:r>
          </w:p>
        </w:tc>
        <w:tc>
          <w:tcPr>
            <w:tcW w:w="1267" w:type="dxa"/>
            <w:tcBorders>
              <w:top w:val="single" w:color="000000" w:sz="4" w:space="0"/>
              <w:left w:val="single" w:color="000000" w:sz="4" w:space="0"/>
              <w:bottom w:val="single" w:color="000000" w:sz="4" w:space="0"/>
              <w:right w:val="single" w:color="000000" w:sz="4" w:space="0"/>
            </w:tcBorders>
          </w:tcPr>
          <w:p>
            <w:pPr>
              <w:pStyle w:val="31"/>
              <w:spacing w:before="114"/>
              <w:ind w:left="94" w:right="66"/>
              <w:jc w:val="center"/>
              <w:rPr>
                <w:color w:val="auto"/>
                <w:sz w:val="21"/>
                <w:highlight w:val="none"/>
              </w:rPr>
            </w:pPr>
            <w:r>
              <w:rPr>
                <w:color w:val="auto"/>
                <w:sz w:val="21"/>
                <w:highlight w:val="none"/>
              </w:rPr>
              <w:t>联系人</w:t>
            </w:r>
          </w:p>
        </w:tc>
        <w:tc>
          <w:tcPr>
            <w:tcW w:w="2515" w:type="dxa"/>
            <w:gridSpan w:val="2"/>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1406" w:type="dxa"/>
            <w:tcBorders>
              <w:top w:val="single" w:color="000000" w:sz="4" w:space="0"/>
              <w:left w:val="single" w:color="000000" w:sz="4" w:space="0"/>
              <w:bottom w:val="single" w:color="000000" w:sz="4" w:space="0"/>
              <w:right w:val="single" w:color="000000" w:sz="4" w:space="0"/>
            </w:tcBorders>
          </w:tcPr>
          <w:p>
            <w:pPr>
              <w:pStyle w:val="31"/>
              <w:spacing w:before="113"/>
              <w:ind w:left="272" w:right="242"/>
              <w:jc w:val="center"/>
              <w:rPr>
                <w:color w:val="auto"/>
                <w:sz w:val="21"/>
                <w:highlight w:val="none"/>
              </w:rPr>
            </w:pPr>
            <w:r>
              <w:rPr>
                <w:color w:val="auto"/>
                <w:sz w:val="21"/>
                <w:highlight w:val="none"/>
              </w:rPr>
              <w:t>电话</w:t>
            </w:r>
          </w:p>
        </w:tc>
        <w:tc>
          <w:tcPr>
            <w:tcW w:w="1959" w:type="dxa"/>
            <w:gridSpan w:val="3"/>
            <w:tcBorders>
              <w:top w:val="single" w:color="000000" w:sz="4" w:space="0"/>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2" w:hRule="atLeast"/>
        </w:trPr>
        <w:tc>
          <w:tcPr>
            <w:tcW w:w="2052" w:type="dxa"/>
            <w:vMerge w:val="continue"/>
            <w:tcBorders>
              <w:top w:val="nil"/>
              <w:bottom w:val="single" w:color="000000" w:sz="4" w:space="0"/>
              <w:right w:val="single" w:color="000000" w:sz="4" w:space="0"/>
            </w:tcBorders>
          </w:tcPr>
          <w:p>
            <w:pPr>
              <w:rPr>
                <w:color w:val="auto"/>
                <w:sz w:val="2"/>
                <w:szCs w:val="2"/>
                <w:highlight w:val="none"/>
              </w:rPr>
            </w:pPr>
          </w:p>
        </w:tc>
        <w:tc>
          <w:tcPr>
            <w:tcW w:w="1267" w:type="dxa"/>
            <w:tcBorders>
              <w:top w:val="single" w:color="000000" w:sz="4" w:space="0"/>
              <w:left w:val="single" w:color="000000" w:sz="4" w:space="0"/>
              <w:bottom w:val="single" w:color="000000" w:sz="4" w:space="0"/>
              <w:right w:val="single" w:color="000000" w:sz="4" w:space="0"/>
            </w:tcBorders>
          </w:tcPr>
          <w:p>
            <w:pPr>
              <w:pStyle w:val="31"/>
              <w:spacing w:before="133"/>
              <w:ind w:left="95" w:right="66"/>
              <w:jc w:val="center"/>
              <w:rPr>
                <w:color w:val="auto"/>
                <w:sz w:val="21"/>
                <w:highlight w:val="none"/>
              </w:rPr>
            </w:pPr>
            <w:r>
              <w:rPr>
                <w:color w:val="auto"/>
                <w:sz w:val="21"/>
                <w:highlight w:val="none"/>
              </w:rPr>
              <w:t>传真</w:t>
            </w:r>
          </w:p>
        </w:tc>
        <w:tc>
          <w:tcPr>
            <w:tcW w:w="2515" w:type="dxa"/>
            <w:gridSpan w:val="2"/>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1406" w:type="dxa"/>
            <w:tcBorders>
              <w:top w:val="single" w:color="000000" w:sz="4" w:space="0"/>
              <w:left w:val="single" w:color="000000" w:sz="4" w:space="0"/>
              <w:bottom w:val="single" w:color="000000" w:sz="4" w:space="0"/>
              <w:right w:val="single" w:color="000000" w:sz="4" w:space="0"/>
            </w:tcBorders>
          </w:tcPr>
          <w:p>
            <w:pPr>
              <w:pStyle w:val="31"/>
              <w:spacing w:before="133"/>
              <w:ind w:left="274" w:right="242"/>
              <w:jc w:val="center"/>
              <w:rPr>
                <w:color w:val="auto"/>
                <w:sz w:val="21"/>
                <w:highlight w:val="none"/>
              </w:rPr>
            </w:pPr>
            <w:r>
              <w:rPr>
                <w:color w:val="auto"/>
                <w:sz w:val="21"/>
                <w:highlight w:val="none"/>
              </w:rPr>
              <w:t>电子邮件</w:t>
            </w:r>
          </w:p>
        </w:tc>
        <w:tc>
          <w:tcPr>
            <w:tcW w:w="1959" w:type="dxa"/>
            <w:gridSpan w:val="3"/>
            <w:tcBorders>
              <w:top w:val="single" w:color="000000" w:sz="4" w:space="0"/>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8" w:hRule="atLeast"/>
        </w:trPr>
        <w:tc>
          <w:tcPr>
            <w:tcW w:w="2052" w:type="dxa"/>
            <w:tcBorders>
              <w:top w:val="single" w:color="000000" w:sz="4" w:space="0"/>
              <w:bottom w:val="single" w:color="000000" w:sz="4" w:space="0"/>
              <w:right w:val="single" w:color="000000" w:sz="4" w:space="0"/>
            </w:tcBorders>
          </w:tcPr>
          <w:p>
            <w:pPr>
              <w:pStyle w:val="31"/>
              <w:spacing w:before="121"/>
              <w:ind w:left="165" w:right="147"/>
              <w:jc w:val="center"/>
              <w:rPr>
                <w:color w:val="auto"/>
                <w:sz w:val="21"/>
                <w:highlight w:val="none"/>
              </w:rPr>
            </w:pPr>
            <w:r>
              <w:rPr>
                <w:color w:val="auto"/>
                <w:sz w:val="21"/>
                <w:highlight w:val="none"/>
              </w:rPr>
              <w:t>法定代表人</w:t>
            </w:r>
          </w:p>
        </w:tc>
        <w:tc>
          <w:tcPr>
            <w:tcW w:w="1267" w:type="dxa"/>
            <w:tcBorders>
              <w:top w:val="single" w:color="000000" w:sz="4" w:space="0"/>
              <w:left w:val="single" w:color="000000" w:sz="4" w:space="0"/>
              <w:bottom w:val="single" w:color="000000" w:sz="4" w:space="0"/>
              <w:right w:val="single" w:color="000000" w:sz="4" w:space="0"/>
            </w:tcBorders>
          </w:tcPr>
          <w:p>
            <w:pPr>
              <w:pStyle w:val="31"/>
              <w:spacing w:before="121"/>
              <w:ind w:left="94" w:right="66"/>
              <w:jc w:val="center"/>
              <w:rPr>
                <w:color w:val="auto"/>
                <w:sz w:val="21"/>
                <w:highlight w:val="none"/>
              </w:rPr>
            </w:pPr>
            <w:r>
              <w:rPr>
                <w:color w:val="auto"/>
                <w:sz w:val="21"/>
                <w:highlight w:val="none"/>
              </w:rPr>
              <w:t>姓名</w:t>
            </w:r>
          </w:p>
        </w:tc>
        <w:tc>
          <w:tcPr>
            <w:tcW w:w="1219" w:type="dxa"/>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1296" w:type="dxa"/>
            <w:tcBorders>
              <w:top w:val="single" w:color="000000" w:sz="4" w:space="0"/>
              <w:left w:val="single" w:color="000000" w:sz="4" w:space="0"/>
              <w:bottom w:val="single" w:color="000000" w:sz="4" w:space="0"/>
              <w:right w:val="single" w:color="000000" w:sz="4" w:space="0"/>
            </w:tcBorders>
          </w:tcPr>
          <w:p>
            <w:pPr>
              <w:pStyle w:val="31"/>
              <w:spacing w:before="121"/>
              <w:ind w:right="203"/>
              <w:jc w:val="right"/>
              <w:rPr>
                <w:color w:val="auto"/>
                <w:sz w:val="21"/>
                <w:highlight w:val="none"/>
              </w:rPr>
            </w:pPr>
            <w:r>
              <w:rPr>
                <w:color w:val="auto"/>
                <w:sz w:val="21"/>
                <w:highlight w:val="none"/>
              </w:rPr>
              <w:t>技术职称</w:t>
            </w:r>
          </w:p>
        </w:tc>
        <w:tc>
          <w:tcPr>
            <w:tcW w:w="1406" w:type="dxa"/>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990" w:type="dxa"/>
            <w:gridSpan w:val="2"/>
            <w:tcBorders>
              <w:top w:val="single" w:color="000000" w:sz="4" w:space="0"/>
              <w:left w:val="single" w:color="000000" w:sz="4" w:space="0"/>
              <w:bottom w:val="single" w:color="000000" w:sz="4" w:space="0"/>
              <w:right w:val="single" w:color="000000" w:sz="4" w:space="0"/>
            </w:tcBorders>
          </w:tcPr>
          <w:p>
            <w:pPr>
              <w:pStyle w:val="31"/>
              <w:spacing w:before="121"/>
              <w:ind w:left="295"/>
              <w:rPr>
                <w:color w:val="auto"/>
                <w:sz w:val="21"/>
                <w:highlight w:val="none"/>
              </w:rPr>
            </w:pPr>
            <w:r>
              <w:rPr>
                <w:color w:val="auto"/>
                <w:sz w:val="21"/>
                <w:highlight w:val="none"/>
              </w:rPr>
              <w:t>电话</w:t>
            </w:r>
          </w:p>
        </w:tc>
        <w:tc>
          <w:tcPr>
            <w:tcW w:w="969" w:type="dxa"/>
            <w:tcBorders>
              <w:top w:val="single" w:color="000000" w:sz="4" w:space="0"/>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6" w:hRule="atLeast"/>
        </w:trPr>
        <w:tc>
          <w:tcPr>
            <w:tcW w:w="2052" w:type="dxa"/>
            <w:tcBorders>
              <w:top w:val="single" w:color="000000" w:sz="4" w:space="0"/>
              <w:bottom w:val="single" w:color="000000" w:sz="4" w:space="0"/>
              <w:right w:val="single" w:color="000000" w:sz="4" w:space="0"/>
            </w:tcBorders>
          </w:tcPr>
          <w:p>
            <w:pPr>
              <w:pStyle w:val="31"/>
              <w:spacing w:before="121"/>
              <w:ind w:left="165" w:right="147"/>
              <w:jc w:val="center"/>
              <w:rPr>
                <w:color w:val="auto"/>
                <w:sz w:val="21"/>
                <w:highlight w:val="none"/>
              </w:rPr>
            </w:pPr>
            <w:r>
              <w:rPr>
                <w:color w:val="auto"/>
                <w:sz w:val="21"/>
                <w:highlight w:val="none"/>
              </w:rPr>
              <w:t>技术负责人</w:t>
            </w:r>
          </w:p>
        </w:tc>
        <w:tc>
          <w:tcPr>
            <w:tcW w:w="1267" w:type="dxa"/>
            <w:tcBorders>
              <w:top w:val="single" w:color="000000" w:sz="4" w:space="0"/>
              <w:left w:val="single" w:color="000000" w:sz="4" w:space="0"/>
              <w:bottom w:val="single" w:color="000000" w:sz="4" w:space="0"/>
              <w:right w:val="single" w:color="000000" w:sz="4" w:space="0"/>
            </w:tcBorders>
          </w:tcPr>
          <w:p>
            <w:pPr>
              <w:pStyle w:val="31"/>
              <w:spacing w:before="121"/>
              <w:ind w:left="94" w:right="66"/>
              <w:jc w:val="center"/>
              <w:rPr>
                <w:color w:val="auto"/>
                <w:sz w:val="21"/>
                <w:highlight w:val="none"/>
              </w:rPr>
            </w:pPr>
            <w:r>
              <w:rPr>
                <w:color w:val="auto"/>
                <w:sz w:val="21"/>
                <w:highlight w:val="none"/>
              </w:rPr>
              <w:t>姓名</w:t>
            </w:r>
          </w:p>
        </w:tc>
        <w:tc>
          <w:tcPr>
            <w:tcW w:w="1219" w:type="dxa"/>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1296" w:type="dxa"/>
            <w:tcBorders>
              <w:top w:val="single" w:color="000000" w:sz="4" w:space="0"/>
              <w:left w:val="single" w:color="000000" w:sz="4" w:space="0"/>
              <w:bottom w:val="single" w:color="000000" w:sz="4" w:space="0"/>
              <w:right w:val="single" w:color="000000" w:sz="4" w:space="0"/>
            </w:tcBorders>
          </w:tcPr>
          <w:p>
            <w:pPr>
              <w:pStyle w:val="31"/>
              <w:spacing w:before="121"/>
              <w:ind w:right="203"/>
              <w:jc w:val="right"/>
              <w:rPr>
                <w:color w:val="auto"/>
                <w:sz w:val="21"/>
                <w:highlight w:val="none"/>
              </w:rPr>
            </w:pPr>
            <w:r>
              <w:rPr>
                <w:color w:val="auto"/>
                <w:sz w:val="21"/>
                <w:highlight w:val="none"/>
              </w:rPr>
              <w:t>技术职称</w:t>
            </w:r>
          </w:p>
        </w:tc>
        <w:tc>
          <w:tcPr>
            <w:tcW w:w="1406" w:type="dxa"/>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990" w:type="dxa"/>
            <w:gridSpan w:val="2"/>
            <w:tcBorders>
              <w:top w:val="single" w:color="000000" w:sz="4" w:space="0"/>
              <w:left w:val="single" w:color="000000" w:sz="4" w:space="0"/>
              <w:bottom w:val="single" w:color="000000" w:sz="4" w:space="0"/>
              <w:right w:val="single" w:color="000000" w:sz="4" w:space="0"/>
            </w:tcBorders>
          </w:tcPr>
          <w:p>
            <w:pPr>
              <w:pStyle w:val="31"/>
              <w:spacing w:before="121"/>
              <w:ind w:left="295"/>
              <w:rPr>
                <w:color w:val="auto"/>
                <w:sz w:val="21"/>
                <w:highlight w:val="none"/>
              </w:rPr>
            </w:pPr>
            <w:r>
              <w:rPr>
                <w:color w:val="auto"/>
                <w:sz w:val="21"/>
                <w:highlight w:val="none"/>
              </w:rPr>
              <w:t>电话</w:t>
            </w:r>
          </w:p>
        </w:tc>
        <w:tc>
          <w:tcPr>
            <w:tcW w:w="969" w:type="dxa"/>
            <w:tcBorders>
              <w:top w:val="single" w:color="000000" w:sz="4" w:space="0"/>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1" w:hRule="atLeast"/>
        </w:trPr>
        <w:tc>
          <w:tcPr>
            <w:tcW w:w="2052" w:type="dxa"/>
            <w:tcBorders>
              <w:top w:val="single" w:color="000000" w:sz="4" w:space="0"/>
              <w:bottom w:val="single" w:color="000000" w:sz="4" w:space="0"/>
              <w:right w:val="single" w:color="000000" w:sz="4" w:space="0"/>
            </w:tcBorders>
          </w:tcPr>
          <w:p>
            <w:pPr>
              <w:pStyle w:val="31"/>
              <w:spacing w:before="77"/>
              <w:ind w:left="165" w:right="147"/>
              <w:jc w:val="center"/>
              <w:rPr>
                <w:color w:val="auto"/>
                <w:sz w:val="21"/>
                <w:highlight w:val="none"/>
              </w:rPr>
            </w:pPr>
            <w:r>
              <w:rPr>
                <w:color w:val="auto"/>
                <w:sz w:val="21"/>
                <w:highlight w:val="none"/>
              </w:rPr>
              <w:t>成立时间</w:t>
            </w:r>
          </w:p>
        </w:tc>
        <w:tc>
          <w:tcPr>
            <w:tcW w:w="3782" w:type="dxa"/>
            <w:gridSpan w:val="3"/>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3365" w:type="dxa"/>
            <w:gridSpan w:val="4"/>
            <w:tcBorders>
              <w:top w:val="single" w:color="000000" w:sz="4" w:space="0"/>
              <w:left w:val="single" w:color="000000" w:sz="4" w:space="0"/>
              <w:bottom w:val="single" w:color="000000" w:sz="4" w:space="0"/>
            </w:tcBorders>
          </w:tcPr>
          <w:p>
            <w:pPr>
              <w:pStyle w:val="31"/>
              <w:spacing w:before="77"/>
              <w:ind w:left="1063"/>
              <w:rPr>
                <w:color w:val="auto"/>
                <w:sz w:val="21"/>
                <w:highlight w:val="none"/>
              </w:rPr>
            </w:pPr>
            <w:r>
              <w:rPr>
                <w:color w:val="auto"/>
                <w:sz w:val="21"/>
                <w:highlight w:val="none"/>
              </w:rPr>
              <w:t>员工总人数：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2052" w:type="dxa"/>
            <w:vMerge w:val="restart"/>
            <w:tcBorders>
              <w:top w:val="single" w:color="000000" w:sz="4" w:space="0"/>
              <w:bottom w:val="single" w:color="000000" w:sz="4" w:space="0"/>
              <w:right w:val="single" w:color="000000" w:sz="4" w:space="0"/>
            </w:tcBorders>
          </w:tcPr>
          <w:p>
            <w:pPr>
              <w:pStyle w:val="31"/>
              <w:rPr>
                <w:rFonts w:ascii="黑体"/>
                <w:color w:val="auto"/>
                <w:sz w:val="20"/>
                <w:highlight w:val="none"/>
              </w:rPr>
            </w:pPr>
          </w:p>
          <w:p>
            <w:pPr>
              <w:pStyle w:val="31"/>
              <w:spacing w:before="169"/>
              <w:ind w:left="395"/>
              <w:rPr>
                <w:color w:val="auto"/>
                <w:sz w:val="21"/>
                <w:highlight w:val="none"/>
              </w:rPr>
            </w:pPr>
            <w:r>
              <w:rPr>
                <w:color w:val="auto"/>
                <w:sz w:val="21"/>
                <w:highlight w:val="none"/>
              </w:rPr>
              <w:t>设计资质等级</w:t>
            </w:r>
          </w:p>
        </w:tc>
        <w:tc>
          <w:tcPr>
            <w:tcW w:w="2486" w:type="dxa"/>
            <w:gridSpan w:val="2"/>
            <w:vMerge w:val="restart"/>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1296" w:type="dxa"/>
            <w:vMerge w:val="restart"/>
            <w:tcBorders>
              <w:top w:val="single" w:color="000000" w:sz="4" w:space="0"/>
              <w:left w:val="single" w:color="000000" w:sz="4" w:space="0"/>
              <w:bottom w:val="single" w:color="000000" w:sz="4" w:space="0"/>
              <w:right w:val="single" w:color="000000" w:sz="4" w:space="0"/>
            </w:tcBorders>
          </w:tcPr>
          <w:p>
            <w:pPr>
              <w:pStyle w:val="31"/>
              <w:rPr>
                <w:rFonts w:ascii="黑体"/>
                <w:color w:val="auto"/>
                <w:sz w:val="20"/>
                <w:highlight w:val="none"/>
              </w:rPr>
            </w:pPr>
          </w:p>
          <w:p>
            <w:pPr>
              <w:pStyle w:val="31"/>
              <w:rPr>
                <w:rFonts w:ascii="黑体"/>
                <w:color w:val="auto"/>
                <w:sz w:val="20"/>
                <w:highlight w:val="none"/>
              </w:rPr>
            </w:pPr>
          </w:p>
          <w:p>
            <w:pPr>
              <w:pStyle w:val="31"/>
              <w:spacing w:before="4"/>
              <w:rPr>
                <w:rFonts w:ascii="黑体"/>
                <w:color w:val="auto"/>
                <w:sz w:val="15"/>
                <w:highlight w:val="none"/>
              </w:rPr>
            </w:pPr>
          </w:p>
          <w:p>
            <w:pPr>
              <w:pStyle w:val="31"/>
              <w:ind w:left="446"/>
              <w:rPr>
                <w:color w:val="auto"/>
                <w:sz w:val="21"/>
                <w:highlight w:val="none"/>
              </w:rPr>
            </w:pPr>
            <w:r>
              <w:rPr>
                <w:color w:val="auto"/>
                <w:sz w:val="21"/>
                <w:highlight w:val="none"/>
              </w:rPr>
              <w:t>其中</w:t>
            </w:r>
          </w:p>
        </w:tc>
        <w:tc>
          <w:tcPr>
            <w:tcW w:w="1720" w:type="dxa"/>
            <w:gridSpan w:val="2"/>
            <w:tcBorders>
              <w:top w:val="single" w:color="000000" w:sz="4" w:space="0"/>
              <w:left w:val="single" w:color="000000" w:sz="4" w:space="0"/>
              <w:bottom w:val="single" w:color="000000" w:sz="4" w:space="0"/>
              <w:right w:val="single" w:color="000000" w:sz="4" w:space="0"/>
            </w:tcBorders>
          </w:tcPr>
          <w:p>
            <w:pPr>
              <w:pStyle w:val="31"/>
              <w:spacing w:before="142"/>
              <w:ind w:left="451"/>
              <w:rPr>
                <w:color w:val="auto"/>
                <w:sz w:val="21"/>
                <w:highlight w:val="none"/>
              </w:rPr>
            </w:pPr>
            <w:r>
              <w:rPr>
                <w:color w:val="auto"/>
                <w:sz w:val="21"/>
                <w:highlight w:val="none"/>
              </w:rPr>
              <w:t>高级职称</w:t>
            </w:r>
          </w:p>
        </w:tc>
        <w:tc>
          <w:tcPr>
            <w:tcW w:w="1645" w:type="dxa"/>
            <w:gridSpan w:val="2"/>
            <w:tcBorders>
              <w:top w:val="single" w:color="000000" w:sz="4" w:space="0"/>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trPr>
        <w:tc>
          <w:tcPr>
            <w:tcW w:w="2052" w:type="dxa"/>
            <w:vMerge w:val="continue"/>
            <w:tcBorders>
              <w:top w:val="nil"/>
              <w:bottom w:val="single" w:color="000000" w:sz="4" w:space="0"/>
              <w:right w:val="single" w:color="000000" w:sz="4" w:space="0"/>
            </w:tcBorders>
          </w:tcPr>
          <w:p>
            <w:pPr>
              <w:rPr>
                <w:color w:val="auto"/>
                <w:sz w:val="2"/>
                <w:szCs w:val="2"/>
                <w:highlight w:val="none"/>
              </w:rPr>
            </w:pPr>
          </w:p>
        </w:tc>
        <w:tc>
          <w:tcPr>
            <w:tcW w:w="2486" w:type="dxa"/>
            <w:gridSpan w:val="2"/>
            <w:vMerge w:val="continue"/>
            <w:tcBorders>
              <w:top w:val="nil"/>
              <w:left w:val="single" w:color="000000" w:sz="4" w:space="0"/>
              <w:bottom w:val="single" w:color="000000" w:sz="4" w:space="0"/>
              <w:right w:val="single" w:color="000000" w:sz="4" w:space="0"/>
            </w:tcBorders>
          </w:tcPr>
          <w:p>
            <w:pPr>
              <w:rPr>
                <w:color w:val="auto"/>
                <w:sz w:val="2"/>
                <w:szCs w:val="2"/>
                <w:highlight w:val="none"/>
              </w:rPr>
            </w:pPr>
          </w:p>
        </w:tc>
        <w:tc>
          <w:tcPr>
            <w:tcW w:w="1296" w:type="dxa"/>
            <w:vMerge w:val="continue"/>
            <w:tcBorders>
              <w:top w:val="nil"/>
              <w:left w:val="single" w:color="000000" w:sz="4" w:space="0"/>
              <w:bottom w:val="single" w:color="000000" w:sz="4" w:space="0"/>
              <w:right w:val="single" w:color="000000" w:sz="4" w:space="0"/>
            </w:tcBorders>
          </w:tcPr>
          <w:p>
            <w:pPr>
              <w:rPr>
                <w:color w:val="auto"/>
                <w:sz w:val="2"/>
                <w:szCs w:val="2"/>
                <w:highlight w:val="none"/>
              </w:rPr>
            </w:pPr>
          </w:p>
        </w:tc>
        <w:tc>
          <w:tcPr>
            <w:tcW w:w="1720" w:type="dxa"/>
            <w:gridSpan w:val="2"/>
            <w:tcBorders>
              <w:top w:val="single" w:color="000000" w:sz="4" w:space="0"/>
              <w:left w:val="single" w:color="000000" w:sz="4" w:space="0"/>
              <w:bottom w:val="single" w:color="000000" w:sz="4" w:space="0"/>
              <w:right w:val="single" w:color="000000" w:sz="4" w:space="0"/>
            </w:tcBorders>
          </w:tcPr>
          <w:p>
            <w:pPr>
              <w:pStyle w:val="31"/>
              <w:spacing w:before="145"/>
              <w:ind w:left="451"/>
              <w:rPr>
                <w:color w:val="auto"/>
                <w:sz w:val="21"/>
                <w:highlight w:val="none"/>
              </w:rPr>
            </w:pPr>
            <w:r>
              <w:rPr>
                <w:color w:val="auto"/>
                <w:sz w:val="21"/>
                <w:highlight w:val="none"/>
              </w:rPr>
              <w:t>中级职称</w:t>
            </w:r>
          </w:p>
        </w:tc>
        <w:tc>
          <w:tcPr>
            <w:tcW w:w="1645" w:type="dxa"/>
            <w:gridSpan w:val="2"/>
            <w:tcBorders>
              <w:top w:val="single" w:color="000000" w:sz="4" w:space="0"/>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8" w:hRule="atLeast"/>
        </w:trPr>
        <w:tc>
          <w:tcPr>
            <w:tcW w:w="2052" w:type="dxa"/>
            <w:tcBorders>
              <w:top w:val="single" w:color="000000" w:sz="4" w:space="0"/>
              <w:bottom w:val="single" w:color="000000" w:sz="4" w:space="0"/>
              <w:right w:val="single" w:color="000000" w:sz="4" w:space="0"/>
            </w:tcBorders>
          </w:tcPr>
          <w:p>
            <w:pPr>
              <w:pStyle w:val="31"/>
              <w:spacing w:before="147"/>
              <w:ind w:left="165" w:right="147"/>
              <w:jc w:val="center"/>
              <w:rPr>
                <w:color w:val="auto"/>
                <w:sz w:val="21"/>
                <w:highlight w:val="none"/>
              </w:rPr>
            </w:pPr>
            <w:r>
              <w:rPr>
                <w:color w:val="auto"/>
                <w:sz w:val="21"/>
                <w:highlight w:val="none"/>
              </w:rPr>
              <w:t>营业执照号</w:t>
            </w:r>
          </w:p>
        </w:tc>
        <w:tc>
          <w:tcPr>
            <w:tcW w:w="2486" w:type="dxa"/>
            <w:gridSpan w:val="2"/>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1296" w:type="dxa"/>
            <w:vMerge w:val="continue"/>
            <w:tcBorders>
              <w:top w:val="nil"/>
              <w:left w:val="single" w:color="000000" w:sz="4" w:space="0"/>
              <w:bottom w:val="single" w:color="000000" w:sz="4" w:space="0"/>
              <w:right w:val="single" w:color="000000" w:sz="4" w:space="0"/>
            </w:tcBorders>
          </w:tcPr>
          <w:p>
            <w:pPr>
              <w:rPr>
                <w:color w:val="auto"/>
                <w:sz w:val="2"/>
                <w:szCs w:val="2"/>
                <w:highlight w:val="none"/>
              </w:rPr>
            </w:pPr>
          </w:p>
        </w:tc>
        <w:tc>
          <w:tcPr>
            <w:tcW w:w="1720" w:type="dxa"/>
            <w:gridSpan w:val="2"/>
            <w:tcBorders>
              <w:top w:val="single" w:color="000000" w:sz="4" w:space="0"/>
              <w:left w:val="single" w:color="000000" w:sz="4" w:space="0"/>
              <w:bottom w:val="single" w:color="000000" w:sz="4" w:space="0"/>
              <w:right w:val="single" w:color="000000" w:sz="4" w:space="0"/>
            </w:tcBorders>
          </w:tcPr>
          <w:p>
            <w:pPr>
              <w:pStyle w:val="31"/>
              <w:spacing w:before="147"/>
              <w:ind w:left="240"/>
              <w:rPr>
                <w:color w:val="auto"/>
                <w:sz w:val="21"/>
                <w:highlight w:val="none"/>
              </w:rPr>
            </w:pPr>
            <w:r>
              <w:rPr>
                <w:color w:val="auto"/>
                <w:sz w:val="21"/>
                <w:highlight w:val="none"/>
              </w:rPr>
              <w:t>各类注册人员</w:t>
            </w:r>
          </w:p>
        </w:tc>
        <w:tc>
          <w:tcPr>
            <w:tcW w:w="1645" w:type="dxa"/>
            <w:gridSpan w:val="2"/>
            <w:tcBorders>
              <w:top w:val="single" w:color="000000" w:sz="4" w:space="0"/>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2052" w:type="dxa"/>
            <w:tcBorders>
              <w:top w:val="single" w:color="000000" w:sz="4" w:space="0"/>
              <w:bottom w:val="single" w:color="000000" w:sz="4" w:space="0"/>
              <w:right w:val="single" w:color="000000" w:sz="4" w:space="0"/>
            </w:tcBorders>
          </w:tcPr>
          <w:p>
            <w:pPr>
              <w:pStyle w:val="31"/>
              <w:spacing w:before="142"/>
              <w:ind w:left="165" w:right="147"/>
              <w:jc w:val="center"/>
              <w:rPr>
                <w:color w:val="auto"/>
                <w:sz w:val="21"/>
                <w:highlight w:val="none"/>
              </w:rPr>
            </w:pPr>
            <w:r>
              <w:rPr>
                <w:color w:val="auto"/>
                <w:sz w:val="21"/>
                <w:highlight w:val="none"/>
              </w:rPr>
              <w:t>注册资金</w:t>
            </w:r>
          </w:p>
        </w:tc>
        <w:tc>
          <w:tcPr>
            <w:tcW w:w="7147" w:type="dxa"/>
            <w:gridSpan w:val="7"/>
            <w:tcBorders>
              <w:top w:val="single" w:color="000000" w:sz="4" w:space="0"/>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trPr>
        <w:tc>
          <w:tcPr>
            <w:tcW w:w="2052" w:type="dxa"/>
            <w:tcBorders>
              <w:top w:val="single" w:color="000000" w:sz="4" w:space="0"/>
              <w:bottom w:val="single" w:color="000000" w:sz="4" w:space="0"/>
              <w:right w:val="single" w:color="000000" w:sz="4" w:space="0"/>
            </w:tcBorders>
          </w:tcPr>
          <w:p>
            <w:pPr>
              <w:pStyle w:val="31"/>
              <w:spacing w:before="145"/>
              <w:ind w:left="165" w:right="147"/>
              <w:jc w:val="center"/>
              <w:rPr>
                <w:color w:val="auto"/>
                <w:sz w:val="21"/>
                <w:highlight w:val="none"/>
              </w:rPr>
            </w:pPr>
            <w:r>
              <w:rPr>
                <w:color w:val="auto"/>
                <w:sz w:val="21"/>
                <w:highlight w:val="none"/>
              </w:rPr>
              <w:t>基本账户开户银行</w:t>
            </w:r>
          </w:p>
        </w:tc>
        <w:tc>
          <w:tcPr>
            <w:tcW w:w="7147" w:type="dxa"/>
            <w:gridSpan w:val="7"/>
            <w:tcBorders>
              <w:top w:val="single" w:color="000000" w:sz="4" w:space="0"/>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trPr>
        <w:tc>
          <w:tcPr>
            <w:tcW w:w="2052" w:type="dxa"/>
            <w:tcBorders>
              <w:top w:val="single" w:color="000000" w:sz="4" w:space="0"/>
              <w:bottom w:val="single" w:color="000000" w:sz="4" w:space="0"/>
              <w:right w:val="single" w:color="000000" w:sz="4" w:space="0"/>
            </w:tcBorders>
          </w:tcPr>
          <w:p>
            <w:pPr>
              <w:pStyle w:val="31"/>
              <w:spacing w:before="145"/>
              <w:ind w:left="165" w:right="144"/>
              <w:jc w:val="center"/>
              <w:rPr>
                <w:color w:val="auto"/>
                <w:sz w:val="21"/>
                <w:highlight w:val="none"/>
              </w:rPr>
            </w:pPr>
            <w:r>
              <w:rPr>
                <w:color w:val="auto"/>
                <w:sz w:val="21"/>
                <w:highlight w:val="none"/>
              </w:rPr>
              <w:t>基本账户账号</w:t>
            </w:r>
          </w:p>
        </w:tc>
        <w:tc>
          <w:tcPr>
            <w:tcW w:w="7147" w:type="dxa"/>
            <w:gridSpan w:val="7"/>
            <w:tcBorders>
              <w:top w:val="single" w:color="000000" w:sz="4" w:space="0"/>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60" w:hRule="atLeast"/>
        </w:trPr>
        <w:tc>
          <w:tcPr>
            <w:tcW w:w="2052" w:type="dxa"/>
            <w:tcBorders>
              <w:top w:val="single" w:color="000000" w:sz="4" w:space="0"/>
              <w:bottom w:val="single" w:color="000000" w:sz="4" w:space="0"/>
              <w:right w:val="single" w:color="000000" w:sz="4" w:space="0"/>
            </w:tcBorders>
          </w:tcPr>
          <w:p>
            <w:pPr>
              <w:pStyle w:val="31"/>
              <w:rPr>
                <w:rFonts w:ascii="黑体"/>
                <w:color w:val="auto"/>
                <w:sz w:val="20"/>
                <w:highlight w:val="none"/>
              </w:rPr>
            </w:pPr>
          </w:p>
          <w:p>
            <w:pPr>
              <w:pStyle w:val="31"/>
              <w:rPr>
                <w:rFonts w:ascii="黑体"/>
                <w:color w:val="auto"/>
                <w:sz w:val="20"/>
                <w:highlight w:val="none"/>
              </w:rPr>
            </w:pPr>
          </w:p>
          <w:p>
            <w:pPr>
              <w:pStyle w:val="31"/>
              <w:spacing w:before="5"/>
              <w:rPr>
                <w:rFonts w:ascii="黑体"/>
                <w:color w:val="auto"/>
                <w:sz w:val="14"/>
                <w:highlight w:val="none"/>
              </w:rPr>
            </w:pPr>
          </w:p>
          <w:p>
            <w:pPr>
              <w:pStyle w:val="31"/>
              <w:ind w:left="165" w:right="147"/>
              <w:jc w:val="center"/>
              <w:rPr>
                <w:color w:val="auto"/>
                <w:sz w:val="21"/>
                <w:highlight w:val="none"/>
              </w:rPr>
            </w:pPr>
            <w:r>
              <w:rPr>
                <w:color w:val="auto"/>
                <w:sz w:val="21"/>
                <w:highlight w:val="none"/>
              </w:rPr>
              <w:t>经营范围</w:t>
            </w:r>
          </w:p>
        </w:tc>
        <w:tc>
          <w:tcPr>
            <w:tcW w:w="7147" w:type="dxa"/>
            <w:gridSpan w:val="7"/>
            <w:tcBorders>
              <w:top w:val="single" w:color="000000" w:sz="4" w:space="0"/>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42" w:hRule="atLeast"/>
        </w:trPr>
        <w:tc>
          <w:tcPr>
            <w:tcW w:w="2052" w:type="dxa"/>
            <w:tcBorders>
              <w:top w:val="single" w:color="000000" w:sz="4" w:space="0"/>
              <w:right w:val="single" w:color="000000" w:sz="4" w:space="0"/>
            </w:tcBorders>
          </w:tcPr>
          <w:p>
            <w:pPr>
              <w:pStyle w:val="31"/>
              <w:rPr>
                <w:rFonts w:ascii="黑体"/>
                <w:color w:val="auto"/>
                <w:sz w:val="20"/>
                <w:highlight w:val="none"/>
              </w:rPr>
            </w:pPr>
          </w:p>
          <w:p>
            <w:pPr>
              <w:pStyle w:val="31"/>
              <w:spacing w:before="9"/>
              <w:rPr>
                <w:rFonts w:ascii="黑体"/>
                <w:color w:val="auto"/>
                <w:sz w:val="29"/>
                <w:highlight w:val="none"/>
              </w:rPr>
            </w:pPr>
          </w:p>
          <w:p>
            <w:pPr>
              <w:pStyle w:val="31"/>
              <w:ind w:left="165" w:right="144"/>
              <w:jc w:val="center"/>
              <w:rPr>
                <w:color w:val="auto"/>
                <w:sz w:val="21"/>
                <w:highlight w:val="none"/>
              </w:rPr>
            </w:pPr>
            <w:r>
              <w:rPr>
                <w:color w:val="auto"/>
                <w:sz w:val="21"/>
                <w:highlight w:val="none"/>
              </w:rPr>
              <w:t>备注</w:t>
            </w:r>
          </w:p>
        </w:tc>
        <w:tc>
          <w:tcPr>
            <w:tcW w:w="7147" w:type="dxa"/>
            <w:gridSpan w:val="7"/>
            <w:tcBorders>
              <w:top w:val="single" w:color="000000" w:sz="4" w:space="0"/>
              <w:left w:val="single" w:color="000000" w:sz="4" w:space="0"/>
            </w:tcBorders>
          </w:tcPr>
          <w:p>
            <w:pPr>
              <w:pStyle w:val="31"/>
              <w:rPr>
                <w:rFonts w:ascii="Times New Roman"/>
                <w:color w:val="auto"/>
                <w:sz w:val="20"/>
                <w:highlight w:val="none"/>
              </w:rPr>
            </w:pPr>
          </w:p>
        </w:tc>
      </w:tr>
    </w:tbl>
    <w:p>
      <w:pPr>
        <w:pStyle w:val="2"/>
        <w:spacing w:before="22" w:line="278" w:lineRule="auto"/>
        <w:ind w:left="540" w:right="403" w:firstLine="422"/>
        <w:rPr>
          <w:color w:val="auto"/>
          <w:highlight w:val="none"/>
        </w:rPr>
      </w:pPr>
      <w:r>
        <w:rPr>
          <w:color w:val="auto"/>
          <w:spacing w:val="-6"/>
          <w:highlight w:val="none"/>
        </w:rPr>
        <w:t>注：在本表后应附法人营业执照副本</w:t>
      </w:r>
      <w:r>
        <w:rPr>
          <w:color w:val="auto"/>
          <w:spacing w:val="-3"/>
          <w:highlight w:val="none"/>
        </w:rPr>
        <w:t>（</w:t>
      </w:r>
      <w:r>
        <w:rPr>
          <w:color w:val="auto"/>
          <w:spacing w:val="-2"/>
          <w:highlight w:val="none"/>
        </w:rPr>
        <w:t>全本</w:t>
      </w:r>
      <w:r>
        <w:rPr>
          <w:color w:val="auto"/>
          <w:spacing w:val="-20"/>
          <w:highlight w:val="none"/>
        </w:rPr>
        <w:t>）</w:t>
      </w:r>
      <w:r>
        <w:rPr>
          <w:color w:val="auto"/>
          <w:spacing w:val="-8"/>
          <w:highlight w:val="none"/>
        </w:rPr>
        <w:t>的扫描件、设计资质证书副本</w:t>
      </w:r>
      <w:r>
        <w:rPr>
          <w:color w:val="auto"/>
          <w:highlight w:val="none"/>
        </w:rPr>
        <w:t>（</w:t>
      </w:r>
      <w:r>
        <w:rPr>
          <w:color w:val="auto"/>
          <w:spacing w:val="-3"/>
          <w:highlight w:val="none"/>
        </w:rPr>
        <w:t>全本</w:t>
      </w:r>
      <w:r>
        <w:rPr>
          <w:color w:val="auto"/>
          <w:spacing w:val="-17"/>
          <w:highlight w:val="none"/>
        </w:rPr>
        <w:t>）</w:t>
      </w:r>
      <w:r>
        <w:rPr>
          <w:color w:val="auto"/>
          <w:spacing w:val="-3"/>
          <w:highlight w:val="none"/>
        </w:rPr>
        <w:t>的扫描件、基本账户开户许可证（或基本账户开户银行出具的能体现基本账号证明材料</w:t>
      </w:r>
      <w:r>
        <w:rPr>
          <w:color w:val="auto"/>
          <w:highlight w:val="none"/>
        </w:rPr>
        <w:t>）</w:t>
      </w:r>
      <w:r>
        <w:rPr>
          <w:color w:val="auto"/>
          <w:spacing w:val="-3"/>
          <w:highlight w:val="none"/>
        </w:rPr>
        <w:t>的扫描件、投标人浙江交通网诚信信息系统公开信息打印件</w:t>
      </w:r>
      <w:r>
        <w:rPr>
          <w:color w:val="auto"/>
          <w:highlight w:val="none"/>
        </w:rPr>
        <w:t>（</w:t>
      </w:r>
      <w:r>
        <w:rPr>
          <w:color w:val="auto"/>
          <w:spacing w:val="-2"/>
          <w:highlight w:val="none"/>
        </w:rPr>
        <w:t>如有</w:t>
      </w:r>
      <w:r>
        <w:rPr>
          <w:color w:val="auto"/>
          <w:highlight w:val="none"/>
        </w:rPr>
        <w:t>）</w:t>
      </w:r>
      <w:r>
        <w:rPr>
          <w:color w:val="auto"/>
          <w:spacing w:val="-2"/>
          <w:highlight w:val="none"/>
        </w:rPr>
        <w:t>的扫描件。上</w:t>
      </w:r>
      <w:r>
        <w:rPr>
          <w:color w:val="auto"/>
          <w:spacing w:val="-3"/>
          <w:highlight w:val="none"/>
        </w:rPr>
        <w:t>述所有执照、证书扫描件均应加盖投标单位电子公章。</w:t>
      </w:r>
    </w:p>
    <w:p>
      <w:pPr>
        <w:spacing w:after="0" w:line="278" w:lineRule="auto"/>
        <w:rPr>
          <w:color w:val="auto"/>
          <w:highlight w:val="none"/>
        </w:rPr>
        <w:sectPr>
          <w:pgSz w:w="11910" w:h="16840"/>
          <w:pgMar w:top="1040"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40"/>
        <w:ind w:left="298" w:right="314" w:firstLine="0"/>
        <w:jc w:val="center"/>
        <w:outlineLvl w:val="2"/>
        <w:rPr>
          <w:rFonts w:hint="eastAsia" w:ascii="黑体" w:eastAsia="黑体"/>
          <w:color w:val="auto"/>
          <w:sz w:val="32"/>
          <w:highlight w:val="none"/>
        </w:rPr>
      </w:pPr>
      <w:bookmarkStart w:id="241" w:name="（二）2018年1月1日以来完成的类似项目情况表"/>
      <w:bookmarkEnd w:id="241"/>
      <w:bookmarkStart w:id="242" w:name="_Toc13999"/>
      <w:bookmarkStart w:id="243" w:name="_Toc22492"/>
      <w:r>
        <w:rPr>
          <w:rFonts w:hint="eastAsia" w:ascii="黑体" w:eastAsia="黑体"/>
          <w:color w:val="auto"/>
          <w:sz w:val="32"/>
          <w:highlight w:val="none"/>
        </w:rPr>
        <w:t>（二）</w:t>
      </w:r>
      <w:r>
        <w:rPr>
          <w:rFonts w:hint="eastAsia" w:ascii="Arial"/>
          <w:color w:val="auto"/>
          <w:sz w:val="32"/>
          <w:highlight w:val="none"/>
          <w:lang w:eastAsia="zh-CN"/>
        </w:rPr>
        <w:t>201</w:t>
      </w:r>
      <w:r>
        <w:rPr>
          <w:rFonts w:hint="eastAsia" w:ascii="Arial"/>
          <w:color w:val="auto"/>
          <w:sz w:val="32"/>
          <w:highlight w:val="none"/>
          <w:lang w:val="en-US" w:eastAsia="zh-CN"/>
        </w:rPr>
        <w:t>8</w:t>
      </w:r>
      <w:r>
        <w:rPr>
          <w:rFonts w:hint="eastAsia" w:ascii="Arial"/>
          <w:color w:val="auto"/>
          <w:sz w:val="32"/>
          <w:highlight w:val="none"/>
          <w:lang w:eastAsia="zh-CN"/>
        </w:rPr>
        <w:t>年 7 月 1 日</w:t>
      </w:r>
      <w:r>
        <w:rPr>
          <w:rFonts w:hint="eastAsia" w:ascii="黑体" w:eastAsia="黑体"/>
          <w:color w:val="auto"/>
          <w:sz w:val="32"/>
          <w:highlight w:val="none"/>
        </w:rPr>
        <w:t>以来完成的类似项目情况表</w:t>
      </w:r>
      <w:bookmarkEnd w:id="242"/>
      <w:bookmarkEnd w:id="243"/>
    </w:p>
    <w:p>
      <w:pPr>
        <w:pStyle w:val="2"/>
        <w:spacing w:before="6"/>
        <w:rPr>
          <w:rFonts w:ascii="黑体"/>
          <w:color w:val="auto"/>
          <w:sz w:val="8"/>
          <w:highlight w:val="none"/>
        </w:rPr>
      </w:pPr>
    </w:p>
    <w:tbl>
      <w:tblPr>
        <w:tblStyle w:val="26"/>
        <w:tblW w:w="0" w:type="auto"/>
        <w:tblInd w:w="51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090"/>
        <w:gridCol w:w="697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2090" w:type="dxa"/>
            <w:tcBorders>
              <w:bottom w:val="single" w:color="000000" w:sz="6" w:space="0"/>
              <w:right w:val="single" w:color="000000" w:sz="4" w:space="0"/>
            </w:tcBorders>
          </w:tcPr>
          <w:p>
            <w:pPr>
              <w:pStyle w:val="31"/>
              <w:spacing w:before="142"/>
              <w:ind w:left="290" w:right="267"/>
              <w:jc w:val="center"/>
              <w:rPr>
                <w:color w:val="auto"/>
                <w:sz w:val="21"/>
                <w:highlight w:val="none"/>
              </w:rPr>
            </w:pPr>
            <w:r>
              <w:rPr>
                <w:color w:val="auto"/>
                <w:sz w:val="21"/>
                <w:highlight w:val="none"/>
              </w:rPr>
              <w:t>项目名称</w:t>
            </w:r>
          </w:p>
        </w:tc>
        <w:tc>
          <w:tcPr>
            <w:tcW w:w="6976" w:type="dxa"/>
            <w:tcBorders>
              <w:left w:val="single" w:color="000000" w:sz="4"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2090" w:type="dxa"/>
            <w:tcBorders>
              <w:top w:val="single" w:color="000000" w:sz="6" w:space="0"/>
              <w:bottom w:val="single" w:color="000000" w:sz="6" w:space="0"/>
              <w:right w:val="single" w:color="000000" w:sz="4" w:space="0"/>
            </w:tcBorders>
          </w:tcPr>
          <w:p>
            <w:pPr>
              <w:pStyle w:val="31"/>
              <w:spacing w:before="142"/>
              <w:ind w:left="290" w:right="267"/>
              <w:jc w:val="center"/>
              <w:rPr>
                <w:color w:val="auto"/>
                <w:sz w:val="21"/>
                <w:highlight w:val="none"/>
              </w:rPr>
            </w:pPr>
            <w:r>
              <w:rPr>
                <w:color w:val="auto"/>
                <w:sz w:val="21"/>
                <w:highlight w:val="none"/>
              </w:rPr>
              <w:t>项目所在地</w:t>
            </w:r>
          </w:p>
        </w:tc>
        <w:tc>
          <w:tcPr>
            <w:tcW w:w="6976" w:type="dxa"/>
            <w:tcBorders>
              <w:top w:val="single" w:color="000000" w:sz="6" w:space="0"/>
              <w:left w:val="single" w:color="000000" w:sz="4"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9" w:hRule="atLeast"/>
        </w:trPr>
        <w:tc>
          <w:tcPr>
            <w:tcW w:w="2090" w:type="dxa"/>
            <w:tcBorders>
              <w:top w:val="single" w:color="000000" w:sz="6" w:space="0"/>
              <w:bottom w:val="single" w:color="000000" w:sz="6" w:space="0"/>
              <w:right w:val="single" w:color="000000" w:sz="4" w:space="0"/>
            </w:tcBorders>
          </w:tcPr>
          <w:p>
            <w:pPr>
              <w:pStyle w:val="31"/>
              <w:spacing w:before="142"/>
              <w:ind w:left="290" w:right="267"/>
              <w:jc w:val="center"/>
              <w:rPr>
                <w:color w:val="auto"/>
                <w:sz w:val="21"/>
                <w:highlight w:val="none"/>
              </w:rPr>
            </w:pPr>
            <w:r>
              <w:rPr>
                <w:color w:val="auto"/>
                <w:sz w:val="21"/>
                <w:highlight w:val="none"/>
              </w:rPr>
              <w:t>发包人名称</w:t>
            </w:r>
          </w:p>
        </w:tc>
        <w:tc>
          <w:tcPr>
            <w:tcW w:w="6976" w:type="dxa"/>
            <w:tcBorders>
              <w:top w:val="single" w:color="000000" w:sz="6" w:space="0"/>
              <w:left w:val="single" w:color="000000" w:sz="4"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2090" w:type="dxa"/>
            <w:tcBorders>
              <w:top w:val="single" w:color="000000" w:sz="6" w:space="0"/>
              <w:bottom w:val="single" w:color="000000" w:sz="6" w:space="0"/>
              <w:right w:val="single" w:color="000000" w:sz="4" w:space="0"/>
            </w:tcBorders>
          </w:tcPr>
          <w:p>
            <w:pPr>
              <w:pStyle w:val="31"/>
              <w:spacing w:before="142"/>
              <w:ind w:left="290" w:right="267"/>
              <w:jc w:val="center"/>
              <w:rPr>
                <w:color w:val="auto"/>
                <w:sz w:val="21"/>
                <w:highlight w:val="none"/>
              </w:rPr>
            </w:pPr>
            <w:r>
              <w:rPr>
                <w:color w:val="auto"/>
                <w:sz w:val="21"/>
                <w:highlight w:val="none"/>
              </w:rPr>
              <w:t>发包人地址</w:t>
            </w:r>
          </w:p>
        </w:tc>
        <w:tc>
          <w:tcPr>
            <w:tcW w:w="6976" w:type="dxa"/>
            <w:tcBorders>
              <w:top w:val="single" w:color="000000" w:sz="6" w:space="0"/>
              <w:left w:val="single" w:color="000000" w:sz="4"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2090" w:type="dxa"/>
            <w:tcBorders>
              <w:top w:val="single" w:color="000000" w:sz="6" w:space="0"/>
              <w:bottom w:val="single" w:color="000000" w:sz="6" w:space="0"/>
              <w:right w:val="single" w:color="000000" w:sz="4" w:space="0"/>
            </w:tcBorders>
          </w:tcPr>
          <w:p>
            <w:pPr>
              <w:pStyle w:val="31"/>
              <w:spacing w:before="142"/>
              <w:ind w:left="290" w:right="267"/>
              <w:jc w:val="center"/>
              <w:rPr>
                <w:color w:val="auto"/>
                <w:sz w:val="21"/>
                <w:highlight w:val="none"/>
              </w:rPr>
            </w:pPr>
            <w:r>
              <w:rPr>
                <w:color w:val="auto"/>
                <w:sz w:val="21"/>
                <w:highlight w:val="none"/>
              </w:rPr>
              <w:t>发包人电话</w:t>
            </w:r>
          </w:p>
        </w:tc>
        <w:tc>
          <w:tcPr>
            <w:tcW w:w="6976" w:type="dxa"/>
            <w:tcBorders>
              <w:top w:val="single" w:color="000000" w:sz="6" w:space="0"/>
              <w:left w:val="single" w:color="000000" w:sz="4"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2090" w:type="dxa"/>
            <w:tcBorders>
              <w:top w:val="single" w:color="000000" w:sz="6" w:space="0"/>
              <w:bottom w:val="single" w:color="000000" w:sz="6" w:space="0"/>
              <w:right w:val="single" w:color="000000" w:sz="4" w:space="0"/>
            </w:tcBorders>
          </w:tcPr>
          <w:p>
            <w:pPr>
              <w:pStyle w:val="31"/>
              <w:spacing w:before="104"/>
              <w:ind w:left="290" w:right="267"/>
              <w:jc w:val="center"/>
              <w:rPr>
                <w:color w:val="auto"/>
                <w:sz w:val="21"/>
                <w:highlight w:val="none"/>
              </w:rPr>
            </w:pPr>
            <w:r>
              <w:rPr>
                <w:color w:val="auto"/>
                <w:sz w:val="21"/>
                <w:highlight w:val="none"/>
              </w:rPr>
              <w:t>项目等级</w:t>
            </w:r>
          </w:p>
        </w:tc>
        <w:tc>
          <w:tcPr>
            <w:tcW w:w="6976" w:type="dxa"/>
            <w:tcBorders>
              <w:top w:val="single" w:color="000000" w:sz="6" w:space="0"/>
              <w:left w:val="single" w:color="000000" w:sz="4"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8" w:hRule="atLeast"/>
        </w:trPr>
        <w:tc>
          <w:tcPr>
            <w:tcW w:w="2090" w:type="dxa"/>
            <w:tcBorders>
              <w:top w:val="single" w:color="000000" w:sz="6" w:space="0"/>
              <w:bottom w:val="single" w:color="000000" w:sz="6" w:space="0"/>
              <w:right w:val="single" w:color="000000" w:sz="4" w:space="0"/>
            </w:tcBorders>
          </w:tcPr>
          <w:p>
            <w:pPr>
              <w:pStyle w:val="31"/>
              <w:spacing w:before="142"/>
              <w:ind w:left="290" w:right="267"/>
              <w:jc w:val="center"/>
              <w:rPr>
                <w:color w:val="auto"/>
                <w:sz w:val="21"/>
                <w:highlight w:val="none"/>
              </w:rPr>
            </w:pPr>
            <w:r>
              <w:rPr>
                <w:color w:val="auto"/>
                <w:sz w:val="21"/>
                <w:highlight w:val="none"/>
              </w:rPr>
              <w:t>项目总投资</w:t>
            </w:r>
          </w:p>
        </w:tc>
        <w:tc>
          <w:tcPr>
            <w:tcW w:w="6976" w:type="dxa"/>
            <w:tcBorders>
              <w:top w:val="single" w:color="000000" w:sz="6" w:space="0"/>
              <w:left w:val="single" w:color="000000" w:sz="4"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2090" w:type="dxa"/>
            <w:tcBorders>
              <w:top w:val="single" w:color="000000" w:sz="6" w:space="0"/>
              <w:bottom w:val="single" w:color="000000" w:sz="6" w:space="0"/>
              <w:right w:val="single" w:color="000000" w:sz="4" w:space="0"/>
            </w:tcBorders>
          </w:tcPr>
          <w:p>
            <w:pPr>
              <w:pStyle w:val="31"/>
              <w:spacing w:before="142"/>
              <w:ind w:left="290" w:right="267"/>
              <w:jc w:val="center"/>
              <w:rPr>
                <w:color w:val="auto"/>
                <w:sz w:val="21"/>
                <w:highlight w:val="none"/>
              </w:rPr>
            </w:pPr>
            <w:r>
              <w:rPr>
                <w:color w:val="auto"/>
                <w:sz w:val="21"/>
                <w:highlight w:val="none"/>
              </w:rPr>
              <w:t>合同价格</w:t>
            </w:r>
          </w:p>
        </w:tc>
        <w:tc>
          <w:tcPr>
            <w:tcW w:w="6976" w:type="dxa"/>
            <w:tcBorders>
              <w:top w:val="single" w:color="000000" w:sz="6" w:space="0"/>
              <w:left w:val="single" w:color="000000" w:sz="4"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6" w:hRule="atLeast"/>
        </w:trPr>
        <w:tc>
          <w:tcPr>
            <w:tcW w:w="2090" w:type="dxa"/>
            <w:tcBorders>
              <w:top w:val="single" w:color="000000" w:sz="6" w:space="0"/>
              <w:bottom w:val="single" w:color="000000" w:sz="6" w:space="0"/>
              <w:right w:val="single" w:color="000000" w:sz="4" w:space="0"/>
            </w:tcBorders>
          </w:tcPr>
          <w:p>
            <w:pPr>
              <w:pStyle w:val="31"/>
              <w:spacing w:before="140"/>
              <w:ind w:left="290" w:right="269"/>
              <w:jc w:val="center"/>
              <w:rPr>
                <w:color w:val="auto"/>
                <w:sz w:val="21"/>
                <w:highlight w:val="none"/>
              </w:rPr>
            </w:pPr>
            <w:r>
              <w:rPr>
                <w:color w:val="auto"/>
                <w:sz w:val="21"/>
                <w:highlight w:val="none"/>
              </w:rPr>
              <w:t>承担的设计工作</w:t>
            </w:r>
          </w:p>
        </w:tc>
        <w:tc>
          <w:tcPr>
            <w:tcW w:w="6976" w:type="dxa"/>
            <w:tcBorders>
              <w:top w:val="single" w:color="000000" w:sz="6" w:space="0"/>
              <w:left w:val="single" w:color="000000" w:sz="4"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2090" w:type="dxa"/>
            <w:tcBorders>
              <w:top w:val="single" w:color="000000" w:sz="6" w:space="0"/>
              <w:bottom w:val="single" w:color="000000" w:sz="6" w:space="0"/>
              <w:right w:val="single" w:color="000000" w:sz="4" w:space="0"/>
            </w:tcBorders>
          </w:tcPr>
          <w:p>
            <w:pPr>
              <w:pStyle w:val="31"/>
              <w:spacing w:before="142"/>
              <w:ind w:left="290" w:right="267"/>
              <w:jc w:val="center"/>
              <w:rPr>
                <w:color w:val="auto"/>
                <w:sz w:val="21"/>
                <w:highlight w:val="none"/>
              </w:rPr>
            </w:pPr>
            <w:r>
              <w:rPr>
                <w:color w:val="auto"/>
                <w:sz w:val="21"/>
                <w:highlight w:val="none"/>
              </w:rPr>
              <w:t>设计周期</w:t>
            </w:r>
          </w:p>
        </w:tc>
        <w:tc>
          <w:tcPr>
            <w:tcW w:w="6976" w:type="dxa"/>
            <w:tcBorders>
              <w:top w:val="single" w:color="000000" w:sz="6" w:space="0"/>
              <w:left w:val="single" w:color="000000" w:sz="4"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2090" w:type="dxa"/>
            <w:tcBorders>
              <w:top w:val="single" w:color="000000" w:sz="6" w:space="0"/>
              <w:bottom w:val="single" w:color="000000" w:sz="6" w:space="0"/>
              <w:right w:val="single" w:color="000000" w:sz="4" w:space="0"/>
            </w:tcBorders>
          </w:tcPr>
          <w:p>
            <w:pPr>
              <w:pStyle w:val="31"/>
              <w:spacing w:before="142"/>
              <w:ind w:left="290" w:right="267"/>
              <w:jc w:val="center"/>
              <w:rPr>
                <w:color w:val="auto"/>
                <w:sz w:val="21"/>
                <w:highlight w:val="none"/>
              </w:rPr>
            </w:pPr>
            <w:r>
              <w:rPr>
                <w:color w:val="auto"/>
                <w:sz w:val="21"/>
                <w:highlight w:val="none"/>
              </w:rPr>
              <w:t>项目负责人</w:t>
            </w:r>
          </w:p>
        </w:tc>
        <w:tc>
          <w:tcPr>
            <w:tcW w:w="6976" w:type="dxa"/>
            <w:tcBorders>
              <w:top w:val="single" w:color="000000" w:sz="6" w:space="0"/>
              <w:left w:val="single" w:color="000000" w:sz="4"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8" w:hRule="atLeast"/>
        </w:trPr>
        <w:tc>
          <w:tcPr>
            <w:tcW w:w="2090" w:type="dxa"/>
            <w:tcBorders>
              <w:top w:val="single" w:color="000000" w:sz="6" w:space="0"/>
              <w:bottom w:val="single" w:color="000000" w:sz="6" w:space="0"/>
              <w:right w:val="single" w:color="000000" w:sz="4" w:space="0"/>
            </w:tcBorders>
          </w:tcPr>
          <w:p>
            <w:pPr>
              <w:pStyle w:val="31"/>
              <w:spacing w:before="142"/>
              <w:ind w:left="290" w:right="269"/>
              <w:jc w:val="center"/>
              <w:rPr>
                <w:color w:val="auto"/>
                <w:sz w:val="21"/>
                <w:highlight w:val="none"/>
              </w:rPr>
            </w:pPr>
            <w:r>
              <w:rPr>
                <w:color w:val="auto"/>
                <w:sz w:val="21"/>
                <w:highlight w:val="none"/>
              </w:rPr>
              <w:t>项目完成情况</w:t>
            </w:r>
          </w:p>
        </w:tc>
        <w:tc>
          <w:tcPr>
            <w:tcW w:w="6976" w:type="dxa"/>
            <w:tcBorders>
              <w:top w:val="single" w:color="000000" w:sz="6" w:space="0"/>
              <w:left w:val="single" w:color="000000" w:sz="4"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6" w:hRule="atLeast"/>
        </w:trPr>
        <w:tc>
          <w:tcPr>
            <w:tcW w:w="2090" w:type="dxa"/>
            <w:tcBorders>
              <w:top w:val="single" w:color="000000" w:sz="6" w:space="0"/>
              <w:bottom w:val="single" w:color="000000" w:sz="6" w:space="0"/>
              <w:right w:val="single" w:color="000000" w:sz="4" w:space="0"/>
            </w:tcBorders>
          </w:tcPr>
          <w:p>
            <w:pPr>
              <w:pStyle w:val="31"/>
              <w:spacing w:before="3"/>
              <w:rPr>
                <w:rFonts w:ascii="黑体"/>
                <w:color w:val="auto"/>
                <w:sz w:val="15"/>
                <w:highlight w:val="none"/>
              </w:rPr>
            </w:pPr>
          </w:p>
          <w:p>
            <w:pPr>
              <w:pStyle w:val="31"/>
              <w:ind w:left="290" w:right="267"/>
              <w:jc w:val="center"/>
              <w:rPr>
                <w:color w:val="auto"/>
                <w:sz w:val="21"/>
                <w:highlight w:val="none"/>
              </w:rPr>
            </w:pPr>
            <w:r>
              <w:rPr>
                <w:color w:val="auto"/>
                <w:sz w:val="21"/>
                <w:highlight w:val="none"/>
              </w:rPr>
              <w:t>项目描述</w:t>
            </w:r>
          </w:p>
        </w:tc>
        <w:tc>
          <w:tcPr>
            <w:tcW w:w="6976" w:type="dxa"/>
            <w:tcBorders>
              <w:top w:val="single" w:color="000000" w:sz="6" w:space="0"/>
              <w:left w:val="single" w:color="000000" w:sz="4"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2" w:hRule="atLeast"/>
        </w:trPr>
        <w:tc>
          <w:tcPr>
            <w:tcW w:w="2090" w:type="dxa"/>
            <w:tcBorders>
              <w:top w:val="single" w:color="000000" w:sz="6" w:space="0"/>
              <w:right w:val="single" w:color="000000" w:sz="4" w:space="0"/>
            </w:tcBorders>
          </w:tcPr>
          <w:p>
            <w:pPr>
              <w:pStyle w:val="31"/>
              <w:spacing w:before="157"/>
              <w:ind w:left="290" w:right="269"/>
              <w:jc w:val="center"/>
              <w:rPr>
                <w:color w:val="auto"/>
                <w:sz w:val="21"/>
                <w:highlight w:val="none"/>
              </w:rPr>
            </w:pPr>
            <w:r>
              <w:rPr>
                <w:color w:val="auto"/>
                <w:sz w:val="21"/>
                <w:highlight w:val="none"/>
              </w:rPr>
              <w:t>备注</w:t>
            </w:r>
          </w:p>
        </w:tc>
        <w:tc>
          <w:tcPr>
            <w:tcW w:w="6976" w:type="dxa"/>
            <w:tcBorders>
              <w:top w:val="single" w:color="000000" w:sz="6" w:space="0"/>
              <w:left w:val="single" w:color="000000" w:sz="4" w:space="0"/>
            </w:tcBorders>
          </w:tcPr>
          <w:p>
            <w:pPr>
              <w:pStyle w:val="31"/>
              <w:rPr>
                <w:rFonts w:ascii="Times New Roman"/>
                <w:color w:val="auto"/>
                <w:sz w:val="22"/>
                <w:highlight w:val="none"/>
              </w:rPr>
            </w:pPr>
          </w:p>
        </w:tc>
      </w:tr>
    </w:tbl>
    <w:p>
      <w:pPr>
        <w:pStyle w:val="2"/>
        <w:spacing w:before="23" w:line="278" w:lineRule="auto"/>
        <w:ind w:left="1238" w:right="303" w:hanging="421"/>
        <w:rPr>
          <w:color w:val="auto"/>
          <w:highlight w:val="none"/>
        </w:rPr>
      </w:pPr>
      <w:r>
        <w:rPr>
          <w:color w:val="auto"/>
          <w:highlight w:val="none"/>
        </w:rPr>
        <w:t>注：</w:t>
      </w:r>
      <w:r>
        <w:rPr>
          <w:rFonts w:ascii="Arial" w:eastAsia="Arial"/>
          <w:color w:val="auto"/>
          <w:highlight w:val="none"/>
        </w:rPr>
        <w:t xml:space="preserve">1. </w:t>
      </w:r>
      <w:r>
        <w:rPr>
          <w:color w:val="auto"/>
          <w:highlight w:val="none"/>
        </w:rPr>
        <w:t>投标人应提供</w:t>
      </w:r>
      <w:r>
        <w:rPr>
          <w:rFonts w:hint="eastAsia" w:ascii="Arial"/>
          <w:color w:val="auto"/>
          <w:highlight w:val="none"/>
          <w:lang w:eastAsia="zh-CN"/>
        </w:rPr>
        <w:t>201</w:t>
      </w:r>
      <w:r>
        <w:rPr>
          <w:rFonts w:hint="eastAsia" w:ascii="Arial"/>
          <w:color w:val="auto"/>
          <w:highlight w:val="none"/>
          <w:lang w:val="en-US" w:eastAsia="zh-CN"/>
        </w:rPr>
        <w:t>8</w:t>
      </w:r>
      <w:r>
        <w:rPr>
          <w:rFonts w:hint="eastAsia" w:ascii="Arial"/>
          <w:color w:val="auto"/>
          <w:highlight w:val="none"/>
          <w:lang w:eastAsia="zh-CN"/>
        </w:rPr>
        <w:t>年 7 月 1 日</w:t>
      </w:r>
      <w:r>
        <w:rPr>
          <w:color w:val="auto"/>
          <w:highlight w:val="none"/>
        </w:rPr>
        <w:t>以来已完成的类似设计项目情况。每张表格只填写一个项目， 并标明序号。</w:t>
      </w:r>
    </w:p>
    <w:p>
      <w:pPr>
        <w:pStyle w:val="30"/>
        <w:numPr>
          <w:ilvl w:val="1"/>
          <w:numId w:val="31"/>
        </w:numPr>
        <w:tabs>
          <w:tab w:val="left" w:pos="1518"/>
        </w:tabs>
        <w:spacing w:before="0" w:after="0" w:line="269" w:lineRule="exact"/>
        <w:ind w:left="1517" w:right="0" w:hanging="280"/>
        <w:jc w:val="left"/>
        <w:rPr>
          <w:color w:val="auto"/>
          <w:sz w:val="21"/>
          <w:highlight w:val="none"/>
        </w:rPr>
      </w:pPr>
      <w:r>
        <w:rPr>
          <w:color w:val="auto"/>
          <w:spacing w:val="-3"/>
          <w:sz w:val="21"/>
          <w:highlight w:val="none"/>
        </w:rPr>
        <w:t>本表填报的项目情况应满足</w:t>
      </w:r>
      <w:r>
        <w:rPr>
          <w:rFonts w:ascii="Arial" w:hAnsi="Arial" w:eastAsia="Arial"/>
          <w:color w:val="auto"/>
          <w:sz w:val="21"/>
          <w:highlight w:val="none"/>
        </w:rPr>
        <w:t>“</w:t>
      </w:r>
      <w:r>
        <w:rPr>
          <w:color w:val="auto"/>
          <w:spacing w:val="-3"/>
          <w:sz w:val="21"/>
          <w:highlight w:val="none"/>
        </w:rPr>
        <w:t>投标人须知前附表</w:t>
      </w:r>
      <w:r>
        <w:rPr>
          <w:rFonts w:ascii="Arial" w:hAnsi="Arial" w:eastAsia="Arial"/>
          <w:color w:val="auto"/>
          <w:sz w:val="21"/>
          <w:highlight w:val="none"/>
        </w:rPr>
        <w:t>”</w:t>
      </w:r>
      <w:r>
        <w:rPr>
          <w:color w:val="auto"/>
          <w:spacing w:val="-2"/>
          <w:sz w:val="21"/>
          <w:highlight w:val="none"/>
        </w:rPr>
        <w:t>附录</w:t>
      </w:r>
      <w:r>
        <w:rPr>
          <w:rFonts w:ascii="Arial" w:hAnsi="Arial" w:eastAsia="Arial"/>
          <w:color w:val="auto"/>
          <w:sz w:val="21"/>
          <w:highlight w:val="none"/>
        </w:rPr>
        <w:t>2</w:t>
      </w:r>
      <w:r>
        <w:rPr>
          <w:color w:val="auto"/>
          <w:spacing w:val="-3"/>
          <w:sz w:val="21"/>
          <w:highlight w:val="none"/>
        </w:rPr>
        <w:t>的要求。</w:t>
      </w:r>
    </w:p>
    <w:p>
      <w:pPr>
        <w:pStyle w:val="30"/>
        <w:numPr>
          <w:ilvl w:val="1"/>
          <w:numId w:val="31"/>
        </w:numPr>
        <w:tabs>
          <w:tab w:val="left" w:pos="1518"/>
        </w:tabs>
        <w:spacing w:before="42" w:after="0" w:line="240" w:lineRule="auto"/>
        <w:ind w:left="1517" w:right="0" w:hanging="280"/>
        <w:jc w:val="left"/>
        <w:rPr>
          <w:color w:val="auto"/>
          <w:sz w:val="21"/>
          <w:highlight w:val="none"/>
        </w:rPr>
      </w:pPr>
      <w:r>
        <w:rPr>
          <w:color w:val="auto"/>
          <w:spacing w:val="-3"/>
          <w:sz w:val="21"/>
          <w:highlight w:val="none"/>
        </w:rPr>
        <w:t>相关证明文件见附录</w:t>
      </w:r>
      <w:r>
        <w:rPr>
          <w:rFonts w:ascii="Arial" w:eastAsia="Arial"/>
          <w:color w:val="auto"/>
          <w:spacing w:val="-3"/>
          <w:sz w:val="21"/>
          <w:highlight w:val="none"/>
        </w:rPr>
        <w:t>2</w:t>
      </w:r>
      <w:r>
        <w:rPr>
          <w:color w:val="auto"/>
          <w:spacing w:val="-1"/>
          <w:sz w:val="21"/>
          <w:highlight w:val="none"/>
        </w:rPr>
        <w:t>注的要求。</w:t>
      </w:r>
    </w:p>
    <w:p>
      <w:pPr>
        <w:spacing w:after="0" w:line="240" w:lineRule="auto"/>
        <w:jc w:val="left"/>
        <w:rPr>
          <w:color w:val="auto"/>
          <w:sz w:val="21"/>
          <w:highlight w:val="none"/>
        </w:rPr>
        <w:sectPr>
          <w:pgSz w:w="11910" w:h="16840"/>
          <w:pgMar w:top="1040" w:right="860" w:bottom="940" w:left="960" w:header="0" w:footer="672" w:gutter="0"/>
          <w:pgBorders>
            <w:top w:val="none" w:sz="0" w:space="0"/>
            <w:left w:val="none" w:sz="0" w:space="0"/>
            <w:bottom w:val="none" w:sz="0" w:space="0"/>
            <w:right w:val="none" w:sz="0" w:space="0"/>
          </w:pgBorders>
          <w:pgNumType w:fmt="decimal"/>
          <w:cols w:space="720" w:num="1"/>
        </w:sectPr>
      </w:pPr>
    </w:p>
    <w:p>
      <w:pPr>
        <w:pStyle w:val="9"/>
        <w:outlineLvl w:val="2"/>
        <w:rPr>
          <w:color w:val="auto"/>
          <w:highlight w:val="none"/>
        </w:rPr>
      </w:pPr>
      <w:bookmarkStart w:id="244" w:name="（三）正在进行的设计和新承接的主要项目情况表"/>
      <w:bookmarkEnd w:id="244"/>
      <w:bookmarkStart w:id="245" w:name="_Toc18172"/>
      <w:bookmarkStart w:id="246" w:name="_Toc20237"/>
      <w:r>
        <w:rPr>
          <w:color w:val="auto"/>
          <w:highlight w:val="none"/>
        </w:rPr>
        <w:t>（三）正在进行的设计和新承接的主要项目情况表</w:t>
      </w:r>
      <w:bookmarkEnd w:id="245"/>
      <w:bookmarkEnd w:id="246"/>
    </w:p>
    <w:p>
      <w:pPr>
        <w:pStyle w:val="2"/>
        <w:spacing w:before="6"/>
        <w:rPr>
          <w:rFonts w:ascii="黑体"/>
          <w:color w:val="auto"/>
          <w:sz w:val="8"/>
          <w:highlight w:val="none"/>
        </w:rPr>
      </w:pPr>
    </w:p>
    <w:tbl>
      <w:tblPr>
        <w:tblStyle w:val="26"/>
        <w:tblW w:w="0" w:type="auto"/>
        <w:tblInd w:w="26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13"/>
        <w:gridCol w:w="1915"/>
        <w:gridCol w:w="1913"/>
        <w:gridCol w:w="1915"/>
        <w:gridCol w:w="191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9" w:hRule="atLeast"/>
        </w:trPr>
        <w:tc>
          <w:tcPr>
            <w:tcW w:w="1913" w:type="dxa"/>
            <w:tcBorders>
              <w:bottom w:val="single" w:color="000000" w:sz="6" w:space="0"/>
              <w:right w:val="single" w:color="000000" w:sz="6" w:space="0"/>
            </w:tcBorders>
          </w:tcPr>
          <w:p>
            <w:pPr>
              <w:pStyle w:val="31"/>
              <w:spacing w:before="3"/>
              <w:rPr>
                <w:rFonts w:ascii="黑体"/>
                <w:color w:val="auto"/>
                <w:sz w:val="26"/>
                <w:highlight w:val="none"/>
              </w:rPr>
            </w:pPr>
          </w:p>
          <w:p>
            <w:pPr>
              <w:pStyle w:val="31"/>
              <w:ind w:left="534"/>
              <w:rPr>
                <w:color w:val="auto"/>
                <w:sz w:val="21"/>
                <w:highlight w:val="none"/>
              </w:rPr>
            </w:pPr>
            <w:r>
              <w:rPr>
                <w:color w:val="auto"/>
                <w:sz w:val="21"/>
                <w:highlight w:val="none"/>
              </w:rPr>
              <w:t>起讫时间</w:t>
            </w:r>
          </w:p>
        </w:tc>
        <w:tc>
          <w:tcPr>
            <w:tcW w:w="1915" w:type="dxa"/>
            <w:tcBorders>
              <w:left w:val="single" w:color="000000" w:sz="6" w:space="0"/>
              <w:bottom w:val="single" w:color="000000" w:sz="6" w:space="0"/>
              <w:right w:val="single" w:color="000000" w:sz="6" w:space="0"/>
            </w:tcBorders>
          </w:tcPr>
          <w:p>
            <w:pPr>
              <w:pStyle w:val="31"/>
              <w:spacing w:before="3"/>
              <w:rPr>
                <w:rFonts w:ascii="黑体"/>
                <w:color w:val="auto"/>
                <w:sz w:val="26"/>
                <w:highlight w:val="none"/>
              </w:rPr>
            </w:pPr>
          </w:p>
          <w:p>
            <w:pPr>
              <w:pStyle w:val="31"/>
              <w:ind w:left="544"/>
              <w:rPr>
                <w:color w:val="auto"/>
                <w:sz w:val="21"/>
                <w:highlight w:val="none"/>
              </w:rPr>
            </w:pPr>
            <w:r>
              <w:rPr>
                <w:color w:val="auto"/>
                <w:sz w:val="21"/>
                <w:highlight w:val="none"/>
              </w:rPr>
              <w:t>项目概况</w:t>
            </w:r>
          </w:p>
        </w:tc>
        <w:tc>
          <w:tcPr>
            <w:tcW w:w="1913" w:type="dxa"/>
            <w:tcBorders>
              <w:left w:val="single" w:color="000000" w:sz="6" w:space="0"/>
              <w:bottom w:val="single" w:color="000000" w:sz="6" w:space="0"/>
              <w:right w:val="single" w:color="000000" w:sz="6" w:space="0"/>
            </w:tcBorders>
          </w:tcPr>
          <w:p>
            <w:pPr>
              <w:pStyle w:val="31"/>
              <w:spacing w:before="3"/>
              <w:rPr>
                <w:rFonts w:ascii="黑体"/>
                <w:color w:val="auto"/>
                <w:sz w:val="26"/>
                <w:highlight w:val="none"/>
              </w:rPr>
            </w:pPr>
          </w:p>
          <w:p>
            <w:pPr>
              <w:pStyle w:val="31"/>
              <w:ind w:left="436"/>
              <w:rPr>
                <w:color w:val="auto"/>
                <w:sz w:val="21"/>
                <w:highlight w:val="none"/>
              </w:rPr>
            </w:pPr>
            <w:r>
              <w:rPr>
                <w:color w:val="auto"/>
                <w:sz w:val="21"/>
                <w:highlight w:val="none"/>
              </w:rPr>
              <w:t>发包人名称</w:t>
            </w:r>
          </w:p>
        </w:tc>
        <w:tc>
          <w:tcPr>
            <w:tcW w:w="1915" w:type="dxa"/>
            <w:tcBorders>
              <w:left w:val="single" w:color="000000" w:sz="6" w:space="0"/>
              <w:bottom w:val="single" w:color="000000" w:sz="6" w:space="0"/>
              <w:right w:val="single" w:color="000000" w:sz="6" w:space="0"/>
            </w:tcBorders>
          </w:tcPr>
          <w:p>
            <w:pPr>
              <w:pStyle w:val="31"/>
              <w:spacing w:before="3"/>
              <w:rPr>
                <w:rFonts w:ascii="黑体"/>
                <w:color w:val="auto"/>
                <w:sz w:val="26"/>
                <w:highlight w:val="none"/>
              </w:rPr>
            </w:pPr>
          </w:p>
          <w:p>
            <w:pPr>
              <w:pStyle w:val="31"/>
              <w:ind w:left="335"/>
              <w:rPr>
                <w:color w:val="auto"/>
                <w:sz w:val="21"/>
                <w:highlight w:val="none"/>
              </w:rPr>
            </w:pPr>
            <w:r>
              <w:rPr>
                <w:color w:val="auto"/>
                <w:sz w:val="21"/>
                <w:highlight w:val="none"/>
              </w:rPr>
              <w:t>计划完成日期</w:t>
            </w:r>
          </w:p>
        </w:tc>
        <w:tc>
          <w:tcPr>
            <w:tcW w:w="1913" w:type="dxa"/>
            <w:tcBorders>
              <w:left w:val="single" w:color="000000" w:sz="6" w:space="0"/>
              <w:bottom w:val="single" w:color="000000" w:sz="6" w:space="0"/>
            </w:tcBorders>
          </w:tcPr>
          <w:p>
            <w:pPr>
              <w:pStyle w:val="31"/>
              <w:spacing w:before="3"/>
              <w:rPr>
                <w:rFonts w:ascii="黑体"/>
                <w:color w:val="auto"/>
                <w:sz w:val="26"/>
                <w:highlight w:val="none"/>
              </w:rPr>
            </w:pPr>
          </w:p>
          <w:p>
            <w:pPr>
              <w:pStyle w:val="31"/>
              <w:ind w:left="734" w:right="696"/>
              <w:jc w:val="center"/>
              <w:rPr>
                <w:color w:val="auto"/>
                <w:sz w:val="21"/>
                <w:highlight w:val="none"/>
              </w:rPr>
            </w:pPr>
            <w:r>
              <w:rPr>
                <w:color w:val="auto"/>
                <w:sz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913"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913"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913"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913"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7" w:hRule="atLeast"/>
        </w:trPr>
        <w:tc>
          <w:tcPr>
            <w:tcW w:w="1913"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913"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913"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913"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913"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9" w:hRule="atLeast"/>
        </w:trPr>
        <w:tc>
          <w:tcPr>
            <w:tcW w:w="1913" w:type="dxa"/>
            <w:tcBorders>
              <w:top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915"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913" w:type="dxa"/>
            <w:tcBorders>
              <w:top w:val="single" w:color="000000" w:sz="6" w:space="0"/>
              <w:left w:val="single" w:color="000000" w:sz="6" w:space="0"/>
            </w:tcBorders>
          </w:tcPr>
          <w:p>
            <w:pPr>
              <w:pStyle w:val="31"/>
              <w:rPr>
                <w:rFonts w:ascii="Times New Roman"/>
                <w:color w:val="auto"/>
                <w:sz w:val="22"/>
                <w:highlight w:val="none"/>
              </w:rPr>
            </w:pPr>
          </w:p>
        </w:tc>
      </w:tr>
    </w:tbl>
    <w:p>
      <w:pPr>
        <w:pStyle w:val="2"/>
        <w:spacing w:before="25" w:line="278" w:lineRule="auto"/>
        <w:ind w:left="540" w:right="438" w:firstLine="419"/>
        <w:rPr>
          <w:color w:val="auto"/>
          <w:highlight w:val="none"/>
        </w:rPr>
      </w:pPr>
      <w:r>
        <w:rPr>
          <w:color w:val="auto"/>
          <w:highlight w:val="none"/>
        </w:rPr>
        <w:t xml:space="preserve">注 </w:t>
      </w:r>
      <w:r>
        <w:rPr>
          <w:rFonts w:ascii="Arial" w:eastAsia="Arial"/>
          <w:color w:val="auto"/>
          <w:highlight w:val="none"/>
        </w:rPr>
        <w:t>1.</w:t>
      </w:r>
      <w:r>
        <w:rPr>
          <w:color w:val="auto"/>
          <w:highlight w:val="none"/>
        </w:rPr>
        <w:t>投标人应如实将正在</w:t>
      </w:r>
      <w:r>
        <w:rPr>
          <w:rFonts w:hint="eastAsia"/>
          <w:color w:val="auto"/>
          <w:highlight w:val="none"/>
          <w:lang w:eastAsia="zh-CN"/>
        </w:rPr>
        <w:t>服务</w:t>
      </w:r>
      <w:r>
        <w:rPr>
          <w:color w:val="auto"/>
          <w:highlight w:val="none"/>
        </w:rPr>
        <w:t>中或已中标还未签订合同（包括已签订合同但尚未开始）的主要公路设计项目情况填入本表中。</w:t>
      </w:r>
    </w:p>
    <w:p>
      <w:pPr>
        <w:pStyle w:val="30"/>
        <w:numPr>
          <w:ilvl w:val="0"/>
          <w:numId w:val="32"/>
        </w:numPr>
        <w:tabs>
          <w:tab w:val="left" w:pos="1138"/>
        </w:tabs>
        <w:spacing w:before="0" w:after="0" w:line="269" w:lineRule="exact"/>
        <w:ind w:left="1137" w:right="0" w:hanging="178"/>
        <w:jc w:val="left"/>
        <w:rPr>
          <w:color w:val="auto"/>
          <w:sz w:val="21"/>
          <w:highlight w:val="none"/>
        </w:rPr>
      </w:pPr>
      <w:r>
        <w:rPr>
          <w:color w:val="auto"/>
          <w:spacing w:val="-3"/>
          <w:sz w:val="21"/>
          <w:highlight w:val="none"/>
        </w:rPr>
        <w:t>项目概况包括：项目名称、项目等级、规模、总投资、设计周期、设计负责人。</w:t>
      </w:r>
    </w:p>
    <w:p>
      <w:pPr>
        <w:pStyle w:val="30"/>
        <w:numPr>
          <w:ilvl w:val="0"/>
          <w:numId w:val="32"/>
        </w:numPr>
        <w:tabs>
          <w:tab w:val="left" w:pos="1138"/>
        </w:tabs>
        <w:spacing w:before="43" w:after="0" w:line="240" w:lineRule="auto"/>
        <w:ind w:left="1137" w:right="0" w:hanging="178"/>
        <w:jc w:val="left"/>
        <w:rPr>
          <w:color w:val="auto"/>
          <w:sz w:val="21"/>
          <w:highlight w:val="none"/>
        </w:rPr>
      </w:pPr>
      <w:r>
        <w:rPr>
          <w:color w:val="auto"/>
          <w:spacing w:val="-3"/>
          <w:sz w:val="21"/>
          <w:highlight w:val="none"/>
        </w:rPr>
        <w:t>本表应附中标通知书或合同协议书的扫描件。</w:t>
      </w:r>
    </w:p>
    <w:p>
      <w:pPr>
        <w:spacing w:after="0" w:line="240" w:lineRule="auto"/>
        <w:jc w:val="left"/>
        <w:rPr>
          <w:color w:val="auto"/>
          <w:sz w:val="21"/>
          <w:highlight w:val="none"/>
        </w:rPr>
        <w:sectPr>
          <w:pgSz w:w="11910" w:h="16840"/>
          <w:pgMar w:top="1040" w:right="860" w:bottom="940" w:left="960" w:header="0" w:footer="672" w:gutter="0"/>
          <w:pgBorders>
            <w:top w:val="none" w:sz="0" w:space="0"/>
            <w:left w:val="none" w:sz="0" w:space="0"/>
            <w:bottom w:val="none" w:sz="0" w:space="0"/>
            <w:right w:val="none" w:sz="0" w:space="0"/>
          </w:pgBorders>
          <w:pgNumType w:fmt="decimal"/>
          <w:cols w:space="720" w:num="1"/>
        </w:sectPr>
      </w:pPr>
    </w:p>
    <w:p>
      <w:pPr>
        <w:pStyle w:val="9"/>
        <w:ind w:left="299"/>
        <w:outlineLvl w:val="2"/>
        <w:rPr>
          <w:color w:val="auto"/>
          <w:highlight w:val="none"/>
        </w:rPr>
      </w:pPr>
      <w:bookmarkStart w:id="247" w:name="（四）拟委任的主要人员汇总表"/>
      <w:bookmarkEnd w:id="247"/>
      <w:bookmarkStart w:id="248" w:name="_Toc6429"/>
      <w:bookmarkStart w:id="249" w:name="_Toc22414"/>
      <w:r>
        <w:rPr>
          <w:color w:val="auto"/>
          <w:highlight w:val="none"/>
        </w:rPr>
        <w:t>（四）拟委任的主要人员汇总表</w:t>
      </w:r>
      <w:bookmarkEnd w:id="248"/>
      <w:bookmarkEnd w:id="249"/>
    </w:p>
    <w:p>
      <w:pPr>
        <w:pStyle w:val="2"/>
        <w:spacing w:before="6"/>
        <w:rPr>
          <w:rFonts w:ascii="黑体"/>
          <w:color w:val="auto"/>
          <w:sz w:val="8"/>
          <w:highlight w:val="none"/>
        </w:rPr>
      </w:pPr>
    </w:p>
    <w:tbl>
      <w:tblPr>
        <w:tblStyle w:val="26"/>
        <w:tblW w:w="0" w:type="auto"/>
        <w:tblInd w:w="30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96"/>
        <w:gridCol w:w="1594"/>
        <w:gridCol w:w="1596"/>
        <w:gridCol w:w="1517"/>
        <w:gridCol w:w="1673"/>
        <w:gridCol w:w="159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9" w:hRule="atLeast"/>
        </w:trPr>
        <w:tc>
          <w:tcPr>
            <w:tcW w:w="1596" w:type="dxa"/>
            <w:tcBorders>
              <w:bottom w:val="single" w:color="000000" w:sz="6" w:space="0"/>
              <w:right w:val="single" w:color="000000" w:sz="6" w:space="0"/>
            </w:tcBorders>
          </w:tcPr>
          <w:p>
            <w:pPr>
              <w:pStyle w:val="31"/>
              <w:spacing w:before="3"/>
              <w:rPr>
                <w:rFonts w:ascii="黑体"/>
                <w:color w:val="auto"/>
                <w:sz w:val="26"/>
                <w:highlight w:val="none"/>
              </w:rPr>
            </w:pPr>
          </w:p>
          <w:p>
            <w:pPr>
              <w:pStyle w:val="31"/>
              <w:ind w:left="534"/>
              <w:rPr>
                <w:color w:val="auto"/>
                <w:sz w:val="21"/>
                <w:highlight w:val="none"/>
              </w:rPr>
            </w:pPr>
            <w:r>
              <w:rPr>
                <w:color w:val="auto"/>
                <w:sz w:val="21"/>
                <w:highlight w:val="none"/>
              </w:rPr>
              <w:t>姓 名</w:t>
            </w:r>
          </w:p>
        </w:tc>
        <w:tc>
          <w:tcPr>
            <w:tcW w:w="1594" w:type="dxa"/>
            <w:tcBorders>
              <w:left w:val="single" w:color="000000" w:sz="6" w:space="0"/>
              <w:bottom w:val="single" w:color="000000" w:sz="6" w:space="0"/>
              <w:right w:val="single" w:color="000000" w:sz="6" w:space="0"/>
            </w:tcBorders>
          </w:tcPr>
          <w:p>
            <w:pPr>
              <w:pStyle w:val="31"/>
              <w:spacing w:before="3"/>
              <w:rPr>
                <w:rFonts w:ascii="黑体"/>
                <w:color w:val="auto"/>
                <w:sz w:val="26"/>
                <w:highlight w:val="none"/>
              </w:rPr>
            </w:pPr>
          </w:p>
          <w:p>
            <w:pPr>
              <w:pStyle w:val="31"/>
              <w:ind w:left="149" w:right="116"/>
              <w:jc w:val="center"/>
              <w:rPr>
                <w:color w:val="auto"/>
                <w:sz w:val="21"/>
                <w:highlight w:val="none"/>
              </w:rPr>
            </w:pPr>
            <w:r>
              <w:rPr>
                <w:color w:val="auto"/>
                <w:sz w:val="21"/>
                <w:highlight w:val="none"/>
              </w:rPr>
              <w:t>年龄</w:t>
            </w:r>
          </w:p>
        </w:tc>
        <w:tc>
          <w:tcPr>
            <w:tcW w:w="1596" w:type="dxa"/>
            <w:tcBorders>
              <w:left w:val="single" w:color="000000" w:sz="6" w:space="0"/>
              <w:bottom w:val="single" w:color="000000" w:sz="6" w:space="0"/>
              <w:right w:val="single" w:color="000000" w:sz="6" w:space="0"/>
            </w:tcBorders>
          </w:tcPr>
          <w:p>
            <w:pPr>
              <w:pStyle w:val="31"/>
              <w:spacing w:before="1"/>
              <w:rPr>
                <w:rFonts w:ascii="黑体"/>
                <w:color w:val="auto"/>
                <w:sz w:val="14"/>
                <w:highlight w:val="none"/>
              </w:rPr>
            </w:pPr>
          </w:p>
          <w:p>
            <w:pPr>
              <w:pStyle w:val="31"/>
              <w:spacing w:line="278" w:lineRule="auto"/>
              <w:ind w:left="277" w:right="142" w:hanging="104"/>
              <w:rPr>
                <w:color w:val="auto"/>
                <w:sz w:val="21"/>
                <w:highlight w:val="none"/>
              </w:rPr>
            </w:pPr>
            <w:r>
              <w:rPr>
                <w:color w:val="auto"/>
                <w:sz w:val="21"/>
                <w:highlight w:val="none"/>
              </w:rPr>
              <w:t>拟在本项目中担任的职责</w:t>
            </w:r>
          </w:p>
        </w:tc>
        <w:tc>
          <w:tcPr>
            <w:tcW w:w="1517" w:type="dxa"/>
            <w:tcBorders>
              <w:left w:val="single" w:color="000000" w:sz="6" w:space="0"/>
              <w:bottom w:val="single" w:color="000000" w:sz="6" w:space="0"/>
              <w:right w:val="single" w:color="000000" w:sz="6" w:space="0"/>
            </w:tcBorders>
          </w:tcPr>
          <w:p>
            <w:pPr>
              <w:pStyle w:val="31"/>
              <w:spacing w:before="3"/>
              <w:rPr>
                <w:rFonts w:ascii="黑体"/>
                <w:color w:val="auto"/>
                <w:sz w:val="26"/>
                <w:highlight w:val="none"/>
              </w:rPr>
            </w:pPr>
          </w:p>
          <w:p>
            <w:pPr>
              <w:pStyle w:val="31"/>
              <w:ind w:left="345"/>
              <w:rPr>
                <w:color w:val="auto"/>
                <w:sz w:val="21"/>
                <w:highlight w:val="none"/>
              </w:rPr>
            </w:pPr>
            <w:r>
              <w:rPr>
                <w:color w:val="auto"/>
                <w:sz w:val="21"/>
                <w:highlight w:val="none"/>
              </w:rPr>
              <w:t>技术职称</w:t>
            </w:r>
          </w:p>
        </w:tc>
        <w:tc>
          <w:tcPr>
            <w:tcW w:w="1673" w:type="dxa"/>
            <w:tcBorders>
              <w:left w:val="single" w:color="000000" w:sz="6" w:space="0"/>
              <w:bottom w:val="single" w:color="000000" w:sz="6" w:space="0"/>
              <w:right w:val="single" w:color="000000" w:sz="6" w:space="0"/>
            </w:tcBorders>
          </w:tcPr>
          <w:p>
            <w:pPr>
              <w:pStyle w:val="31"/>
              <w:spacing w:before="3"/>
              <w:rPr>
                <w:rFonts w:ascii="黑体"/>
                <w:color w:val="auto"/>
                <w:sz w:val="26"/>
                <w:highlight w:val="none"/>
              </w:rPr>
            </w:pPr>
          </w:p>
          <w:p>
            <w:pPr>
              <w:pStyle w:val="31"/>
              <w:ind w:left="424"/>
              <w:rPr>
                <w:color w:val="auto"/>
                <w:sz w:val="21"/>
                <w:highlight w:val="none"/>
              </w:rPr>
            </w:pPr>
            <w:r>
              <w:rPr>
                <w:color w:val="auto"/>
                <w:sz w:val="21"/>
                <w:highlight w:val="none"/>
              </w:rPr>
              <w:t>工作年限</w:t>
            </w:r>
          </w:p>
        </w:tc>
        <w:tc>
          <w:tcPr>
            <w:tcW w:w="1596" w:type="dxa"/>
            <w:tcBorders>
              <w:left w:val="single" w:color="000000" w:sz="6" w:space="0"/>
              <w:bottom w:val="single" w:color="000000" w:sz="6" w:space="0"/>
            </w:tcBorders>
          </w:tcPr>
          <w:p>
            <w:pPr>
              <w:pStyle w:val="31"/>
              <w:rPr>
                <w:rFonts w:ascii="黑体"/>
                <w:color w:val="auto"/>
                <w:sz w:val="14"/>
                <w:highlight w:val="none"/>
              </w:rPr>
            </w:pPr>
          </w:p>
          <w:p>
            <w:pPr>
              <w:pStyle w:val="31"/>
              <w:spacing w:before="1" w:line="278" w:lineRule="auto"/>
              <w:ind w:left="594" w:right="134" w:hanging="421"/>
              <w:rPr>
                <w:color w:val="auto"/>
                <w:sz w:val="21"/>
                <w:highlight w:val="none"/>
              </w:rPr>
            </w:pPr>
            <w:r>
              <w:rPr>
                <w:color w:val="auto"/>
                <w:sz w:val="21"/>
                <w:highlight w:val="none"/>
              </w:rPr>
              <w:t>类似设计经验年限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596"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1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67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596"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1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67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596"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1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67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596"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1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67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7" w:hRule="atLeast"/>
        </w:trPr>
        <w:tc>
          <w:tcPr>
            <w:tcW w:w="1596"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1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67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596"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1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67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596"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1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67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596"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1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67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596"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1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67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0" w:hRule="atLeast"/>
        </w:trPr>
        <w:tc>
          <w:tcPr>
            <w:tcW w:w="1596" w:type="dxa"/>
            <w:tcBorders>
              <w:top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4"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17"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673" w:type="dxa"/>
            <w:tcBorders>
              <w:top w:val="single" w:color="000000" w:sz="6" w:space="0"/>
              <w:left w:val="single" w:color="000000" w:sz="6" w:space="0"/>
              <w:bottom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bottom w:val="single" w:color="000000" w:sz="6"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7" w:hRule="atLeast"/>
        </w:trPr>
        <w:tc>
          <w:tcPr>
            <w:tcW w:w="1596" w:type="dxa"/>
            <w:tcBorders>
              <w:top w:val="single" w:color="000000" w:sz="6" w:space="0"/>
              <w:right w:val="single" w:color="000000" w:sz="6" w:space="0"/>
            </w:tcBorders>
          </w:tcPr>
          <w:p>
            <w:pPr>
              <w:pStyle w:val="31"/>
              <w:rPr>
                <w:rFonts w:ascii="Times New Roman"/>
                <w:color w:val="auto"/>
                <w:sz w:val="22"/>
                <w:highlight w:val="none"/>
              </w:rPr>
            </w:pPr>
          </w:p>
        </w:tc>
        <w:tc>
          <w:tcPr>
            <w:tcW w:w="1594"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517"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673" w:type="dxa"/>
            <w:tcBorders>
              <w:top w:val="single" w:color="000000" w:sz="6" w:space="0"/>
              <w:left w:val="single" w:color="000000" w:sz="6" w:space="0"/>
              <w:right w:val="single" w:color="000000" w:sz="6" w:space="0"/>
            </w:tcBorders>
          </w:tcPr>
          <w:p>
            <w:pPr>
              <w:pStyle w:val="31"/>
              <w:rPr>
                <w:rFonts w:ascii="Times New Roman"/>
                <w:color w:val="auto"/>
                <w:sz w:val="22"/>
                <w:highlight w:val="none"/>
              </w:rPr>
            </w:pPr>
          </w:p>
        </w:tc>
        <w:tc>
          <w:tcPr>
            <w:tcW w:w="1596" w:type="dxa"/>
            <w:tcBorders>
              <w:top w:val="single" w:color="000000" w:sz="6" w:space="0"/>
              <w:left w:val="single" w:color="000000" w:sz="6" w:space="0"/>
            </w:tcBorders>
          </w:tcPr>
          <w:p>
            <w:pPr>
              <w:pStyle w:val="31"/>
              <w:rPr>
                <w:rFonts w:ascii="Times New Roman"/>
                <w:color w:val="auto"/>
                <w:sz w:val="22"/>
                <w:highlight w:val="none"/>
              </w:rPr>
            </w:pPr>
          </w:p>
        </w:tc>
      </w:tr>
    </w:tbl>
    <w:p>
      <w:pPr>
        <w:pStyle w:val="2"/>
        <w:spacing w:before="25"/>
        <w:ind w:left="818"/>
        <w:rPr>
          <w:color w:val="auto"/>
          <w:highlight w:val="none"/>
        </w:rPr>
      </w:pPr>
      <w:r>
        <w:rPr>
          <w:color w:val="auto"/>
          <w:highlight w:val="none"/>
        </w:rPr>
        <w:t>注：本表填报的人员应满足</w:t>
      </w:r>
      <w:r>
        <w:rPr>
          <w:rFonts w:ascii="Arial" w:hAnsi="Arial" w:eastAsia="Arial"/>
          <w:color w:val="auto"/>
          <w:highlight w:val="none"/>
        </w:rPr>
        <w:t>“</w:t>
      </w:r>
      <w:r>
        <w:rPr>
          <w:color w:val="auto"/>
          <w:highlight w:val="none"/>
        </w:rPr>
        <w:t>投标人须知前附表</w:t>
      </w:r>
      <w:r>
        <w:rPr>
          <w:rFonts w:ascii="Arial" w:hAnsi="Arial" w:eastAsia="Arial"/>
          <w:color w:val="auto"/>
          <w:highlight w:val="none"/>
        </w:rPr>
        <w:t>”</w:t>
      </w:r>
      <w:r>
        <w:rPr>
          <w:b/>
          <w:color w:val="auto"/>
          <w:highlight w:val="none"/>
        </w:rPr>
        <w:t>附录</w:t>
      </w:r>
      <w:r>
        <w:rPr>
          <w:rFonts w:ascii="Arial" w:hAnsi="Arial" w:eastAsia="Arial"/>
          <w:b/>
          <w:color w:val="auto"/>
          <w:highlight w:val="none"/>
        </w:rPr>
        <w:t>3</w:t>
      </w:r>
      <w:r>
        <w:rPr>
          <w:color w:val="auto"/>
          <w:highlight w:val="none"/>
        </w:rPr>
        <w:t>的要求。</w:t>
      </w:r>
    </w:p>
    <w:p>
      <w:pPr>
        <w:spacing w:after="0"/>
        <w:rPr>
          <w:color w:val="auto"/>
          <w:highlight w:val="none"/>
        </w:rPr>
        <w:sectPr>
          <w:pgSz w:w="11910" w:h="16840"/>
          <w:pgMar w:top="1040" w:right="860" w:bottom="940" w:left="960" w:header="0" w:footer="672" w:gutter="0"/>
          <w:pgBorders>
            <w:top w:val="none" w:sz="0" w:space="0"/>
            <w:left w:val="none" w:sz="0" w:space="0"/>
            <w:bottom w:val="none" w:sz="0" w:space="0"/>
            <w:right w:val="none" w:sz="0" w:space="0"/>
          </w:pgBorders>
          <w:pgNumType w:fmt="decimal"/>
          <w:cols w:space="720" w:num="1"/>
        </w:sectPr>
      </w:pPr>
    </w:p>
    <w:p>
      <w:pPr>
        <w:pStyle w:val="9"/>
        <w:ind w:left="298"/>
        <w:outlineLvl w:val="2"/>
        <w:rPr>
          <w:color w:val="auto"/>
          <w:highlight w:val="none"/>
        </w:rPr>
      </w:pPr>
      <w:bookmarkStart w:id="250" w:name="（五）主要人员资历表"/>
      <w:bookmarkEnd w:id="250"/>
      <w:bookmarkStart w:id="251" w:name="_Toc10594"/>
      <w:bookmarkStart w:id="252" w:name="_Toc20849"/>
      <w:r>
        <w:rPr>
          <w:color w:val="auto"/>
          <w:highlight w:val="none"/>
        </w:rPr>
        <w:t>（五）主要人员资历表</w:t>
      </w:r>
      <w:bookmarkEnd w:id="251"/>
      <w:bookmarkEnd w:id="252"/>
    </w:p>
    <w:p>
      <w:pPr>
        <w:pStyle w:val="2"/>
        <w:spacing w:before="6"/>
        <w:rPr>
          <w:rFonts w:ascii="黑体"/>
          <w:color w:val="auto"/>
          <w:sz w:val="8"/>
          <w:highlight w:val="none"/>
        </w:rPr>
      </w:pPr>
    </w:p>
    <w:tbl>
      <w:tblPr>
        <w:tblStyle w:val="26"/>
        <w:tblW w:w="0" w:type="auto"/>
        <w:tblInd w:w="44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30"/>
        <w:gridCol w:w="816"/>
        <w:gridCol w:w="1080"/>
        <w:gridCol w:w="521"/>
        <w:gridCol w:w="929"/>
        <w:gridCol w:w="826"/>
        <w:gridCol w:w="346"/>
        <w:gridCol w:w="317"/>
        <w:gridCol w:w="720"/>
        <w:gridCol w:w="509"/>
        <w:gridCol w:w="835"/>
        <w:gridCol w:w="157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76" w:hRule="atLeast"/>
        </w:trPr>
        <w:tc>
          <w:tcPr>
            <w:tcW w:w="9208" w:type="dxa"/>
            <w:gridSpan w:val="12"/>
            <w:tcBorders>
              <w:bottom w:val="single" w:color="000000" w:sz="6" w:space="0"/>
            </w:tcBorders>
          </w:tcPr>
          <w:p>
            <w:pPr>
              <w:pStyle w:val="31"/>
              <w:spacing w:before="11"/>
              <w:rPr>
                <w:rFonts w:ascii="黑体"/>
                <w:color w:val="auto"/>
                <w:sz w:val="19"/>
                <w:highlight w:val="none"/>
              </w:rPr>
            </w:pPr>
          </w:p>
          <w:p>
            <w:pPr>
              <w:pStyle w:val="31"/>
              <w:ind w:left="4047" w:right="3290"/>
              <w:jc w:val="center"/>
              <w:rPr>
                <w:color w:val="auto"/>
                <w:sz w:val="21"/>
                <w:highlight w:val="none"/>
              </w:rPr>
            </w:pPr>
            <w:r>
              <w:rPr>
                <w:rFonts w:ascii="Arial" w:eastAsia="Arial"/>
                <w:color w:val="auto"/>
                <w:sz w:val="21"/>
                <w:highlight w:val="none"/>
              </w:rPr>
              <w:t>1</w:t>
            </w:r>
            <w:r>
              <w:rPr>
                <w:color w:val="auto"/>
                <w:sz w:val="21"/>
                <w:highlight w:val="none"/>
              </w:rPr>
              <w:t>．一般情况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730" w:type="dxa"/>
            <w:tcBorders>
              <w:top w:val="single" w:color="000000" w:sz="6" w:space="0"/>
              <w:bottom w:val="single" w:color="000000" w:sz="6" w:space="0"/>
              <w:right w:val="single" w:color="000000" w:sz="4" w:space="0"/>
            </w:tcBorders>
          </w:tcPr>
          <w:p>
            <w:pPr>
              <w:pStyle w:val="31"/>
              <w:spacing w:before="6"/>
              <w:rPr>
                <w:rFonts w:ascii="黑体"/>
                <w:color w:val="auto"/>
                <w:sz w:val="20"/>
                <w:highlight w:val="none"/>
              </w:rPr>
            </w:pPr>
          </w:p>
          <w:p>
            <w:pPr>
              <w:pStyle w:val="31"/>
              <w:ind w:left="107"/>
              <w:rPr>
                <w:color w:val="auto"/>
                <w:sz w:val="21"/>
                <w:highlight w:val="none"/>
              </w:rPr>
            </w:pPr>
            <w:r>
              <w:rPr>
                <w:color w:val="auto"/>
                <w:sz w:val="21"/>
                <w:highlight w:val="none"/>
              </w:rPr>
              <w:t>姓名</w:t>
            </w:r>
          </w:p>
        </w:tc>
        <w:tc>
          <w:tcPr>
            <w:tcW w:w="816" w:type="dxa"/>
            <w:tcBorders>
              <w:top w:val="single" w:color="000000" w:sz="6" w:space="0"/>
              <w:left w:val="single" w:color="000000" w:sz="4" w:space="0"/>
              <w:bottom w:val="single" w:color="000000" w:sz="6" w:space="0"/>
              <w:right w:val="single" w:color="000000" w:sz="4" w:space="0"/>
            </w:tcBorders>
          </w:tcPr>
          <w:p>
            <w:pPr>
              <w:pStyle w:val="31"/>
              <w:rPr>
                <w:rFonts w:ascii="Times New Roman"/>
                <w:color w:val="auto"/>
                <w:sz w:val="20"/>
                <w:highlight w:val="none"/>
              </w:rPr>
            </w:pPr>
          </w:p>
        </w:tc>
        <w:tc>
          <w:tcPr>
            <w:tcW w:w="1080" w:type="dxa"/>
            <w:tcBorders>
              <w:top w:val="single" w:color="000000" w:sz="6" w:space="0"/>
              <w:left w:val="single" w:color="000000" w:sz="4" w:space="0"/>
              <w:bottom w:val="single" w:color="000000" w:sz="6" w:space="0"/>
              <w:right w:val="single" w:color="000000" w:sz="4" w:space="0"/>
            </w:tcBorders>
          </w:tcPr>
          <w:p>
            <w:pPr>
              <w:pStyle w:val="31"/>
              <w:spacing w:before="6"/>
              <w:rPr>
                <w:rFonts w:ascii="黑体"/>
                <w:color w:val="auto"/>
                <w:sz w:val="20"/>
                <w:highlight w:val="none"/>
              </w:rPr>
            </w:pPr>
          </w:p>
          <w:p>
            <w:pPr>
              <w:pStyle w:val="31"/>
              <w:ind w:left="116"/>
              <w:rPr>
                <w:color w:val="auto"/>
                <w:sz w:val="21"/>
                <w:highlight w:val="none"/>
              </w:rPr>
            </w:pPr>
            <w:r>
              <w:rPr>
                <w:color w:val="auto"/>
                <w:sz w:val="21"/>
                <w:highlight w:val="none"/>
              </w:rPr>
              <w:t>性别</w:t>
            </w:r>
          </w:p>
        </w:tc>
        <w:tc>
          <w:tcPr>
            <w:tcW w:w="521" w:type="dxa"/>
            <w:tcBorders>
              <w:top w:val="single" w:color="000000" w:sz="6" w:space="0"/>
              <w:left w:val="single" w:color="000000" w:sz="4" w:space="0"/>
              <w:bottom w:val="single" w:color="000000" w:sz="6" w:space="0"/>
              <w:right w:val="single" w:color="000000" w:sz="4" w:space="0"/>
            </w:tcBorders>
          </w:tcPr>
          <w:p>
            <w:pPr>
              <w:pStyle w:val="31"/>
              <w:rPr>
                <w:rFonts w:ascii="Times New Roman"/>
                <w:color w:val="auto"/>
                <w:sz w:val="20"/>
                <w:highlight w:val="none"/>
              </w:rPr>
            </w:pPr>
          </w:p>
        </w:tc>
        <w:tc>
          <w:tcPr>
            <w:tcW w:w="929" w:type="dxa"/>
            <w:tcBorders>
              <w:top w:val="single" w:color="000000" w:sz="6" w:space="0"/>
              <w:left w:val="single" w:color="000000" w:sz="4" w:space="0"/>
              <w:bottom w:val="single" w:color="000000" w:sz="6" w:space="0"/>
              <w:right w:val="single" w:color="000000" w:sz="4" w:space="0"/>
            </w:tcBorders>
          </w:tcPr>
          <w:p>
            <w:pPr>
              <w:pStyle w:val="31"/>
              <w:spacing w:before="6"/>
              <w:rPr>
                <w:rFonts w:ascii="黑体"/>
                <w:color w:val="auto"/>
                <w:sz w:val="20"/>
                <w:highlight w:val="none"/>
              </w:rPr>
            </w:pPr>
          </w:p>
          <w:p>
            <w:pPr>
              <w:pStyle w:val="31"/>
              <w:ind w:left="119"/>
              <w:rPr>
                <w:color w:val="auto"/>
                <w:sz w:val="21"/>
                <w:highlight w:val="none"/>
              </w:rPr>
            </w:pPr>
            <w:r>
              <w:rPr>
                <w:color w:val="auto"/>
                <w:sz w:val="21"/>
                <w:highlight w:val="none"/>
              </w:rPr>
              <w:t>年龄</w:t>
            </w:r>
          </w:p>
        </w:tc>
        <w:tc>
          <w:tcPr>
            <w:tcW w:w="826" w:type="dxa"/>
            <w:tcBorders>
              <w:top w:val="single" w:color="000000" w:sz="6" w:space="0"/>
              <w:left w:val="single" w:color="000000" w:sz="4" w:space="0"/>
              <w:bottom w:val="single" w:color="000000" w:sz="6" w:space="0"/>
              <w:right w:val="single" w:color="000000" w:sz="4" w:space="0"/>
            </w:tcBorders>
          </w:tcPr>
          <w:p>
            <w:pPr>
              <w:pStyle w:val="31"/>
              <w:rPr>
                <w:rFonts w:ascii="Times New Roman"/>
                <w:color w:val="auto"/>
                <w:sz w:val="20"/>
                <w:highlight w:val="none"/>
              </w:rPr>
            </w:pPr>
          </w:p>
        </w:tc>
        <w:tc>
          <w:tcPr>
            <w:tcW w:w="663" w:type="dxa"/>
            <w:gridSpan w:val="2"/>
            <w:tcBorders>
              <w:top w:val="single" w:color="000000" w:sz="6" w:space="0"/>
              <w:left w:val="single" w:color="000000" w:sz="4" w:space="0"/>
              <w:bottom w:val="single" w:color="000000" w:sz="6" w:space="0"/>
              <w:right w:val="single" w:color="000000" w:sz="4" w:space="0"/>
            </w:tcBorders>
          </w:tcPr>
          <w:p>
            <w:pPr>
              <w:pStyle w:val="31"/>
              <w:spacing w:before="6"/>
              <w:rPr>
                <w:rFonts w:ascii="黑体"/>
                <w:color w:val="auto"/>
                <w:sz w:val="20"/>
                <w:highlight w:val="none"/>
              </w:rPr>
            </w:pPr>
          </w:p>
          <w:p>
            <w:pPr>
              <w:pStyle w:val="31"/>
              <w:ind w:left="128"/>
              <w:rPr>
                <w:color w:val="auto"/>
                <w:sz w:val="21"/>
                <w:highlight w:val="none"/>
              </w:rPr>
            </w:pPr>
            <w:r>
              <w:rPr>
                <w:color w:val="auto"/>
                <w:sz w:val="21"/>
                <w:highlight w:val="none"/>
              </w:rPr>
              <w:t>学位</w:t>
            </w:r>
          </w:p>
        </w:tc>
        <w:tc>
          <w:tcPr>
            <w:tcW w:w="720" w:type="dxa"/>
            <w:tcBorders>
              <w:top w:val="single" w:color="000000" w:sz="6" w:space="0"/>
              <w:left w:val="single" w:color="000000" w:sz="4" w:space="0"/>
              <w:bottom w:val="single" w:color="000000" w:sz="6" w:space="0"/>
              <w:right w:val="single" w:color="000000" w:sz="4" w:space="0"/>
            </w:tcBorders>
          </w:tcPr>
          <w:p>
            <w:pPr>
              <w:pStyle w:val="31"/>
              <w:rPr>
                <w:rFonts w:ascii="Times New Roman"/>
                <w:color w:val="auto"/>
                <w:sz w:val="20"/>
                <w:highlight w:val="none"/>
              </w:rPr>
            </w:pPr>
          </w:p>
        </w:tc>
        <w:tc>
          <w:tcPr>
            <w:tcW w:w="1344" w:type="dxa"/>
            <w:gridSpan w:val="2"/>
            <w:tcBorders>
              <w:top w:val="single" w:color="000000" w:sz="6" w:space="0"/>
              <w:left w:val="single" w:color="000000" w:sz="4" w:space="0"/>
              <w:bottom w:val="single" w:color="000000" w:sz="6" w:space="0"/>
              <w:right w:val="single" w:color="000000" w:sz="4" w:space="0"/>
            </w:tcBorders>
          </w:tcPr>
          <w:p>
            <w:pPr>
              <w:pStyle w:val="31"/>
              <w:spacing w:before="6"/>
              <w:rPr>
                <w:rFonts w:ascii="黑体"/>
                <w:color w:val="auto"/>
                <w:sz w:val="20"/>
                <w:highlight w:val="none"/>
              </w:rPr>
            </w:pPr>
          </w:p>
          <w:p>
            <w:pPr>
              <w:pStyle w:val="31"/>
              <w:ind w:left="115"/>
              <w:rPr>
                <w:color w:val="auto"/>
                <w:sz w:val="21"/>
                <w:highlight w:val="none"/>
              </w:rPr>
            </w:pPr>
            <w:r>
              <w:rPr>
                <w:color w:val="auto"/>
                <w:sz w:val="21"/>
                <w:highlight w:val="none"/>
              </w:rPr>
              <w:t>身份证号码</w:t>
            </w:r>
          </w:p>
        </w:tc>
        <w:tc>
          <w:tcPr>
            <w:tcW w:w="1579" w:type="dxa"/>
            <w:tcBorders>
              <w:top w:val="single" w:color="000000" w:sz="6" w:space="0"/>
              <w:left w:val="single" w:color="000000" w:sz="4" w:space="0"/>
              <w:bottom w:val="single" w:color="000000" w:sz="6"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730" w:type="dxa"/>
            <w:tcBorders>
              <w:top w:val="single" w:color="000000" w:sz="6" w:space="0"/>
              <w:bottom w:val="single" w:color="000000" w:sz="6" w:space="0"/>
              <w:right w:val="single" w:color="000000" w:sz="4" w:space="0"/>
            </w:tcBorders>
          </w:tcPr>
          <w:p>
            <w:pPr>
              <w:pStyle w:val="31"/>
              <w:spacing w:before="6"/>
              <w:rPr>
                <w:rFonts w:ascii="黑体"/>
                <w:color w:val="auto"/>
                <w:sz w:val="20"/>
                <w:highlight w:val="none"/>
              </w:rPr>
            </w:pPr>
          </w:p>
          <w:p>
            <w:pPr>
              <w:pStyle w:val="31"/>
              <w:ind w:left="107"/>
              <w:rPr>
                <w:color w:val="auto"/>
                <w:sz w:val="21"/>
                <w:highlight w:val="none"/>
              </w:rPr>
            </w:pPr>
            <w:r>
              <w:rPr>
                <w:color w:val="auto"/>
                <w:sz w:val="21"/>
                <w:highlight w:val="none"/>
              </w:rPr>
              <w:t>职称</w:t>
            </w:r>
          </w:p>
        </w:tc>
        <w:tc>
          <w:tcPr>
            <w:tcW w:w="816" w:type="dxa"/>
            <w:tcBorders>
              <w:top w:val="single" w:color="000000" w:sz="6" w:space="0"/>
              <w:left w:val="single" w:color="000000" w:sz="4" w:space="0"/>
              <w:bottom w:val="single" w:color="000000" w:sz="6" w:space="0"/>
              <w:right w:val="single" w:color="000000" w:sz="4" w:space="0"/>
            </w:tcBorders>
          </w:tcPr>
          <w:p>
            <w:pPr>
              <w:pStyle w:val="31"/>
              <w:rPr>
                <w:rFonts w:ascii="Times New Roman"/>
                <w:color w:val="auto"/>
                <w:sz w:val="20"/>
                <w:highlight w:val="none"/>
              </w:rPr>
            </w:pPr>
          </w:p>
        </w:tc>
        <w:tc>
          <w:tcPr>
            <w:tcW w:w="2530" w:type="dxa"/>
            <w:gridSpan w:val="3"/>
            <w:tcBorders>
              <w:top w:val="single" w:color="000000" w:sz="6" w:space="0"/>
              <w:left w:val="single" w:color="000000" w:sz="4" w:space="0"/>
              <w:bottom w:val="single" w:color="000000" w:sz="6" w:space="0"/>
              <w:right w:val="single" w:color="000000" w:sz="4" w:space="0"/>
            </w:tcBorders>
          </w:tcPr>
          <w:p>
            <w:pPr>
              <w:pStyle w:val="31"/>
              <w:spacing w:before="6"/>
              <w:rPr>
                <w:rFonts w:ascii="黑体"/>
                <w:color w:val="auto"/>
                <w:sz w:val="20"/>
                <w:highlight w:val="none"/>
              </w:rPr>
            </w:pPr>
          </w:p>
          <w:p>
            <w:pPr>
              <w:pStyle w:val="31"/>
              <w:ind w:left="116"/>
              <w:rPr>
                <w:color w:val="auto"/>
                <w:sz w:val="21"/>
                <w:highlight w:val="none"/>
              </w:rPr>
            </w:pPr>
            <w:r>
              <w:rPr>
                <w:color w:val="auto"/>
                <w:sz w:val="21"/>
                <w:highlight w:val="none"/>
              </w:rPr>
              <w:t>为投标人服务时间（年）</w:t>
            </w:r>
          </w:p>
        </w:tc>
        <w:tc>
          <w:tcPr>
            <w:tcW w:w="826" w:type="dxa"/>
            <w:tcBorders>
              <w:top w:val="single" w:color="000000" w:sz="6" w:space="0"/>
              <w:left w:val="single" w:color="000000" w:sz="4" w:space="0"/>
              <w:bottom w:val="single" w:color="000000" w:sz="6" w:space="0"/>
              <w:right w:val="single" w:color="000000" w:sz="4" w:space="0"/>
            </w:tcBorders>
          </w:tcPr>
          <w:p>
            <w:pPr>
              <w:pStyle w:val="31"/>
              <w:rPr>
                <w:rFonts w:ascii="Times New Roman"/>
                <w:color w:val="auto"/>
                <w:sz w:val="20"/>
                <w:highlight w:val="none"/>
              </w:rPr>
            </w:pPr>
          </w:p>
        </w:tc>
        <w:tc>
          <w:tcPr>
            <w:tcW w:w="1383" w:type="dxa"/>
            <w:gridSpan w:val="3"/>
            <w:tcBorders>
              <w:top w:val="single" w:color="000000" w:sz="6" w:space="0"/>
              <w:left w:val="single" w:color="000000" w:sz="4" w:space="0"/>
              <w:bottom w:val="single" w:color="000000" w:sz="6" w:space="0"/>
              <w:right w:val="single" w:color="000000" w:sz="4" w:space="0"/>
            </w:tcBorders>
          </w:tcPr>
          <w:p>
            <w:pPr>
              <w:pStyle w:val="31"/>
              <w:spacing w:before="109" w:line="276" w:lineRule="auto"/>
              <w:ind w:left="116" w:right="201"/>
              <w:rPr>
                <w:color w:val="auto"/>
                <w:sz w:val="21"/>
                <w:highlight w:val="none"/>
              </w:rPr>
            </w:pPr>
            <w:r>
              <w:rPr>
                <w:color w:val="auto"/>
                <w:sz w:val="21"/>
                <w:highlight w:val="none"/>
              </w:rPr>
              <w:t>在本合同中拟任职</w:t>
            </w:r>
          </w:p>
        </w:tc>
        <w:tc>
          <w:tcPr>
            <w:tcW w:w="2923" w:type="dxa"/>
            <w:gridSpan w:val="3"/>
            <w:tcBorders>
              <w:top w:val="single" w:color="000000" w:sz="6" w:space="0"/>
              <w:left w:val="single" w:color="000000" w:sz="4" w:space="0"/>
              <w:bottom w:val="single" w:color="000000" w:sz="6"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8" w:hRule="atLeast"/>
        </w:trPr>
        <w:tc>
          <w:tcPr>
            <w:tcW w:w="730" w:type="dxa"/>
            <w:tcBorders>
              <w:top w:val="single" w:color="000000" w:sz="6" w:space="0"/>
              <w:bottom w:val="single" w:color="000000" w:sz="6" w:space="0"/>
              <w:right w:val="single" w:color="000000" w:sz="4" w:space="0"/>
            </w:tcBorders>
          </w:tcPr>
          <w:p>
            <w:pPr>
              <w:pStyle w:val="31"/>
              <w:spacing w:before="11"/>
              <w:rPr>
                <w:rFonts w:ascii="黑体"/>
                <w:color w:val="auto"/>
                <w:sz w:val="20"/>
                <w:highlight w:val="none"/>
              </w:rPr>
            </w:pPr>
          </w:p>
          <w:p>
            <w:pPr>
              <w:pStyle w:val="31"/>
              <w:ind w:left="107"/>
              <w:rPr>
                <w:color w:val="auto"/>
                <w:sz w:val="21"/>
                <w:highlight w:val="none"/>
              </w:rPr>
            </w:pPr>
            <w:r>
              <w:rPr>
                <w:color w:val="auto"/>
                <w:sz w:val="21"/>
                <w:highlight w:val="none"/>
              </w:rPr>
              <w:t>学历</w:t>
            </w:r>
          </w:p>
        </w:tc>
        <w:tc>
          <w:tcPr>
            <w:tcW w:w="8478" w:type="dxa"/>
            <w:gridSpan w:val="11"/>
            <w:tcBorders>
              <w:top w:val="single" w:color="000000" w:sz="6" w:space="0"/>
              <w:left w:val="single" w:color="000000" w:sz="4" w:space="0"/>
              <w:bottom w:val="single" w:color="000000" w:sz="6" w:space="0"/>
            </w:tcBorders>
          </w:tcPr>
          <w:p>
            <w:pPr>
              <w:pStyle w:val="31"/>
              <w:spacing w:before="11"/>
              <w:rPr>
                <w:rFonts w:ascii="黑体"/>
                <w:color w:val="auto"/>
                <w:sz w:val="20"/>
                <w:highlight w:val="none"/>
              </w:rPr>
            </w:pPr>
          </w:p>
          <w:p>
            <w:pPr>
              <w:pStyle w:val="31"/>
              <w:ind w:left="2968" w:right="2929"/>
              <w:jc w:val="center"/>
              <w:rPr>
                <w:color w:val="auto"/>
                <w:sz w:val="21"/>
                <w:highlight w:val="none"/>
              </w:rPr>
            </w:pPr>
            <w:r>
              <w:rPr>
                <w:color w:val="auto"/>
                <w:sz w:val="21"/>
                <w:highlight w:val="none"/>
              </w:rPr>
              <w:t>年毕业于（学校）（专业）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9208" w:type="dxa"/>
            <w:gridSpan w:val="12"/>
            <w:tcBorders>
              <w:top w:val="single" w:color="000000" w:sz="6" w:space="0"/>
              <w:bottom w:val="single" w:color="000000" w:sz="6" w:space="0"/>
            </w:tcBorders>
          </w:tcPr>
          <w:p>
            <w:pPr>
              <w:pStyle w:val="31"/>
              <w:spacing w:before="6"/>
              <w:rPr>
                <w:rFonts w:ascii="黑体"/>
                <w:color w:val="auto"/>
                <w:sz w:val="20"/>
                <w:highlight w:val="none"/>
              </w:rPr>
            </w:pPr>
          </w:p>
          <w:p>
            <w:pPr>
              <w:pStyle w:val="31"/>
              <w:ind w:left="4049" w:right="3290"/>
              <w:jc w:val="center"/>
              <w:rPr>
                <w:color w:val="auto"/>
                <w:sz w:val="21"/>
                <w:highlight w:val="none"/>
              </w:rPr>
            </w:pPr>
            <w:r>
              <w:rPr>
                <w:rFonts w:ascii="Arial" w:eastAsia="Arial"/>
                <w:color w:val="auto"/>
                <w:sz w:val="21"/>
                <w:highlight w:val="none"/>
              </w:rPr>
              <w:t>2</w:t>
            </w:r>
            <w:r>
              <w:rPr>
                <w:color w:val="auto"/>
                <w:sz w:val="21"/>
                <w:highlight w:val="none"/>
              </w:rPr>
              <w:t>．经历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6" w:hRule="atLeast"/>
        </w:trPr>
        <w:tc>
          <w:tcPr>
            <w:tcW w:w="730" w:type="dxa"/>
            <w:tcBorders>
              <w:top w:val="single" w:color="000000" w:sz="6" w:space="0"/>
              <w:bottom w:val="single" w:color="000000" w:sz="6" w:space="0"/>
              <w:right w:val="single" w:color="000000" w:sz="4" w:space="0"/>
            </w:tcBorders>
          </w:tcPr>
          <w:p>
            <w:pPr>
              <w:pStyle w:val="31"/>
              <w:spacing w:before="8"/>
              <w:rPr>
                <w:rFonts w:ascii="黑体"/>
                <w:color w:val="auto"/>
                <w:sz w:val="20"/>
                <w:highlight w:val="none"/>
              </w:rPr>
            </w:pPr>
          </w:p>
          <w:p>
            <w:pPr>
              <w:pStyle w:val="31"/>
              <w:ind w:left="107"/>
              <w:rPr>
                <w:color w:val="auto"/>
                <w:sz w:val="21"/>
                <w:highlight w:val="none"/>
              </w:rPr>
            </w:pPr>
            <w:r>
              <w:rPr>
                <w:color w:val="auto"/>
                <w:sz w:val="21"/>
                <w:highlight w:val="none"/>
              </w:rPr>
              <w:t>时间</w:t>
            </w:r>
          </w:p>
        </w:tc>
        <w:tc>
          <w:tcPr>
            <w:tcW w:w="4518" w:type="dxa"/>
            <w:gridSpan w:val="6"/>
            <w:tcBorders>
              <w:top w:val="single" w:color="000000" w:sz="6" w:space="0"/>
              <w:left w:val="single" w:color="000000" w:sz="4" w:space="0"/>
              <w:bottom w:val="single" w:color="000000" w:sz="6" w:space="0"/>
              <w:right w:val="single" w:color="000000" w:sz="4" w:space="0"/>
            </w:tcBorders>
          </w:tcPr>
          <w:p>
            <w:pPr>
              <w:pStyle w:val="31"/>
              <w:spacing w:before="8"/>
              <w:rPr>
                <w:rFonts w:ascii="黑体"/>
                <w:color w:val="auto"/>
                <w:sz w:val="20"/>
                <w:highlight w:val="none"/>
              </w:rPr>
            </w:pPr>
          </w:p>
          <w:p>
            <w:pPr>
              <w:pStyle w:val="31"/>
              <w:ind w:left="693"/>
              <w:rPr>
                <w:color w:val="auto"/>
                <w:sz w:val="21"/>
                <w:highlight w:val="none"/>
              </w:rPr>
            </w:pPr>
            <w:r>
              <w:rPr>
                <w:color w:val="auto"/>
                <w:sz w:val="21"/>
                <w:highlight w:val="none"/>
              </w:rPr>
              <w:t>负责过的主要工程（类型和金额）</w:t>
            </w:r>
          </w:p>
        </w:tc>
        <w:tc>
          <w:tcPr>
            <w:tcW w:w="1546" w:type="dxa"/>
            <w:gridSpan w:val="3"/>
            <w:tcBorders>
              <w:top w:val="single" w:color="000000" w:sz="6" w:space="0"/>
              <w:left w:val="single" w:color="000000" w:sz="4" w:space="0"/>
              <w:bottom w:val="single" w:color="000000" w:sz="6" w:space="0"/>
              <w:right w:val="single" w:color="000000" w:sz="4" w:space="0"/>
            </w:tcBorders>
          </w:tcPr>
          <w:p>
            <w:pPr>
              <w:pStyle w:val="31"/>
              <w:spacing w:before="8"/>
              <w:rPr>
                <w:rFonts w:ascii="黑体"/>
                <w:color w:val="auto"/>
                <w:sz w:val="20"/>
                <w:highlight w:val="none"/>
              </w:rPr>
            </w:pPr>
          </w:p>
          <w:p>
            <w:pPr>
              <w:pStyle w:val="31"/>
              <w:ind w:left="118"/>
              <w:rPr>
                <w:color w:val="auto"/>
                <w:sz w:val="21"/>
                <w:highlight w:val="none"/>
              </w:rPr>
            </w:pPr>
            <w:r>
              <w:rPr>
                <w:color w:val="auto"/>
                <w:sz w:val="21"/>
                <w:highlight w:val="none"/>
              </w:rPr>
              <w:t>该项目中任职</w:t>
            </w:r>
          </w:p>
        </w:tc>
        <w:tc>
          <w:tcPr>
            <w:tcW w:w="2414" w:type="dxa"/>
            <w:gridSpan w:val="2"/>
            <w:tcBorders>
              <w:top w:val="single" w:color="000000" w:sz="6" w:space="0"/>
              <w:left w:val="single" w:color="000000" w:sz="4" w:space="0"/>
              <w:bottom w:val="single" w:color="000000" w:sz="6" w:space="0"/>
            </w:tcBorders>
          </w:tcPr>
          <w:p>
            <w:pPr>
              <w:pStyle w:val="31"/>
              <w:spacing w:before="8"/>
              <w:rPr>
                <w:rFonts w:ascii="黑体"/>
                <w:color w:val="auto"/>
                <w:sz w:val="20"/>
                <w:highlight w:val="none"/>
              </w:rPr>
            </w:pPr>
          </w:p>
          <w:p>
            <w:pPr>
              <w:pStyle w:val="31"/>
              <w:ind w:left="372"/>
              <w:rPr>
                <w:color w:val="auto"/>
                <w:sz w:val="21"/>
                <w:highlight w:val="none"/>
              </w:rPr>
            </w:pPr>
            <w:r>
              <w:rPr>
                <w:color w:val="auto"/>
                <w:sz w:val="21"/>
                <w:highlight w:val="none"/>
              </w:rPr>
              <w:t>发包人及联系电话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40" w:hRule="atLeast"/>
        </w:trPr>
        <w:tc>
          <w:tcPr>
            <w:tcW w:w="730" w:type="dxa"/>
            <w:tcBorders>
              <w:top w:val="single" w:color="000000" w:sz="6" w:space="0"/>
              <w:bottom w:val="single" w:color="000000" w:sz="6" w:space="0"/>
              <w:right w:val="single" w:color="000000" w:sz="4" w:space="0"/>
            </w:tcBorders>
          </w:tcPr>
          <w:p>
            <w:pPr>
              <w:pStyle w:val="31"/>
              <w:rPr>
                <w:rFonts w:ascii="Times New Roman"/>
                <w:color w:val="auto"/>
                <w:sz w:val="20"/>
                <w:highlight w:val="none"/>
              </w:rPr>
            </w:pPr>
          </w:p>
        </w:tc>
        <w:tc>
          <w:tcPr>
            <w:tcW w:w="4518" w:type="dxa"/>
            <w:gridSpan w:val="6"/>
            <w:tcBorders>
              <w:top w:val="single" w:color="000000" w:sz="6" w:space="0"/>
              <w:left w:val="single" w:color="000000" w:sz="4" w:space="0"/>
              <w:bottom w:val="single" w:color="000000" w:sz="6" w:space="0"/>
              <w:right w:val="single" w:color="000000" w:sz="4" w:space="0"/>
            </w:tcBorders>
          </w:tcPr>
          <w:p>
            <w:pPr>
              <w:pStyle w:val="31"/>
              <w:rPr>
                <w:rFonts w:ascii="Times New Roman"/>
                <w:color w:val="auto"/>
                <w:sz w:val="20"/>
                <w:highlight w:val="none"/>
              </w:rPr>
            </w:pPr>
          </w:p>
        </w:tc>
        <w:tc>
          <w:tcPr>
            <w:tcW w:w="1546" w:type="dxa"/>
            <w:gridSpan w:val="3"/>
            <w:tcBorders>
              <w:top w:val="single" w:color="000000" w:sz="6" w:space="0"/>
              <w:left w:val="single" w:color="000000" w:sz="4" w:space="0"/>
              <w:bottom w:val="single" w:color="000000" w:sz="6" w:space="0"/>
              <w:right w:val="single" w:color="000000" w:sz="4" w:space="0"/>
            </w:tcBorders>
          </w:tcPr>
          <w:p>
            <w:pPr>
              <w:pStyle w:val="31"/>
              <w:rPr>
                <w:rFonts w:ascii="Times New Roman"/>
                <w:color w:val="auto"/>
                <w:sz w:val="20"/>
                <w:highlight w:val="none"/>
              </w:rPr>
            </w:pPr>
          </w:p>
        </w:tc>
        <w:tc>
          <w:tcPr>
            <w:tcW w:w="2414" w:type="dxa"/>
            <w:gridSpan w:val="2"/>
            <w:tcBorders>
              <w:top w:val="single" w:color="000000" w:sz="6" w:space="0"/>
              <w:left w:val="single" w:color="000000" w:sz="4" w:space="0"/>
              <w:bottom w:val="single" w:color="000000" w:sz="6"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5" w:hRule="atLeast"/>
        </w:trPr>
        <w:tc>
          <w:tcPr>
            <w:tcW w:w="9208" w:type="dxa"/>
            <w:gridSpan w:val="12"/>
            <w:tcBorders>
              <w:top w:val="single" w:color="000000" w:sz="6" w:space="0"/>
              <w:bottom w:val="single" w:color="000000" w:sz="6" w:space="0"/>
            </w:tcBorders>
          </w:tcPr>
          <w:p>
            <w:pPr>
              <w:pStyle w:val="31"/>
              <w:spacing w:before="159"/>
              <w:ind w:left="4047" w:right="3290"/>
              <w:jc w:val="center"/>
              <w:rPr>
                <w:color w:val="auto"/>
                <w:sz w:val="21"/>
                <w:highlight w:val="none"/>
              </w:rPr>
            </w:pPr>
            <w:r>
              <w:rPr>
                <w:rFonts w:ascii="Arial" w:eastAsia="Arial"/>
                <w:color w:val="auto"/>
                <w:sz w:val="21"/>
                <w:highlight w:val="none"/>
              </w:rPr>
              <w:t>3</w:t>
            </w:r>
            <w:r>
              <w:rPr>
                <w:color w:val="auto"/>
                <w:sz w:val="21"/>
                <w:highlight w:val="none"/>
              </w:rPr>
              <w:t>．获奖情况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2" w:hRule="atLeast"/>
        </w:trPr>
        <w:tc>
          <w:tcPr>
            <w:tcW w:w="9208" w:type="dxa"/>
            <w:gridSpan w:val="12"/>
            <w:tcBorders>
              <w:top w:val="single" w:color="000000" w:sz="6" w:space="0"/>
              <w:bottom w:val="single" w:color="000000" w:sz="6"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9208" w:type="dxa"/>
            <w:gridSpan w:val="12"/>
            <w:tcBorders>
              <w:top w:val="single" w:color="000000" w:sz="6" w:space="0"/>
              <w:bottom w:val="single" w:color="000000" w:sz="6" w:space="0"/>
            </w:tcBorders>
          </w:tcPr>
          <w:p>
            <w:pPr>
              <w:pStyle w:val="31"/>
              <w:spacing w:before="6"/>
              <w:rPr>
                <w:rFonts w:ascii="黑体"/>
                <w:color w:val="auto"/>
                <w:sz w:val="20"/>
                <w:highlight w:val="none"/>
              </w:rPr>
            </w:pPr>
          </w:p>
          <w:p>
            <w:pPr>
              <w:pStyle w:val="31"/>
              <w:ind w:left="4051" w:right="3290"/>
              <w:jc w:val="center"/>
              <w:rPr>
                <w:color w:val="auto"/>
                <w:sz w:val="21"/>
                <w:highlight w:val="none"/>
              </w:rPr>
            </w:pPr>
            <w:r>
              <w:rPr>
                <w:rFonts w:ascii="Arial" w:eastAsia="Arial"/>
                <w:color w:val="auto"/>
                <w:sz w:val="21"/>
                <w:highlight w:val="none"/>
              </w:rPr>
              <w:t>4</w:t>
            </w:r>
            <w:r>
              <w:rPr>
                <w:color w:val="auto"/>
                <w:sz w:val="21"/>
                <w:highlight w:val="none"/>
              </w:rPr>
              <w:t>．目前承担的任务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67" w:hRule="atLeast"/>
        </w:trPr>
        <w:tc>
          <w:tcPr>
            <w:tcW w:w="9208" w:type="dxa"/>
            <w:gridSpan w:val="12"/>
            <w:tcBorders>
              <w:top w:val="single" w:color="000000" w:sz="6" w:space="0"/>
            </w:tcBorders>
          </w:tcPr>
          <w:p>
            <w:pPr>
              <w:pStyle w:val="31"/>
              <w:rPr>
                <w:rFonts w:ascii="Times New Roman"/>
                <w:color w:val="auto"/>
                <w:sz w:val="20"/>
                <w:highlight w:val="none"/>
              </w:rPr>
            </w:pPr>
          </w:p>
        </w:tc>
      </w:tr>
    </w:tbl>
    <w:p>
      <w:pPr>
        <w:pStyle w:val="2"/>
        <w:spacing w:before="22" w:line="278" w:lineRule="auto"/>
        <w:ind w:left="398" w:right="407" w:firstLine="419"/>
        <w:rPr>
          <w:color w:val="auto"/>
          <w:highlight w:val="none"/>
        </w:rPr>
      </w:pPr>
      <w:r>
        <w:rPr>
          <w:color w:val="auto"/>
          <w:spacing w:val="-4"/>
          <w:highlight w:val="none"/>
        </w:rPr>
        <w:t>注：</w:t>
      </w:r>
      <w:r>
        <w:rPr>
          <w:rFonts w:ascii="Arial" w:eastAsia="Arial"/>
          <w:color w:val="auto"/>
          <w:spacing w:val="-8"/>
          <w:highlight w:val="none"/>
        </w:rPr>
        <w:t>1</w:t>
      </w:r>
      <w:r>
        <w:rPr>
          <w:color w:val="auto"/>
          <w:spacing w:val="-7"/>
          <w:highlight w:val="none"/>
        </w:rPr>
        <w:t>、本表人员应与表</w:t>
      </w:r>
      <w:r>
        <w:rPr>
          <w:color w:val="auto"/>
          <w:spacing w:val="-3"/>
          <w:highlight w:val="none"/>
        </w:rPr>
        <w:t>（</w:t>
      </w:r>
      <w:r>
        <w:rPr>
          <w:color w:val="auto"/>
          <w:highlight w:val="none"/>
        </w:rPr>
        <w:t>四</w:t>
      </w:r>
      <w:r>
        <w:rPr>
          <w:color w:val="auto"/>
          <w:spacing w:val="-15"/>
          <w:highlight w:val="none"/>
        </w:rPr>
        <w:t>）</w:t>
      </w:r>
      <w:r>
        <w:rPr>
          <w:color w:val="auto"/>
          <w:spacing w:val="-6"/>
          <w:highlight w:val="none"/>
        </w:rPr>
        <w:t>中所列人员相一致，附拟委任的主要人员的身份证</w:t>
      </w:r>
      <w:r>
        <w:rPr>
          <w:color w:val="auto"/>
          <w:spacing w:val="-3"/>
          <w:highlight w:val="none"/>
        </w:rPr>
        <w:t>（必须提供第二代身份证须正反面复印）、职称资格证书；工程造价分项负责人还需提供相应的执业证书扫描件。</w:t>
      </w:r>
    </w:p>
    <w:p>
      <w:pPr>
        <w:pStyle w:val="2"/>
        <w:spacing w:line="278" w:lineRule="auto"/>
        <w:ind w:left="398" w:right="407" w:firstLine="419"/>
        <w:jc w:val="both"/>
        <w:rPr>
          <w:color w:val="auto"/>
          <w:highlight w:val="none"/>
        </w:rPr>
      </w:pPr>
      <w:r>
        <w:rPr>
          <w:rFonts w:ascii="Arial" w:eastAsia="Arial"/>
          <w:color w:val="auto"/>
          <w:highlight w:val="none"/>
        </w:rPr>
        <w:t>2</w:t>
      </w:r>
      <w:r>
        <w:rPr>
          <w:color w:val="auto"/>
          <w:spacing w:val="-10"/>
          <w:highlight w:val="none"/>
        </w:rPr>
        <w:t>、对主要人员有业绩要求的，应出具相应业绩证明材料：中标通知书或合同协议书或施工图批复</w:t>
      </w:r>
      <w:r>
        <w:rPr>
          <w:color w:val="auto"/>
          <w:spacing w:val="-5"/>
          <w:highlight w:val="none"/>
        </w:rPr>
        <w:t>文件；项目业绩证明材料中未出现姓名、任职或工程规模的，还需提供项目发包人</w:t>
      </w:r>
      <w:r>
        <w:rPr>
          <w:color w:val="auto"/>
          <w:highlight w:val="none"/>
        </w:rPr>
        <w:t>（</w:t>
      </w:r>
      <w:r>
        <w:rPr>
          <w:color w:val="auto"/>
          <w:spacing w:val="-3"/>
          <w:highlight w:val="none"/>
        </w:rPr>
        <w:t>或项目所在地设区市及以上行业主管部门</w:t>
      </w:r>
      <w:r>
        <w:rPr>
          <w:color w:val="auto"/>
          <w:highlight w:val="none"/>
        </w:rPr>
        <w:t>）</w:t>
      </w:r>
      <w:r>
        <w:rPr>
          <w:color w:val="auto"/>
          <w:spacing w:val="-3"/>
          <w:highlight w:val="none"/>
        </w:rPr>
        <w:t>出具的证明材料。</w:t>
      </w:r>
    </w:p>
    <w:p>
      <w:pPr>
        <w:spacing w:after="0" w:line="278" w:lineRule="auto"/>
        <w:jc w:val="both"/>
        <w:rPr>
          <w:color w:val="auto"/>
          <w:highlight w:val="none"/>
        </w:rPr>
        <w:sectPr>
          <w:pgSz w:w="11910" w:h="16840"/>
          <w:pgMar w:top="1040" w:right="860" w:bottom="940" w:left="960" w:header="0" w:footer="672" w:gutter="0"/>
          <w:pgBorders>
            <w:top w:val="none" w:sz="0" w:space="0"/>
            <w:left w:val="none" w:sz="0" w:space="0"/>
            <w:bottom w:val="none" w:sz="0" w:space="0"/>
            <w:right w:val="none" w:sz="0" w:space="0"/>
          </w:pgBorders>
          <w:pgNumType w:fmt="decimal"/>
          <w:cols w:space="720" w:num="1"/>
        </w:sectPr>
      </w:pPr>
    </w:p>
    <w:p>
      <w:pPr>
        <w:pStyle w:val="9"/>
        <w:ind w:left="298"/>
        <w:outlineLvl w:val="2"/>
        <w:rPr>
          <w:color w:val="auto"/>
          <w:highlight w:val="none"/>
        </w:rPr>
      </w:pPr>
      <w:bookmarkStart w:id="253" w:name="_Toc30053"/>
      <w:r>
        <w:rPr>
          <w:color w:val="auto"/>
          <w:highlight w:val="none"/>
        </w:rPr>
        <mc:AlternateContent>
          <mc:Choice Requires="wps">
            <w:drawing>
              <wp:anchor distT="0" distB="0" distL="0" distR="0" simplePos="0" relativeHeight="251663360" behindDoc="1" locked="0" layoutInCell="1" allowOverlap="1">
                <wp:simplePos x="0" y="0"/>
                <wp:positionH relativeFrom="page">
                  <wp:posOffset>767715</wp:posOffset>
                </wp:positionH>
                <wp:positionV relativeFrom="paragraph">
                  <wp:posOffset>363855</wp:posOffset>
                </wp:positionV>
                <wp:extent cx="6076315" cy="6829425"/>
                <wp:effectExtent l="8890" t="8890" r="10795" b="19685"/>
                <wp:wrapTopAndBottom/>
                <wp:docPr id="23" name="文本框 22"/>
                <wp:cNvGraphicFramePr/>
                <a:graphic xmlns:a="http://schemas.openxmlformats.org/drawingml/2006/main">
                  <a:graphicData uri="http://schemas.microsoft.com/office/word/2010/wordprocessingShape">
                    <wps:wsp>
                      <wps:cNvSpPr txBox="1"/>
                      <wps:spPr>
                        <a:xfrm>
                          <a:off x="0" y="0"/>
                          <a:ext cx="6076315" cy="6829425"/>
                        </a:xfrm>
                        <a:prstGeom prst="rect">
                          <a:avLst/>
                        </a:prstGeom>
                        <a:noFill/>
                        <a:ln w="18288" cap="flat" cmpd="sng">
                          <a:solidFill>
                            <a:srgbClr val="000000"/>
                          </a:solidFill>
                          <a:prstDash val="solid"/>
                          <a:miter/>
                          <a:headEnd type="none" w="med" len="med"/>
                          <a:tailEnd type="none" w="med" len="med"/>
                        </a:ln>
                      </wps:spPr>
                      <wps:txbx>
                        <w:txbxContent>
                          <w:p>
                            <w:pPr>
                              <w:pStyle w:val="2"/>
                              <w:spacing w:before="1"/>
                              <w:rPr>
                                <w:rFonts w:ascii="黑体"/>
                                <w:sz w:val="26"/>
                              </w:rPr>
                            </w:pPr>
                          </w:p>
                          <w:p>
                            <w:pPr>
                              <w:pStyle w:val="2"/>
                              <w:ind w:left="513"/>
                            </w:pPr>
                            <w:r>
                              <w:rPr>
                                <w:spacing w:val="-3"/>
                              </w:rPr>
                              <w:t>投标人应针对第二章</w:t>
                            </w:r>
                            <w:r>
                              <w:rPr>
                                <w:rFonts w:ascii="Arial" w:hAnsi="Arial" w:eastAsia="Arial"/>
                                <w:spacing w:val="-4"/>
                              </w:rPr>
                              <w:t>“</w:t>
                            </w:r>
                            <w:r>
                              <w:rPr>
                                <w:spacing w:val="-3"/>
                              </w:rPr>
                              <w:t>投标人须知前附表</w:t>
                            </w:r>
                            <w:r>
                              <w:rPr>
                                <w:rFonts w:ascii="Arial" w:hAnsi="Arial" w:eastAsia="Arial"/>
                              </w:rPr>
                              <w:t>”</w:t>
                            </w:r>
                            <w:r>
                              <w:rPr>
                                <w:spacing w:val="-2"/>
                              </w:rPr>
                              <w:t>附录</w:t>
                            </w:r>
                            <w:r>
                              <w:rPr>
                                <w:rFonts w:ascii="Arial" w:hAnsi="Arial" w:eastAsia="Arial"/>
                              </w:rPr>
                              <w:t xml:space="preserve">4 </w:t>
                            </w:r>
                            <w:r>
                              <w:rPr>
                                <w:spacing w:val="-3"/>
                              </w:rPr>
                              <w:t>的要求，在此对其信誉情况作出说明。</w:t>
                            </w:r>
                          </w:p>
                        </w:txbxContent>
                      </wps:txbx>
                      <wps:bodyPr lIns="0" tIns="0" rIns="0" bIns="0" upright="1"/>
                    </wps:wsp>
                  </a:graphicData>
                </a:graphic>
              </wp:anchor>
            </w:drawing>
          </mc:Choice>
          <mc:Fallback>
            <w:pict>
              <v:shape id="文本框 22" o:spid="_x0000_s1026" o:spt="202" type="#_x0000_t202" style="position:absolute;left:0pt;margin-left:60.45pt;margin-top:28.65pt;height:537.75pt;width:478.45pt;mso-position-horizontal-relative:page;mso-wrap-distance-bottom:0pt;mso-wrap-distance-top:0pt;z-index:-251653120;mso-width-relative:page;mso-height-relative:page;" filled="f" stroked="t" coordsize="21600,21600" o:gfxdata="UEsDBAoAAAAAAIdO4kAAAAAAAAAAAAAAAAAEAAAAZHJzL1BLAwQUAAAACACHTuJAPe0q8NsAAAAM&#10;AQAADwAAAGRycy9kb3ducmV2LnhtbE2PPU/DMBCGdyT+g3VIbNROAk0T4nQAyoAYoFDB6MZHEjU+&#10;l9j94N9znWC7V/fo/ajmRzeIPY6h96QhmSgQSI23PbUa3t8WVzMQIRqyZvCEGn4wwLw+P6tMaf2B&#10;XnG/jK1gEwql0dDFuC2lDE2HzoSJ3yLx78uPzkSWYyvtaA5s7gaZKjWVzvTECZ3Z4l2HzWa5cxo2&#10;H5/FKvm22fMqPhSL6/tp/vL4pPXlRaJuQUQ8xj8YTvW5OtTcae13ZIMYWKeqYFTDTZ6BOAEqz3nM&#10;mq8kS2cg60r+H1H/AlBLAwQUAAAACACHTuJAhRnMRRcCAAA1BAAADgAAAGRycy9lMm9Eb2MueG1s&#10;rVPNjtMwEL4j8Q6W7zRtli0laroSlEVICJCWfQDXdhJL/pPHbdIXgDfgxIU7z9XnYOy03WW59EAO&#10;yRd7/M3MN5+XN4PRZCcDKGdrOptMKZGWO6FsW9P7r7cvFpRAZFYw7ays6V4CvVk9f7bsfSVL1zkt&#10;ZCBIYqHqfU27GH1VFMA7aRhMnJcWNxsXDIv4G9pCBNYju9FFOZ3Oi94F4YPjEgBX1+MmPTKGSwhd&#10;0ygu145vjbRxZA1Ss4gtQac80FWutmkkj5+bBmQkuqbYacxvTIJ4k97FasmqNjDfKX4sgV1SwpOe&#10;DFMWk56p1iwysg3qHyqjeHDgmjjhzhRjI1kR7GI2faLNXce8zL2g1ODPosP/o+Wfdl8CUaKm5RUl&#10;lhmc+OHH98PP34df30hZJoF6DxXG3XmMjMMbN6BtTuuAi6nvoQkmfbEjgvso7/4srxwi4bg4n76a&#10;X82uKeG4N1+Ur1+W14mneDjuA8T30hmSQE0Dzi/LynYfIY6hp5CUzbpbpXWeobakx7oW5QL9yxka&#10;s0FDIDQemwPbZh5wWol0Jp2G0G7e6kB2LJkjP8dy/gpLCdcMujEub6UwVhkVZciok0y8s4LEvUf9&#10;LN4bmqoxUlCiJV6zhHJkZEpfEomaaIvSJO1HjROKw2ZAmgQ3TuxxHvqDRTckZ59AOIHNCWx9UG2H&#10;cuapZUp0U9b96Pxk18f/OfHDbV/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3tKvDbAAAADAEA&#10;AA8AAAAAAAAAAQAgAAAAIgAAAGRycy9kb3ducmV2LnhtbFBLAQIUABQAAAAIAIdO4kCFGcxFFwIA&#10;ADUEAAAOAAAAAAAAAAEAIAAAACoBAABkcnMvZTJvRG9jLnhtbFBLBQYAAAAABgAGAFkBAACzBQAA&#10;AAA=&#10;">
                <v:fill on="f" focussize="0,0"/>
                <v:stroke weight="1.44pt" color="#000000" joinstyle="miter"/>
                <v:imagedata o:title=""/>
                <o:lock v:ext="edit" aspectratio="f"/>
                <v:textbox inset="0mm,0mm,0mm,0mm">
                  <w:txbxContent>
                    <w:p>
                      <w:pPr>
                        <w:pStyle w:val="2"/>
                        <w:spacing w:before="1"/>
                        <w:rPr>
                          <w:rFonts w:ascii="黑体"/>
                          <w:sz w:val="26"/>
                        </w:rPr>
                      </w:pPr>
                    </w:p>
                    <w:p>
                      <w:pPr>
                        <w:pStyle w:val="2"/>
                        <w:ind w:left="513"/>
                      </w:pPr>
                      <w:r>
                        <w:rPr>
                          <w:spacing w:val="-3"/>
                        </w:rPr>
                        <w:t>投标人应针对第二章</w:t>
                      </w:r>
                      <w:r>
                        <w:rPr>
                          <w:rFonts w:ascii="Arial" w:hAnsi="Arial" w:eastAsia="Arial"/>
                          <w:spacing w:val="-4"/>
                        </w:rPr>
                        <w:t>“</w:t>
                      </w:r>
                      <w:r>
                        <w:rPr>
                          <w:spacing w:val="-3"/>
                        </w:rPr>
                        <w:t>投标人须知前附表</w:t>
                      </w:r>
                      <w:r>
                        <w:rPr>
                          <w:rFonts w:ascii="Arial" w:hAnsi="Arial" w:eastAsia="Arial"/>
                        </w:rPr>
                        <w:t>”</w:t>
                      </w:r>
                      <w:r>
                        <w:rPr>
                          <w:spacing w:val="-2"/>
                        </w:rPr>
                        <w:t>附录</w:t>
                      </w:r>
                      <w:r>
                        <w:rPr>
                          <w:rFonts w:ascii="Arial" w:hAnsi="Arial" w:eastAsia="Arial"/>
                        </w:rPr>
                        <w:t xml:space="preserve">4 </w:t>
                      </w:r>
                      <w:r>
                        <w:rPr>
                          <w:spacing w:val="-3"/>
                        </w:rPr>
                        <w:t>的要求，在此对其信誉情况作出说明。</w:t>
                      </w:r>
                    </w:p>
                  </w:txbxContent>
                </v:textbox>
                <w10:wrap type="topAndBottom"/>
              </v:shape>
            </w:pict>
          </mc:Fallback>
        </mc:AlternateContent>
      </w:r>
      <w:bookmarkStart w:id="254" w:name="（六）投标人信誉情况表"/>
      <w:bookmarkEnd w:id="254"/>
      <w:r>
        <w:rPr>
          <w:color w:val="auto"/>
          <w:highlight w:val="none"/>
        </w:rPr>
        <w:t>（六）投标人信誉情况表</w:t>
      </w:r>
      <w:bookmarkEnd w:id="253"/>
    </w:p>
    <w:p>
      <w:pPr>
        <w:spacing w:after="0"/>
        <w:rPr>
          <w:color w:val="auto"/>
          <w:highlight w:val="none"/>
        </w:rPr>
        <w:sectPr>
          <w:pgSz w:w="11910" w:h="16840"/>
          <w:pgMar w:top="1040" w:right="860" w:bottom="940" w:left="960" w:header="0" w:footer="672" w:gutter="0"/>
          <w:pgBorders>
            <w:top w:val="none" w:sz="0" w:space="0"/>
            <w:left w:val="none" w:sz="0" w:space="0"/>
            <w:bottom w:val="none" w:sz="0" w:space="0"/>
            <w:right w:val="none" w:sz="0" w:space="0"/>
          </w:pgBorders>
          <w:pgNumType w:fmt="decimal"/>
          <w:cols w:space="720" w:num="1"/>
        </w:sectPr>
      </w:pPr>
    </w:p>
    <w:p>
      <w:pPr>
        <w:pStyle w:val="9"/>
        <w:ind w:left="298"/>
        <w:outlineLvl w:val="2"/>
        <w:rPr>
          <w:rFonts w:hint="eastAsia"/>
          <w:color w:val="auto"/>
          <w:highlight w:val="none"/>
        </w:rPr>
      </w:pPr>
      <w:bookmarkStart w:id="255" w:name="_Toc596"/>
      <w:r>
        <w:rPr>
          <w:color w:val="auto"/>
          <w:highlight w:val="none"/>
        </w:rPr>
        <mc:AlternateContent>
          <mc:Choice Requires="wpg">
            <w:drawing>
              <wp:anchor distT="0" distB="0" distL="114300" distR="114300" simplePos="0" relativeHeight="251661312" behindDoc="1" locked="0" layoutInCell="1" allowOverlap="1">
                <wp:simplePos x="0" y="0"/>
                <wp:positionH relativeFrom="page">
                  <wp:posOffset>784225</wp:posOffset>
                </wp:positionH>
                <wp:positionV relativeFrom="paragraph">
                  <wp:posOffset>354965</wp:posOffset>
                </wp:positionV>
                <wp:extent cx="6096000" cy="7932420"/>
                <wp:effectExtent l="0" t="0" r="19050" b="11430"/>
                <wp:wrapNone/>
                <wp:docPr id="8" name="组合 23"/>
                <wp:cNvGraphicFramePr/>
                <a:graphic xmlns:a="http://schemas.openxmlformats.org/drawingml/2006/main">
                  <a:graphicData uri="http://schemas.microsoft.com/office/word/2010/wordprocessingGroup">
                    <wpg:wgp>
                      <wpg:cNvGrpSpPr/>
                      <wpg:grpSpPr>
                        <a:xfrm>
                          <a:off x="0" y="0"/>
                          <a:ext cx="6096000" cy="7932420"/>
                          <a:chOff x="1236" y="559"/>
                          <a:chExt cx="9600" cy="12492"/>
                        </a:xfrm>
                      </wpg:grpSpPr>
                      <wps:wsp>
                        <wps:cNvPr id="4" name="直线 24"/>
                        <wps:cNvCnPr/>
                        <wps:spPr>
                          <a:xfrm>
                            <a:off x="1265" y="574"/>
                            <a:ext cx="9542" cy="0"/>
                          </a:xfrm>
                          <a:prstGeom prst="line">
                            <a:avLst/>
                          </a:prstGeom>
                          <a:ln w="18288" cap="flat" cmpd="sng">
                            <a:solidFill>
                              <a:srgbClr val="000000"/>
                            </a:solidFill>
                            <a:prstDash val="solid"/>
                            <a:headEnd type="none" w="med" len="med"/>
                            <a:tailEnd type="none" w="med" len="med"/>
                          </a:ln>
                        </wps:spPr>
                        <wps:bodyPr upright="1"/>
                      </wps:wsp>
                      <wps:wsp>
                        <wps:cNvPr id="5" name="直线 25"/>
                        <wps:cNvCnPr/>
                        <wps:spPr>
                          <a:xfrm>
                            <a:off x="1250" y="559"/>
                            <a:ext cx="0" cy="12492"/>
                          </a:xfrm>
                          <a:prstGeom prst="line">
                            <a:avLst/>
                          </a:prstGeom>
                          <a:ln w="18288" cap="flat" cmpd="sng">
                            <a:solidFill>
                              <a:srgbClr val="000000"/>
                            </a:solidFill>
                            <a:prstDash val="solid"/>
                            <a:headEnd type="none" w="med" len="med"/>
                            <a:tailEnd type="none" w="med" len="med"/>
                          </a:ln>
                        </wps:spPr>
                        <wps:bodyPr upright="1"/>
                      </wps:wsp>
                      <wps:wsp>
                        <wps:cNvPr id="6" name="直线 26"/>
                        <wps:cNvCnPr/>
                        <wps:spPr>
                          <a:xfrm>
                            <a:off x="1265" y="13037"/>
                            <a:ext cx="9542" cy="0"/>
                          </a:xfrm>
                          <a:prstGeom prst="line">
                            <a:avLst/>
                          </a:prstGeom>
                          <a:ln w="18288" cap="flat" cmpd="sng">
                            <a:solidFill>
                              <a:srgbClr val="000000"/>
                            </a:solidFill>
                            <a:prstDash val="solid"/>
                            <a:headEnd type="none" w="med" len="med"/>
                            <a:tailEnd type="none" w="med" len="med"/>
                          </a:ln>
                        </wps:spPr>
                        <wps:bodyPr upright="1"/>
                      </wps:wsp>
                      <wps:wsp>
                        <wps:cNvPr id="7" name="直线 27"/>
                        <wps:cNvCnPr/>
                        <wps:spPr>
                          <a:xfrm>
                            <a:off x="10822" y="559"/>
                            <a:ext cx="0" cy="12492"/>
                          </a:xfrm>
                          <a:prstGeom prst="line">
                            <a:avLst/>
                          </a:prstGeom>
                          <a:ln w="18288" cap="flat" cmpd="sng">
                            <a:solidFill>
                              <a:srgbClr val="000000"/>
                            </a:solidFill>
                            <a:prstDash val="solid"/>
                            <a:headEnd type="none" w="med" len="med"/>
                            <a:tailEnd type="none" w="med" len="med"/>
                          </a:ln>
                        </wps:spPr>
                        <wps:bodyPr upright="1"/>
                      </wps:wsp>
                    </wpg:wgp>
                  </a:graphicData>
                </a:graphic>
              </wp:anchor>
            </w:drawing>
          </mc:Choice>
          <mc:Fallback>
            <w:pict>
              <v:group id="组合 23" o:spid="_x0000_s1026" o:spt="203" style="position:absolute;left:0pt;margin-left:61.75pt;margin-top:27.95pt;height:624.6pt;width:480pt;mso-position-horizontal-relative:page;z-index:-251655168;mso-width-relative:page;mso-height-relative:page;" coordorigin="1236,559" coordsize="9600,12492" o:gfxdata="UEsDBAoAAAAAAIdO4kAAAAAAAAAAAAAAAAAEAAAAZHJzL1BLAwQUAAAACACHTuJAbEUyrdoAAAAM&#10;AQAADwAAAGRycy9kb3ducmV2LnhtbE2PwU7DMBBE70j8g7VI3KjtRkYlxKlQBZwqJFokxG0bb5Oo&#10;sR3FbtL+Pc4Jbju7o9k3xfpiOzbSEFrvNMiFAEau8qZ1tYav/dvDCliI6Ax23pGGKwVYl7c3BebG&#10;T+6Txl2sWQpxIUcNTYx9znmoGrIYFr4nl25HP1iMSQ41NwNOKdx2fCnEI7fYuvShwZ42DVWn3dlq&#10;eJ9wesnk67g9HTfXn736+N5K0vr+TopnYJEu8c8MM35ChzIxHfzZmcC6pJeZSlYNSj0Bmw1iNW8O&#10;acqEksDLgv8vUf4CUEsDBBQAAAAIAIdO4kDZNobKxAIAABkLAAAOAAAAZHJzL2Uyb0RvYy54bWzt&#10;Vs1uEzEQviPxDpbvdH/yv+qmh6btBUGlwgO4Xu+P5LUt28kmdw4cufManODQp0F9Dcb2Jm0DiFAk&#10;1ENz2Hhtz3jm+z7PzvHJuuVoxbRppMhxchRjxASVRSOqHL9/d/5qipGxRBSES8FyvGEGn8xfvjju&#10;VMZSWUteMI3AiTBZp3JcW6uyKDK0Zi0xR1IxAYul1C2x8KqrqNCkA+8tj9I4Hked1IXSkjJjYHYR&#10;FnHvUR/iUJZlQ9lC0mXLhA1eNePEQkqmbpTBcx9tWTJq35alYRbxHEOm1j/hEBhfu2c0PyZZpYmq&#10;G9qHQA4JYS+nljQCDt25WhBL0FI3P7lqG6qlkaU9orKNQiIeEcgiifewudByqXwuVdZVagc6ELWH&#10;+qPd0jerS42aIsdAuyAtEH777cP3Tx9ROnDgdKrKYM+FVlfqUvcTVXhz+a5L3bp/yAStPaybHaxs&#10;bRGFyXE8G8cxIE5hbTIbpMO0B57WwI6zS9LBGCNYHo1mgRNan/XmzjjYJulwlrrlaHtw5OLbhdMp&#10;kKS5w8n8G05XNVHMw28cBj1Owx1On7/cfr1B6TDg5Pecih4kkxnA6xcIJel4FDKdeEOSbWGajYZp&#10;yNOjs8uRZEobe8Fki9wgx7wRLiySkdVrYwMc2y1umgvUAaTTdAqcUgJ3tIS7AcNWAc9GVN7YSN4U&#10;5w3nzsTo6vqUa7Qi7p74X4/zg23ulAUxddjnlwJbNSPFmSiQ3ShQkIDCgV0MLSsw4gzqjBtBpCSz&#10;pOGH7IT0uQCmHacBSje6lsUGeFgq3VQ1QJH4KHvenVr/gwCAvv6i9AIYuSDc0SCSQwQwAjnfl/pW&#10;AL9V+bMCnpYCoFQ9VMD4LxXQl4BkEA8m4VpsNfBcBO6Xi6dbBCb7EvA8Hl4E4mkKxf65Cvzxi/Eo&#10;Cfi2ADom3yn03Z1rye6/+2/LXUc7/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BsRTKt2gAAAAwB&#10;AAAPAAAAAAAAAAEAIAAAACIAAABkcnMvZG93bnJldi54bWxQSwECFAAUAAAACACHTuJA2TaGysQC&#10;AAAZCwAADgAAAAAAAAABACAAAAApAQAAZHJzL2Uyb0RvYy54bWxQSwUGAAAAAAYABgBZAQAAXwYA&#10;AAAA&#10;">
                <o:lock v:ext="edit" aspectratio="f"/>
                <v:line id="直线 24" o:spid="_x0000_s1026" o:spt="20" style="position:absolute;left:1265;top:574;height:0;width:9542;" filled="f" stroked="t" coordsize="21600,21600" o:gfxdata="UEsDBAoAAAAAAIdO4kAAAAAAAAAAAAAAAAAEAAAAZHJzL1BLAwQUAAAACACHTuJA1wLvOLoAAADa&#10;AAAADwAAAGRycy9kb3ducmV2LnhtbEWPS4sCMRCE78L+h9DC3jRRVllGo6AgePWBXptJ7zycdLKT&#10;6Ki/3iwseCyq6itqvrzbRtyoDZVjDaOhAkGcO1NxoeF42Ay+QYSIbLBxTBoeFGC5+OjNMTOu4x3d&#10;9rEQCcIhQw1ljD6TMuQlWQxD54mT9+NaizHJtpCmxS7BbSPHSk2lxYrTQome1iXll/3Vavg9XUNU&#10;dXj4ulsdJ9Pz0+9crfVnf6RmICLd4zv8394aDV/wdyXdAL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Au84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v:line id="直线 25" o:spid="_x0000_s1026" o:spt="20" style="position:absolute;left:1250;top:559;height:12492;width:0;" filled="f" stroked="t" coordsize="21600,21600" o:gfxdata="UEsDBAoAAAAAAIdO4kAAAAAAAAAAAAAAAAAEAAAAZHJzL1BLAwQUAAAACACHTuJAuE5Ko7oAAADa&#10;AAAADwAAAGRycy9kb3ducmV2LnhtbEWPS4sCMRCE78L+h9ALe3MSBUVGo+DCglcf6LWZ9M5jJ504&#10;iY7urzeC4LGoqq+oxepmW3GlLtSONYwyBYK4cKbmUsNh/zOcgQgR2WDrmDTcKcBq+TFYYG5cz1u6&#10;7mIpEoRDjhqqGH0uZSgqshgy54mT9+s6izHJrpSmwz7BbSvHSk2lxZrTQoWevisq/nYXq+F8vISo&#10;mnD3Tb8+TKanf791jdZfnyM1BxHpFt/hV3tjNEzgeSXd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Tkqj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v:line id="直线 26" o:spid="_x0000_s1026" o:spt="20" style="position:absolute;left:1265;top:13037;height:0;width:9542;" filled="f" stroked="t" coordsize="21600,21600" o:gfxdata="UEsDBAoAAAAAAIdO4kAAAAAAAAAAAAAAAAAEAAAAZHJzL1BLAwQUAAAACACHTuJASJzU1LoAAADa&#10;AAAADwAAAGRycy9kb3ducmV2LnhtbEWPS4sCMRCE74L/IbSwN00UHGQ0Ci4IXn2we20m7TycdLKT&#10;6Oj+erOw4LGoqq+o1eZhW3GnLtSONUwnCgRx4UzNpYbzaTdegAgR2WDrmDQ8KcBmPRysMDeu5wPd&#10;j7EUCcIhRw1VjD6XMhQVWQwT54mTd3GdxZhkV0rTYZ/gtpUzpTJpsea0UKGnz4qK6/FmNfx83UJU&#10;TXj6pt+e59n3rz+4RuuP0VQtQUR6xHf4v703GjL4u5JugF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nNTU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v:line id="直线 27" o:spid="_x0000_s1026" o:spt="20" style="position:absolute;left:10822;top:559;height:12492;width:0;" filled="f" stroked="t" coordsize="21600,21600" o:gfxdata="UEsDBAoAAAAAAIdO4kAAAAAAAAAAAAAAAAAEAAAAZHJzL1BLAwQUAAAACACHTuJAJ9BxT7oAAADa&#10;AAAADwAAAGRycy9kb3ducmV2LnhtbEWPS4sCMRCE78L+h9CCN01cUJfRKCgIe/WBXptJ7zycdLKT&#10;6Ki/3ggLeyyq6itqsbrbRtyoDZVjDeORAkGcO1NxoeF42A6/QISIbLBxTBoeFGC1/OgtMDOu4x3d&#10;9rEQCcIhQw1ljD6TMuQlWQwj54mT9+NaizHJtpCmxS7BbSM/lZpKixWnhRI9bUrKL/ur1fB7uoao&#10;6vDwdbc+Tqbnp9+5WutBf6zmICLd43/4r/1tNMzgfSXdALl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0HFP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v:group>
            </w:pict>
          </mc:Fallback>
        </mc:AlternateContent>
      </w:r>
      <w:bookmarkStart w:id="256" w:name="（七）投标人与其他单位资产关联、隶属关系框图"/>
      <w:bookmarkEnd w:id="256"/>
      <w:r>
        <w:rPr>
          <w:rFonts w:hint="eastAsia"/>
          <w:color w:val="auto"/>
          <w:highlight w:val="none"/>
        </w:rPr>
        <w:t>（七）投标人与其他单位资产关联、隶属关系框图</w:t>
      </w:r>
      <w:bookmarkEnd w:id="255"/>
    </w:p>
    <w:p>
      <w:pPr>
        <w:pStyle w:val="2"/>
        <w:rPr>
          <w:rFonts w:ascii="黑体"/>
          <w:color w:val="auto"/>
          <w:sz w:val="32"/>
          <w:highlight w:val="none"/>
        </w:rPr>
      </w:pPr>
    </w:p>
    <w:p>
      <w:pPr>
        <w:pStyle w:val="2"/>
        <w:spacing w:before="11"/>
        <w:rPr>
          <w:rFonts w:ascii="黑体"/>
          <w:color w:val="auto"/>
          <w:sz w:val="36"/>
          <w:highlight w:val="none"/>
        </w:rPr>
      </w:pPr>
    </w:p>
    <w:p>
      <w:pPr>
        <w:pStyle w:val="2"/>
        <w:spacing w:before="1" w:line="489" w:lineRule="auto"/>
        <w:ind w:left="398" w:right="234" w:firstLine="420"/>
        <w:rPr>
          <w:color w:val="auto"/>
          <w:highlight w:val="none"/>
        </w:rPr>
      </w:pPr>
      <w:r>
        <w:rPr>
          <w:color w:val="auto"/>
          <w:highlight w:val="none"/>
        </w:rPr>
        <w:t>本框图须提供涉及投标人利益关系的所有资产关联情况，应在本框图内明确显示投标人的投资人、母公司、分公司及其控股和参股公司。</w:t>
      </w:r>
    </w:p>
    <w:p>
      <w:pPr>
        <w:spacing w:after="0" w:line="489" w:lineRule="auto"/>
        <w:rPr>
          <w:color w:val="auto"/>
          <w:highlight w:val="none"/>
        </w:rPr>
        <w:sectPr>
          <w:pgSz w:w="11910" w:h="16840"/>
          <w:pgMar w:top="1040" w:right="860" w:bottom="940" w:left="960" w:header="0" w:footer="672" w:gutter="0"/>
          <w:pgBorders>
            <w:top w:val="none" w:sz="0" w:space="0"/>
            <w:left w:val="none" w:sz="0" w:space="0"/>
            <w:bottom w:val="none" w:sz="0" w:space="0"/>
            <w:right w:val="none" w:sz="0" w:space="0"/>
          </w:pgBorders>
          <w:pgNumType w:fmt="decimal"/>
          <w:cols w:space="720" w:num="1"/>
        </w:sectPr>
      </w:pPr>
    </w:p>
    <w:p>
      <w:pPr>
        <w:pStyle w:val="9"/>
        <w:ind w:left="298"/>
        <w:outlineLvl w:val="2"/>
        <w:rPr>
          <w:rFonts w:hint="eastAsia"/>
          <w:color w:val="auto"/>
          <w:highlight w:val="none"/>
        </w:rPr>
      </w:pPr>
      <w:bookmarkStart w:id="257" w:name="（八）诚信系统信息表"/>
      <w:bookmarkEnd w:id="257"/>
      <w:bookmarkStart w:id="258" w:name="_Toc4691"/>
      <w:bookmarkStart w:id="259" w:name="_Toc20656"/>
      <w:r>
        <w:rPr>
          <w:rFonts w:hint="eastAsia"/>
          <w:color w:val="auto"/>
          <w:highlight w:val="none"/>
        </w:rPr>
        <w:t>（八）诚信系统信息表</w:t>
      </w:r>
      <w:bookmarkEnd w:id="258"/>
      <w:bookmarkEnd w:id="259"/>
    </w:p>
    <w:p>
      <w:pPr>
        <w:pStyle w:val="2"/>
        <w:spacing w:before="6"/>
        <w:rPr>
          <w:rFonts w:ascii="黑体"/>
          <w:color w:val="auto"/>
          <w:sz w:val="8"/>
          <w:highlight w:val="none"/>
        </w:rPr>
      </w:pPr>
    </w:p>
    <w:tbl>
      <w:tblPr>
        <w:tblStyle w:val="26"/>
        <w:tblW w:w="0" w:type="auto"/>
        <w:tblInd w:w="41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77"/>
        <w:gridCol w:w="624"/>
        <w:gridCol w:w="1577"/>
        <w:gridCol w:w="2839"/>
        <w:gridCol w:w="204"/>
        <w:gridCol w:w="2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3" w:hRule="atLeast"/>
        </w:trPr>
        <w:tc>
          <w:tcPr>
            <w:tcW w:w="1577" w:type="dxa"/>
            <w:tcBorders>
              <w:bottom w:val="single" w:color="000000" w:sz="4" w:space="0"/>
              <w:right w:val="single" w:color="000000" w:sz="4" w:space="0"/>
            </w:tcBorders>
          </w:tcPr>
          <w:p>
            <w:pPr>
              <w:pStyle w:val="31"/>
              <w:spacing w:before="2"/>
              <w:rPr>
                <w:rFonts w:ascii="黑体"/>
                <w:color w:val="auto"/>
                <w:sz w:val="18"/>
                <w:highlight w:val="none"/>
              </w:rPr>
            </w:pPr>
          </w:p>
          <w:p>
            <w:pPr>
              <w:pStyle w:val="31"/>
              <w:ind w:left="260"/>
              <w:rPr>
                <w:color w:val="auto"/>
                <w:sz w:val="21"/>
                <w:highlight w:val="none"/>
              </w:rPr>
            </w:pPr>
            <w:r>
              <w:rPr>
                <w:color w:val="auto"/>
                <w:sz w:val="21"/>
                <w:highlight w:val="none"/>
              </w:rPr>
              <w:t>投标人全称</w:t>
            </w:r>
          </w:p>
        </w:tc>
        <w:tc>
          <w:tcPr>
            <w:tcW w:w="7661" w:type="dxa"/>
            <w:gridSpan w:val="5"/>
            <w:tcBorders>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577" w:type="dxa"/>
            <w:tcBorders>
              <w:top w:val="single" w:color="000000" w:sz="4" w:space="0"/>
              <w:bottom w:val="single" w:color="000000" w:sz="4" w:space="0"/>
              <w:right w:val="single" w:color="000000" w:sz="4" w:space="0"/>
            </w:tcBorders>
          </w:tcPr>
          <w:p>
            <w:pPr>
              <w:pStyle w:val="31"/>
              <w:spacing w:before="178"/>
              <w:ind w:left="260"/>
              <w:rPr>
                <w:color w:val="auto"/>
                <w:sz w:val="21"/>
                <w:highlight w:val="none"/>
              </w:rPr>
            </w:pPr>
            <w:r>
              <w:rPr>
                <w:color w:val="auto"/>
                <w:sz w:val="21"/>
                <w:highlight w:val="none"/>
              </w:rPr>
              <w:t>投标人资质</w:t>
            </w:r>
          </w:p>
        </w:tc>
        <w:tc>
          <w:tcPr>
            <w:tcW w:w="7661" w:type="dxa"/>
            <w:gridSpan w:val="5"/>
            <w:tcBorders>
              <w:top w:val="single" w:color="000000" w:sz="4" w:space="0"/>
              <w:left w:val="single" w:color="000000" w:sz="4" w:space="0"/>
              <w:bottom w:val="single" w:color="000000" w:sz="4" w:space="0"/>
            </w:tcBorders>
          </w:tcPr>
          <w:p>
            <w:pPr>
              <w:pStyle w:val="31"/>
              <w:rPr>
                <w:rFonts w:ascii="Times New Roman"/>
                <w:color w:val="auto"/>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0" w:hRule="atLeast"/>
        </w:trPr>
        <w:tc>
          <w:tcPr>
            <w:tcW w:w="6821" w:type="dxa"/>
            <w:gridSpan w:val="5"/>
            <w:tcBorders>
              <w:top w:val="single" w:color="000000" w:sz="4" w:space="0"/>
              <w:bottom w:val="single" w:color="000000" w:sz="4" w:space="0"/>
              <w:right w:val="single" w:color="000000" w:sz="4" w:space="0"/>
            </w:tcBorders>
          </w:tcPr>
          <w:p>
            <w:pPr>
              <w:pStyle w:val="31"/>
              <w:spacing w:before="2"/>
              <w:rPr>
                <w:rFonts w:ascii="黑体"/>
                <w:color w:val="auto"/>
                <w:sz w:val="19"/>
                <w:highlight w:val="none"/>
              </w:rPr>
            </w:pPr>
          </w:p>
          <w:p>
            <w:pPr>
              <w:pStyle w:val="31"/>
              <w:ind w:left="467"/>
              <w:rPr>
                <w:color w:val="auto"/>
                <w:sz w:val="21"/>
                <w:highlight w:val="none"/>
              </w:rPr>
            </w:pPr>
            <w:r>
              <w:rPr>
                <w:color w:val="auto"/>
                <w:sz w:val="21"/>
                <w:highlight w:val="none"/>
              </w:rPr>
              <w:t>是否在浙江省交通建设市场诚信信息系统中承诺向社会公开信息</w:t>
            </w:r>
          </w:p>
        </w:tc>
        <w:tc>
          <w:tcPr>
            <w:tcW w:w="2417" w:type="dxa"/>
            <w:tcBorders>
              <w:top w:val="single" w:color="000000" w:sz="4" w:space="0"/>
              <w:left w:val="single" w:color="000000" w:sz="4" w:space="0"/>
              <w:bottom w:val="single" w:color="000000" w:sz="4" w:space="0"/>
            </w:tcBorders>
          </w:tcPr>
          <w:p>
            <w:pPr>
              <w:pStyle w:val="31"/>
              <w:spacing w:before="2"/>
              <w:rPr>
                <w:rFonts w:ascii="黑体"/>
                <w:color w:val="auto"/>
                <w:sz w:val="19"/>
                <w:highlight w:val="none"/>
              </w:rPr>
            </w:pPr>
          </w:p>
          <w:p>
            <w:pPr>
              <w:pStyle w:val="31"/>
              <w:ind w:left="587"/>
              <w:rPr>
                <w:color w:val="auto"/>
                <w:sz w:val="21"/>
                <w:highlight w:val="none"/>
              </w:rPr>
            </w:pPr>
            <w:r>
              <w:rPr>
                <w:color w:val="auto"/>
                <w:sz w:val="21"/>
                <w:highlight w:val="none"/>
              </w:rPr>
              <w:t>（填是或否）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76" w:hRule="atLeast"/>
        </w:trPr>
        <w:tc>
          <w:tcPr>
            <w:tcW w:w="9238" w:type="dxa"/>
            <w:gridSpan w:val="6"/>
            <w:tcBorders>
              <w:top w:val="single" w:color="000000" w:sz="4" w:space="0"/>
              <w:bottom w:val="single" w:color="000000" w:sz="4" w:space="0"/>
            </w:tcBorders>
          </w:tcPr>
          <w:p>
            <w:pPr>
              <w:pStyle w:val="31"/>
              <w:spacing w:before="10"/>
              <w:rPr>
                <w:rFonts w:ascii="黑体"/>
                <w:color w:val="auto"/>
                <w:sz w:val="27"/>
                <w:highlight w:val="none"/>
              </w:rPr>
            </w:pPr>
          </w:p>
          <w:p>
            <w:pPr>
              <w:pStyle w:val="31"/>
              <w:ind w:left="1045"/>
              <w:rPr>
                <w:color w:val="auto"/>
                <w:sz w:val="21"/>
                <w:highlight w:val="none"/>
              </w:rPr>
            </w:pPr>
            <w:r>
              <w:rPr>
                <w:color w:val="auto"/>
                <w:sz w:val="21"/>
                <w:highlight w:val="none"/>
              </w:rPr>
              <w:t>在浙江省交通建设市场诚信信息系统中，投标人拟委任主要人员信息公开情况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78" w:hRule="atLeast"/>
        </w:trPr>
        <w:tc>
          <w:tcPr>
            <w:tcW w:w="2201" w:type="dxa"/>
            <w:gridSpan w:val="2"/>
            <w:tcBorders>
              <w:top w:val="single" w:color="000000" w:sz="4" w:space="0"/>
              <w:bottom w:val="single" w:color="000000" w:sz="4" w:space="0"/>
              <w:right w:val="single" w:color="000000" w:sz="4" w:space="0"/>
            </w:tcBorders>
          </w:tcPr>
          <w:p>
            <w:pPr>
              <w:pStyle w:val="31"/>
              <w:spacing w:before="10"/>
              <w:rPr>
                <w:rFonts w:ascii="黑体"/>
                <w:color w:val="auto"/>
                <w:sz w:val="27"/>
                <w:highlight w:val="none"/>
              </w:rPr>
            </w:pPr>
          </w:p>
          <w:p>
            <w:pPr>
              <w:pStyle w:val="31"/>
              <w:ind w:left="152" w:right="131"/>
              <w:jc w:val="center"/>
              <w:rPr>
                <w:color w:val="auto"/>
                <w:sz w:val="21"/>
                <w:highlight w:val="none"/>
              </w:rPr>
            </w:pPr>
            <w:r>
              <w:rPr>
                <w:color w:val="auto"/>
                <w:sz w:val="21"/>
                <w:highlight w:val="none"/>
              </w:rPr>
              <w:t>人员</w:t>
            </w:r>
          </w:p>
        </w:tc>
        <w:tc>
          <w:tcPr>
            <w:tcW w:w="1577" w:type="dxa"/>
            <w:tcBorders>
              <w:top w:val="single" w:color="000000" w:sz="4" w:space="0"/>
              <w:left w:val="single" w:color="000000" w:sz="4" w:space="0"/>
              <w:bottom w:val="single" w:color="000000" w:sz="4" w:space="0"/>
              <w:right w:val="single" w:color="000000" w:sz="4" w:space="0"/>
            </w:tcBorders>
          </w:tcPr>
          <w:p>
            <w:pPr>
              <w:pStyle w:val="31"/>
              <w:spacing w:before="10"/>
              <w:rPr>
                <w:rFonts w:ascii="黑体"/>
                <w:color w:val="auto"/>
                <w:sz w:val="27"/>
                <w:highlight w:val="none"/>
              </w:rPr>
            </w:pPr>
          </w:p>
          <w:p>
            <w:pPr>
              <w:pStyle w:val="31"/>
              <w:ind w:left="568" w:right="538"/>
              <w:jc w:val="center"/>
              <w:rPr>
                <w:color w:val="auto"/>
                <w:sz w:val="21"/>
                <w:highlight w:val="none"/>
              </w:rPr>
            </w:pPr>
            <w:r>
              <w:rPr>
                <w:color w:val="auto"/>
                <w:sz w:val="21"/>
                <w:highlight w:val="none"/>
              </w:rPr>
              <w:t>姓名</w:t>
            </w:r>
          </w:p>
        </w:tc>
        <w:tc>
          <w:tcPr>
            <w:tcW w:w="2839" w:type="dxa"/>
            <w:tcBorders>
              <w:top w:val="single" w:color="000000" w:sz="4" w:space="0"/>
              <w:left w:val="single" w:color="000000" w:sz="4" w:space="0"/>
              <w:bottom w:val="single" w:color="000000" w:sz="4" w:space="0"/>
              <w:right w:val="single" w:color="000000" w:sz="4" w:space="0"/>
            </w:tcBorders>
          </w:tcPr>
          <w:p>
            <w:pPr>
              <w:pStyle w:val="31"/>
              <w:spacing w:before="7"/>
              <w:rPr>
                <w:rFonts w:ascii="黑体"/>
                <w:color w:val="auto"/>
                <w:sz w:val="15"/>
                <w:highlight w:val="none"/>
              </w:rPr>
            </w:pPr>
          </w:p>
          <w:p>
            <w:pPr>
              <w:pStyle w:val="31"/>
              <w:spacing w:before="1"/>
              <w:ind w:left="360" w:right="329"/>
              <w:jc w:val="center"/>
              <w:rPr>
                <w:color w:val="auto"/>
                <w:sz w:val="21"/>
                <w:highlight w:val="none"/>
              </w:rPr>
            </w:pPr>
            <w:r>
              <w:rPr>
                <w:color w:val="auto"/>
                <w:sz w:val="21"/>
                <w:highlight w:val="none"/>
              </w:rPr>
              <w:t>是否在信息系统中公开</w:t>
            </w:r>
          </w:p>
          <w:p>
            <w:pPr>
              <w:pStyle w:val="31"/>
              <w:spacing w:before="43"/>
              <w:ind w:left="359" w:right="329"/>
              <w:jc w:val="center"/>
              <w:rPr>
                <w:color w:val="auto"/>
                <w:sz w:val="21"/>
                <w:highlight w:val="none"/>
              </w:rPr>
            </w:pPr>
            <w:r>
              <w:rPr>
                <w:color w:val="auto"/>
                <w:sz w:val="21"/>
                <w:highlight w:val="none"/>
              </w:rPr>
              <w:t>（填是或否）</w:t>
            </w:r>
          </w:p>
        </w:tc>
        <w:tc>
          <w:tcPr>
            <w:tcW w:w="2621" w:type="dxa"/>
            <w:gridSpan w:val="2"/>
            <w:tcBorders>
              <w:top w:val="single" w:color="000000" w:sz="4" w:space="0"/>
              <w:left w:val="single" w:color="000000" w:sz="4" w:space="0"/>
              <w:bottom w:val="single" w:color="000000" w:sz="4" w:space="0"/>
            </w:tcBorders>
          </w:tcPr>
          <w:p>
            <w:pPr>
              <w:pStyle w:val="31"/>
              <w:spacing w:before="10"/>
              <w:rPr>
                <w:rFonts w:ascii="黑体"/>
                <w:color w:val="auto"/>
                <w:sz w:val="27"/>
                <w:highlight w:val="none"/>
              </w:rPr>
            </w:pPr>
          </w:p>
          <w:p>
            <w:pPr>
              <w:pStyle w:val="31"/>
              <w:ind w:left="163" w:right="120"/>
              <w:jc w:val="center"/>
              <w:rPr>
                <w:color w:val="auto"/>
                <w:sz w:val="21"/>
                <w:highlight w:val="none"/>
              </w:rPr>
            </w:pPr>
            <w:r>
              <w:rPr>
                <w:color w:val="auto"/>
                <w:sz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68" w:hRule="atLeast"/>
        </w:trPr>
        <w:tc>
          <w:tcPr>
            <w:tcW w:w="2201" w:type="dxa"/>
            <w:gridSpan w:val="2"/>
            <w:tcBorders>
              <w:top w:val="single" w:color="000000" w:sz="4" w:space="0"/>
              <w:bottom w:val="single" w:color="000000" w:sz="4" w:space="0"/>
              <w:right w:val="single" w:color="000000" w:sz="4" w:space="0"/>
            </w:tcBorders>
          </w:tcPr>
          <w:p>
            <w:pPr>
              <w:pStyle w:val="31"/>
              <w:spacing w:before="8"/>
              <w:rPr>
                <w:rFonts w:ascii="黑体"/>
                <w:color w:val="auto"/>
                <w:sz w:val="15"/>
                <w:highlight w:val="none"/>
              </w:rPr>
            </w:pPr>
          </w:p>
          <w:p>
            <w:pPr>
              <w:pStyle w:val="31"/>
              <w:ind w:left="150" w:right="132"/>
              <w:jc w:val="center"/>
              <w:rPr>
                <w:color w:val="auto"/>
                <w:sz w:val="21"/>
                <w:highlight w:val="none"/>
              </w:rPr>
            </w:pPr>
            <w:r>
              <w:rPr>
                <w:color w:val="auto"/>
                <w:sz w:val="21"/>
                <w:highlight w:val="none"/>
              </w:rPr>
              <w:t>项目负责人</w:t>
            </w:r>
          </w:p>
          <w:p>
            <w:pPr>
              <w:pStyle w:val="31"/>
              <w:spacing w:before="43"/>
              <w:ind w:left="152" w:right="132"/>
              <w:jc w:val="center"/>
              <w:rPr>
                <w:color w:val="auto"/>
                <w:sz w:val="21"/>
                <w:highlight w:val="none"/>
              </w:rPr>
            </w:pPr>
            <w:r>
              <w:rPr>
                <w:color w:val="auto"/>
                <w:sz w:val="21"/>
                <w:highlight w:val="none"/>
              </w:rPr>
              <w:t>（职称证信息）</w:t>
            </w:r>
          </w:p>
        </w:tc>
        <w:tc>
          <w:tcPr>
            <w:tcW w:w="1577" w:type="dxa"/>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2839" w:type="dxa"/>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2621" w:type="dxa"/>
            <w:gridSpan w:val="2"/>
            <w:vMerge w:val="restart"/>
            <w:tcBorders>
              <w:top w:val="single" w:color="000000" w:sz="4" w:space="0"/>
              <w:left w:val="single" w:color="000000" w:sz="4" w:space="0"/>
            </w:tcBorders>
          </w:tcPr>
          <w:p>
            <w:pPr>
              <w:pStyle w:val="31"/>
              <w:rPr>
                <w:rFonts w:ascii="黑体"/>
                <w:color w:val="auto"/>
                <w:sz w:val="20"/>
                <w:highlight w:val="none"/>
              </w:rPr>
            </w:pPr>
          </w:p>
          <w:p>
            <w:pPr>
              <w:pStyle w:val="31"/>
              <w:rPr>
                <w:rFonts w:ascii="黑体"/>
                <w:color w:val="auto"/>
                <w:sz w:val="20"/>
                <w:highlight w:val="none"/>
              </w:rPr>
            </w:pPr>
          </w:p>
          <w:p>
            <w:pPr>
              <w:pStyle w:val="31"/>
              <w:rPr>
                <w:rFonts w:ascii="黑体"/>
                <w:color w:val="auto"/>
                <w:sz w:val="20"/>
                <w:highlight w:val="none"/>
              </w:rPr>
            </w:pPr>
          </w:p>
          <w:p>
            <w:pPr>
              <w:pStyle w:val="31"/>
              <w:rPr>
                <w:rFonts w:ascii="黑体"/>
                <w:color w:val="auto"/>
                <w:sz w:val="20"/>
                <w:highlight w:val="none"/>
              </w:rPr>
            </w:pPr>
          </w:p>
          <w:p>
            <w:pPr>
              <w:pStyle w:val="31"/>
              <w:rPr>
                <w:rFonts w:ascii="黑体"/>
                <w:color w:val="auto"/>
                <w:sz w:val="20"/>
                <w:highlight w:val="none"/>
              </w:rPr>
            </w:pPr>
          </w:p>
          <w:p>
            <w:pPr>
              <w:pStyle w:val="31"/>
              <w:rPr>
                <w:rFonts w:ascii="黑体"/>
                <w:color w:val="auto"/>
                <w:sz w:val="20"/>
                <w:highlight w:val="none"/>
              </w:rPr>
            </w:pPr>
          </w:p>
          <w:p>
            <w:pPr>
              <w:pStyle w:val="31"/>
              <w:rPr>
                <w:rFonts w:ascii="黑体"/>
                <w:color w:val="auto"/>
                <w:sz w:val="20"/>
                <w:highlight w:val="none"/>
              </w:rPr>
            </w:pPr>
          </w:p>
          <w:p>
            <w:pPr>
              <w:pStyle w:val="31"/>
              <w:spacing w:before="7"/>
              <w:rPr>
                <w:rFonts w:ascii="黑体"/>
                <w:color w:val="auto"/>
                <w:sz w:val="17"/>
                <w:highlight w:val="none"/>
              </w:rPr>
            </w:pPr>
          </w:p>
          <w:p>
            <w:pPr>
              <w:pStyle w:val="31"/>
              <w:spacing w:line="278" w:lineRule="auto"/>
              <w:ind w:left="165" w:right="120"/>
              <w:jc w:val="center"/>
              <w:rPr>
                <w:color w:val="auto"/>
                <w:sz w:val="21"/>
                <w:highlight w:val="none"/>
              </w:rPr>
            </w:pPr>
            <w:r>
              <w:rPr>
                <w:color w:val="auto"/>
                <w:sz w:val="21"/>
                <w:highlight w:val="none"/>
              </w:rPr>
              <w:t>本表后附浙江省交通建设市场诚信信息系统查询结果打印件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56" w:hRule="atLeast"/>
        </w:trPr>
        <w:tc>
          <w:tcPr>
            <w:tcW w:w="2201" w:type="dxa"/>
            <w:gridSpan w:val="2"/>
            <w:vMerge w:val="restart"/>
            <w:tcBorders>
              <w:top w:val="single" w:color="000000" w:sz="4" w:space="0"/>
              <w:right w:val="single" w:color="000000" w:sz="4" w:space="0"/>
            </w:tcBorders>
          </w:tcPr>
          <w:p>
            <w:pPr>
              <w:pStyle w:val="31"/>
              <w:rPr>
                <w:rFonts w:ascii="黑体"/>
                <w:color w:val="auto"/>
                <w:sz w:val="20"/>
                <w:highlight w:val="none"/>
              </w:rPr>
            </w:pPr>
          </w:p>
          <w:p>
            <w:pPr>
              <w:pStyle w:val="31"/>
              <w:rPr>
                <w:rFonts w:ascii="黑体"/>
                <w:color w:val="auto"/>
                <w:sz w:val="20"/>
                <w:highlight w:val="none"/>
              </w:rPr>
            </w:pPr>
          </w:p>
          <w:p>
            <w:pPr>
              <w:pStyle w:val="31"/>
              <w:rPr>
                <w:rFonts w:ascii="黑体"/>
                <w:color w:val="auto"/>
                <w:sz w:val="20"/>
                <w:highlight w:val="none"/>
              </w:rPr>
            </w:pPr>
          </w:p>
          <w:p>
            <w:pPr>
              <w:pStyle w:val="31"/>
              <w:rPr>
                <w:rFonts w:ascii="黑体"/>
                <w:color w:val="auto"/>
                <w:sz w:val="20"/>
                <w:highlight w:val="none"/>
              </w:rPr>
            </w:pPr>
          </w:p>
          <w:p>
            <w:pPr>
              <w:pStyle w:val="31"/>
              <w:rPr>
                <w:rFonts w:ascii="黑体"/>
                <w:color w:val="auto"/>
                <w:sz w:val="20"/>
                <w:highlight w:val="none"/>
              </w:rPr>
            </w:pPr>
          </w:p>
          <w:p>
            <w:pPr>
              <w:pStyle w:val="31"/>
              <w:spacing w:before="3"/>
              <w:rPr>
                <w:rFonts w:ascii="黑体"/>
                <w:color w:val="auto"/>
                <w:sz w:val="18"/>
                <w:highlight w:val="none"/>
              </w:rPr>
            </w:pPr>
          </w:p>
          <w:p>
            <w:pPr>
              <w:pStyle w:val="31"/>
              <w:spacing w:line="278" w:lineRule="auto"/>
              <w:ind w:left="152" w:right="132"/>
              <w:jc w:val="center"/>
              <w:rPr>
                <w:color w:val="auto"/>
                <w:sz w:val="21"/>
                <w:highlight w:val="none"/>
              </w:rPr>
            </w:pPr>
            <w:r>
              <w:rPr>
                <w:color w:val="auto"/>
                <w:sz w:val="21"/>
                <w:highlight w:val="none"/>
              </w:rPr>
              <w:t>其他所有分项负责人的职称等相关证书信息</w:t>
            </w:r>
          </w:p>
        </w:tc>
        <w:tc>
          <w:tcPr>
            <w:tcW w:w="1577" w:type="dxa"/>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2839" w:type="dxa"/>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2621" w:type="dxa"/>
            <w:gridSpan w:val="2"/>
            <w:vMerge w:val="continue"/>
            <w:tcBorders>
              <w:top w:val="nil"/>
              <w:left w:val="single" w:color="000000" w:sz="4" w:space="0"/>
            </w:tcBorders>
          </w:tcPr>
          <w:p>
            <w:pPr>
              <w:rPr>
                <w:color w:val="auto"/>
                <w:sz w:val="2"/>
                <w:szCs w:val="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58" w:hRule="atLeast"/>
        </w:trPr>
        <w:tc>
          <w:tcPr>
            <w:tcW w:w="2201" w:type="dxa"/>
            <w:gridSpan w:val="2"/>
            <w:vMerge w:val="continue"/>
            <w:tcBorders>
              <w:top w:val="nil"/>
              <w:right w:val="single" w:color="000000" w:sz="4" w:space="0"/>
            </w:tcBorders>
          </w:tcPr>
          <w:p>
            <w:pPr>
              <w:rPr>
                <w:color w:val="auto"/>
                <w:sz w:val="2"/>
                <w:szCs w:val="2"/>
                <w:highlight w:val="none"/>
              </w:rPr>
            </w:pPr>
          </w:p>
        </w:tc>
        <w:tc>
          <w:tcPr>
            <w:tcW w:w="1577" w:type="dxa"/>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2839" w:type="dxa"/>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2621" w:type="dxa"/>
            <w:gridSpan w:val="2"/>
            <w:vMerge w:val="continue"/>
            <w:tcBorders>
              <w:top w:val="nil"/>
              <w:left w:val="single" w:color="000000" w:sz="4" w:space="0"/>
            </w:tcBorders>
          </w:tcPr>
          <w:p>
            <w:pPr>
              <w:rPr>
                <w:color w:val="auto"/>
                <w:sz w:val="2"/>
                <w:szCs w:val="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58" w:hRule="atLeast"/>
        </w:trPr>
        <w:tc>
          <w:tcPr>
            <w:tcW w:w="2201" w:type="dxa"/>
            <w:gridSpan w:val="2"/>
            <w:vMerge w:val="continue"/>
            <w:tcBorders>
              <w:top w:val="nil"/>
              <w:right w:val="single" w:color="000000" w:sz="4" w:space="0"/>
            </w:tcBorders>
          </w:tcPr>
          <w:p>
            <w:pPr>
              <w:rPr>
                <w:color w:val="auto"/>
                <w:sz w:val="2"/>
                <w:szCs w:val="2"/>
                <w:highlight w:val="none"/>
              </w:rPr>
            </w:pPr>
          </w:p>
        </w:tc>
        <w:tc>
          <w:tcPr>
            <w:tcW w:w="1577" w:type="dxa"/>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2839" w:type="dxa"/>
            <w:tcBorders>
              <w:top w:val="single" w:color="000000" w:sz="4" w:space="0"/>
              <w:left w:val="single" w:color="000000" w:sz="4" w:space="0"/>
              <w:bottom w:val="single" w:color="000000" w:sz="4" w:space="0"/>
              <w:right w:val="single" w:color="000000" w:sz="4" w:space="0"/>
            </w:tcBorders>
          </w:tcPr>
          <w:p>
            <w:pPr>
              <w:pStyle w:val="31"/>
              <w:rPr>
                <w:rFonts w:ascii="Times New Roman"/>
                <w:color w:val="auto"/>
                <w:sz w:val="20"/>
                <w:highlight w:val="none"/>
              </w:rPr>
            </w:pPr>
          </w:p>
        </w:tc>
        <w:tc>
          <w:tcPr>
            <w:tcW w:w="2621" w:type="dxa"/>
            <w:gridSpan w:val="2"/>
            <w:vMerge w:val="continue"/>
            <w:tcBorders>
              <w:top w:val="nil"/>
              <w:left w:val="single" w:color="000000" w:sz="4" w:space="0"/>
            </w:tcBorders>
          </w:tcPr>
          <w:p>
            <w:pPr>
              <w:rPr>
                <w:color w:val="auto"/>
                <w:sz w:val="2"/>
                <w:szCs w:val="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66" w:hRule="atLeast"/>
        </w:trPr>
        <w:tc>
          <w:tcPr>
            <w:tcW w:w="2201" w:type="dxa"/>
            <w:gridSpan w:val="2"/>
            <w:vMerge w:val="continue"/>
            <w:tcBorders>
              <w:top w:val="nil"/>
              <w:right w:val="single" w:color="000000" w:sz="4" w:space="0"/>
            </w:tcBorders>
          </w:tcPr>
          <w:p>
            <w:pPr>
              <w:rPr>
                <w:color w:val="auto"/>
                <w:sz w:val="2"/>
                <w:szCs w:val="2"/>
                <w:highlight w:val="none"/>
              </w:rPr>
            </w:pPr>
          </w:p>
        </w:tc>
        <w:tc>
          <w:tcPr>
            <w:tcW w:w="1577" w:type="dxa"/>
            <w:tcBorders>
              <w:top w:val="single" w:color="000000" w:sz="4" w:space="0"/>
              <w:left w:val="single" w:color="000000" w:sz="4" w:space="0"/>
              <w:right w:val="single" w:color="000000" w:sz="4" w:space="0"/>
            </w:tcBorders>
          </w:tcPr>
          <w:p>
            <w:pPr>
              <w:pStyle w:val="31"/>
              <w:rPr>
                <w:rFonts w:ascii="Times New Roman"/>
                <w:color w:val="auto"/>
                <w:sz w:val="20"/>
                <w:highlight w:val="none"/>
              </w:rPr>
            </w:pPr>
          </w:p>
        </w:tc>
        <w:tc>
          <w:tcPr>
            <w:tcW w:w="2839" w:type="dxa"/>
            <w:tcBorders>
              <w:top w:val="single" w:color="000000" w:sz="4" w:space="0"/>
              <w:left w:val="single" w:color="000000" w:sz="4" w:space="0"/>
              <w:right w:val="single" w:color="000000" w:sz="4" w:space="0"/>
            </w:tcBorders>
          </w:tcPr>
          <w:p>
            <w:pPr>
              <w:pStyle w:val="31"/>
              <w:rPr>
                <w:rFonts w:ascii="Times New Roman"/>
                <w:color w:val="auto"/>
                <w:sz w:val="20"/>
                <w:highlight w:val="none"/>
              </w:rPr>
            </w:pPr>
          </w:p>
        </w:tc>
        <w:tc>
          <w:tcPr>
            <w:tcW w:w="2621" w:type="dxa"/>
            <w:gridSpan w:val="2"/>
            <w:vMerge w:val="continue"/>
            <w:tcBorders>
              <w:top w:val="nil"/>
              <w:left w:val="single" w:color="000000" w:sz="4" w:space="0"/>
            </w:tcBorders>
          </w:tcPr>
          <w:p>
            <w:pPr>
              <w:rPr>
                <w:color w:val="auto"/>
                <w:sz w:val="2"/>
                <w:szCs w:val="2"/>
                <w:highlight w:val="none"/>
              </w:rPr>
            </w:pPr>
          </w:p>
        </w:tc>
      </w:tr>
    </w:tbl>
    <w:p>
      <w:pPr>
        <w:pStyle w:val="2"/>
        <w:spacing w:before="102"/>
        <w:ind w:left="818"/>
        <w:rPr>
          <w:rFonts w:hint="eastAsia" w:ascii="黑体" w:eastAsia="黑体"/>
          <w:color w:val="auto"/>
          <w:highlight w:val="none"/>
        </w:rPr>
      </w:pPr>
      <w:r>
        <w:rPr>
          <w:rFonts w:hint="eastAsia" w:ascii="黑体" w:eastAsia="黑体"/>
          <w:color w:val="auto"/>
          <w:highlight w:val="none"/>
        </w:rPr>
        <w:t>注：上述人员未填写或未附查询结果打印件视为未公开。</w:t>
      </w:r>
    </w:p>
    <w:p>
      <w:pPr>
        <w:spacing w:after="0"/>
        <w:rPr>
          <w:rFonts w:hint="eastAsia" w:ascii="黑体" w:eastAsia="黑体"/>
          <w:color w:val="auto"/>
          <w:highlight w:val="none"/>
        </w:rPr>
        <w:sectPr>
          <w:pgSz w:w="11910" w:h="16840"/>
          <w:pgMar w:top="1040" w:right="860" w:bottom="940" w:left="960" w:header="0" w:footer="672" w:gutter="0"/>
          <w:pgBorders>
            <w:top w:val="none" w:sz="0" w:space="0"/>
            <w:left w:val="none" w:sz="0" w:space="0"/>
            <w:bottom w:val="none" w:sz="0" w:space="0"/>
            <w:right w:val="none" w:sz="0" w:space="0"/>
          </w:pgBorders>
          <w:pgNumType w:fmt="decimal"/>
          <w:cols w:space="720" w:num="1"/>
        </w:sectPr>
      </w:pPr>
    </w:p>
    <w:p>
      <w:pPr>
        <w:pStyle w:val="9"/>
        <w:ind w:left="298"/>
        <w:outlineLvl w:val="2"/>
        <w:rPr>
          <w:rFonts w:hint="eastAsia"/>
          <w:color w:val="auto"/>
          <w:highlight w:val="none"/>
        </w:rPr>
      </w:pPr>
      <w:bookmarkStart w:id="260" w:name="（九）履约行为表"/>
      <w:bookmarkEnd w:id="260"/>
      <w:bookmarkStart w:id="261" w:name="_Toc24801"/>
      <w:bookmarkStart w:id="262" w:name="_Toc32044"/>
      <w:r>
        <w:rPr>
          <w:rFonts w:hint="eastAsia"/>
          <w:color w:val="auto"/>
          <w:highlight w:val="none"/>
        </w:rPr>
        <w:t>（九）履约行为表</w:t>
      </w:r>
      <w:bookmarkEnd w:id="261"/>
      <w:bookmarkEnd w:id="262"/>
    </w:p>
    <w:p>
      <w:pPr>
        <w:pStyle w:val="2"/>
        <w:spacing w:before="6"/>
        <w:rPr>
          <w:rFonts w:ascii="黑体"/>
          <w:color w:val="auto"/>
          <w:sz w:val="8"/>
          <w:highlight w:val="none"/>
        </w:rPr>
      </w:pPr>
    </w:p>
    <w:tbl>
      <w:tblPr>
        <w:tblStyle w:val="26"/>
        <w:tblW w:w="0" w:type="auto"/>
        <w:tblInd w:w="30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512"/>
        <w:gridCol w:w="497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1" w:hRule="atLeast"/>
        </w:trPr>
        <w:tc>
          <w:tcPr>
            <w:tcW w:w="9490" w:type="dxa"/>
            <w:gridSpan w:val="2"/>
            <w:tcBorders>
              <w:bottom w:val="single" w:color="000000" w:sz="4" w:space="0"/>
            </w:tcBorders>
          </w:tcPr>
          <w:p>
            <w:pPr>
              <w:pStyle w:val="31"/>
              <w:spacing w:before="8"/>
              <w:rPr>
                <w:rFonts w:ascii="黑体"/>
                <w:color w:val="auto"/>
                <w:sz w:val="17"/>
                <w:highlight w:val="none"/>
              </w:rPr>
            </w:pPr>
          </w:p>
          <w:p>
            <w:pPr>
              <w:pStyle w:val="31"/>
              <w:ind w:left="3565" w:right="3535"/>
              <w:jc w:val="center"/>
              <w:rPr>
                <w:b/>
                <w:color w:val="auto"/>
                <w:sz w:val="21"/>
                <w:highlight w:val="none"/>
              </w:rPr>
            </w:pPr>
            <w:r>
              <w:rPr>
                <w:b/>
                <w:color w:val="auto"/>
                <w:sz w:val="21"/>
                <w:highlight w:val="none"/>
              </w:rPr>
              <w:t>投标人如实填写下列内容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577" w:hRule="atLeast"/>
        </w:trPr>
        <w:tc>
          <w:tcPr>
            <w:tcW w:w="4512" w:type="dxa"/>
            <w:tcBorders>
              <w:top w:val="single" w:color="000000" w:sz="4" w:space="0"/>
              <w:right w:val="single" w:color="000000" w:sz="4" w:space="0"/>
            </w:tcBorders>
          </w:tcPr>
          <w:p>
            <w:pPr>
              <w:pStyle w:val="31"/>
              <w:spacing w:before="99" w:line="417" w:lineRule="auto"/>
              <w:ind w:left="107" w:right="76"/>
              <w:jc w:val="both"/>
              <w:rPr>
                <w:color w:val="auto"/>
                <w:sz w:val="21"/>
                <w:highlight w:val="none"/>
              </w:rPr>
            </w:pPr>
            <w:r>
              <w:rPr>
                <w:rFonts w:ascii="Arial" w:eastAsia="Arial"/>
                <w:color w:val="auto"/>
                <w:sz w:val="21"/>
                <w:highlight w:val="none"/>
              </w:rPr>
              <w:t>1</w:t>
            </w:r>
            <w:r>
              <w:rPr>
                <w:color w:val="auto"/>
                <w:spacing w:val="-17"/>
                <w:sz w:val="21"/>
                <w:highlight w:val="none"/>
              </w:rPr>
              <w:t xml:space="preserve">、自 </w:t>
            </w:r>
            <w:r>
              <w:rPr>
                <w:rFonts w:ascii="Arial" w:eastAsia="Arial"/>
                <w:color w:val="auto"/>
                <w:sz w:val="21"/>
                <w:highlight w:val="none"/>
              </w:rPr>
              <w:t>20</w:t>
            </w:r>
            <w:r>
              <w:rPr>
                <w:rFonts w:hint="eastAsia" w:ascii="Arial" w:eastAsia="宋体"/>
                <w:color w:val="auto"/>
                <w:sz w:val="21"/>
                <w:highlight w:val="none"/>
                <w:lang w:val="en-US" w:eastAsia="zh-CN"/>
              </w:rPr>
              <w:t>22</w:t>
            </w:r>
            <w:r>
              <w:rPr>
                <w:rFonts w:ascii="Arial" w:eastAsia="Arial"/>
                <w:color w:val="auto"/>
                <w:sz w:val="21"/>
                <w:highlight w:val="none"/>
              </w:rPr>
              <w:t xml:space="preserve"> </w:t>
            </w:r>
            <w:r>
              <w:rPr>
                <w:color w:val="auto"/>
                <w:spacing w:val="-24"/>
                <w:sz w:val="21"/>
                <w:highlight w:val="none"/>
              </w:rPr>
              <w:t xml:space="preserve">年 </w:t>
            </w:r>
            <w:r>
              <w:rPr>
                <w:rFonts w:hint="eastAsia" w:ascii="Arial" w:eastAsia="宋体"/>
                <w:color w:val="auto"/>
                <w:sz w:val="21"/>
                <w:highlight w:val="none"/>
                <w:lang w:val="en-US" w:eastAsia="zh-CN"/>
              </w:rPr>
              <w:t>7</w:t>
            </w:r>
            <w:r>
              <w:rPr>
                <w:rFonts w:ascii="Arial" w:eastAsia="Arial"/>
                <w:color w:val="auto"/>
                <w:sz w:val="21"/>
                <w:highlight w:val="none"/>
              </w:rPr>
              <w:t xml:space="preserve"> </w:t>
            </w:r>
            <w:r>
              <w:rPr>
                <w:color w:val="auto"/>
                <w:spacing w:val="-24"/>
                <w:sz w:val="21"/>
                <w:highlight w:val="none"/>
              </w:rPr>
              <w:t xml:space="preserve">月 </w:t>
            </w:r>
            <w:r>
              <w:rPr>
                <w:rFonts w:ascii="Arial" w:eastAsia="Arial"/>
                <w:color w:val="auto"/>
                <w:sz w:val="21"/>
                <w:highlight w:val="none"/>
              </w:rPr>
              <w:t xml:space="preserve">1 </w:t>
            </w:r>
            <w:r>
              <w:rPr>
                <w:color w:val="auto"/>
                <w:spacing w:val="-3"/>
                <w:sz w:val="21"/>
                <w:highlight w:val="none"/>
              </w:rPr>
              <w:t>日以来，有无被交通运输</w:t>
            </w:r>
            <w:r>
              <w:rPr>
                <w:color w:val="auto"/>
                <w:sz w:val="21"/>
                <w:highlight w:val="none"/>
              </w:rPr>
              <w:t>部、浙江省交通运输厅、浙江省发展和改革委员会三部门以外的省级及以上单位</w:t>
            </w:r>
            <w:r>
              <w:rPr>
                <w:color w:val="auto"/>
                <w:spacing w:val="4"/>
                <w:sz w:val="21"/>
                <w:highlight w:val="none"/>
              </w:rPr>
              <w:t>（</w:t>
            </w:r>
            <w:r>
              <w:rPr>
                <w:color w:val="auto"/>
                <w:spacing w:val="2"/>
                <w:sz w:val="21"/>
                <w:highlight w:val="none"/>
              </w:rPr>
              <w:t>部门</w:t>
            </w:r>
            <w:r>
              <w:rPr>
                <w:color w:val="auto"/>
                <w:spacing w:val="4"/>
                <w:sz w:val="21"/>
                <w:highlight w:val="none"/>
              </w:rPr>
              <w:t>）书</w:t>
            </w:r>
            <w:r>
              <w:rPr>
                <w:color w:val="auto"/>
                <w:spacing w:val="-3"/>
                <w:sz w:val="21"/>
                <w:highlight w:val="none"/>
              </w:rPr>
              <w:t>面通报限制投标，并在处罚期内的；</w:t>
            </w:r>
          </w:p>
          <w:p>
            <w:pPr>
              <w:pStyle w:val="31"/>
              <w:spacing w:line="417" w:lineRule="auto"/>
              <w:ind w:left="107" w:right="76"/>
              <w:jc w:val="both"/>
              <w:rPr>
                <w:color w:val="auto"/>
                <w:sz w:val="21"/>
                <w:highlight w:val="none"/>
              </w:rPr>
            </w:pPr>
            <w:r>
              <w:rPr>
                <w:rFonts w:ascii="Arial" w:eastAsia="Arial"/>
                <w:color w:val="auto"/>
                <w:sz w:val="21"/>
                <w:highlight w:val="none"/>
              </w:rPr>
              <w:t>2</w:t>
            </w:r>
            <w:r>
              <w:rPr>
                <w:color w:val="auto"/>
                <w:spacing w:val="-17"/>
                <w:sz w:val="21"/>
                <w:highlight w:val="none"/>
              </w:rPr>
              <w:t xml:space="preserve">、自 </w:t>
            </w:r>
            <w:r>
              <w:rPr>
                <w:rFonts w:hint="eastAsia" w:ascii="Arial"/>
                <w:color w:val="auto"/>
                <w:sz w:val="21"/>
                <w:highlight w:val="none"/>
                <w:lang w:eastAsia="zh-CN"/>
              </w:rPr>
              <w:t>20</w:t>
            </w:r>
            <w:r>
              <w:rPr>
                <w:rFonts w:hint="eastAsia" w:ascii="Arial"/>
                <w:color w:val="auto"/>
                <w:sz w:val="21"/>
                <w:highlight w:val="none"/>
                <w:lang w:val="en-US" w:eastAsia="zh-CN"/>
              </w:rPr>
              <w:t>20</w:t>
            </w:r>
            <w:r>
              <w:rPr>
                <w:rFonts w:hint="eastAsia" w:ascii="Arial"/>
                <w:color w:val="auto"/>
                <w:sz w:val="21"/>
                <w:highlight w:val="none"/>
                <w:lang w:eastAsia="zh-CN"/>
              </w:rPr>
              <w:t>年 7 月 1 日</w:t>
            </w:r>
            <w:r>
              <w:rPr>
                <w:color w:val="auto"/>
                <w:spacing w:val="-3"/>
                <w:sz w:val="21"/>
                <w:highlight w:val="none"/>
              </w:rPr>
              <w:t>以来，投标人或拟委任</w:t>
            </w:r>
            <w:r>
              <w:rPr>
                <w:color w:val="auto"/>
                <w:sz w:val="21"/>
                <w:highlight w:val="none"/>
              </w:rPr>
              <w:t>的项目负责人在工程建设领域中，有无行贿行为（有行贿行为以中国裁判文书网上查询结果</w:t>
            </w:r>
            <w:r>
              <w:rPr>
                <w:color w:val="auto"/>
                <w:spacing w:val="-3"/>
                <w:sz w:val="21"/>
                <w:highlight w:val="none"/>
              </w:rPr>
              <w:t>为准，时间以法院判决书日期为准</w:t>
            </w:r>
            <w:r>
              <w:rPr>
                <w:color w:val="auto"/>
                <w:spacing w:val="-108"/>
                <w:sz w:val="21"/>
                <w:highlight w:val="none"/>
              </w:rPr>
              <w:t>）</w:t>
            </w:r>
            <w:r>
              <w:rPr>
                <w:color w:val="auto"/>
                <w:sz w:val="21"/>
                <w:highlight w:val="none"/>
              </w:rPr>
              <w:t>。</w:t>
            </w:r>
          </w:p>
        </w:tc>
        <w:tc>
          <w:tcPr>
            <w:tcW w:w="4978" w:type="dxa"/>
            <w:tcBorders>
              <w:top w:val="single" w:color="000000" w:sz="4" w:space="0"/>
              <w:left w:val="single" w:color="000000" w:sz="4" w:space="0"/>
            </w:tcBorders>
          </w:tcPr>
          <w:p>
            <w:pPr>
              <w:pStyle w:val="31"/>
              <w:rPr>
                <w:rFonts w:ascii="Times New Roman"/>
                <w:color w:val="auto"/>
                <w:sz w:val="20"/>
                <w:highlight w:val="none"/>
              </w:rPr>
            </w:pPr>
          </w:p>
        </w:tc>
      </w:tr>
    </w:tbl>
    <w:p>
      <w:pPr>
        <w:spacing w:after="0"/>
        <w:rPr>
          <w:rFonts w:ascii="Times New Roman"/>
          <w:color w:val="auto"/>
          <w:sz w:val="20"/>
          <w:highlight w:val="none"/>
        </w:rPr>
        <w:sectPr>
          <w:pgSz w:w="11910" w:h="16840"/>
          <w:pgMar w:top="1040"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40"/>
        <w:ind w:left="718" w:right="314" w:firstLine="0"/>
        <w:jc w:val="center"/>
        <w:rPr>
          <w:b/>
          <w:color w:val="auto"/>
          <w:sz w:val="32"/>
          <w:highlight w:val="none"/>
        </w:rPr>
      </w:pPr>
      <w:bookmarkStart w:id="263" w:name="五、其他材料"/>
      <w:bookmarkEnd w:id="263"/>
    </w:p>
    <w:p>
      <w:pPr>
        <w:spacing w:before="40"/>
        <w:ind w:left="718" w:right="314" w:firstLine="0"/>
        <w:jc w:val="center"/>
        <w:rPr>
          <w:b/>
          <w:color w:val="auto"/>
          <w:sz w:val="32"/>
          <w:highlight w:val="none"/>
        </w:rPr>
      </w:pPr>
    </w:p>
    <w:p>
      <w:pPr>
        <w:spacing w:before="40"/>
        <w:ind w:left="718" w:right="314" w:firstLine="0"/>
        <w:jc w:val="center"/>
        <w:outlineLvl w:val="1"/>
        <w:rPr>
          <w:b/>
          <w:color w:val="auto"/>
          <w:sz w:val="32"/>
          <w:highlight w:val="none"/>
        </w:rPr>
      </w:pPr>
      <w:bookmarkStart w:id="264" w:name="_Toc20674"/>
      <w:r>
        <w:rPr>
          <w:rFonts w:hint="eastAsia"/>
          <w:b/>
          <w:color w:val="auto"/>
          <w:sz w:val="32"/>
          <w:highlight w:val="none"/>
          <w:lang w:eastAsia="zh-CN"/>
        </w:rPr>
        <w:t>六</w:t>
      </w:r>
      <w:r>
        <w:rPr>
          <w:b/>
          <w:color w:val="auto"/>
          <w:sz w:val="32"/>
          <w:highlight w:val="none"/>
        </w:rPr>
        <w:t>、其他材料</w:t>
      </w:r>
      <w:bookmarkEnd w:id="264"/>
    </w:p>
    <w:p>
      <w:pPr>
        <w:spacing w:after="0"/>
        <w:jc w:val="center"/>
        <w:rPr>
          <w:color w:val="auto"/>
          <w:sz w:val="32"/>
          <w:highlight w:val="none"/>
        </w:rPr>
        <w:sectPr>
          <w:pgSz w:w="11910" w:h="16840"/>
          <w:pgMar w:top="1040" w:right="860" w:bottom="940" w:left="960" w:header="0" w:footer="672" w:gutter="0"/>
          <w:pgBorders>
            <w:top w:val="none" w:sz="0" w:space="0"/>
            <w:left w:val="none" w:sz="0" w:space="0"/>
            <w:bottom w:val="none" w:sz="0" w:space="0"/>
            <w:right w:val="none" w:sz="0" w:space="0"/>
          </w:pgBorders>
          <w:pgNumType w:fmt="decimal"/>
          <w:cols w:space="720" w:num="1"/>
        </w:sectPr>
      </w:pPr>
    </w:p>
    <w:p>
      <w:pPr>
        <w:pStyle w:val="2"/>
        <w:spacing w:before="1"/>
        <w:rPr>
          <w:b/>
          <w:color w:val="auto"/>
          <w:sz w:val="25"/>
          <w:highlight w:val="none"/>
        </w:rPr>
      </w:pPr>
    </w:p>
    <w:p>
      <w:pPr>
        <w:spacing w:before="38"/>
        <w:ind w:left="298" w:right="314" w:firstLine="0"/>
        <w:jc w:val="center"/>
        <w:rPr>
          <w:b/>
          <w:color w:val="auto"/>
          <w:sz w:val="44"/>
          <w:highlight w:val="none"/>
        </w:rPr>
      </w:pPr>
      <w:r>
        <w:rPr>
          <w:b/>
          <w:color w:val="auto"/>
          <w:sz w:val="44"/>
          <w:highlight w:val="none"/>
        </w:rPr>
        <w:t>浙 江 省</w:t>
      </w:r>
    </w:p>
    <w:p>
      <w:pPr>
        <w:spacing w:before="60"/>
        <w:ind w:right="232"/>
        <w:jc w:val="both"/>
        <w:rPr>
          <w:rFonts w:hint="eastAsia"/>
          <w:color w:val="auto"/>
          <w:sz w:val="20"/>
          <w:szCs w:val="20"/>
          <w:highlight w:val="none"/>
          <w:u w:val="none"/>
        </w:rPr>
      </w:pPr>
      <w:r>
        <w:rPr>
          <w:rFonts w:hint="eastAsia"/>
          <w:color w:val="auto"/>
          <w:highlight w:val="none"/>
          <w:u w:val="none"/>
        </w:rPr>
        <w:t xml:space="preserve"> </w:t>
      </w:r>
      <w:r>
        <w:rPr>
          <w:rFonts w:hint="eastAsia"/>
          <w:color w:val="auto"/>
          <w:sz w:val="20"/>
          <w:szCs w:val="20"/>
          <w:highlight w:val="none"/>
          <w:u w:val="none"/>
        </w:rPr>
        <w:t xml:space="preserve">  </w:t>
      </w:r>
    </w:p>
    <w:p>
      <w:pPr>
        <w:spacing w:before="60"/>
        <w:ind w:right="232"/>
        <w:jc w:val="both"/>
        <w:rPr>
          <w:rFonts w:hint="eastAsia"/>
          <w:color w:val="auto"/>
          <w:sz w:val="20"/>
          <w:szCs w:val="20"/>
          <w:highlight w:val="none"/>
          <w:u w:val="none"/>
        </w:rPr>
      </w:pPr>
    </w:p>
    <w:p>
      <w:pPr>
        <w:spacing w:before="60"/>
        <w:ind w:right="232" w:firstLine="800" w:firstLineChars="400"/>
        <w:jc w:val="both"/>
        <w:rPr>
          <w:rFonts w:hint="eastAsia" w:eastAsia="宋体"/>
          <w:b/>
          <w:color w:val="auto"/>
          <w:sz w:val="36"/>
          <w:szCs w:val="20"/>
          <w:highlight w:val="none"/>
          <w:u w:val="none"/>
          <w:lang w:eastAsia="zh-CN"/>
        </w:rPr>
      </w:pPr>
      <w:r>
        <w:rPr>
          <w:rFonts w:hint="eastAsia"/>
          <w:color w:val="auto"/>
          <w:sz w:val="20"/>
          <w:szCs w:val="20"/>
          <w:highlight w:val="none"/>
          <w:u w:val="single"/>
          <w:lang w:val="en-US" w:eastAsia="zh-CN"/>
        </w:rPr>
        <w:t xml:space="preserve"> </w:t>
      </w:r>
      <w:r>
        <w:rPr>
          <w:rFonts w:hint="eastAsia"/>
          <w:color w:val="auto"/>
          <w:sz w:val="20"/>
          <w:szCs w:val="20"/>
          <w:highlight w:val="none"/>
          <w:u w:val="single"/>
        </w:rPr>
        <w:t xml:space="preserve">    </w:t>
      </w:r>
      <w:r>
        <w:rPr>
          <w:rFonts w:hint="eastAsia" w:ascii="黑体" w:eastAsia="黑体"/>
          <w:color w:val="auto"/>
          <w:sz w:val="44"/>
          <w:szCs w:val="20"/>
          <w:highlight w:val="none"/>
          <w:u w:val="single"/>
        </w:rPr>
        <w:t xml:space="preserve">   </w:t>
      </w:r>
      <w:r>
        <w:rPr>
          <w:rFonts w:hint="eastAsia" w:ascii="黑体" w:eastAsia="黑体"/>
          <w:color w:val="auto"/>
          <w:sz w:val="44"/>
          <w:szCs w:val="20"/>
          <w:highlight w:val="none"/>
        </w:rPr>
        <w:t>（项目名称）</w:t>
      </w:r>
      <w:r>
        <w:rPr>
          <w:rFonts w:hint="eastAsia" w:ascii="黑体" w:eastAsia="黑体"/>
          <w:color w:val="auto"/>
          <w:sz w:val="44"/>
          <w:szCs w:val="20"/>
          <w:highlight w:val="none"/>
          <w:u w:val="single"/>
        </w:rPr>
        <w:t xml:space="preserve">    </w:t>
      </w:r>
      <w:r>
        <w:rPr>
          <w:rFonts w:hint="eastAsia" w:ascii="黑体" w:eastAsia="黑体"/>
          <w:color w:val="auto"/>
          <w:sz w:val="44"/>
          <w:szCs w:val="20"/>
          <w:highlight w:val="none"/>
        </w:rPr>
        <w:t>（标段名称）</w:t>
      </w:r>
      <w:r>
        <w:rPr>
          <w:rFonts w:hint="eastAsia" w:ascii="黑体" w:eastAsia="黑体"/>
          <w:color w:val="auto"/>
          <w:sz w:val="44"/>
          <w:szCs w:val="20"/>
          <w:highlight w:val="none"/>
          <w:lang w:eastAsia="zh-CN"/>
        </w:rPr>
        <w:t>设计</w:t>
      </w:r>
    </w:p>
    <w:p>
      <w:pPr>
        <w:pStyle w:val="2"/>
        <w:rPr>
          <w:b/>
          <w:color w:val="auto"/>
          <w:sz w:val="44"/>
          <w:highlight w:val="none"/>
        </w:rPr>
      </w:pPr>
    </w:p>
    <w:p>
      <w:pPr>
        <w:pStyle w:val="2"/>
        <w:rPr>
          <w:b/>
          <w:color w:val="auto"/>
          <w:sz w:val="44"/>
          <w:highlight w:val="none"/>
        </w:rPr>
      </w:pPr>
    </w:p>
    <w:p>
      <w:pPr>
        <w:pStyle w:val="2"/>
        <w:rPr>
          <w:b/>
          <w:color w:val="auto"/>
          <w:sz w:val="44"/>
          <w:highlight w:val="none"/>
        </w:rPr>
      </w:pPr>
    </w:p>
    <w:p>
      <w:pPr>
        <w:pStyle w:val="2"/>
        <w:rPr>
          <w:b/>
          <w:color w:val="auto"/>
          <w:sz w:val="44"/>
          <w:highlight w:val="none"/>
        </w:rPr>
      </w:pPr>
    </w:p>
    <w:p>
      <w:pPr>
        <w:pStyle w:val="2"/>
        <w:rPr>
          <w:b/>
          <w:color w:val="auto"/>
          <w:sz w:val="46"/>
          <w:highlight w:val="none"/>
        </w:rPr>
      </w:pPr>
    </w:p>
    <w:p>
      <w:pPr>
        <w:spacing w:before="1"/>
        <w:ind w:left="293" w:right="314" w:firstLine="0"/>
        <w:jc w:val="center"/>
        <w:rPr>
          <w:b/>
          <w:color w:val="auto"/>
          <w:sz w:val="72"/>
          <w:highlight w:val="none"/>
        </w:rPr>
      </w:pPr>
      <w:r>
        <w:rPr>
          <w:b/>
          <w:color w:val="auto"/>
          <w:sz w:val="72"/>
          <w:highlight w:val="none"/>
        </w:rPr>
        <w:t>投 标 文 件</w:t>
      </w:r>
    </w:p>
    <w:p>
      <w:pPr>
        <w:tabs>
          <w:tab w:val="left" w:pos="2081"/>
        </w:tabs>
        <w:spacing w:before="609"/>
        <w:ind w:left="0" w:right="11" w:firstLine="0"/>
        <w:jc w:val="center"/>
        <w:rPr>
          <w:rFonts w:hint="eastAsia" w:ascii="黑体" w:eastAsia="黑体"/>
          <w:color w:val="auto"/>
          <w:sz w:val="52"/>
          <w:highlight w:val="none"/>
        </w:rPr>
      </w:pPr>
      <w:bookmarkStart w:id="265" w:name="第二卷  技术文件"/>
      <w:bookmarkEnd w:id="265"/>
      <w:r>
        <w:rPr>
          <w:rFonts w:hint="eastAsia" w:ascii="黑体" w:eastAsia="黑体"/>
          <w:color w:val="auto"/>
          <w:sz w:val="52"/>
          <w:highlight w:val="none"/>
        </w:rPr>
        <w:t>第二卷</w:t>
      </w:r>
      <w:r>
        <w:rPr>
          <w:rFonts w:hint="eastAsia" w:ascii="黑体" w:eastAsia="黑体"/>
          <w:color w:val="auto"/>
          <w:sz w:val="52"/>
          <w:highlight w:val="none"/>
        </w:rPr>
        <w:tab/>
      </w:r>
      <w:r>
        <w:rPr>
          <w:rFonts w:hint="eastAsia" w:ascii="黑体" w:eastAsia="黑体"/>
          <w:color w:val="auto"/>
          <w:sz w:val="52"/>
          <w:highlight w:val="none"/>
        </w:rPr>
        <w:t>技术文件</w:t>
      </w:r>
    </w:p>
    <w:p>
      <w:pPr>
        <w:pStyle w:val="2"/>
        <w:rPr>
          <w:rFonts w:ascii="黑体"/>
          <w:color w:val="auto"/>
          <w:sz w:val="52"/>
          <w:highlight w:val="none"/>
        </w:rPr>
      </w:pPr>
    </w:p>
    <w:p>
      <w:pPr>
        <w:pStyle w:val="2"/>
        <w:rPr>
          <w:rFonts w:ascii="黑体"/>
          <w:color w:val="auto"/>
          <w:sz w:val="52"/>
          <w:highlight w:val="none"/>
        </w:rPr>
      </w:pPr>
    </w:p>
    <w:p>
      <w:pPr>
        <w:pStyle w:val="2"/>
        <w:rPr>
          <w:rFonts w:ascii="黑体"/>
          <w:color w:val="auto"/>
          <w:sz w:val="52"/>
          <w:highlight w:val="none"/>
        </w:rPr>
      </w:pPr>
    </w:p>
    <w:p>
      <w:pPr>
        <w:pStyle w:val="2"/>
        <w:rPr>
          <w:rFonts w:ascii="黑体"/>
          <w:color w:val="auto"/>
          <w:sz w:val="52"/>
          <w:highlight w:val="none"/>
        </w:rPr>
      </w:pPr>
    </w:p>
    <w:p>
      <w:pPr>
        <w:pStyle w:val="2"/>
        <w:rPr>
          <w:rFonts w:ascii="黑体"/>
          <w:color w:val="auto"/>
          <w:sz w:val="52"/>
          <w:highlight w:val="none"/>
        </w:rPr>
      </w:pPr>
    </w:p>
    <w:p>
      <w:pPr>
        <w:pStyle w:val="2"/>
        <w:rPr>
          <w:rFonts w:ascii="黑体"/>
          <w:color w:val="auto"/>
          <w:sz w:val="52"/>
          <w:highlight w:val="none"/>
        </w:rPr>
      </w:pPr>
    </w:p>
    <w:p>
      <w:pPr>
        <w:tabs>
          <w:tab w:val="left" w:pos="3434"/>
        </w:tabs>
        <w:spacing w:before="433"/>
        <w:ind w:left="0" w:right="15" w:firstLine="0"/>
        <w:jc w:val="center"/>
        <w:rPr>
          <w:b/>
          <w:color w:val="auto"/>
          <w:sz w:val="36"/>
          <w:highlight w:val="none"/>
        </w:rPr>
      </w:pPr>
      <w:r>
        <w:rPr>
          <w:b/>
          <w:color w:val="auto"/>
          <w:sz w:val="36"/>
          <w:highlight w:val="none"/>
        </w:rPr>
        <w:t>投标人：</w:t>
      </w:r>
      <w:r>
        <w:rPr>
          <w:b/>
          <w:color w:val="auto"/>
          <w:sz w:val="36"/>
          <w:highlight w:val="none"/>
          <w:u w:val="thick"/>
        </w:rPr>
        <w:t xml:space="preserve"> </w:t>
      </w:r>
      <w:r>
        <w:rPr>
          <w:b/>
          <w:color w:val="auto"/>
          <w:sz w:val="36"/>
          <w:highlight w:val="none"/>
          <w:u w:val="thick"/>
        </w:rPr>
        <w:tab/>
      </w:r>
      <w:r>
        <w:rPr>
          <w:b/>
          <w:color w:val="auto"/>
          <w:sz w:val="36"/>
          <w:highlight w:val="none"/>
        </w:rPr>
        <w:t>（全称并盖电子公章）</w:t>
      </w:r>
    </w:p>
    <w:p>
      <w:pPr>
        <w:tabs>
          <w:tab w:val="left" w:pos="904"/>
          <w:tab w:val="left" w:pos="1989"/>
          <w:tab w:val="left" w:pos="3074"/>
        </w:tabs>
        <w:spacing w:before="163"/>
        <w:ind w:left="0" w:right="314" w:firstLine="0"/>
        <w:jc w:val="center"/>
        <w:rPr>
          <w:b/>
          <w:color w:val="auto"/>
          <w:sz w:val="36"/>
          <w:highlight w:val="none"/>
        </w:rPr>
      </w:pPr>
      <w:r>
        <w:rPr>
          <w:rFonts w:ascii="Times New Roman" w:eastAsia="Times New Roman"/>
          <w:b/>
          <w:color w:val="auto"/>
          <w:sz w:val="36"/>
          <w:highlight w:val="none"/>
          <w:u w:val="thick"/>
        </w:rPr>
        <w:t xml:space="preserve"> </w:t>
      </w:r>
      <w:r>
        <w:rPr>
          <w:rFonts w:ascii="Times New Roman" w:eastAsia="Times New Roman"/>
          <w:b/>
          <w:color w:val="auto"/>
          <w:sz w:val="36"/>
          <w:highlight w:val="none"/>
          <w:u w:val="thick"/>
        </w:rPr>
        <w:tab/>
      </w:r>
      <w:r>
        <w:rPr>
          <w:b/>
          <w:color w:val="auto"/>
          <w:sz w:val="36"/>
          <w:highlight w:val="none"/>
        </w:rPr>
        <w:t>年</w:t>
      </w:r>
      <w:r>
        <w:rPr>
          <w:b/>
          <w:color w:val="auto"/>
          <w:sz w:val="36"/>
          <w:highlight w:val="none"/>
          <w:u w:val="thick"/>
        </w:rPr>
        <w:t xml:space="preserve"> </w:t>
      </w:r>
      <w:r>
        <w:rPr>
          <w:b/>
          <w:color w:val="auto"/>
          <w:sz w:val="36"/>
          <w:highlight w:val="none"/>
          <w:u w:val="thick"/>
        </w:rPr>
        <w:tab/>
      </w:r>
      <w:r>
        <w:rPr>
          <w:b/>
          <w:color w:val="auto"/>
          <w:sz w:val="36"/>
          <w:highlight w:val="none"/>
        </w:rPr>
        <w:t>月</w:t>
      </w:r>
      <w:r>
        <w:rPr>
          <w:b/>
          <w:color w:val="auto"/>
          <w:sz w:val="36"/>
          <w:highlight w:val="none"/>
          <w:u w:val="thick"/>
        </w:rPr>
        <w:t xml:space="preserve"> </w:t>
      </w:r>
      <w:r>
        <w:rPr>
          <w:b/>
          <w:color w:val="auto"/>
          <w:sz w:val="36"/>
          <w:highlight w:val="none"/>
          <w:u w:val="thick"/>
        </w:rPr>
        <w:tab/>
      </w:r>
      <w:r>
        <w:rPr>
          <w:b/>
          <w:color w:val="auto"/>
          <w:sz w:val="36"/>
          <w:highlight w:val="none"/>
        </w:rPr>
        <w:t>日</w:t>
      </w:r>
    </w:p>
    <w:p>
      <w:pPr>
        <w:spacing w:after="0"/>
        <w:jc w:val="center"/>
        <w:rPr>
          <w:color w:val="auto"/>
          <w:sz w:val="36"/>
          <w:highlight w:val="none"/>
        </w:rPr>
        <w:sectPr>
          <w:pgSz w:w="11910" w:h="16840"/>
          <w:pgMar w:top="1580" w:right="860" w:bottom="940" w:left="960" w:header="0" w:footer="672" w:gutter="0"/>
          <w:pgBorders>
            <w:top w:val="none" w:sz="0" w:space="0"/>
            <w:left w:val="none" w:sz="0" w:space="0"/>
            <w:bottom w:val="none" w:sz="0" w:space="0"/>
            <w:right w:val="none" w:sz="0" w:space="0"/>
          </w:pgBorders>
          <w:pgNumType w:fmt="decimal"/>
          <w:cols w:space="720" w:num="1"/>
        </w:sectPr>
      </w:pPr>
    </w:p>
    <w:p>
      <w:pPr>
        <w:spacing w:before="40"/>
        <w:ind w:left="718" w:right="314" w:firstLine="0"/>
        <w:jc w:val="center"/>
        <w:outlineLvl w:val="1"/>
        <w:rPr>
          <w:b/>
          <w:color w:val="auto"/>
          <w:sz w:val="32"/>
          <w:highlight w:val="none"/>
        </w:rPr>
      </w:pPr>
      <w:bookmarkStart w:id="266" w:name="六、技术建议书"/>
      <w:bookmarkEnd w:id="266"/>
      <w:bookmarkStart w:id="267" w:name="_Toc10476"/>
      <w:r>
        <w:rPr>
          <w:rFonts w:hint="eastAsia"/>
          <w:b/>
          <w:color w:val="auto"/>
          <w:sz w:val="32"/>
          <w:highlight w:val="none"/>
          <w:lang w:eastAsia="zh-CN"/>
        </w:rPr>
        <w:t>七</w:t>
      </w:r>
      <w:r>
        <w:rPr>
          <w:b/>
          <w:color w:val="auto"/>
          <w:sz w:val="32"/>
          <w:highlight w:val="none"/>
        </w:rPr>
        <w:t>、技术建议书</w:t>
      </w:r>
      <w:bookmarkEnd w:id="267"/>
    </w:p>
    <w:p>
      <w:pPr>
        <w:pStyle w:val="2"/>
        <w:spacing w:before="6"/>
        <w:rPr>
          <w:b/>
          <w:color w:val="auto"/>
          <w:sz w:val="9"/>
          <w:highlight w:val="none"/>
        </w:rPr>
      </w:pPr>
    </w:p>
    <w:p>
      <w:pPr>
        <w:spacing w:before="67"/>
        <w:ind w:left="715" w:right="314" w:firstLine="0"/>
        <w:jc w:val="center"/>
        <w:rPr>
          <w:color w:val="auto"/>
          <w:sz w:val="24"/>
          <w:highlight w:val="none"/>
        </w:rPr>
      </w:pPr>
      <w:r>
        <w:rPr>
          <w:color w:val="auto"/>
          <w:sz w:val="24"/>
          <w:highlight w:val="none"/>
        </w:rPr>
        <w:t>（字数不限）</w:t>
      </w:r>
    </w:p>
    <w:p>
      <w:pPr>
        <w:spacing w:before="160"/>
        <w:ind w:left="818" w:right="0" w:firstLine="0"/>
        <w:jc w:val="left"/>
        <w:rPr>
          <w:color w:val="auto"/>
          <w:sz w:val="24"/>
          <w:highlight w:val="none"/>
        </w:rPr>
      </w:pPr>
      <w:r>
        <w:rPr>
          <w:color w:val="auto"/>
          <w:sz w:val="24"/>
          <w:highlight w:val="none"/>
        </w:rPr>
        <w:t>主要内容包括：</w:t>
      </w:r>
    </w:p>
    <w:p>
      <w:pPr>
        <w:spacing w:before="161"/>
        <w:ind w:left="818" w:right="0" w:firstLine="0"/>
        <w:jc w:val="left"/>
        <w:rPr>
          <w:color w:val="auto"/>
          <w:sz w:val="24"/>
          <w:highlight w:val="none"/>
        </w:rPr>
      </w:pPr>
      <w:r>
        <w:rPr>
          <w:rFonts w:ascii="Arial" w:eastAsia="Arial"/>
          <w:color w:val="auto"/>
          <w:sz w:val="24"/>
          <w:highlight w:val="none"/>
        </w:rPr>
        <w:t>1</w:t>
      </w:r>
      <w:r>
        <w:rPr>
          <w:color w:val="auto"/>
          <w:sz w:val="24"/>
          <w:highlight w:val="none"/>
        </w:rPr>
        <w:t>、对招标项目的理解和总体设计思路；</w:t>
      </w:r>
    </w:p>
    <w:p>
      <w:pPr>
        <w:spacing w:before="160"/>
        <w:ind w:left="818" w:right="0" w:firstLine="0"/>
        <w:jc w:val="left"/>
        <w:rPr>
          <w:color w:val="auto"/>
          <w:sz w:val="24"/>
          <w:highlight w:val="none"/>
        </w:rPr>
      </w:pPr>
      <w:r>
        <w:rPr>
          <w:rFonts w:ascii="Arial" w:eastAsia="Arial"/>
          <w:color w:val="auto"/>
          <w:sz w:val="24"/>
          <w:highlight w:val="none"/>
        </w:rPr>
        <w:t>2</w:t>
      </w:r>
      <w:r>
        <w:rPr>
          <w:color w:val="auto"/>
          <w:sz w:val="24"/>
          <w:highlight w:val="none"/>
        </w:rPr>
        <w:t>、对招标项目设计的特点、关键技术问题的认识及其对策措施；</w:t>
      </w:r>
    </w:p>
    <w:p>
      <w:pPr>
        <w:spacing w:before="161"/>
        <w:ind w:left="818" w:right="0" w:firstLine="0"/>
        <w:jc w:val="left"/>
        <w:rPr>
          <w:color w:val="auto"/>
          <w:sz w:val="24"/>
          <w:highlight w:val="none"/>
        </w:rPr>
      </w:pPr>
      <w:r>
        <w:rPr>
          <w:rFonts w:ascii="Arial" w:eastAsia="Arial"/>
          <w:color w:val="auto"/>
          <w:sz w:val="24"/>
          <w:highlight w:val="none"/>
        </w:rPr>
        <w:t>3</w:t>
      </w:r>
      <w:r>
        <w:rPr>
          <w:color w:val="auto"/>
          <w:sz w:val="24"/>
          <w:highlight w:val="none"/>
        </w:rPr>
        <w:t>、设计工作量及计划安排；</w:t>
      </w:r>
    </w:p>
    <w:p>
      <w:pPr>
        <w:spacing w:before="160"/>
        <w:ind w:left="818" w:right="0" w:firstLine="0"/>
        <w:jc w:val="left"/>
        <w:rPr>
          <w:color w:val="auto"/>
          <w:sz w:val="24"/>
          <w:highlight w:val="none"/>
        </w:rPr>
      </w:pPr>
      <w:r>
        <w:rPr>
          <w:rFonts w:ascii="Arial" w:eastAsia="Arial"/>
          <w:color w:val="auto"/>
          <w:sz w:val="24"/>
          <w:highlight w:val="none"/>
        </w:rPr>
        <w:t>4</w:t>
      </w:r>
      <w:r>
        <w:rPr>
          <w:color w:val="auto"/>
          <w:sz w:val="24"/>
          <w:highlight w:val="none"/>
        </w:rPr>
        <w:t>、设计的质量保证措施、进度保证措施；</w:t>
      </w:r>
    </w:p>
    <w:p>
      <w:pPr>
        <w:spacing w:before="161"/>
        <w:ind w:left="818" w:right="0" w:firstLine="0"/>
        <w:jc w:val="left"/>
        <w:rPr>
          <w:color w:val="auto"/>
          <w:sz w:val="24"/>
          <w:highlight w:val="none"/>
        </w:rPr>
      </w:pPr>
      <w:r>
        <w:rPr>
          <w:rFonts w:ascii="Arial" w:eastAsia="Arial"/>
          <w:color w:val="auto"/>
          <w:sz w:val="24"/>
          <w:highlight w:val="none"/>
        </w:rPr>
        <w:t>5</w:t>
      </w:r>
      <w:r>
        <w:rPr>
          <w:color w:val="auto"/>
          <w:sz w:val="24"/>
          <w:highlight w:val="none"/>
        </w:rPr>
        <w:t>、后续服务的安排及保证措施；</w:t>
      </w:r>
    </w:p>
    <w:p>
      <w:pPr>
        <w:spacing w:before="160"/>
        <w:ind w:left="818" w:right="0" w:firstLine="0"/>
        <w:jc w:val="left"/>
        <w:rPr>
          <w:color w:val="auto"/>
          <w:sz w:val="24"/>
          <w:highlight w:val="none"/>
        </w:rPr>
      </w:pPr>
      <w:r>
        <w:rPr>
          <w:rFonts w:ascii="Arial" w:eastAsia="Arial"/>
          <w:color w:val="auto"/>
          <w:sz w:val="24"/>
          <w:highlight w:val="none"/>
        </w:rPr>
        <w:t>6</w:t>
      </w:r>
      <w:r>
        <w:rPr>
          <w:color w:val="auto"/>
          <w:sz w:val="24"/>
          <w:highlight w:val="none"/>
        </w:rPr>
        <w:t>、其他建议；</w:t>
      </w: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spacing w:before="9"/>
        <w:rPr>
          <w:color w:val="auto"/>
          <w:sz w:val="13"/>
          <w:highlight w:val="none"/>
        </w:rPr>
      </w:pPr>
      <w:r>
        <w:rPr>
          <w:color w:val="auto"/>
          <w:highlight w:val="none"/>
        </w:rPr>
        <mc:AlternateContent>
          <mc:Choice Requires="wps">
            <w:drawing>
              <wp:anchor distT="0" distB="0" distL="0" distR="0" simplePos="0" relativeHeight="251664384" behindDoc="1" locked="0" layoutInCell="1" allowOverlap="1">
                <wp:simplePos x="0" y="0"/>
                <wp:positionH relativeFrom="page">
                  <wp:posOffset>862330</wp:posOffset>
                </wp:positionH>
                <wp:positionV relativeFrom="paragraph">
                  <wp:posOffset>145415</wp:posOffset>
                </wp:positionV>
                <wp:extent cx="3886200" cy="0"/>
                <wp:effectExtent l="0" t="0" r="0" b="0"/>
                <wp:wrapTopAndBottom/>
                <wp:docPr id="25" name="直线 29"/>
                <wp:cNvGraphicFramePr/>
                <a:graphic xmlns:a="http://schemas.openxmlformats.org/drawingml/2006/main">
                  <a:graphicData uri="http://schemas.microsoft.com/office/word/2010/wordprocessingShape">
                    <wps:wsp>
                      <wps:cNvCnPr/>
                      <wps:spPr>
                        <a:xfrm>
                          <a:off x="0" y="0"/>
                          <a:ext cx="3886200" cy="0"/>
                        </a:xfrm>
                        <a:prstGeom prst="line">
                          <a:avLst/>
                        </a:prstGeom>
                        <a:ln w="18288"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67.9pt;margin-top:11.45pt;height:0pt;width:306pt;mso-position-horizontal-relative:page;mso-wrap-distance-bottom:0pt;mso-wrap-distance-top:0pt;z-index:-251652096;mso-width-relative:page;mso-height-relative:page;" filled="f" stroked="t" coordsize="21600,21600" o:gfxdata="UEsDBAoAAAAAAIdO4kAAAAAAAAAAAAAAAAAEAAAAZHJzL1BLAwQUAAAACACHTuJAU8rumdUAAAAJ&#10;AQAADwAAAGRycy9kb3ducmV2LnhtbE2PzU7DMBCE70i8g7VI3KjdQFsIcSqBxAO0VHB14yU/xGsT&#10;O03L07OIQznO7Gj2m2J9dL044BBbTxrmMwUCqfK2pVrD7vXl5h5ETIas6T2hhhNGWJeXF4XJrZ9o&#10;g4dtqgWXUMyNhialkEsZqwadiTMfkPj24QdnEsuhlnYwE5e7XmZKLaUzLfGHxgR8brD63I5Ow9fb&#10;GJPq4il009NusXz/DhvfaX19NVePIBIe0zkMv/iMDiUz7f1INoqe9e2C0ZOGLHsAwYHV3YqN/Z8h&#10;y0L+X1D+AFBLAwQUAAAACACHTuJAkkN/9eoBAADeAwAADgAAAGRycy9lMm9Eb2MueG1srVPNjtMw&#10;EL4j8Q6W7zRtEKsSNd3DluWCoBLsA0xtJ7HkP3ncpn0WXoMTFx5nX4Ox0+3CcumBHJyxZ/zNfN+M&#10;V7dHa9hBRdTetXwxm3OmnPBSu77lD9/u3yw5wwROgvFOtfykkN+uX79ajaFRtR+8kSoyAnHYjKHl&#10;Q0qhqSoUg7KAMx+UI2fno4VE29hXMsJI6NZU9Xx+U40+yhC9UIh0upmc/IwYrwH0XaeF2nixt8ql&#10;CTUqA4ko4aAD8nWptuuUSF+6DlVipuXENJWVkpC9y2u1XkHTRwiDFucS4JoSXnCyoB0lvUBtIAHb&#10;R/0PlNUievRdmglvq4lIUYRYLOYvtPk6QFCFC0mN4SI6/j9Y8fmwjUzLltfvOHNgqeOP3388/vzF&#10;6vdZnTFgQ0F3bhvPOwzbmKkeu2jzn0iwY1H0dFFUHRMTdPh2ubyhpnMmnnzV88UQMX1U3rJstNxo&#10;l8lCA4dPmCgZhT6F5GPj2EgDu6yXNKECaPQ6ajmZNlD56PpyGb3R8l4bk69g7Hd3JrID5PaXL3Mi&#10;4L/CcpYN4DDFFdc0GIMC+cFJlk6BdHH0HniuwSrJmVH0fLJFgNAk0OaaSEptHFWQZZ2EzNbOyxO1&#10;YR+i7geSYlGqzB5qe6n3PKJ5rv7cF6TnZ7n+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PK7pnV&#10;AAAACQEAAA8AAAAAAAAAAQAgAAAAIgAAAGRycy9kb3ducmV2LnhtbFBLAQIUABQAAAAIAIdO4kCS&#10;Q3/16gEAAN4DAAAOAAAAAAAAAAEAIAAAACQBAABkcnMvZTJvRG9jLnhtbFBLBQYAAAAABgAGAFkB&#10;AACABQAAAAA=&#10;">
                <v:fill on="f" focussize="0,0"/>
                <v:stroke weight="1.44pt" color="#000000" joinstyle="round"/>
                <v:imagedata o:title=""/>
                <o:lock v:ext="edit" aspectratio="f"/>
                <w10:wrap type="topAndBottom"/>
              </v:line>
            </w:pict>
          </mc:Fallback>
        </mc:AlternateContent>
      </w:r>
    </w:p>
    <w:p>
      <w:pPr>
        <w:pStyle w:val="2"/>
        <w:spacing w:before="98" w:line="278" w:lineRule="auto"/>
        <w:ind w:left="398" w:right="305" w:firstLine="420"/>
        <w:rPr>
          <w:color w:val="auto"/>
          <w:highlight w:val="none"/>
        </w:rPr>
      </w:pPr>
      <w:r>
        <w:rPr>
          <w:color w:val="auto"/>
          <w:highlight w:val="none"/>
        </w:rPr>
        <w:t>注：</w:t>
      </w:r>
      <w:r>
        <w:rPr>
          <w:rFonts w:hint="eastAsia"/>
          <w:color w:val="auto"/>
          <w:highlight w:val="none"/>
        </w:rPr>
        <w:t>技术建议书含文字说明、工程估算在内，总页码不超过150。</w:t>
      </w:r>
    </w:p>
    <w:p>
      <w:pPr>
        <w:spacing w:after="0" w:line="278" w:lineRule="auto"/>
        <w:rPr>
          <w:color w:val="auto"/>
          <w:highlight w:val="none"/>
        </w:rPr>
        <w:sectPr>
          <w:pgSz w:w="11910" w:h="16840"/>
          <w:pgMar w:top="1040" w:right="860" w:bottom="940" w:left="960" w:header="0" w:footer="672" w:gutter="0"/>
          <w:pgBorders>
            <w:top w:val="none" w:sz="0" w:space="0"/>
            <w:left w:val="none" w:sz="0" w:space="0"/>
            <w:bottom w:val="none" w:sz="0" w:space="0"/>
            <w:right w:val="none" w:sz="0" w:space="0"/>
          </w:pgBorders>
          <w:pgNumType w:fmt="decimal"/>
          <w:cols w:space="720" w:num="1"/>
        </w:sectPr>
      </w:pPr>
    </w:p>
    <w:p>
      <w:pPr>
        <w:pStyle w:val="2"/>
        <w:rPr>
          <w:color w:val="auto"/>
          <w:sz w:val="20"/>
          <w:highlight w:val="none"/>
        </w:rPr>
      </w:pPr>
      <w:r>
        <w:rPr>
          <w:color w:val="auto"/>
          <w:highlight w:val="none"/>
        </w:rPr>
        <mc:AlternateContent>
          <mc:Choice Requires="wps">
            <w:drawing>
              <wp:anchor distT="0" distB="0" distL="114300" distR="114300" simplePos="0" relativeHeight="251665408" behindDoc="0" locked="0" layoutInCell="1" allowOverlap="1">
                <wp:simplePos x="0" y="0"/>
                <wp:positionH relativeFrom="page">
                  <wp:posOffset>465455</wp:posOffset>
                </wp:positionH>
                <wp:positionV relativeFrom="page">
                  <wp:posOffset>3563620</wp:posOffset>
                </wp:positionV>
                <wp:extent cx="152400" cy="484505"/>
                <wp:effectExtent l="0" t="0" r="0" b="0"/>
                <wp:wrapNone/>
                <wp:docPr id="26" name="文本框 30"/>
                <wp:cNvGraphicFramePr/>
                <a:graphic xmlns:a="http://schemas.openxmlformats.org/drawingml/2006/main">
                  <a:graphicData uri="http://schemas.microsoft.com/office/word/2010/wordprocessingShape">
                    <wps:wsp>
                      <wps:cNvSpPr txBox="1"/>
                      <wps:spPr>
                        <a:xfrm>
                          <a:off x="0" y="0"/>
                          <a:ext cx="152400" cy="484505"/>
                        </a:xfrm>
                        <a:prstGeom prst="rect">
                          <a:avLst/>
                        </a:prstGeom>
                        <a:noFill/>
                        <a:ln>
                          <a:noFill/>
                        </a:ln>
                      </wps:spPr>
                      <wps:txbx>
                        <w:txbxContent>
                          <w:p>
                            <w:pPr>
                              <w:spacing w:before="0"/>
                              <w:ind w:left="20" w:right="0" w:firstLine="0"/>
                              <w:jc w:val="left"/>
                              <w:rPr>
                                <w:sz w:val="18"/>
                              </w:rPr>
                            </w:pPr>
                            <w:r>
                              <w:rPr>
                                <w:sz w:val="18"/>
                              </w:rPr>
                              <w:t xml:space="preserve">第 </w:t>
                            </w:r>
                            <w:r>
                              <w:rPr>
                                <w:rFonts w:ascii="Times New Roman" w:eastAsia="Times New Roman"/>
                                <w:sz w:val="18"/>
                              </w:rPr>
                              <w:t xml:space="preserve">93 </w:t>
                            </w:r>
                            <w:r>
                              <w:rPr>
                                <w:sz w:val="18"/>
                              </w:rPr>
                              <w:t>页</w:t>
                            </w:r>
                          </w:p>
                        </w:txbxContent>
                      </wps:txbx>
                      <wps:bodyPr vert="vert" lIns="0" tIns="0" rIns="0" bIns="0" upright="1"/>
                    </wps:wsp>
                  </a:graphicData>
                </a:graphic>
              </wp:anchor>
            </w:drawing>
          </mc:Choice>
          <mc:Fallback>
            <w:pict>
              <v:shape id="文本框 30" o:spid="_x0000_s1026" o:spt="202" type="#_x0000_t202" style="position:absolute;left:0pt;margin-left:36.65pt;margin-top:280.6pt;height:38.15pt;width:12pt;mso-position-horizontal-relative:page;mso-position-vertical-relative:page;z-index:251665408;mso-width-relative:page;mso-height-relative:page;" filled="f" stroked="f" coordsize="21600,21600" o:gfxdata="UEsDBAoAAAAAAIdO4kAAAAAAAAAAAAAAAAAEAAAAZHJzL1BLAwQUAAAACACHTuJAZBfd0toAAAAJ&#10;AQAADwAAAGRycy9kb3ducmV2LnhtbE2PwU6DQBCG7ya+w2ZMvNmFIqDI0KRWL0YTrXrwtmW3QGRn&#10;kd0WfHvHkx5n5ss/31+uZtuLoxl95wghXkQgDNVOd9QgvL3eX1yB8EGRVr0jg/BtPKyq05NSFdpN&#10;9GKO29AIDiFfKIQ2hKGQ0tetscov3GCIb3s3WhV4HBupRzVxuO3lMooyaVVH/KFVg7ltTf25PViE&#10;u/Xzw+bpa5730zruLtUmfU8ePxDPz+LoBkQwc/iD4Vef1aFip507kPaiR8iThEmENIuXIBi4znmx&#10;Q8iSPAVZlfJ/g+oHUEsDBBQAAAAIAIdO4kBz7TRjvwEAAH8DAAAOAAAAZHJzL2Uyb0RvYy54bWyt&#10;U0uOEzEQ3SNxB8t74p6QjEatdEZC0SAkBEgDB3Dc7rQl/1TlpDsXgBuwYsOec+UclJ0fDJtZsLHL&#10;VeVX9V7Zi/vRWbbTgCb4ht9MKs60V6E1ftPwL58fXt1xhkn6VtrgdcP3Gvn98uWLxRBrPQ19sK0G&#10;RiAe6yE2vE8p1kKg6rWTOAlRewp2AZxMdISNaEEOhO6smFbVrRgCtBGC0ojkXR2D/IQIzwEMXWeU&#10;XgW1ddqnIypoKxNRwt5E5MvSbddplT52HerEbMOJaSorFSF7nVexXMh6AzL2Rp1akM9p4QknJ42n&#10;oheolUySbcH8A+WMgoChSxMVnDgSKYoQi5vqiTaPvYy6cCGpMV5Ex/8Hqz7sPgEzbcOnt5x56Wji&#10;h+/fDj9+HX5+Za+LQEPEmvIeI2Wm8U0Y6dlk4bIfyZl5jx24vBMjRnGSd3+RV4+JqXxpPp1VFFEU&#10;mt3N5tU8o4jr5QiY3urgWDYaDjS9Iqrcvcd0TD2n5Fo+PBhrywSt/8tBmNkjrh1mK43r8dT2OrR7&#10;YkPfgOrklTP7zpOu+Y2cDTgb67OxjWA2PV0p/As8zaVwOL2hPPg/z6WJ679Z/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kF93S2gAAAAkBAAAPAAAAAAAAAAEAIAAAACIAAABkcnMvZG93bnJldi54&#10;bWxQSwECFAAUAAAACACHTuJAc+00Y78BAAB/AwAADgAAAAAAAAABACAAAAApAQAAZHJzL2Uyb0Rv&#10;Yy54bWxQSwUGAAAAAAYABgBZAQAAWgUAAAAA&#10;">
                <v:fill on="f" focussize="0,0"/>
                <v:stroke on="f"/>
                <v:imagedata o:title=""/>
                <o:lock v:ext="edit" aspectratio="f"/>
                <v:textbox inset="0mm,0mm,0mm,0mm" style="layout-flow:vertical;">
                  <w:txbxContent>
                    <w:p>
                      <w:pPr>
                        <w:spacing w:before="0"/>
                        <w:ind w:left="20" w:right="0" w:firstLine="0"/>
                        <w:jc w:val="left"/>
                        <w:rPr>
                          <w:sz w:val="18"/>
                        </w:rPr>
                      </w:pPr>
                      <w:r>
                        <w:rPr>
                          <w:sz w:val="18"/>
                        </w:rPr>
                        <w:t xml:space="preserve">第 </w:t>
                      </w:r>
                      <w:r>
                        <w:rPr>
                          <w:rFonts w:ascii="Times New Roman" w:eastAsia="Times New Roman"/>
                          <w:sz w:val="18"/>
                        </w:rPr>
                        <w:t xml:space="preserve">93 </w:t>
                      </w:r>
                      <w:r>
                        <w:rPr>
                          <w:sz w:val="18"/>
                        </w:rPr>
                        <w:t>页</w:t>
                      </w:r>
                    </w:p>
                  </w:txbxContent>
                </v:textbox>
              </v:shape>
            </w:pict>
          </mc:Fallback>
        </mc:AlternateContent>
      </w:r>
    </w:p>
    <w:p>
      <w:pPr>
        <w:pStyle w:val="2"/>
        <w:spacing w:before="10"/>
        <w:rPr>
          <w:color w:val="auto"/>
          <w:sz w:val="15"/>
          <w:highlight w:val="none"/>
        </w:rPr>
      </w:pPr>
    </w:p>
    <w:p>
      <w:pPr>
        <w:spacing w:before="67" w:after="41"/>
        <w:ind w:left="6312" w:right="6327" w:firstLine="0"/>
        <w:jc w:val="center"/>
        <w:rPr>
          <w:color w:val="auto"/>
          <w:sz w:val="24"/>
          <w:highlight w:val="none"/>
        </w:rPr>
      </w:pPr>
      <w:r>
        <w:rPr>
          <w:color w:val="auto"/>
          <w:sz w:val="24"/>
          <w:highlight w:val="none"/>
        </w:rPr>
        <w:t>图框格式</w:t>
      </w:r>
    </w:p>
    <w:tbl>
      <w:tblPr>
        <w:tblStyle w:val="26"/>
        <w:tblW w:w="0" w:type="auto"/>
        <w:tblInd w:w="14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764"/>
        <w:gridCol w:w="2354"/>
        <w:gridCol w:w="3434"/>
        <w:gridCol w:w="924"/>
        <w:gridCol w:w="1462"/>
        <w:gridCol w:w="1726"/>
        <w:gridCol w:w="169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16" w:hRule="atLeast"/>
        </w:trPr>
        <w:tc>
          <w:tcPr>
            <w:tcW w:w="13360" w:type="dxa"/>
            <w:gridSpan w:val="7"/>
            <w:tcBorders>
              <w:bottom w:val="single" w:color="000000" w:sz="2" w:space="0"/>
              <w:right w:val="single" w:color="000000" w:sz="18" w:space="0"/>
            </w:tcBorders>
          </w:tcPr>
          <w:p>
            <w:pPr>
              <w:pStyle w:val="31"/>
              <w:rPr>
                <w:rFonts w:ascii="Times New Roman"/>
                <w:color w:val="auto"/>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trPr>
        <w:tc>
          <w:tcPr>
            <w:tcW w:w="1764" w:type="dxa"/>
            <w:tcBorders>
              <w:top w:val="single" w:color="000000" w:sz="2" w:space="0"/>
              <w:right w:val="single" w:color="000000" w:sz="2" w:space="0"/>
            </w:tcBorders>
          </w:tcPr>
          <w:p>
            <w:pPr>
              <w:pStyle w:val="31"/>
              <w:spacing w:before="10"/>
              <w:rPr>
                <w:color w:val="auto"/>
                <w:sz w:val="20"/>
                <w:highlight w:val="none"/>
              </w:rPr>
            </w:pPr>
          </w:p>
          <w:p>
            <w:pPr>
              <w:pStyle w:val="31"/>
              <w:ind w:left="129"/>
              <w:rPr>
                <w:color w:val="auto"/>
                <w:sz w:val="24"/>
                <w:highlight w:val="none"/>
              </w:rPr>
            </w:pPr>
            <w:r>
              <w:rPr>
                <w:color w:val="auto"/>
                <w:sz w:val="24"/>
                <w:highlight w:val="none"/>
              </w:rPr>
              <w:t>投标人</w:t>
            </w:r>
          </w:p>
        </w:tc>
        <w:tc>
          <w:tcPr>
            <w:tcW w:w="2354" w:type="dxa"/>
            <w:tcBorders>
              <w:top w:val="single" w:color="000000" w:sz="2" w:space="0"/>
              <w:left w:val="single" w:color="000000" w:sz="2" w:space="0"/>
              <w:right w:val="single" w:color="000000" w:sz="2" w:space="0"/>
            </w:tcBorders>
          </w:tcPr>
          <w:p>
            <w:pPr>
              <w:pStyle w:val="31"/>
              <w:spacing w:before="10"/>
              <w:rPr>
                <w:color w:val="auto"/>
                <w:sz w:val="20"/>
                <w:highlight w:val="none"/>
              </w:rPr>
            </w:pPr>
          </w:p>
          <w:p>
            <w:pPr>
              <w:pStyle w:val="31"/>
              <w:tabs>
                <w:tab w:val="left" w:pos="1207"/>
              </w:tabs>
              <w:ind w:left="247"/>
              <w:rPr>
                <w:color w:val="auto"/>
                <w:sz w:val="24"/>
                <w:highlight w:val="none"/>
              </w:rPr>
            </w:pP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color w:val="auto"/>
                <w:sz w:val="24"/>
                <w:highlight w:val="none"/>
              </w:rPr>
              <w:t>工程</w:t>
            </w:r>
          </w:p>
        </w:tc>
        <w:tc>
          <w:tcPr>
            <w:tcW w:w="3434" w:type="dxa"/>
            <w:tcBorders>
              <w:top w:val="single" w:color="000000" w:sz="2" w:space="0"/>
              <w:left w:val="single" w:color="000000" w:sz="2" w:space="0"/>
              <w:right w:val="single" w:color="000000" w:sz="2" w:space="0"/>
            </w:tcBorders>
          </w:tcPr>
          <w:p>
            <w:pPr>
              <w:pStyle w:val="31"/>
              <w:spacing w:before="10"/>
              <w:rPr>
                <w:color w:val="auto"/>
                <w:sz w:val="20"/>
                <w:highlight w:val="none"/>
              </w:rPr>
            </w:pPr>
          </w:p>
          <w:p>
            <w:pPr>
              <w:pStyle w:val="31"/>
              <w:ind w:left="1216" w:right="1213"/>
              <w:jc w:val="center"/>
              <w:rPr>
                <w:color w:val="auto"/>
                <w:sz w:val="24"/>
                <w:highlight w:val="none"/>
              </w:rPr>
            </w:pPr>
            <w:r>
              <w:rPr>
                <w:color w:val="auto"/>
                <w:sz w:val="24"/>
                <w:highlight w:val="none"/>
              </w:rPr>
              <w:t>（图名）</w:t>
            </w:r>
          </w:p>
        </w:tc>
        <w:tc>
          <w:tcPr>
            <w:tcW w:w="924" w:type="dxa"/>
            <w:tcBorders>
              <w:top w:val="single" w:color="000000" w:sz="2" w:space="0"/>
              <w:left w:val="single" w:color="000000" w:sz="2" w:space="0"/>
              <w:right w:val="single" w:color="000000" w:sz="4" w:space="0"/>
            </w:tcBorders>
          </w:tcPr>
          <w:p>
            <w:pPr>
              <w:pStyle w:val="31"/>
              <w:spacing w:before="10"/>
              <w:rPr>
                <w:color w:val="auto"/>
                <w:sz w:val="20"/>
                <w:highlight w:val="none"/>
              </w:rPr>
            </w:pPr>
          </w:p>
          <w:p>
            <w:pPr>
              <w:pStyle w:val="31"/>
              <w:ind w:left="221"/>
              <w:rPr>
                <w:color w:val="auto"/>
                <w:sz w:val="24"/>
                <w:highlight w:val="none"/>
              </w:rPr>
            </w:pPr>
            <w:r>
              <w:rPr>
                <w:color w:val="auto"/>
                <w:sz w:val="24"/>
                <w:highlight w:val="none"/>
              </w:rPr>
              <w:t>图号</w:t>
            </w:r>
          </w:p>
        </w:tc>
        <w:tc>
          <w:tcPr>
            <w:tcW w:w="1462" w:type="dxa"/>
            <w:tcBorders>
              <w:top w:val="single" w:color="000000" w:sz="2" w:space="0"/>
              <w:left w:val="single" w:color="000000" w:sz="4" w:space="0"/>
              <w:right w:val="single" w:color="000000" w:sz="2" w:space="0"/>
            </w:tcBorders>
          </w:tcPr>
          <w:p>
            <w:pPr>
              <w:pStyle w:val="31"/>
              <w:rPr>
                <w:rFonts w:ascii="Times New Roman"/>
                <w:color w:val="auto"/>
                <w:sz w:val="22"/>
                <w:highlight w:val="none"/>
              </w:rPr>
            </w:pPr>
          </w:p>
        </w:tc>
        <w:tc>
          <w:tcPr>
            <w:tcW w:w="1726" w:type="dxa"/>
            <w:tcBorders>
              <w:top w:val="single" w:color="000000" w:sz="2" w:space="0"/>
              <w:left w:val="single" w:color="000000" w:sz="2" w:space="0"/>
              <w:right w:val="single" w:color="000000" w:sz="2" w:space="0"/>
            </w:tcBorders>
          </w:tcPr>
          <w:p>
            <w:pPr>
              <w:pStyle w:val="31"/>
              <w:spacing w:before="10"/>
              <w:rPr>
                <w:color w:val="auto"/>
                <w:sz w:val="20"/>
                <w:highlight w:val="none"/>
              </w:rPr>
            </w:pPr>
          </w:p>
          <w:p>
            <w:pPr>
              <w:pStyle w:val="31"/>
              <w:ind w:left="601" w:right="599"/>
              <w:jc w:val="center"/>
              <w:rPr>
                <w:color w:val="auto"/>
                <w:sz w:val="24"/>
                <w:highlight w:val="none"/>
              </w:rPr>
            </w:pPr>
            <w:r>
              <w:rPr>
                <w:color w:val="auto"/>
                <w:sz w:val="24"/>
                <w:highlight w:val="none"/>
              </w:rPr>
              <w:t>时间</w:t>
            </w:r>
          </w:p>
        </w:tc>
        <w:tc>
          <w:tcPr>
            <w:tcW w:w="1696" w:type="dxa"/>
            <w:tcBorders>
              <w:top w:val="single" w:color="000000" w:sz="2" w:space="0"/>
              <w:left w:val="single" w:color="000000" w:sz="2" w:space="0"/>
              <w:right w:val="single" w:color="000000" w:sz="18" w:space="0"/>
            </w:tcBorders>
          </w:tcPr>
          <w:p>
            <w:pPr>
              <w:pStyle w:val="31"/>
              <w:spacing w:before="10"/>
              <w:rPr>
                <w:color w:val="auto"/>
                <w:sz w:val="20"/>
                <w:highlight w:val="none"/>
              </w:rPr>
            </w:pPr>
          </w:p>
          <w:p>
            <w:pPr>
              <w:pStyle w:val="31"/>
              <w:tabs>
                <w:tab w:val="left" w:pos="487"/>
                <w:tab w:val="left" w:pos="1087"/>
              </w:tabs>
              <w:ind w:left="127"/>
              <w:rPr>
                <w:color w:val="auto"/>
                <w:sz w:val="24"/>
                <w:highlight w:val="none"/>
              </w:rPr>
            </w:pP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u w:val="single"/>
              </w:rPr>
              <w:tab/>
            </w:r>
            <w:r>
              <w:rPr>
                <w:color w:val="auto"/>
                <w:sz w:val="24"/>
                <w:highlight w:val="none"/>
              </w:rPr>
              <w:t>月</w:t>
            </w:r>
          </w:p>
        </w:tc>
      </w:tr>
    </w:tbl>
    <w:p>
      <w:pPr>
        <w:pStyle w:val="2"/>
        <w:spacing w:before="193"/>
        <w:ind w:left="259"/>
        <w:rPr>
          <w:color w:val="auto"/>
          <w:highlight w:val="none"/>
        </w:rPr>
      </w:pPr>
      <w:r>
        <w:rPr>
          <w:color w:val="auto"/>
          <w:highlight w:val="none"/>
        </w:rPr>
        <w:t xml:space="preserve">说明：上、下及右边距分别为 </w:t>
      </w:r>
      <w:r>
        <w:rPr>
          <w:rFonts w:ascii="Arial" w:eastAsia="Arial"/>
          <w:color w:val="auto"/>
          <w:highlight w:val="none"/>
        </w:rPr>
        <w:t>1cm</w:t>
      </w:r>
      <w:r>
        <w:rPr>
          <w:color w:val="auto"/>
          <w:highlight w:val="none"/>
        </w:rPr>
        <w:t xml:space="preserve">，左页边距为 </w:t>
      </w:r>
      <w:r>
        <w:rPr>
          <w:rFonts w:ascii="Arial" w:eastAsia="Arial"/>
          <w:color w:val="auto"/>
          <w:highlight w:val="none"/>
        </w:rPr>
        <w:t>2.5cm</w:t>
      </w:r>
      <w:r>
        <w:rPr>
          <w:color w:val="auto"/>
          <w:highlight w:val="none"/>
        </w:rPr>
        <w:t>。</w:t>
      </w:r>
    </w:p>
    <w:p>
      <w:pPr>
        <w:spacing w:after="0"/>
        <w:rPr>
          <w:color w:val="auto"/>
          <w:highlight w:val="none"/>
        </w:rPr>
        <w:sectPr>
          <w:footerReference r:id="rId9" w:type="default"/>
          <w:pgSz w:w="16840" w:h="11910" w:orient="landscape"/>
          <w:pgMar w:top="1100" w:right="860" w:bottom="280" w:left="2340" w:header="0" w:footer="0" w:gutter="0"/>
          <w:pgBorders>
            <w:top w:val="none" w:sz="0" w:space="0"/>
            <w:left w:val="none" w:sz="0" w:space="0"/>
            <w:bottom w:val="none" w:sz="0" w:space="0"/>
            <w:right w:val="none" w:sz="0" w:space="0"/>
          </w:pgBorders>
          <w:pgNumType w:fmt="decimal"/>
          <w:cols w:space="720" w:num="1"/>
        </w:sectPr>
      </w:pPr>
    </w:p>
    <w:p>
      <w:pPr>
        <w:spacing w:before="23"/>
        <w:ind w:left="295" w:right="294" w:firstLine="0"/>
        <w:jc w:val="center"/>
        <w:rPr>
          <w:b/>
          <w:color w:val="auto"/>
          <w:sz w:val="44"/>
          <w:highlight w:val="none"/>
        </w:rPr>
      </w:pPr>
    </w:p>
    <w:p>
      <w:pPr>
        <w:spacing w:before="23"/>
        <w:ind w:left="295" w:right="294" w:firstLine="0"/>
        <w:jc w:val="center"/>
        <w:rPr>
          <w:b/>
          <w:color w:val="auto"/>
          <w:sz w:val="44"/>
          <w:highlight w:val="none"/>
        </w:rPr>
      </w:pPr>
      <w:r>
        <w:rPr>
          <w:b/>
          <w:color w:val="auto"/>
          <w:sz w:val="44"/>
          <w:highlight w:val="none"/>
        </w:rPr>
        <w:t>浙 江 省</w:t>
      </w:r>
    </w:p>
    <w:p>
      <w:pPr>
        <w:spacing w:before="60"/>
        <w:ind w:left="2744" w:right="232" w:firstLine="0"/>
        <w:jc w:val="center"/>
        <w:rPr>
          <w:b/>
          <w:color w:val="auto"/>
          <w:sz w:val="44"/>
          <w:highlight w:val="none"/>
        </w:rPr>
      </w:pPr>
    </w:p>
    <w:p>
      <w:pPr>
        <w:spacing w:before="60"/>
        <w:ind w:right="232"/>
        <w:jc w:val="both"/>
        <w:outlineLvl w:val="2"/>
        <w:rPr>
          <w:rFonts w:hint="eastAsia" w:eastAsia="宋体"/>
          <w:b/>
          <w:color w:val="auto"/>
          <w:sz w:val="36"/>
          <w:szCs w:val="20"/>
          <w:highlight w:val="none"/>
          <w:u w:val="none"/>
          <w:lang w:eastAsia="zh-CN"/>
        </w:rPr>
      </w:pPr>
      <w:r>
        <w:rPr>
          <w:rFonts w:hint="eastAsia"/>
          <w:color w:val="auto"/>
          <w:highlight w:val="none"/>
          <w:u w:val="none"/>
        </w:rPr>
        <w:t xml:space="preserve"> </w:t>
      </w:r>
      <w:r>
        <w:rPr>
          <w:rFonts w:hint="eastAsia"/>
          <w:color w:val="auto"/>
          <w:sz w:val="20"/>
          <w:szCs w:val="20"/>
          <w:highlight w:val="none"/>
          <w:u w:val="none"/>
        </w:rPr>
        <w:t xml:space="preserve">  </w:t>
      </w:r>
      <w:r>
        <w:rPr>
          <w:rFonts w:hint="eastAsia"/>
          <w:color w:val="auto"/>
          <w:sz w:val="20"/>
          <w:szCs w:val="20"/>
          <w:highlight w:val="none"/>
          <w:u w:val="single"/>
        </w:rPr>
        <w:t xml:space="preserve">       </w:t>
      </w:r>
      <w:r>
        <w:rPr>
          <w:rFonts w:hint="eastAsia" w:ascii="黑体" w:eastAsia="黑体"/>
          <w:color w:val="auto"/>
          <w:sz w:val="44"/>
          <w:szCs w:val="20"/>
          <w:highlight w:val="none"/>
          <w:u w:val="single"/>
        </w:rPr>
        <w:t xml:space="preserve">   </w:t>
      </w:r>
      <w:bookmarkStart w:id="268" w:name="_Toc21200"/>
      <w:bookmarkStart w:id="269" w:name="_Toc14777"/>
      <w:r>
        <w:rPr>
          <w:rFonts w:hint="eastAsia" w:ascii="黑体" w:eastAsia="黑体"/>
          <w:color w:val="auto"/>
          <w:sz w:val="44"/>
          <w:szCs w:val="20"/>
          <w:highlight w:val="none"/>
        </w:rPr>
        <w:t>（项目名称）</w:t>
      </w:r>
      <w:r>
        <w:rPr>
          <w:rFonts w:hint="eastAsia" w:ascii="黑体" w:eastAsia="黑体"/>
          <w:color w:val="auto"/>
          <w:sz w:val="44"/>
          <w:szCs w:val="20"/>
          <w:highlight w:val="none"/>
          <w:u w:val="single"/>
        </w:rPr>
        <w:t xml:space="preserve">    </w:t>
      </w:r>
      <w:r>
        <w:rPr>
          <w:rFonts w:hint="eastAsia" w:ascii="黑体" w:eastAsia="黑体"/>
          <w:color w:val="auto"/>
          <w:sz w:val="44"/>
          <w:szCs w:val="20"/>
          <w:highlight w:val="none"/>
        </w:rPr>
        <w:t>（标段名称）</w:t>
      </w:r>
      <w:r>
        <w:rPr>
          <w:rFonts w:hint="eastAsia" w:ascii="黑体" w:eastAsia="黑体"/>
          <w:color w:val="auto"/>
          <w:sz w:val="44"/>
          <w:szCs w:val="20"/>
          <w:highlight w:val="none"/>
          <w:lang w:eastAsia="zh-CN"/>
        </w:rPr>
        <w:t>设计</w:t>
      </w:r>
      <w:bookmarkEnd w:id="268"/>
      <w:bookmarkEnd w:id="269"/>
    </w:p>
    <w:p>
      <w:pPr>
        <w:pStyle w:val="2"/>
        <w:rPr>
          <w:b/>
          <w:color w:val="auto"/>
          <w:sz w:val="44"/>
          <w:highlight w:val="none"/>
          <w:u w:val="single"/>
        </w:rPr>
      </w:pPr>
    </w:p>
    <w:p>
      <w:pPr>
        <w:pStyle w:val="2"/>
        <w:rPr>
          <w:b/>
          <w:color w:val="auto"/>
          <w:sz w:val="44"/>
          <w:highlight w:val="none"/>
        </w:rPr>
      </w:pPr>
    </w:p>
    <w:p>
      <w:pPr>
        <w:pStyle w:val="2"/>
        <w:rPr>
          <w:b/>
          <w:color w:val="auto"/>
          <w:sz w:val="44"/>
          <w:highlight w:val="none"/>
        </w:rPr>
      </w:pPr>
    </w:p>
    <w:p>
      <w:pPr>
        <w:pStyle w:val="2"/>
        <w:rPr>
          <w:b/>
          <w:color w:val="auto"/>
          <w:sz w:val="44"/>
          <w:highlight w:val="none"/>
        </w:rPr>
      </w:pPr>
    </w:p>
    <w:p>
      <w:pPr>
        <w:pStyle w:val="2"/>
        <w:spacing w:before="1"/>
        <w:rPr>
          <w:b/>
          <w:color w:val="auto"/>
          <w:sz w:val="46"/>
          <w:highlight w:val="none"/>
        </w:rPr>
      </w:pPr>
    </w:p>
    <w:p>
      <w:pPr>
        <w:spacing w:before="0"/>
        <w:ind w:left="293" w:right="294" w:firstLine="0"/>
        <w:jc w:val="center"/>
        <w:rPr>
          <w:b/>
          <w:color w:val="auto"/>
          <w:sz w:val="72"/>
          <w:highlight w:val="none"/>
        </w:rPr>
      </w:pPr>
      <w:r>
        <w:rPr>
          <w:b/>
          <w:color w:val="auto"/>
          <w:sz w:val="72"/>
          <w:highlight w:val="none"/>
        </w:rPr>
        <w:t>投 标 文 件</w:t>
      </w:r>
    </w:p>
    <w:p>
      <w:pPr>
        <w:tabs>
          <w:tab w:val="left" w:pos="2087"/>
        </w:tabs>
        <w:spacing w:before="609"/>
        <w:ind w:left="6" w:right="0" w:firstLine="0"/>
        <w:jc w:val="center"/>
        <w:rPr>
          <w:rFonts w:hint="eastAsia" w:ascii="黑体" w:eastAsia="黑体"/>
          <w:color w:val="auto"/>
          <w:sz w:val="52"/>
          <w:highlight w:val="none"/>
        </w:rPr>
      </w:pPr>
      <w:bookmarkStart w:id="270" w:name="第三卷  报价文件"/>
      <w:bookmarkEnd w:id="270"/>
      <w:r>
        <w:rPr>
          <w:rFonts w:hint="eastAsia" w:ascii="黑体" w:eastAsia="黑体"/>
          <w:color w:val="auto"/>
          <w:sz w:val="52"/>
          <w:highlight w:val="none"/>
        </w:rPr>
        <w:t>第三卷</w:t>
      </w:r>
      <w:r>
        <w:rPr>
          <w:rFonts w:hint="eastAsia" w:ascii="黑体" w:eastAsia="黑体"/>
          <w:color w:val="auto"/>
          <w:sz w:val="52"/>
          <w:highlight w:val="none"/>
        </w:rPr>
        <w:tab/>
      </w:r>
      <w:r>
        <w:rPr>
          <w:rFonts w:hint="eastAsia" w:ascii="黑体" w:eastAsia="黑体"/>
          <w:color w:val="auto"/>
          <w:sz w:val="52"/>
          <w:highlight w:val="none"/>
        </w:rPr>
        <w:t>报价文件</w:t>
      </w:r>
    </w:p>
    <w:p>
      <w:pPr>
        <w:pStyle w:val="2"/>
        <w:rPr>
          <w:rFonts w:ascii="黑体"/>
          <w:color w:val="auto"/>
          <w:sz w:val="52"/>
          <w:highlight w:val="none"/>
        </w:rPr>
      </w:pPr>
    </w:p>
    <w:p>
      <w:pPr>
        <w:pStyle w:val="2"/>
        <w:rPr>
          <w:rFonts w:ascii="黑体"/>
          <w:color w:val="auto"/>
          <w:sz w:val="52"/>
          <w:highlight w:val="none"/>
        </w:rPr>
      </w:pPr>
    </w:p>
    <w:p>
      <w:pPr>
        <w:pStyle w:val="2"/>
        <w:rPr>
          <w:rFonts w:ascii="黑体"/>
          <w:color w:val="auto"/>
          <w:sz w:val="52"/>
          <w:highlight w:val="none"/>
        </w:rPr>
      </w:pPr>
    </w:p>
    <w:p>
      <w:pPr>
        <w:pStyle w:val="2"/>
        <w:rPr>
          <w:rFonts w:ascii="黑体"/>
          <w:color w:val="auto"/>
          <w:sz w:val="52"/>
          <w:highlight w:val="none"/>
        </w:rPr>
      </w:pPr>
    </w:p>
    <w:p>
      <w:pPr>
        <w:pStyle w:val="2"/>
        <w:rPr>
          <w:rFonts w:ascii="黑体"/>
          <w:color w:val="auto"/>
          <w:sz w:val="52"/>
          <w:highlight w:val="none"/>
        </w:rPr>
      </w:pPr>
    </w:p>
    <w:p>
      <w:pPr>
        <w:pStyle w:val="2"/>
        <w:rPr>
          <w:rFonts w:ascii="黑体"/>
          <w:color w:val="auto"/>
          <w:sz w:val="52"/>
          <w:highlight w:val="none"/>
        </w:rPr>
      </w:pPr>
    </w:p>
    <w:p>
      <w:pPr>
        <w:pStyle w:val="2"/>
        <w:spacing w:before="4"/>
        <w:rPr>
          <w:rFonts w:ascii="黑体"/>
          <w:color w:val="auto"/>
          <w:sz w:val="70"/>
          <w:highlight w:val="none"/>
        </w:rPr>
      </w:pPr>
    </w:p>
    <w:p>
      <w:pPr>
        <w:pStyle w:val="7"/>
        <w:tabs>
          <w:tab w:val="left" w:pos="3981"/>
        </w:tabs>
        <w:spacing w:before="0"/>
        <w:ind w:left="4" w:right="0"/>
        <w:rPr>
          <w:color w:val="auto"/>
          <w:highlight w:val="none"/>
        </w:rPr>
      </w:pPr>
      <w:r>
        <w:rPr>
          <w:color w:val="auto"/>
          <w:highlight w:val="none"/>
        </w:rPr>
        <w:t>投标人：</w:t>
      </w:r>
      <w:r>
        <w:rPr>
          <w:color w:val="auto"/>
          <w:highlight w:val="none"/>
          <w:u w:val="thick"/>
        </w:rPr>
        <w:t xml:space="preserve"> </w:t>
      </w:r>
      <w:r>
        <w:rPr>
          <w:color w:val="auto"/>
          <w:highlight w:val="none"/>
          <w:u w:val="thick"/>
        </w:rPr>
        <w:tab/>
      </w:r>
      <w:r>
        <w:rPr>
          <w:color w:val="auto"/>
          <w:highlight w:val="none"/>
        </w:rPr>
        <w:t>（全称并盖电子公章）</w:t>
      </w:r>
    </w:p>
    <w:p>
      <w:pPr>
        <w:tabs>
          <w:tab w:val="left" w:pos="904"/>
          <w:tab w:val="left" w:pos="1989"/>
          <w:tab w:val="left" w:pos="3074"/>
        </w:tabs>
        <w:spacing w:before="163"/>
        <w:ind w:left="0" w:right="294" w:firstLine="0"/>
        <w:jc w:val="center"/>
        <w:rPr>
          <w:b/>
          <w:color w:val="auto"/>
          <w:sz w:val="36"/>
          <w:highlight w:val="none"/>
        </w:rPr>
      </w:pPr>
      <w:r>
        <w:rPr>
          <w:rFonts w:ascii="Times New Roman" w:eastAsia="Times New Roman"/>
          <w:b/>
          <w:color w:val="auto"/>
          <w:sz w:val="36"/>
          <w:highlight w:val="none"/>
          <w:u w:val="thick"/>
        </w:rPr>
        <w:t xml:space="preserve"> </w:t>
      </w:r>
      <w:r>
        <w:rPr>
          <w:rFonts w:ascii="Times New Roman" w:eastAsia="Times New Roman"/>
          <w:b/>
          <w:color w:val="auto"/>
          <w:sz w:val="36"/>
          <w:highlight w:val="none"/>
          <w:u w:val="thick"/>
        </w:rPr>
        <w:tab/>
      </w:r>
      <w:r>
        <w:rPr>
          <w:b/>
          <w:color w:val="auto"/>
          <w:sz w:val="36"/>
          <w:highlight w:val="none"/>
        </w:rPr>
        <w:t>年</w:t>
      </w:r>
      <w:r>
        <w:rPr>
          <w:b/>
          <w:color w:val="auto"/>
          <w:sz w:val="36"/>
          <w:highlight w:val="none"/>
          <w:u w:val="thick"/>
        </w:rPr>
        <w:t xml:space="preserve"> </w:t>
      </w:r>
      <w:r>
        <w:rPr>
          <w:b/>
          <w:color w:val="auto"/>
          <w:sz w:val="36"/>
          <w:highlight w:val="none"/>
          <w:u w:val="thick"/>
        </w:rPr>
        <w:tab/>
      </w:r>
      <w:r>
        <w:rPr>
          <w:b/>
          <w:color w:val="auto"/>
          <w:sz w:val="36"/>
          <w:highlight w:val="none"/>
        </w:rPr>
        <w:t>月</w:t>
      </w:r>
      <w:r>
        <w:rPr>
          <w:b/>
          <w:color w:val="auto"/>
          <w:sz w:val="36"/>
          <w:highlight w:val="none"/>
          <w:u w:val="thick"/>
        </w:rPr>
        <w:t xml:space="preserve"> </w:t>
      </w:r>
      <w:r>
        <w:rPr>
          <w:b/>
          <w:color w:val="auto"/>
          <w:sz w:val="36"/>
          <w:highlight w:val="none"/>
          <w:u w:val="thick"/>
        </w:rPr>
        <w:tab/>
      </w:r>
      <w:r>
        <w:rPr>
          <w:b/>
          <w:color w:val="auto"/>
          <w:sz w:val="36"/>
          <w:highlight w:val="none"/>
        </w:rPr>
        <w:t>日</w:t>
      </w:r>
    </w:p>
    <w:p>
      <w:pPr>
        <w:spacing w:after="0"/>
        <w:jc w:val="center"/>
        <w:rPr>
          <w:color w:val="auto"/>
          <w:sz w:val="36"/>
          <w:highlight w:val="none"/>
        </w:rPr>
        <w:sectPr>
          <w:footerReference r:id="rId10" w:type="default"/>
          <w:pgSz w:w="11910" w:h="16840"/>
          <w:pgMar w:top="980" w:right="1160" w:bottom="940" w:left="1240" w:header="0" w:footer="752" w:gutter="0"/>
          <w:pgBorders>
            <w:top w:val="none" w:sz="0" w:space="0"/>
            <w:left w:val="none" w:sz="0" w:space="0"/>
            <w:bottom w:val="none" w:sz="0" w:space="0"/>
            <w:right w:val="none" w:sz="0" w:space="0"/>
          </w:pgBorders>
          <w:pgNumType w:fmt="decimal" w:start="94"/>
          <w:cols w:space="720" w:num="1"/>
        </w:sectPr>
      </w:pPr>
    </w:p>
    <w:p>
      <w:pPr>
        <w:spacing w:before="11"/>
        <w:ind w:left="295" w:right="294" w:firstLine="0"/>
        <w:jc w:val="center"/>
        <w:outlineLvl w:val="1"/>
        <w:rPr>
          <w:b/>
          <w:color w:val="auto"/>
          <w:sz w:val="44"/>
          <w:highlight w:val="none"/>
        </w:rPr>
      </w:pPr>
      <w:bookmarkStart w:id="271" w:name="一、报价函"/>
      <w:bookmarkEnd w:id="271"/>
      <w:bookmarkStart w:id="272" w:name="_Toc11817"/>
      <w:bookmarkStart w:id="273" w:name="_Toc18786"/>
      <w:r>
        <w:rPr>
          <w:b/>
          <w:color w:val="auto"/>
          <w:sz w:val="44"/>
          <w:highlight w:val="none"/>
        </w:rPr>
        <w:t>一、报价函</w:t>
      </w:r>
      <w:bookmarkEnd w:id="272"/>
      <w:bookmarkEnd w:id="273"/>
    </w:p>
    <w:p>
      <w:pPr>
        <w:pStyle w:val="2"/>
        <w:spacing w:before="3"/>
        <w:rPr>
          <w:b/>
          <w:color w:val="auto"/>
          <w:sz w:val="45"/>
          <w:highlight w:val="none"/>
        </w:rPr>
      </w:pPr>
    </w:p>
    <w:p>
      <w:pPr>
        <w:tabs>
          <w:tab w:val="left" w:pos="2998"/>
        </w:tabs>
        <w:spacing w:before="0"/>
        <w:ind w:left="118" w:right="0" w:firstLine="0"/>
        <w:jc w:val="left"/>
        <w:rPr>
          <w:color w:val="auto"/>
          <w:sz w:val="24"/>
          <w:highlight w:val="none"/>
        </w:rPr>
      </w:pPr>
      <w:r>
        <w:rPr>
          <w:color w:val="auto"/>
          <w:sz w:val="24"/>
          <w:highlight w:val="none"/>
        </w:rPr>
        <w:t>致：</w:t>
      </w:r>
      <w:r>
        <w:rPr>
          <w:color w:val="auto"/>
          <w:sz w:val="24"/>
          <w:highlight w:val="none"/>
          <w:u w:val="single"/>
        </w:rPr>
        <w:t xml:space="preserve"> </w:t>
      </w:r>
      <w:r>
        <w:rPr>
          <w:color w:val="auto"/>
          <w:sz w:val="24"/>
          <w:highlight w:val="none"/>
          <w:u w:val="single"/>
        </w:rPr>
        <w:tab/>
      </w:r>
      <w:r>
        <w:rPr>
          <w:color w:val="auto"/>
          <w:sz w:val="24"/>
          <w:highlight w:val="none"/>
        </w:rPr>
        <w:t>（招标人全称）</w:t>
      </w:r>
    </w:p>
    <w:p>
      <w:pPr>
        <w:tabs>
          <w:tab w:val="left" w:pos="2489"/>
          <w:tab w:val="left" w:pos="7591"/>
          <w:tab w:val="left" w:pos="8671"/>
        </w:tabs>
        <w:spacing w:before="160" w:line="364" w:lineRule="auto"/>
        <w:ind w:left="118" w:right="112" w:firstLine="480"/>
        <w:jc w:val="left"/>
        <w:rPr>
          <w:color w:val="auto"/>
          <w:sz w:val="24"/>
          <w:highlight w:val="none"/>
        </w:rPr>
      </w:pPr>
      <w:r>
        <w:rPr>
          <w:color w:val="auto"/>
          <w:sz w:val="24"/>
          <w:highlight w:val="none"/>
        </w:rPr>
        <w:t>经研究</w:t>
      </w:r>
      <w:r>
        <w:rPr>
          <w:rFonts w:hint="eastAsia"/>
          <w:color w:val="auto"/>
          <w:sz w:val="24"/>
          <w:highlight w:val="none"/>
          <w:u w:val="single"/>
        </w:rPr>
        <w:t xml:space="preserve">              </w:t>
      </w:r>
      <w:r>
        <w:rPr>
          <w:rFonts w:hint="eastAsia"/>
          <w:color w:val="auto"/>
          <w:sz w:val="24"/>
          <w:highlight w:val="none"/>
        </w:rPr>
        <w:t>（项目名称）</w:t>
      </w:r>
      <w:r>
        <w:rPr>
          <w:rFonts w:hint="eastAsia"/>
          <w:color w:val="auto"/>
          <w:sz w:val="24"/>
          <w:highlight w:val="none"/>
          <w:u w:val="single"/>
          <w:lang w:val="en-US" w:eastAsia="zh-CN"/>
        </w:rPr>
        <w:t xml:space="preserve">     </w:t>
      </w:r>
      <w:r>
        <w:rPr>
          <w:rFonts w:hint="eastAsia"/>
          <w:color w:val="auto"/>
          <w:sz w:val="24"/>
          <w:highlight w:val="none"/>
          <w:u w:val="none"/>
          <w:lang w:val="en-US" w:eastAsia="zh-CN"/>
        </w:rPr>
        <w:t>（标段名称）</w:t>
      </w:r>
      <w:r>
        <w:rPr>
          <w:color w:val="auto"/>
          <w:sz w:val="24"/>
          <w:highlight w:val="none"/>
        </w:rPr>
        <w:t>设计招标文件的全部内</w:t>
      </w:r>
      <w:r>
        <w:rPr>
          <w:color w:val="auto"/>
          <w:spacing w:val="-29"/>
          <w:sz w:val="24"/>
          <w:highlight w:val="none"/>
        </w:rPr>
        <w:t>容</w:t>
      </w:r>
      <w:r>
        <w:rPr>
          <w:color w:val="auto"/>
          <w:sz w:val="24"/>
          <w:highlight w:val="none"/>
        </w:rPr>
        <w:t>（含第</w:t>
      </w:r>
      <w:r>
        <w:rPr>
          <w:color w:val="auto"/>
          <w:sz w:val="24"/>
          <w:highlight w:val="none"/>
          <w:u w:val="single"/>
        </w:rPr>
        <w:t xml:space="preserve"> </w:t>
      </w:r>
      <w:r>
        <w:rPr>
          <w:rFonts w:hint="eastAsia"/>
          <w:color w:val="auto"/>
          <w:sz w:val="24"/>
          <w:highlight w:val="none"/>
          <w:u w:val="single"/>
          <w:lang w:val="en-US" w:eastAsia="zh-CN"/>
        </w:rPr>
        <w:t xml:space="preserve">  </w:t>
      </w:r>
      <w:r>
        <w:rPr>
          <w:color w:val="auto"/>
          <w:sz w:val="24"/>
          <w:highlight w:val="none"/>
        </w:rPr>
        <w:t>号至第</w:t>
      </w:r>
      <w:r>
        <w:rPr>
          <w:color w:val="auto"/>
          <w:sz w:val="24"/>
          <w:highlight w:val="none"/>
          <w:u w:val="single"/>
        </w:rPr>
        <w:t xml:space="preserve"> </w:t>
      </w:r>
      <w:r>
        <w:rPr>
          <w:rFonts w:hint="eastAsia"/>
          <w:color w:val="auto"/>
          <w:sz w:val="24"/>
          <w:highlight w:val="none"/>
          <w:u w:val="single"/>
          <w:lang w:val="en-US" w:eastAsia="zh-CN"/>
        </w:rPr>
        <w:t xml:space="preserve">  </w:t>
      </w:r>
      <w:r>
        <w:rPr>
          <w:color w:val="auto"/>
          <w:sz w:val="24"/>
          <w:highlight w:val="none"/>
        </w:rPr>
        <w:t>号补</w:t>
      </w:r>
      <w:r>
        <w:rPr>
          <w:color w:val="auto"/>
          <w:spacing w:val="-17"/>
          <w:sz w:val="24"/>
          <w:highlight w:val="none"/>
        </w:rPr>
        <w:t>遗</w:t>
      </w:r>
      <w:r>
        <w:rPr>
          <w:color w:val="auto"/>
          <w:sz w:val="24"/>
          <w:highlight w:val="none"/>
        </w:rPr>
        <w:t>书）后，我方就上述设计任务及相关服务进行投标。</w:t>
      </w:r>
    </w:p>
    <w:p>
      <w:pPr>
        <w:tabs>
          <w:tab w:val="left" w:pos="2489"/>
          <w:tab w:val="left" w:pos="7591"/>
          <w:tab w:val="left" w:pos="8671"/>
        </w:tabs>
        <w:spacing w:before="160" w:line="364" w:lineRule="auto"/>
        <w:ind w:left="118" w:right="112" w:firstLine="480"/>
        <w:jc w:val="left"/>
        <w:rPr>
          <w:color w:val="auto"/>
          <w:sz w:val="24"/>
          <w:highlight w:val="none"/>
        </w:rPr>
      </w:pPr>
      <w:r>
        <w:rPr>
          <w:color w:val="auto"/>
          <w:spacing w:val="-4"/>
          <w:sz w:val="24"/>
          <w:highlight w:val="none"/>
          <w:shd w:val="clear" w:color="auto"/>
        </w:rPr>
        <w:t>根据分析计算并综合考</w:t>
      </w:r>
      <w:r>
        <w:rPr>
          <w:rFonts w:ascii="宋体" w:hAnsi="宋体" w:eastAsia="宋体" w:cs="宋体"/>
          <w:color w:val="auto"/>
          <w:spacing w:val="-4"/>
          <w:sz w:val="24"/>
          <w:highlight w:val="none"/>
          <w:shd w:val="clear" w:color="auto"/>
        </w:rPr>
        <w:t>虑</w:t>
      </w:r>
      <w:r>
        <w:rPr>
          <w:rFonts w:hint="eastAsia" w:cs="宋体"/>
          <w:color w:val="auto"/>
          <w:spacing w:val="-4"/>
          <w:sz w:val="24"/>
          <w:highlight w:val="none"/>
          <w:shd w:val="clear" w:color="auto"/>
          <w:lang w:eastAsia="zh-CN"/>
        </w:rPr>
        <w:t>2024年三门县普通国道路基路面养护工程设计</w:t>
      </w:r>
      <w:r>
        <w:rPr>
          <w:color w:val="auto"/>
          <w:spacing w:val="-4"/>
          <w:sz w:val="24"/>
          <w:highlight w:val="none"/>
          <w:shd w:val="clear" w:color="auto"/>
        </w:rPr>
        <w:t>工</w:t>
      </w:r>
      <w:r>
        <w:rPr>
          <w:rFonts w:hint="eastAsia"/>
          <w:color w:val="auto"/>
          <w:spacing w:val="-4"/>
          <w:sz w:val="24"/>
          <w:highlight w:val="none"/>
          <w:shd w:val="clear" w:color="auto"/>
        </w:rPr>
        <w:t>作的内容，</w:t>
      </w:r>
      <w:r>
        <w:rPr>
          <w:color w:val="auto"/>
          <w:spacing w:val="-4"/>
          <w:sz w:val="24"/>
          <w:highlight w:val="none"/>
          <w:shd w:val="clear" w:color="auto"/>
        </w:rPr>
        <w:t>我方愿以合同</w:t>
      </w:r>
      <w:r>
        <w:rPr>
          <w:color w:val="auto"/>
          <w:sz w:val="24"/>
          <w:highlight w:val="none"/>
          <w:shd w:val="clear"/>
        </w:rPr>
        <w:t>期内单个施工项目</w:t>
      </w:r>
      <w:r>
        <w:rPr>
          <w:rFonts w:hint="eastAsia"/>
          <w:color w:val="auto"/>
          <w:sz w:val="24"/>
          <w:highlight w:val="none"/>
          <w:shd w:val="clear"/>
        </w:rPr>
        <w:t>上级部门批复预算中的公路养护工程设计费与公路养护工程勘察、路况检测费之和</w:t>
      </w:r>
      <w:r>
        <w:rPr>
          <w:color w:val="auto"/>
          <w:sz w:val="24"/>
          <w:highlight w:val="none"/>
          <w:shd w:val="clear"/>
        </w:rPr>
        <w:t>的</w:t>
      </w:r>
      <w:r>
        <w:rPr>
          <w:color w:val="auto"/>
          <w:spacing w:val="12"/>
          <w:sz w:val="24"/>
          <w:highlight w:val="none"/>
          <w:u w:val="single"/>
          <w:shd w:val="clear"/>
        </w:rPr>
        <w:t xml:space="preserve">  </w:t>
      </w:r>
      <w:r>
        <w:rPr>
          <w:rFonts w:hint="eastAsia"/>
          <w:color w:val="auto"/>
          <w:spacing w:val="12"/>
          <w:sz w:val="24"/>
          <w:highlight w:val="none"/>
          <w:u w:val="single"/>
          <w:shd w:val="clear"/>
          <w:lang w:val="en-US" w:eastAsia="zh-CN"/>
        </w:rPr>
        <w:t xml:space="preserve"> </w:t>
      </w:r>
      <w:r>
        <w:rPr>
          <w:color w:val="auto"/>
          <w:spacing w:val="12"/>
          <w:sz w:val="24"/>
          <w:highlight w:val="none"/>
          <w:u w:val="single"/>
          <w:shd w:val="clear"/>
        </w:rPr>
        <w:t xml:space="preserve">  </w:t>
      </w:r>
      <w:r>
        <w:rPr>
          <w:rFonts w:ascii="Arial" w:hAnsi="Arial" w:eastAsia="Arial"/>
          <w:color w:val="auto"/>
          <w:sz w:val="24"/>
          <w:highlight w:val="none"/>
          <w:shd w:val="clear"/>
        </w:rPr>
        <w:t>%</w:t>
      </w:r>
      <w:r>
        <w:rPr>
          <w:color w:val="auto"/>
          <w:sz w:val="24"/>
          <w:highlight w:val="none"/>
          <w:shd w:val="clear"/>
        </w:rPr>
        <w:t>（保留两位小</w:t>
      </w:r>
      <w:r>
        <w:rPr>
          <w:color w:val="auto"/>
          <w:sz w:val="24"/>
          <w:highlight w:val="none"/>
        </w:rPr>
        <w:t>数）的投标价，完成本招标规定的</w:t>
      </w:r>
      <w:r>
        <w:rPr>
          <w:color w:val="auto"/>
          <w:spacing w:val="-9"/>
          <w:sz w:val="24"/>
          <w:highlight w:val="none"/>
        </w:rPr>
        <w:t>所有工作内容。</w:t>
      </w:r>
      <w:r>
        <w:rPr>
          <w:color w:val="auto"/>
          <w:sz w:val="24"/>
          <w:highlight w:val="none"/>
        </w:rPr>
        <w:t>同时，我方承诺：本投标价最终受“通用合同条款”和“专用合同条款”第 7.1款和专用合同条款第 7.6 款的约束和调整。</w:t>
      </w:r>
    </w:p>
    <w:p>
      <w:pPr>
        <w:tabs>
          <w:tab w:val="left" w:pos="2489"/>
          <w:tab w:val="left" w:pos="7591"/>
          <w:tab w:val="left" w:pos="8671"/>
        </w:tabs>
        <w:spacing w:before="160" w:line="364" w:lineRule="auto"/>
        <w:ind w:left="118" w:right="112" w:firstLine="480"/>
        <w:jc w:val="left"/>
        <w:rPr>
          <w:color w:val="auto"/>
          <w:sz w:val="24"/>
          <w:highlight w:val="none"/>
        </w:rPr>
      </w:pPr>
      <w:r>
        <w:rPr>
          <w:color w:val="auto"/>
          <w:sz w:val="24"/>
          <w:highlight w:val="none"/>
        </w:rPr>
        <w:t>本投标价是完成本招标规定的所有工作内容的总体报价，包括按合同规定应完成的设计费和后续服务费（招标配合和施工配合）、与设计文件审查有关的各种会议的会务费以及设计人自行委托咨询的咨询费、利润、税金等与本设计有关的一切费用。</w:t>
      </w:r>
    </w:p>
    <w:p>
      <w:pPr>
        <w:pStyle w:val="2"/>
        <w:rPr>
          <w:color w:val="auto"/>
          <w:sz w:val="24"/>
          <w:highlight w:val="none"/>
        </w:rPr>
      </w:pPr>
    </w:p>
    <w:p>
      <w:pPr>
        <w:pStyle w:val="2"/>
        <w:rPr>
          <w:color w:val="auto"/>
          <w:sz w:val="24"/>
          <w:highlight w:val="none"/>
        </w:rPr>
      </w:pPr>
    </w:p>
    <w:p>
      <w:pPr>
        <w:pStyle w:val="2"/>
        <w:spacing w:before="2"/>
        <w:rPr>
          <w:color w:val="auto"/>
          <w:sz w:val="25"/>
          <w:highlight w:val="none"/>
        </w:rPr>
      </w:pPr>
    </w:p>
    <w:p>
      <w:pPr>
        <w:tabs>
          <w:tab w:val="left" w:pos="6478"/>
          <w:tab w:val="left" w:pos="6958"/>
        </w:tabs>
        <w:spacing w:before="0" w:line="364" w:lineRule="auto"/>
        <w:ind w:left="3478" w:right="626" w:firstLine="0"/>
        <w:jc w:val="left"/>
        <w:rPr>
          <w:color w:val="auto"/>
          <w:sz w:val="24"/>
          <w:highlight w:val="none"/>
        </w:rPr>
      </w:pPr>
      <w:r>
        <w:rPr>
          <w:color w:val="auto"/>
          <w:sz w:val="24"/>
          <w:highlight w:val="none"/>
        </w:rPr>
        <w:t>投标人：</w:t>
      </w:r>
      <w:r>
        <w:rPr>
          <w:color w:val="auto"/>
          <w:sz w:val="24"/>
          <w:highlight w:val="none"/>
          <w:u w:val="single"/>
        </w:rPr>
        <w:t xml:space="preserve"> </w:t>
      </w:r>
      <w:r>
        <w:rPr>
          <w:color w:val="auto"/>
          <w:sz w:val="24"/>
          <w:highlight w:val="none"/>
          <w:u w:val="single"/>
        </w:rPr>
        <w:tab/>
      </w:r>
      <w:r>
        <w:rPr>
          <w:color w:val="auto"/>
          <w:sz w:val="24"/>
          <w:highlight w:val="none"/>
        </w:rPr>
        <w:t>（全称并盖电子公章</w:t>
      </w:r>
      <w:r>
        <w:rPr>
          <w:color w:val="auto"/>
          <w:spacing w:val="-18"/>
          <w:sz w:val="24"/>
          <w:highlight w:val="none"/>
        </w:rPr>
        <w:t xml:space="preserve">） </w:t>
      </w:r>
      <w:r>
        <w:rPr>
          <w:color w:val="auto"/>
          <w:sz w:val="24"/>
          <w:highlight w:val="none"/>
        </w:rPr>
        <w:t>法定代表人：</w:t>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rPr>
        <w:t>（盖电子章）</w:t>
      </w:r>
    </w:p>
    <w:p>
      <w:pPr>
        <w:tabs>
          <w:tab w:val="left" w:pos="8758"/>
        </w:tabs>
        <w:spacing w:before="1" w:line="364" w:lineRule="auto"/>
        <w:ind w:left="3478" w:right="746" w:firstLine="0"/>
        <w:jc w:val="both"/>
        <w:rPr>
          <w:rFonts w:ascii="Times New Roman" w:eastAsia="Times New Roman"/>
          <w:color w:val="auto"/>
          <w:sz w:val="24"/>
          <w:highlight w:val="none"/>
        </w:rPr>
      </w:pPr>
      <w:r>
        <w:rPr>
          <w:color w:val="auto"/>
          <w:sz w:val="24"/>
          <w:highlight w:val="none"/>
        </w:rPr>
        <w:t>地 址：</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网 址：</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电 话：</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传 真：</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邮政编码：</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pStyle w:val="2"/>
        <w:rPr>
          <w:rFonts w:ascii="Times New Roman"/>
          <w:color w:val="auto"/>
          <w:sz w:val="20"/>
          <w:highlight w:val="none"/>
        </w:rPr>
      </w:pPr>
    </w:p>
    <w:p>
      <w:pPr>
        <w:pStyle w:val="2"/>
        <w:rPr>
          <w:rFonts w:ascii="Times New Roman"/>
          <w:color w:val="auto"/>
          <w:highlight w:val="none"/>
        </w:rPr>
      </w:pPr>
    </w:p>
    <w:p>
      <w:pPr>
        <w:tabs>
          <w:tab w:val="left" w:pos="5518"/>
          <w:tab w:val="left" w:pos="6358"/>
          <w:tab w:val="left" w:pos="7438"/>
        </w:tabs>
        <w:spacing w:before="0"/>
        <w:ind w:left="4678" w:right="0" w:firstLine="0"/>
        <w:jc w:val="left"/>
        <w:rPr>
          <w:color w:val="auto"/>
          <w:sz w:val="24"/>
          <w:highlight w:val="none"/>
        </w:rPr>
      </w:pP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u w:val="single"/>
        </w:rPr>
        <w:tab/>
      </w:r>
      <w:r>
        <w:rPr>
          <w:color w:val="auto"/>
          <w:sz w:val="24"/>
          <w:highlight w:val="none"/>
        </w:rPr>
        <w:t>月</w:t>
      </w:r>
      <w:r>
        <w:rPr>
          <w:color w:val="auto"/>
          <w:sz w:val="24"/>
          <w:highlight w:val="none"/>
          <w:u w:val="single"/>
        </w:rPr>
        <w:t xml:space="preserve"> </w:t>
      </w:r>
      <w:r>
        <w:rPr>
          <w:color w:val="auto"/>
          <w:sz w:val="24"/>
          <w:highlight w:val="none"/>
          <w:u w:val="single"/>
        </w:rPr>
        <w:tab/>
      </w:r>
      <w:r>
        <w:rPr>
          <w:color w:val="auto"/>
          <w:sz w:val="24"/>
          <w:highlight w:val="none"/>
        </w:rPr>
        <w:t>日</w:t>
      </w:r>
    </w:p>
    <w:sectPr>
      <w:pgSz w:w="11910" w:h="16840"/>
      <w:pgMar w:top="1460" w:right="1160" w:bottom="940" w:left="1240" w:header="0" w:footer="752"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隶书">
    <w:altName w:val="微软雅黑"/>
    <w:panose1 w:val="02010509060101010101"/>
    <w:charset w:val="86"/>
    <w:family w:val="modern"/>
    <w:pitch w:val="default"/>
    <w:sig w:usb0="00000000" w:usb1="00000000" w:usb2="00000000" w:usb3="00000000" w:csb0="00040000" w:csb1="00000000"/>
  </w:font>
  <w:font w:name="MS PGothic">
    <w:panose1 w:val="020B0600070205080204"/>
    <w:charset w:val="80"/>
    <w:family w:val="swiss"/>
    <w:pitch w:val="default"/>
    <w:sig w:usb0="E00002FF" w:usb1="6AC7FDFB" w:usb2="08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w:rPr>
        <w:sz w:val="12"/>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84505" cy="152400"/>
              <wp:effectExtent l="0" t="0" r="0" b="0"/>
              <wp:wrapNone/>
              <wp:docPr id="28" name="文本框 1"/>
              <wp:cNvGraphicFramePr/>
              <a:graphic xmlns:a="http://schemas.openxmlformats.org/drawingml/2006/main">
                <a:graphicData uri="http://schemas.microsoft.com/office/word/2010/wordprocessingShape">
                  <wps:wsp>
                    <wps:cNvSpPr txBox="1"/>
                    <wps:spPr>
                      <a:xfrm>
                        <a:off x="0" y="0"/>
                        <a:ext cx="484505" cy="152400"/>
                      </a:xfrm>
                      <a:prstGeom prst="rect">
                        <a:avLst/>
                      </a:prstGeom>
                      <a:noFill/>
                      <a:ln>
                        <a:noFill/>
                      </a:ln>
                    </wps:spPr>
                    <wps:txbx>
                      <w:txbxContent>
                        <w:p>
                          <w:pPr>
                            <w:spacing w:before="0"/>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10</w:t>
                          </w:r>
                          <w:r>
                            <w:fldChar w:fldCharType="end"/>
                          </w:r>
                          <w:r>
                            <w:rPr>
                              <w:rFonts w:ascii="Times New Roman" w:eastAsia="Times New Roman"/>
                              <w:sz w:val="18"/>
                            </w:rPr>
                            <w:t xml:space="preserve"> </w:t>
                          </w:r>
                          <w:r>
                            <w:rPr>
                              <w:sz w:val="18"/>
                            </w:rPr>
                            <w:t>页</w:t>
                          </w:r>
                        </w:p>
                      </w:txbxContent>
                    </wps:txbx>
                    <wps:bodyPr lIns="0" tIns="0" rIns="0" bIns="0" upright="1"/>
                  </wps:wsp>
                </a:graphicData>
              </a:graphic>
            </wp:anchor>
          </w:drawing>
        </mc:Choice>
        <mc:Fallback>
          <w:pict>
            <v:shape id="文本框 1" o:spid="_x0000_s1026" o:spt="202" type="#_x0000_t202" style="position:absolute;left:0pt;margin-top:0pt;height:12pt;width:38.15pt;mso-position-horizontal:center;mso-position-horizontal-relative:margin;z-index:251659264;mso-width-relative:page;mso-height-relative:page;" filled="f" stroked="f" coordsize="21600,21600" o:gfxdata="UEsDBAoAAAAAAIdO4kAAAAAAAAAAAAAAAAAEAAAAZHJzL1BLAwQUAAAACACHTuJARu912NQAAAAD&#10;AQAADwAAAGRycy9kb3ducmV2LnhtbE2PzU7DMBCE70i8g7VI3KjdggINcSqE4ISESMOhRyfeJlbj&#10;dYjdH96ehUu5rDSa0cy3xerkB3HAKbpAGuYzBQKpDdZRp+Gzfr15ABGTIWuGQKjhGyOsysuLwuQ2&#10;HKnCwzp1gkso5kZDn9KYSxnbHr2JszAisbcNkzeJ5dRJO5kjl/tBLpTKpDeOeKE3Iz732O7We6/h&#10;aUPVi/t6bz6qbeXqeqnoLdtpfX01V48gEp7SOQy/+IwOJTM1YU82ikEDP5L+Lnv32S2IRsPiToEs&#10;C/mfvfwBUEsDBBQAAAAIAIdO4kAkvsLjuwEAAHIDAAAOAAAAZHJzL2Uyb0RvYy54bWytU0tu2zAQ&#10;3RfIHQjuY8qGXQSC5QCBkaBA0RRIewCaIi0C/IFDW/IFmht01U33PZfP0SFtOW26yaIbajQzevPe&#10;G2p5O1hD9jKC9q6h00lFiXTCt9ptG/r1y/31DSWQuGu58U429CCB3q6u3i37UMuZ77xpZSQI4qDu&#10;Q0O7lELNGIhOWg4TH6TDovLR8oSvccvayHtEt4bNquo9631sQ/RCAmB2fSrSM2J8C6BXSgu59mJn&#10;pUsn1CgNTygJOh2ArgpbpaRIj0qBTMQ0FJWmcuIQjDf5ZKslr7eRh06LMwX+FgqvNFmuHQ69QK15&#10;4mQX9T9QVovowas0Ed6yk5DiCKqYVq+8eep4kEULWg3hYjr8P1jxaf85Et02dIZ7d9zixo/fn48/&#10;fh1/fiPT7E8foMa2p4CNabjzA96aMQ+YzLIHFW1+oiCCdXT3cHFXDokITM5v5otqQYnA0nQxm1fF&#10;ffbycYiQHqS3JAcNjbi84inff4SERLB1bMmznL/XxpQFGvdXAhtzhmXmJ4Y5SsNmOMvZ+PaAaswH&#10;h1bmazEGcQw2Y7ALUW87pFM0F0hcRSFzvjZ513++l8Evv8r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bvddjUAAAAAwEAAA8AAAAAAAAAAQAgAAAAIgAAAGRycy9kb3ducmV2LnhtbFBLAQIUABQA&#10;AAAIAIdO4kAkvsLjuwEAAHIDAAAOAAAAAAAAAAEAIAAAACMBAABkcnMvZTJvRG9jLnhtbFBLBQYA&#10;AAAABgAGAFkBAABQBQAAAAA=&#10;">
              <v:fill on="f" focussize="0,0"/>
              <v:stroke on="f"/>
              <v:imagedata o:title=""/>
              <o:lock v:ext="edit" aspectratio="f"/>
              <v:textbox inset="0mm,0mm,0mm,0mm">
                <w:txbxContent>
                  <w:p>
                    <w:pPr>
                      <w:spacing w:before="0"/>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10</w:t>
                    </w:r>
                    <w:r>
                      <w:fldChar w:fldCharType="end"/>
                    </w:r>
                    <w:r>
                      <w:rPr>
                        <w:rFonts w:ascii="Times New Roman" w:eastAsia="Times New Roman"/>
                        <w:sz w:val="18"/>
                      </w:rPr>
                      <w:t xml:space="preserve"> </w:t>
                    </w:r>
                    <w:r>
                      <w:rPr>
                        <w:sz w:val="18"/>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90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90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84505" cy="152400"/>
              <wp:effectExtent l="0" t="0" r="0" b="0"/>
              <wp:wrapNone/>
              <wp:docPr id="29" name="文本框 2"/>
              <wp:cNvGraphicFramePr/>
              <a:graphic xmlns:a="http://schemas.openxmlformats.org/drawingml/2006/main">
                <a:graphicData uri="http://schemas.microsoft.com/office/word/2010/wordprocessingShape">
                  <wps:wsp>
                    <wps:cNvSpPr txBox="1"/>
                    <wps:spPr>
                      <a:xfrm>
                        <a:off x="0" y="0"/>
                        <a:ext cx="484505" cy="152400"/>
                      </a:xfrm>
                      <a:prstGeom prst="rect">
                        <a:avLst/>
                      </a:prstGeom>
                      <a:noFill/>
                      <a:ln>
                        <a:noFill/>
                      </a:ln>
                    </wps:spPr>
                    <wps:txbx>
                      <w:txbxContent>
                        <w:p>
                          <w:pPr>
                            <w:spacing w:before="0"/>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94</w:t>
                          </w:r>
                          <w:r>
                            <w:fldChar w:fldCharType="end"/>
                          </w:r>
                          <w:r>
                            <w:rPr>
                              <w:rFonts w:ascii="Times New Roman" w:eastAsia="Times New Roman"/>
                              <w:sz w:val="18"/>
                            </w:rPr>
                            <w:t xml:space="preserve"> </w:t>
                          </w:r>
                          <w:r>
                            <w:rPr>
                              <w:sz w:val="18"/>
                            </w:rPr>
                            <w:t>页</w:t>
                          </w:r>
                        </w:p>
                      </w:txbxContent>
                    </wps:txbx>
                    <wps:bodyPr lIns="0" tIns="0" rIns="0" bIns="0" upright="1"/>
                  </wps:wsp>
                </a:graphicData>
              </a:graphic>
            </wp:anchor>
          </w:drawing>
        </mc:Choice>
        <mc:Fallback>
          <w:pict>
            <v:shape id="文本框 2" o:spid="_x0000_s1026" o:spt="202" type="#_x0000_t202" style="position:absolute;left:0pt;margin-top:0pt;height:12pt;width:38.15pt;mso-position-horizontal:center;mso-position-horizontal-relative:margin;z-index:251660288;mso-width-relative:page;mso-height-relative:page;" filled="f" stroked="f" coordsize="21600,21600" o:gfxdata="UEsDBAoAAAAAAIdO4kAAAAAAAAAAAAAAAAAEAAAAZHJzL1BLAwQUAAAACACHTuJARu912NQAAAAD&#10;AQAADwAAAGRycy9kb3ducmV2LnhtbE2PzU7DMBCE70i8g7VI3KjdggINcSqE4ISESMOhRyfeJlbj&#10;dYjdH96ehUu5rDSa0cy3xerkB3HAKbpAGuYzBQKpDdZRp+Gzfr15ABGTIWuGQKjhGyOsysuLwuQ2&#10;HKnCwzp1gkso5kZDn9KYSxnbHr2JszAisbcNkzeJ5dRJO5kjl/tBLpTKpDeOeKE3Iz732O7We6/h&#10;aUPVi/t6bz6qbeXqeqnoLdtpfX01V48gEp7SOQy/+IwOJTM1YU82ikEDP5L+Lnv32S2IRsPiToEs&#10;C/mfvfwBUEsDBBQAAAAIAIdO4kANIr/luwEAAHIDAAAOAAAAZHJzL2Uyb0RvYy54bWytU8GO0zAQ&#10;vSPxD5bv1GnUoiVquhKqFiEhQFr2A1zHbizZHst2m/QH4A84ceHOd/U7GLtNF5bLHrg4k5nJm/fe&#10;OKvb0RpykCFqcC2dzypKpBPQabdr6cOXu1c3lMTEXccNONnSo4z0dv3yxWrwjayhB9PJQBDExWbw&#10;Le1T8g1jUfTS8jgDLx0WFQTLE76GHesCHxDdGlZX1Ws2QOh8ACFjxOzmXKQXxPAcQFBKC7kBsbfS&#10;pTNqkIYnlBR77SNdF7ZKSZE+KRVlIqalqDSVE4dgvM0nW694swvc91pcKPDnUHiiyXLtcOgVasMT&#10;J/ug/4GyWgSIoNJMgGVnIcURVDGvnnhz33Mvixa0Ovqr6fH/wYqPh8+B6K6l9RtKHLe48dP3b6cf&#10;v04/v5I6+zP42GDbvcfGNL6FEW/NlI+YzLJHFWx+oiCCdXT3eHVXjokITC5uFstqSYnA0nxZL6ri&#10;Pnv82IeY3kmwJActDbi84ik/fIgJiWDr1JJnObjTxpQFGvdXAhtzhmXmZ4Y5SuN2vMjZQndENea9&#10;QyvztZiCMAXbKdj7oHc90imaCySuopC5XJu86z/fy+DHX2X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bvddjUAAAAAwEAAA8AAAAAAAAAAQAgAAAAIgAAAGRycy9kb3ducmV2LnhtbFBLAQIUABQA&#10;AAAIAIdO4kANIr/luwEAAHIDAAAOAAAAAAAAAAEAIAAAACMBAABkcnMvZTJvRG9jLnhtbFBLBQYA&#10;AAAABgAGAFkBAABQBQAAAAA=&#10;">
              <v:fill on="f" focussize="0,0"/>
              <v:stroke on="f"/>
              <v:imagedata o:title=""/>
              <o:lock v:ext="edit" aspectratio="f"/>
              <v:textbox inset="0mm,0mm,0mm,0mm">
                <w:txbxContent>
                  <w:p>
                    <w:pPr>
                      <w:spacing w:before="0"/>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94</w:t>
                    </w:r>
                    <w:r>
                      <w:fldChar w:fldCharType="end"/>
                    </w:r>
                    <w:r>
                      <w:rPr>
                        <w:rFonts w:ascii="Times New Roman" w:eastAsia="Times New Roman"/>
                        <w:sz w:val="18"/>
                      </w:rPr>
                      <w:t xml:space="preserve"> </w:t>
                    </w:r>
                    <w:r>
                      <w:rPr>
                        <w:sz w:val="18"/>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13" w:hanging="542"/>
        <w:jc w:val="left"/>
      </w:pPr>
      <w:rPr>
        <w:rFonts w:hint="default" w:ascii="宋体" w:hAnsi="宋体" w:eastAsia="宋体" w:cs="宋体"/>
        <w:spacing w:val="-48"/>
        <w:w w:val="100"/>
        <w:sz w:val="19"/>
        <w:szCs w:val="19"/>
        <w:lang w:val="zh-CN" w:eastAsia="zh-CN" w:bidi="zh-CN"/>
      </w:rPr>
    </w:lvl>
    <w:lvl w:ilvl="1" w:tentative="0">
      <w:start w:val="0"/>
      <w:numFmt w:val="bullet"/>
      <w:lvlText w:val="•"/>
      <w:lvlJc w:val="left"/>
      <w:pPr>
        <w:ind w:left="760" w:hanging="542"/>
      </w:pPr>
      <w:rPr>
        <w:rFonts w:hint="default"/>
        <w:lang w:val="zh-CN" w:eastAsia="zh-CN" w:bidi="zh-CN"/>
      </w:rPr>
    </w:lvl>
    <w:lvl w:ilvl="2" w:tentative="0">
      <w:start w:val="0"/>
      <w:numFmt w:val="bullet"/>
      <w:lvlText w:val="•"/>
      <w:lvlJc w:val="left"/>
      <w:pPr>
        <w:ind w:left="1401" w:hanging="542"/>
      </w:pPr>
      <w:rPr>
        <w:rFonts w:hint="default"/>
        <w:lang w:val="zh-CN" w:eastAsia="zh-CN" w:bidi="zh-CN"/>
      </w:rPr>
    </w:lvl>
    <w:lvl w:ilvl="3" w:tentative="0">
      <w:start w:val="0"/>
      <w:numFmt w:val="bullet"/>
      <w:lvlText w:val="•"/>
      <w:lvlJc w:val="left"/>
      <w:pPr>
        <w:ind w:left="2041" w:hanging="542"/>
      </w:pPr>
      <w:rPr>
        <w:rFonts w:hint="default"/>
        <w:lang w:val="zh-CN" w:eastAsia="zh-CN" w:bidi="zh-CN"/>
      </w:rPr>
    </w:lvl>
    <w:lvl w:ilvl="4" w:tentative="0">
      <w:start w:val="0"/>
      <w:numFmt w:val="bullet"/>
      <w:lvlText w:val="•"/>
      <w:lvlJc w:val="left"/>
      <w:pPr>
        <w:ind w:left="2682" w:hanging="542"/>
      </w:pPr>
      <w:rPr>
        <w:rFonts w:hint="default"/>
        <w:lang w:val="zh-CN" w:eastAsia="zh-CN" w:bidi="zh-CN"/>
      </w:rPr>
    </w:lvl>
    <w:lvl w:ilvl="5" w:tentative="0">
      <w:start w:val="0"/>
      <w:numFmt w:val="bullet"/>
      <w:lvlText w:val="•"/>
      <w:lvlJc w:val="left"/>
      <w:pPr>
        <w:ind w:left="3322" w:hanging="542"/>
      </w:pPr>
      <w:rPr>
        <w:rFonts w:hint="default"/>
        <w:lang w:val="zh-CN" w:eastAsia="zh-CN" w:bidi="zh-CN"/>
      </w:rPr>
    </w:lvl>
    <w:lvl w:ilvl="6" w:tentative="0">
      <w:start w:val="0"/>
      <w:numFmt w:val="bullet"/>
      <w:lvlText w:val="•"/>
      <w:lvlJc w:val="left"/>
      <w:pPr>
        <w:ind w:left="3963" w:hanging="542"/>
      </w:pPr>
      <w:rPr>
        <w:rFonts w:hint="default"/>
        <w:lang w:val="zh-CN" w:eastAsia="zh-CN" w:bidi="zh-CN"/>
      </w:rPr>
    </w:lvl>
    <w:lvl w:ilvl="7" w:tentative="0">
      <w:start w:val="0"/>
      <w:numFmt w:val="bullet"/>
      <w:lvlText w:val="•"/>
      <w:lvlJc w:val="left"/>
      <w:pPr>
        <w:ind w:left="4603" w:hanging="542"/>
      </w:pPr>
      <w:rPr>
        <w:rFonts w:hint="default"/>
        <w:lang w:val="zh-CN" w:eastAsia="zh-CN" w:bidi="zh-CN"/>
      </w:rPr>
    </w:lvl>
    <w:lvl w:ilvl="8" w:tentative="0">
      <w:start w:val="0"/>
      <w:numFmt w:val="bullet"/>
      <w:lvlText w:val="•"/>
      <w:lvlJc w:val="left"/>
      <w:pPr>
        <w:ind w:left="5244" w:hanging="542"/>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1202" w:hanging="322"/>
        <w:jc w:val="left"/>
      </w:pPr>
      <w:rPr>
        <w:rFonts w:hint="default" w:ascii="Arial" w:hAnsi="Arial" w:eastAsia="Arial" w:cs="Arial"/>
        <w:b/>
        <w:bCs/>
        <w:w w:val="99"/>
        <w:sz w:val="24"/>
        <w:szCs w:val="24"/>
        <w:lang w:val="zh-CN" w:eastAsia="zh-CN" w:bidi="zh-CN"/>
      </w:rPr>
    </w:lvl>
    <w:lvl w:ilvl="1" w:tentative="0">
      <w:start w:val="1"/>
      <w:numFmt w:val="decimal"/>
      <w:lvlText w:val="%1.%2"/>
      <w:lvlJc w:val="left"/>
      <w:pPr>
        <w:ind w:left="878" w:hanging="396"/>
        <w:jc w:val="left"/>
      </w:pPr>
      <w:rPr>
        <w:rFonts w:hint="default"/>
        <w:b/>
        <w:bCs/>
        <w:w w:val="99"/>
        <w:lang w:val="zh-CN" w:eastAsia="zh-CN" w:bidi="zh-CN"/>
      </w:rPr>
    </w:lvl>
    <w:lvl w:ilvl="2" w:tentative="0">
      <w:start w:val="0"/>
      <w:numFmt w:val="bullet"/>
      <w:lvlText w:val="•"/>
      <w:lvlJc w:val="left"/>
      <w:pPr>
        <w:ind w:left="1340" w:hanging="396"/>
      </w:pPr>
      <w:rPr>
        <w:rFonts w:hint="default"/>
        <w:lang w:val="zh-CN" w:eastAsia="zh-CN" w:bidi="zh-CN"/>
      </w:rPr>
    </w:lvl>
    <w:lvl w:ilvl="3" w:tentative="0">
      <w:start w:val="0"/>
      <w:numFmt w:val="bullet"/>
      <w:lvlText w:val="•"/>
      <w:lvlJc w:val="left"/>
      <w:pPr>
        <w:ind w:left="2433" w:hanging="396"/>
      </w:pPr>
      <w:rPr>
        <w:rFonts w:hint="default"/>
        <w:lang w:val="zh-CN" w:eastAsia="zh-CN" w:bidi="zh-CN"/>
      </w:rPr>
    </w:lvl>
    <w:lvl w:ilvl="4" w:tentative="0">
      <w:start w:val="0"/>
      <w:numFmt w:val="bullet"/>
      <w:lvlText w:val="•"/>
      <w:lvlJc w:val="left"/>
      <w:pPr>
        <w:ind w:left="3526" w:hanging="396"/>
      </w:pPr>
      <w:rPr>
        <w:rFonts w:hint="default"/>
        <w:lang w:val="zh-CN" w:eastAsia="zh-CN" w:bidi="zh-CN"/>
      </w:rPr>
    </w:lvl>
    <w:lvl w:ilvl="5" w:tentative="0">
      <w:start w:val="0"/>
      <w:numFmt w:val="bullet"/>
      <w:lvlText w:val="•"/>
      <w:lvlJc w:val="left"/>
      <w:pPr>
        <w:ind w:left="4619" w:hanging="396"/>
      </w:pPr>
      <w:rPr>
        <w:rFonts w:hint="default"/>
        <w:lang w:val="zh-CN" w:eastAsia="zh-CN" w:bidi="zh-CN"/>
      </w:rPr>
    </w:lvl>
    <w:lvl w:ilvl="6" w:tentative="0">
      <w:start w:val="0"/>
      <w:numFmt w:val="bullet"/>
      <w:lvlText w:val="•"/>
      <w:lvlJc w:val="left"/>
      <w:pPr>
        <w:ind w:left="5713" w:hanging="396"/>
      </w:pPr>
      <w:rPr>
        <w:rFonts w:hint="default"/>
        <w:lang w:val="zh-CN" w:eastAsia="zh-CN" w:bidi="zh-CN"/>
      </w:rPr>
    </w:lvl>
    <w:lvl w:ilvl="7" w:tentative="0">
      <w:start w:val="0"/>
      <w:numFmt w:val="bullet"/>
      <w:lvlText w:val="•"/>
      <w:lvlJc w:val="left"/>
      <w:pPr>
        <w:ind w:left="6806" w:hanging="396"/>
      </w:pPr>
      <w:rPr>
        <w:rFonts w:hint="default"/>
        <w:lang w:val="zh-CN" w:eastAsia="zh-CN" w:bidi="zh-CN"/>
      </w:rPr>
    </w:lvl>
    <w:lvl w:ilvl="8" w:tentative="0">
      <w:start w:val="0"/>
      <w:numFmt w:val="bullet"/>
      <w:lvlText w:val="•"/>
      <w:lvlJc w:val="left"/>
      <w:pPr>
        <w:ind w:left="7899" w:hanging="396"/>
      </w:pPr>
      <w:rPr>
        <w:rFonts w:hint="default"/>
        <w:lang w:val="zh-CN" w:eastAsia="zh-CN" w:bidi="zh-CN"/>
      </w:rPr>
    </w:lvl>
  </w:abstractNum>
  <w:abstractNum w:abstractNumId="2">
    <w:nsid w:val="8CAEB125"/>
    <w:multiLevelType w:val="multilevel"/>
    <w:tmpl w:val="8CAEB125"/>
    <w:lvl w:ilvl="0" w:tentative="0">
      <w:start w:val="3"/>
      <w:numFmt w:val="decimal"/>
      <w:lvlText w:val="%1"/>
      <w:lvlJc w:val="left"/>
      <w:pPr>
        <w:ind w:left="398" w:hanging="636"/>
        <w:jc w:val="left"/>
      </w:pPr>
      <w:rPr>
        <w:rFonts w:hint="default"/>
        <w:lang w:val="zh-CN" w:eastAsia="zh-CN" w:bidi="zh-CN"/>
      </w:rPr>
    </w:lvl>
    <w:lvl w:ilvl="1" w:tentative="0">
      <w:start w:val="4"/>
      <w:numFmt w:val="decimal"/>
      <w:lvlText w:val="%1.%2"/>
      <w:lvlJc w:val="left"/>
      <w:pPr>
        <w:ind w:left="398" w:hanging="636"/>
        <w:jc w:val="left"/>
      </w:pPr>
      <w:rPr>
        <w:rFonts w:hint="default"/>
        <w:lang w:val="zh-CN" w:eastAsia="zh-CN" w:bidi="zh-CN"/>
      </w:rPr>
    </w:lvl>
    <w:lvl w:ilvl="2" w:tentative="0">
      <w:start w:val="4"/>
      <w:numFmt w:val="decimal"/>
      <w:lvlText w:val="%1.%2.%3"/>
      <w:lvlJc w:val="left"/>
      <w:pPr>
        <w:ind w:left="398" w:hanging="636"/>
        <w:jc w:val="left"/>
      </w:pPr>
      <w:rPr>
        <w:rFonts w:hint="default" w:ascii="Arial" w:hAnsi="Arial" w:eastAsia="Arial" w:cs="Arial"/>
        <w:w w:val="99"/>
        <w:sz w:val="24"/>
        <w:szCs w:val="24"/>
        <w:lang w:val="zh-CN" w:eastAsia="zh-CN" w:bidi="zh-CN"/>
      </w:rPr>
    </w:lvl>
    <w:lvl w:ilvl="3" w:tentative="0">
      <w:start w:val="0"/>
      <w:numFmt w:val="bullet"/>
      <w:lvlText w:val="•"/>
      <w:lvlJc w:val="left"/>
      <w:pPr>
        <w:ind w:left="3305" w:hanging="636"/>
      </w:pPr>
      <w:rPr>
        <w:rFonts w:hint="default"/>
        <w:lang w:val="zh-CN" w:eastAsia="zh-CN" w:bidi="zh-CN"/>
      </w:rPr>
    </w:lvl>
    <w:lvl w:ilvl="4" w:tentative="0">
      <w:start w:val="0"/>
      <w:numFmt w:val="bullet"/>
      <w:lvlText w:val="•"/>
      <w:lvlJc w:val="left"/>
      <w:pPr>
        <w:ind w:left="4274" w:hanging="636"/>
      </w:pPr>
      <w:rPr>
        <w:rFonts w:hint="default"/>
        <w:lang w:val="zh-CN" w:eastAsia="zh-CN" w:bidi="zh-CN"/>
      </w:rPr>
    </w:lvl>
    <w:lvl w:ilvl="5" w:tentative="0">
      <w:start w:val="0"/>
      <w:numFmt w:val="bullet"/>
      <w:lvlText w:val="•"/>
      <w:lvlJc w:val="left"/>
      <w:pPr>
        <w:ind w:left="5243" w:hanging="636"/>
      </w:pPr>
      <w:rPr>
        <w:rFonts w:hint="default"/>
        <w:lang w:val="zh-CN" w:eastAsia="zh-CN" w:bidi="zh-CN"/>
      </w:rPr>
    </w:lvl>
    <w:lvl w:ilvl="6" w:tentative="0">
      <w:start w:val="0"/>
      <w:numFmt w:val="bullet"/>
      <w:lvlText w:val="•"/>
      <w:lvlJc w:val="left"/>
      <w:pPr>
        <w:ind w:left="6211" w:hanging="636"/>
      </w:pPr>
      <w:rPr>
        <w:rFonts w:hint="default"/>
        <w:lang w:val="zh-CN" w:eastAsia="zh-CN" w:bidi="zh-CN"/>
      </w:rPr>
    </w:lvl>
    <w:lvl w:ilvl="7" w:tentative="0">
      <w:start w:val="0"/>
      <w:numFmt w:val="bullet"/>
      <w:lvlText w:val="•"/>
      <w:lvlJc w:val="left"/>
      <w:pPr>
        <w:ind w:left="7180" w:hanging="636"/>
      </w:pPr>
      <w:rPr>
        <w:rFonts w:hint="default"/>
        <w:lang w:val="zh-CN" w:eastAsia="zh-CN" w:bidi="zh-CN"/>
      </w:rPr>
    </w:lvl>
    <w:lvl w:ilvl="8" w:tentative="0">
      <w:start w:val="0"/>
      <w:numFmt w:val="bullet"/>
      <w:lvlText w:val="•"/>
      <w:lvlJc w:val="left"/>
      <w:pPr>
        <w:ind w:left="8149" w:hanging="636"/>
      </w:pPr>
      <w:rPr>
        <w:rFonts w:hint="default"/>
        <w:lang w:val="zh-CN" w:eastAsia="zh-CN" w:bidi="zh-CN"/>
      </w:rPr>
    </w:lvl>
  </w:abstractNum>
  <w:abstractNum w:abstractNumId="3">
    <w:nsid w:val="91995D4F"/>
    <w:multiLevelType w:val="multilevel"/>
    <w:tmpl w:val="91995D4F"/>
    <w:lvl w:ilvl="0" w:tentative="0">
      <w:start w:val="1"/>
      <w:numFmt w:val="decimal"/>
      <w:lvlText w:val="（%1）"/>
      <w:lvlJc w:val="left"/>
      <w:pPr>
        <w:ind w:left="398" w:hanging="542"/>
        <w:jc w:val="left"/>
      </w:pPr>
      <w:rPr>
        <w:rFonts w:hint="default" w:ascii="宋体" w:hAnsi="宋体" w:eastAsia="宋体" w:cs="宋体"/>
        <w:spacing w:val="-29"/>
        <w:w w:val="100"/>
        <w:sz w:val="19"/>
        <w:szCs w:val="19"/>
        <w:lang w:val="zh-CN" w:eastAsia="zh-CN" w:bidi="zh-CN"/>
      </w:rPr>
    </w:lvl>
    <w:lvl w:ilvl="1" w:tentative="0">
      <w:start w:val="0"/>
      <w:numFmt w:val="bullet"/>
      <w:lvlText w:val="•"/>
      <w:lvlJc w:val="left"/>
      <w:pPr>
        <w:ind w:left="1368" w:hanging="542"/>
      </w:pPr>
      <w:rPr>
        <w:rFonts w:hint="default"/>
        <w:lang w:val="zh-CN" w:eastAsia="zh-CN" w:bidi="zh-CN"/>
      </w:rPr>
    </w:lvl>
    <w:lvl w:ilvl="2" w:tentative="0">
      <w:start w:val="0"/>
      <w:numFmt w:val="bullet"/>
      <w:lvlText w:val="•"/>
      <w:lvlJc w:val="left"/>
      <w:pPr>
        <w:ind w:left="2337" w:hanging="542"/>
      </w:pPr>
      <w:rPr>
        <w:rFonts w:hint="default"/>
        <w:lang w:val="zh-CN" w:eastAsia="zh-CN" w:bidi="zh-CN"/>
      </w:rPr>
    </w:lvl>
    <w:lvl w:ilvl="3" w:tentative="0">
      <w:start w:val="0"/>
      <w:numFmt w:val="bullet"/>
      <w:lvlText w:val="•"/>
      <w:lvlJc w:val="left"/>
      <w:pPr>
        <w:ind w:left="3305" w:hanging="542"/>
      </w:pPr>
      <w:rPr>
        <w:rFonts w:hint="default"/>
        <w:lang w:val="zh-CN" w:eastAsia="zh-CN" w:bidi="zh-CN"/>
      </w:rPr>
    </w:lvl>
    <w:lvl w:ilvl="4" w:tentative="0">
      <w:start w:val="0"/>
      <w:numFmt w:val="bullet"/>
      <w:lvlText w:val="•"/>
      <w:lvlJc w:val="left"/>
      <w:pPr>
        <w:ind w:left="4274" w:hanging="542"/>
      </w:pPr>
      <w:rPr>
        <w:rFonts w:hint="default"/>
        <w:lang w:val="zh-CN" w:eastAsia="zh-CN" w:bidi="zh-CN"/>
      </w:rPr>
    </w:lvl>
    <w:lvl w:ilvl="5" w:tentative="0">
      <w:start w:val="0"/>
      <w:numFmt w:val="bullet"/>
      <w:lvlText w:val="•"/>
      <w:lvlJc w:val="left"/>
      <w:pPr>
        <w:ind w:left="5243" w:hanging="542"/>
      </w:pPr>
      <w:rPr>
        <w:rFonts w:hint="default"/>
        <w:lang w:val="zh-CN" w:eastAsia="zh-CN" w:bidi="zh-CN"/>
      </w:rPr>
    </w:lvl>
    <w:lvl w:ilvl="6" w:tentative="0">
      <w:start w:val="0"/>
      <w:numFmt w:val="bullet"/>
      <w:lvlText w:val="•"/>
      <w:lvlJc w:val="left"/>
      <w:pPr>
        <w:ind w:left="6211" w:hanging="542"/>
      </w:pPr>
      <w:rPr>
        <w:rFonts w:hint="default"/>
        <w:lang w:val="zh-CN" w:eastAsia="zh-CN" w:bidi="zh-CN"/>
      </w:rPr>
    </w:lvl>
    <w:lvl w:ilvl="7" w:tentative="0">
      <w:start w:val="0"/>
      <w:numFmt w:val="bullet"/>
      <w:lvlText w:val="•"/>
      <w:lvlJc w:val="left"/>
      <w:pPr>
        <w:ind w:left="7180" w:hanging="542"/>
      </w:pPr>
      <w:rPr>
        <w:rFonts w:hint="default"/>
        <w:lang w:val="zh-CN" w:eastAsia="zh-CN" w:bidi="zh-CN"/>
      </w:rPr>
    </w:lvl>
    <w:lvl w:ilvl="8" w:tentative="0">
      <w:start w:val="0"/>
      <w:numFmt w:val="bullet"/>
      <w:lvlText w:val="•"/>
      <w:lvlJc w:val="left"/>
      <w:pPr>
        <w:ind w:left="8149" w:hanging="542"/>
      </w:pPr>
      <w:rPr>
        <w:rFonts w:hint="default"/>
        <w:lang w:val="zh-CN" w:eastAsia="zh-CN" w:bidi="zh-CN"/>
      </w:rPr>
    </w:lvl>
  </w:abstractNum>
  <w:abstractNum w:abstractNumId="4">
    <w:nsid w:val="9239341B"/>
    <w:multiLevelType w:val="multilevel"/>
    <w:tmpl w:val="9239341B"/>
    <w:lvl w:ilvl="0" w:tentative="0">
      <w:start w:val="0"/>
      <w:numFmt w:val="bullet"/>
      <w:lvlText w:val=""/>
      <w:lvlJc w:val="left"/>
      <w:pPr>
        <w:ind w:left="670" w:hanging="188"/>
      </w:pPr>
      <w:rPr>
        <w:rFonts w:ascii="Wingdings" w:hAnsi="Wingdings" w:eastAsia="Times New Roman"/>
        <w:w w:val="99"/>
        <w:sz w:val="19"/>
      </w:rPr>
    </w:lvl>
    <w:lvl w:ilvl="1" w:tentative="0">
      <w:start w:val="0"/>
      <w:numFmt w:val="bullet"/>
      <w:lvlText w:val="•"/>
      <w:lvlJc w:val="left"/>
      <w:pPr>
        <w:ind w:left="1318" w:hanging="188"/>
      </w:pPr>
    </w:lvl>
    <w:lvl w:ilvl="2" w:tentative="0">
      <w:start w:val="0"/>
      <w:numFmt w:val="bullet"/>
      <w:lvlText w:val="•"/>
      <w:lvlJc w:val="left"/>
      <w:pPr>
        <w:ind w:left="1956" w:hanging="188"/>
      </w:pPr>
    </w:lvl>
    <w:lvl w:ilvl="3" w:tentative="0">
      <w:start w:val="0"/>
      <w:numFmt w:val="bullet"/>
      <w:lvlText w:val="•"/>
      <w:lvlJc w:val="left"/>
      <w:pPr>
        <w:ind w:left="2594" w:hanging="188"/>
      </w:pPr>
    </w:lvl>
    <w:lvl w:ilvl="4" w:tentative="0">
      <w:start w:val="0"/>
      <w:numFmt w:val="bullet"/>
      <w:lvlText w:val="•"/>
      <w:lvlJc w:val="left"/>
      <w:pPr>
        <w:ind w:left="3232" w:hanging="188"/>
      </w:pPr>
    </w:lvl>
    <w:lvl w:ilvl="5" w:tentative="0">
      <w:start w:val="0"/>
      <w:numFmt w:val="bullet"/>
      <w:lvlText w:val="•"/>
      <w:lvlJc w:val="left"/>
      <w:pPr>
        <w:ind w:left="3870" w:hanging="188"/>
      </w:pPr>
    </w:lvl>
    <w:lvl w:ilvl="6" w:tentative="0">
      <w:start w:val="0"/>
      <w:numFmt w:val="bullet"/>
      <w:lvlText w:val="•"/>
      <w:lvlJc w:val="left"/>
      <w:pPr>
        <w:ind w:left="4508" w:hanging="188"/>
      </w:pPr>
    </w:lvl>
    <w:lvl w:ilvl="7" w:tentative="0">
      <w:start w:val="0"/>
      <w:numFmt w:val="bullet"/>
      <w:lvlText w:val="•"/>
      <w:lvlJc w:val="left"/>
      <w:pPr>
        <w:ind w:left="5146" w:hanging="188"/>
      </w:pPr>
    </w:lvl>
    <w:lvl w:ilvl="8" w:tentative="0">
      <w:start w:val="0"/>
      <w:numFmt w:val="bullet"/>
      <w:lvlText w:val="•"/>
      <w:lvlJc w:val="left"/>
      <w:pPr>
        <w:ind w:left="5784" w:hanging="188"/>
      </w:pPr>
    </w:lvl>
  </w:abstractNum>
  <w:abstractNum w:abstractNumId="5">
    <w:nsid w:val="B8CEF35B"/>
    <w:multiLevelType w:val="multilevel"/>
    <w:tmpl w:val="B8CEF35B"/>
    <w:lvl w:ilvl="0" w:tentative="0">
      <w:start w:val="1"/>
      <w:numFmt w:val="decimal"/>
      <w:lvlText w:val="（%1）"/>
      <w:lvlJc w:val="left"/>
      <w:pPr>
        <w:ind w:left="398" w:hanging="539"/>
        <w:jc w:val="left"/>
      </w:pPr>
      <w:rPr>
        <w:rFonts w:hint="default" w:ascii="宋体" w:hAnsi="宋体" w:eastAsia="宋体" w:cs="宋体"/>
        <w:spacing w:val="-41"/>
        <w:w w:val="100"/>
        <w:sz w:val="19"/>
        <w:szCs w:val="19"/>
        <w:lang w:val="zh-CN" w:eastAsia="zh-CN" w:bidi="zh-CN"/>
      </w:rPr>
    </w:lvl>
    <w:lvl w:ilvl="1" w:tentative="0">
      <w:start w:val="0"/>
      <w:numFmt w:val="bullet"/>
      <w:lvlText w:val="•"/>
      <w:lvlJc w:val="left"/>
      <w:pPr>
        <w:ind w:left="1368" w:hanging="539"/>
      </w:pPr>
      <w:rPr>
        <w:rFonts w:hint="default"/>
        <w:lang w:val="zh-CN" w:eastAsia="zh-CN" w:bidi="zh-CN"/>
      </w:rPr>
    </w:lvl>
    <w:lvl w:ilvl="2" w:tentative="0">
      <w:start w:val="0"/>
      <w:numFmt w:val="bullet"/>
      <w:lvlText w:val="•"/>
      <w:lvlJc w:val="left"/>
      <w:pPr>
        <w:ind w:left="2337" w:hanging="539"/>
      </w:pPr>
      <w:rPr>
        <w:rFonts w:hint="default"/>
        <w:lang w:val="zh-CN" w:eastAsia="zh-CN" w:bidi="zh-CN"/>
      </w:rPr>
    </w:lvl>
    <w:lvl w:ilvl="3" w:tentative="0">
      <w:start w:val="0"/>
      <w:numFmt w:val="bullet"/>
      <w:lvlText w:val="•"/>
      <w:lvlJc w:val="left"/>
      <w:pPr>
        <w:ind w:left="3305" w:hanging="539"/>
      </w:pPr>
      <w:rPr>
        <w:rFonts w:hint="default"/>
        <w:lang w:val="zh-CN" w:eastAsia="zh-CN" w:bidi="zh-CN"/>
      </w:rPr>
    </w:lvl>
    <w:lvl w:ilvl="4" w:tentative="0">
      <w:start w:val="0"/>
      <w:numFmt w:val="bullet"/>
      <w:lvlText w:val="•"/>
      <w:lvlJc w:val="left"/>
      <w:pPr>
        <w:ind w:left="4274" w:hanging="539"/>
      </w:pPr>
      <w:rPr>
        <w:rFonts w:hint="default"/>
        <w:lang w:val="zh-CN" w:eastAsia="zh-CN" w:bidi="zh-CN"/>
      </w:rPr>
    </w:lvl>
    <w:lvl w:ilvl="5" w:tentative="0">
      <w:start w:val="0"/>
      <w:numFmt w:val="bullet"/>
      <w:lvlText w:val="•"/>
      <w:lvlJc w:val="left"/>
      <w:pPr>
        <w:ind w:left="5243" w:hanging="539"/>
      </w:pPr>
      <w:rPr>
        <w:rFonts w:hint="default"/>
        <w:lang w:val="zh-CN" w:eastAsia="zh-CN" w:bidi="zh-CN"/>
      </w:rPr>
    </w:lvl>
    <w:lvl w:ilvl="6" w:tentative="0">
      <w:start w:val="0"/>
      <w:numFmt w:val="bullet"/>
      <w:lvlText w:val="•"/>
      <w:lvlJc w:val="left"/>
      <w:pPr>
        <w:ind w:left="6211" w:hanging="539"/>
      </w:pPr>
      <w:rPr>
        <w:rFonts w:hint="default"/>
        <w:lang w:val="zh-CN" w:eastAsia="zh-CN" w:bidi="zh-CN"/>
      </w:rPr>
    </w:lvl>
    <w:lvl w:ilvl="7" w:tentative="0">
      <w:start w:val="0"/>
      <w:numFmt w:val="bullet"/>
      <w:lvlText w:val="•"/>
      <w:lvlJc w:val="left"/>
      <w:pPr>
        <w:ind w:left="7180" w:hanging="539"/>
      </w:pPr>
      <w:rPr>
        <w:rFonts w:hint="default"/>
        <w:lang w:val="zh-CN" w:eastAsia="zh-CN" w:bidi="zh-CN"/>
      </w:rPr>
    </w:lvl>
    <w:lvl w:ilvl="8" w:tentative="0">
      <w:start w:val="0"/>
      <w:numFmt w:val="bullet"/>
      <w:lvlText w:val="•"/>
      <w:lvlJc w:val="left"/>
      <w:pPr>
        <w:ind w:left="8149" w:hanging="539"/>
      </w:pPr>
      <w:rPr>
        <w:rFonts w:hint="default"/>
        <w:lang w:val="zh-CN" w:eastAsia="zh-CN" w:bidi="zh-CN"/>
      </w:rPr>
    </w:lvl>
  </w:abstractNum>
  <w:abstractNum w:abstractNumId="6">
    <w:nsid w:val="BB64CFA9"/>
    <w:multiLevelType w:val="multilevel"/>
    <w:tmpl w:val="BB64CFA9"/>
    <w:lvl w:ilvl="0" w:tentative="0">
      <w:start w:val="1"/>
      <w:numFmt w:val="decimal"/>
      <w:lvlText w:val="（%1）"/>
      <w:lvlJc w:val="left"/>
      <w:pPr>
        <w:ind w:left="1359" w:hanging="542"/>
        <w:jc w:val="righ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232" w:hanging="542"/>
      </w:pPr>
      <w:rPr>
        <w:rFonts w:hint="default"/>
        <w:lang w:val="zh-CN" w:eastAsia="zh-CN" w:bidi="zh-CN"/>
      </w:rPr>
    </w:lvl>
    <w:lvl w:ilvl="2" w:tentative="0">
      <w:start w:val="0"/>
      <w:numFmt w:val="bullet"/>
      <w:lvlText w:val="•"/>
      <w:lvlJc w:val="left"/>
      <w:pPr>
        <w:ind w:left="3105" w:hanging="542"/>
      </w:pPr>
      <w:rPr>
        <w:rFonts w:hint="default"/>
        <w:lang w:val="zh-CN" w:eastAsia="zh-CN" w:bidi="zh-CN"/>
      </w:rPr>
    </w:lvl>
    <w:lvl w:ilvl="3" w:tentative="0">
      <w:start w:val="0"/>
      <w:numFmt w:val="bullet"/>
      <w:lvlText w:val="•"/>
      <w:lvlJc w:val="left"/>
      <w:pPr>
        <w:ind w:left="3977" w:hanging="542"/>
      </w:pPr>
      <w:rPr>
        <w:rFonts w:hint="default"/>
        <w:lang w:val="zh-CN" w:eastAsia="zh-CN" w:bidi="zh-CN"/>
      </w:rPr>
    </w:lvl>
    <w:lvl w:ilvl="4" w:tentative="0">
      <w:start w:val="0"/>
      <w:numFmt w:val="bullet"/>
      <w:lvlText w:val="•"/>
      <w:lvlJc w:val="left"/>
      <w:pPr>
        <w:ind w:left="4850" w:hanging="542"/>
      </w:pPr>
      <w:rPr>
        <w:rFonts w:hint="default"/>
        <w:lang w:val="zh-CN" w:eastAsia="zh-CN" w:bidi="zh-CN"/>
      </w:rPr>
    </w:lvl>
    <w:lvl w:ilvl="5" w:tentative="0">
      <w:start w:val="0"/>
      <w:numFmt w:val="bullet"/>
      <w:lvlText w:val="•"/>
      <w:lvlJc w:val="left"/>
      <w:pPr>
        <w:ind w:left="5723" w:hanging="542"/>
      </w:pPr>
      <w:rPr>
        <w:rFonts w:hint="default"/>
        <w:lang w:val="zh-CN" w:eastAsia="zh-CN" w:bidi="zh-CN"/>
      </w:rPr>
    </w:lvl>
    <w:lvl w:ilvl="6" w:tentative="0">
      <w:start w:val="0"/>
      <w:numFmt w:val="bullet"/>
      <w:lvlText w:val="•"/>
      <w:lvlJc w:val="left"/>
      <w:pPr>
        <w:ind w:left="6595" w:hanging="542"/>
      </w:pPr>
      <w:rPr>
        <w:rFonts w:hint="default"/>
        <w:lang w:val="zh-CN" w:eastAsia="zh-CN" w:bidi="zh-CN"/>
      </w:rPr>
    </w:lvl>
    <w:lvl w:ilvl="7" w:tentative="0">
      <w:start w:val="0"/>
      <w:numFmt w:val="bullet"/>
      <w:lvlText w:val="•"/>
      <w:lvlJc w:val="left"/>
      <w:pPr>
        <w:ind w:left="7468" w:hanging="542"/>
      </w:pPr>
      <w:rPr>
        <w:rFonts w:hint="default"/>
        <w:lang w:val="zh-CN" w:eastAsia="zh-CN" w:bidi="zh-CN"/>
      </w:rPr>
    </w:lvl>
    <w:lvl w:ilvl="8" w:tentative="0">
      <w:start w:val="0"/>
      <w:numFmt w:val="bullet"/>
      <w:lvlText w:val="•"/>
      <w:lvlJc w:val="left"/>
      <w:pPr>
        <w:ind w:left="8341" w:hanging="542"/>
      </w:pPr>
      <w:rPr>
        <w:rFonts w:hint="default"/>
        <w:lang w:val="zh-CN" w:eastAsia="zh-CN" w:bidi="zh-CN"/>
      </w:rPr>
    </w:lvl>
  </w:abstractNum>
  <w:abstractNum w:abstractNumId="7">
    <w:nsid w:val="CD243DA3"/>
    <w:multiLevelType w:val="singleLevel"/>
    <w:tmpl w:val="CD243DA3"/>
    <w:lvl w:ilvl="0" w:tentative="0">
      <w:start w:val="2"/>
      <w:numFmt w:val="chineseCounting"/>
      <w:suff w:val="nothing"/>
      <w:lvlText w:val="%1、"/>
      <w:lvlJc w:val="left"/>
      <w:rPr>
        <w:rFonts w:hint="eastAsia"/>
      </w:rPr>
    </w:lvl>
  </w:abstractNum>
  <w:abstractNum w:abstractNumId="8">
    <w:nsid w:val="D470E91C"/>
    <w:multiLevelType w:val="multilevel"/>
    <w:tmpl w:val="D470E91C"/>
    <w:lvl w:ilvl="0" w:tentative="0">
      <w:start w:val="1"/>
      <w:numFmt w:val="decimal"/>
      <w:lvlText w:val="（%1）"/>
      <w:lvlJc w:val="left"/>
      <w:pPr>
        <w:ind w:left="398" w:hanging="616"/>
        <w:jc w:val="left"/>
      </w:pPr>
      <w:rPr>
        <w:rFonts w:hint="default" w:ascii="宋体" w:hAnsi="宋体" w:eastAsia="宋体" w:cs="宋体"/>
        <w:spacing w:val="-39"/>
        <w:w w:val="99"/>
        <w:sz w:val="22"/>
        <w:szCs w:val="22"/>
        <w:lang w:val="zh-CN" w:eastAsia="zh-CN" w:bidi="zh-CN"/>
      </w:rPr>
    </w:lvl>
    <w:lvl w:ilvl="1" w:tentative="0">
      <w:start w:val="0"/>
      <w:numFmt w:val="bullet"/>
      <w:lvlText w:val="•"/>
      <w:lvlJc w:val="left"/>
      <w:pPr>
        <w:ind w:left="1368" w:hanging="616"/>
      </w:pPr>
      <w:rPr>
        <w:rFonts w:hint="default"/>
        <w:lang w:val="zh-CN" w:eastAsia="zh-CN" w:bidi="zh-CN"/>
      </w:rPr>
    </w:lvl>
    <w:lvl w:ilvl="2" w:tentative="0">
      <w:start w:val="0"/>
      <w:numFmt w:val="bullet"/>
      <w:lvlText w:val="•"/>
      <w:lvlJc w:val="left"/>
      <w:pPr>
        <w:ind w:left="2337" w:hanging="616"/>
      </w:pPr>
      <w:rPr>
        <w:rFonts w:hint="default"/>
        <w:lang w:val="zh-CN" w:eastAsia="zh-CN" w:bidi="zh-CN"/>
      </w:rPr>
    </w:lvl>
    <w:lvl w:ilvl="3" w:tentative="0">
      <w:start w:val="0"/>
      <w:numFmt w:val="bullet"/>
      <w:lvlText w:val="•"/>
      <w:lvlJc w:val="left"/>
      <w:pPr>
        <w:ind w:left="3305" w:hanging="616"/>
      </w:pPr>
      <w:rPr>
        <w:rFonts w:hint="default"/>
        <w:lang w:val="zh-CN" w:eastAsia="zh-CN" w:bidi="zh-CN"/>
      </w:rPr>
    </w:lvl>
    <w:lvl w:ilvl="4" w:tentative="0">
      <w:start w:val="0"/>
      <w:numFmt w:val="bullet"/>
      <w:lvlText w:val="•"/>
      <w:lvlJc w:val="left"/>
      <w:pPr>
        <w:ind w:left="4274" w:hanging="616"/>
      </w:pPr>
      <w:rPr>
        <w:rFonts w:hint="default"/>
        <w:lang w:val="zh-CN" w:eastAsia="zh-CN" w:bidi="zh-CN"/>
      </w:rPr>
    </w:lvl>
    <w:lvl w:ilvl="5" w:tentative="0">
      <w:start w:val="0"/>
      <w:numFmt w:val="bullet"/>
      <w:lvlText w:val="•"/>
      <w:lvlJc w:val="left"/>
      <w:pPr>
        <w:ind w:left="5243" w:hanging="616"/>
      </w:pPr>
      <w:rPr>
        <w:rFonts w:hint="default"/>
        <w:lang w:val="zh-CN" w:eastAsia="zh-CN" w:bidi="zh-CN"/>
      </w:rPr>
    </w:lvl>
    <w:lvl w:ilvl="6" w:tentative="0">
      <w:start w:val="0"/>
      <w:numFmt w:val="bullet"/>
      <w:lvlText w:val="•"/>
      <w:lvlJc w:val="left"/>
      <w:pPr>
        <w:ind w:left="6211" w:hanging="616"/>
      </w:pPr>
      <w:rPr>
        <w:rFonts w:hint="default"/>
        <w:lang w:val="zh-CN" w:eastAsia="zh-CN" w:bidi="zh-CN"/>
      </w:rPr>
    </w:lvl>
    <w:lvl w:ilvl="7" w:tentative="0">
      <w:start w:val="0"/>
      <w:numFmt w:val="bullet"/>
      <w:lvlText w:val="•"/>
      <w:lvlJc w:val="left"/>
      <w:pPr>
        <w:ind w:left="7180" w:hanging="616"/>
      </w:pPr>
      <w:rPr>
        <w:rFonts w:hint="default"/>
        <w:lang w:val="zh-CN" w:eastAsia="zh-CN" w:bidi="zh-CN"/>
      </w:rPr>
    </w:lvl>
    <w:lvl w:ilvl="8" w:tentative="0">
      <w:start w:val="0"/>
      <w:numFmt w:val="bullet"/>
      <w:lvlText w:val="•"/>
      <w:lvlJc w:val="left"/>
      <w:pPr>
        <w:ind w:left="8149" w:hanging="616"/>
      </w:pPr>
      <w:rPr>
        <w:rFonts w:hint="default"/>
        <w:lang w:val="zh-CN" w:eastAsia="zh-CN" w:bidi="zh-CN"/>
      </w:rPr>
    </w:lvl>
  </w:abstractNum>
  <w:abstractNum w:abstractNumId="9">
    <w:nsid w:val="E093A4B0"/>
    <w:multiLevelType w:val="multilevel"/>
    <w:tmpl w:val="E093A4B0"/>
    <w:lvl w:ilvl="0" w:tentative="0">
      <w:start w:val="1"/>
      <w:numFmt w:val="decimal"/>
      <w:lvlText w:val="%1."/>
      <w:lvlJc w:val="left"/>
      <w:pPr>
        <w:ind w:left="665" w:hanging="268"/>
        <w:jc w:val="left"/>
      </w:pPr>
      <w:rPr>
        <w:rFonts w:hint="default" w:ascii="Arial" w:hAnsi="Arial" w:eastAsia="Arial" w:cs="Arial"/>
        <w:b/>
        <w:bCs/>
        <w:w w:val="99"/>
        <w:sz w:val="30"/>
        <w:szCs w:val="30"/>
        <w:lang w:val="zh-CN" w:eastAsia="zh-CN" w:bidi="zh-CN"/>
      </w:rPr>
    </w:lvl>
    <w:lvl w:ilvl="1" w:tentative="0">
      <w:start w:val="1"/>
      <w:numFmt w:val="decimal"/>
      <w:lvlText w:val="%1.%2"/>
      <w:lvlJc w:val="left"/>
      <w:pPr>
        <w:ind w:left="1216" w:hanging="396"/>
        <w:jc w:val="left"/>
      </w:pPr>
      <w:rPr>
        <w:rFonts w:hint="default" w:ascii="Arial" w:hAnsi="Arial" w:eastAsia="Arial" w:cs="Arial"/>
        <w:b/>
        <w:bCs/>
        <w:spacing w:val="-2"/>
        <w:w w:val="100"/>
        <w:sz w:val="21"/>
        <w:szCs w:val="21"/>
        <w:lang w:val="zh-CN" w:eastAsia="zh-CN" w:bidi="zh-CN"/>
      </w:rPr>
    </w:lvl>
    <w:lvl w:ilvl="2" w:tentative="0">
      <w:start w:val="1"/>
      <w:numFmt w:val="decimal"/>
      <w:lvlText w:val="%1.%2.%3"/>
      <w:lvlJc w:val="left"/>
      <w:pPr>
        <w:ind w:left="398" w:hanging="576"/>
        <w:jc w:val="left"/>
      </w:pPr>
      <w:rPr>
        <w:rFonts w:hint="default"/>
        <w:b/>
        <w:bCs/>
        <w:spacing w:val="-2"/>
        <w:w w:val="100"/>
        <w:lang w:val="zh-CN" w:eastAsia="zh-CN" w:bidi="zh-CN"/>
      </w:rPr>
    </w:lvl>
    <w:lvl w:ilvl="3" w:tentative="0">
      <w:start w:val="0"/>
      <w:numFmt w:val="bullet"/>
      <w:lvlText w:val="•"/>
      <w:lvlJc w:val="left"/>
      <w:pPr>
        <w:ind w:left="1220" w:hanging="576"/>
      </w:pPr>
      <w:rPr>
        <w:rFonts w:hint="default"/>
        <w:lang w:val="zh-CN" w:eastAsia="zh-CN" w:bidi="zh-CN"/>
      </w:rPr>
    </w:lvl>
    <w:lvl w:ilvl="4" w:tentative="0">
      <w:start w:val="0"/>
      <w:numFmt w:val="bullet"/>
      <w:lvlText w:val="•"/>
      <w:lvlJc w:val="left"/>
      <w:pPr>
        <w:ind w:left="1400" w:hanging="576"/>
      </w:pPr>
      <w:rPr>
        <w:rFonts w:hint="default"/>
        <w:lang w:val="zh-CN" w:eastAsia="zh-CN" w:bidi="zh-CN"/>
      </w:rPr>
    </w:lvl>
    <w:lvl w:ilvl="5" w:tentative="0">
      <w:start w:val="0"/>
      <w:numFmt w:val="bullet"/>
      <w:lvlText w:val="•"/>
      <w:lvlJc w:val="left"/>
      <w:pPr>
        <w:ind w:left="2847" w:hanging="576"/>
      </w:pPr>
      <w:rPr>
        <w:rFonts w:hint="default"/>
        <w:lang w:val="zh-CN" w:eastAsia="zh-CN" w:bidi="zh-CN"/>
      </w:rPr>
    </w:lvl>
    <w:lvl w:ilvl="6" w:tentative="0">
      <w:start w:val="0"/>
      <w:numFmt w:val="bullet"/>
      <w:lvlText w:val="•"/>
      <w:lvlJc w:val="left"/>
      <w:pPr>
        <w:ind w:left="4295" w:hanging="576"/>
      </w:pPr>
      <w:rPr>
        <w:rFonts w:hint="default"/>
        <w:lang w:val="zh-CN" w:eastAsia="zh-CN" w:bidi="zh-CN"/>
      </w:rPr>
    </w:lvl>
    <w:lvl w:ilvl="7" w:tentative="0">
      <w:start w:val="0"/>
      <w:numFmt w:val="bullet"/>
      <w:lvlText w:val="•"/>
      <w:lvlJc w:val="left"/>
      <w:pPr>
        <w:ind w:left="5743" w:hanging="576"/>
      </w:pPr>
      <w:rPr>
        <w:rFonts w:hint="default"/>
        <w:lang w:val="zh-CN" w:eastAsia="zh-CN" w:bidi="zh-CN"/>
      </w:rPr>
    </w:lvl>
    <w:lvl w:ilvl="8" w:tentative="0">
      <w:start w:val="0"/>
      <w:numFmt w:val="bullet"/>
      <w:lvlText w:val="•"/>
      <w:lvlJc w:val="left"/>
      <w:pPr>
        <w:ind w:left="7190" w:hanging="576"/>
      </w:pPr>
      <w:rPr>
        <w:rFonts w:hint="default"/>
        <w:lang w:val="zh-CN" w:eastAsia="zh-CN" w:bidi="zh-CN"/>
      </w:rPr>
    </w:lvl>
  </w:abstractNum>
  <w:abstractNum w:abstractNumId="10">
    <w:nsid w:val="F0E89278"/>
    <w:multiLevelType w:val="multilevel"/>
    <w:tmpl w:val="F0E89278"/>
    <w:lvl w:ilvl="0" w:tentative="0">
      <w:start w:val="2"/>
      <w:numFmt w:val="decimal"/>
      <w:lvlText w:val="%1."/>
      <w:lvlJc w:val="left"/>
      <w:pPr>
        <w:ind w:left="1137" w:hanging="178"/>
        <w:jc w:val="left"/>
      </w:pPr>
      <w:rPr>
        <w:rFonts w:hint="default" w:ascii="Arial" w:hAnsi="Arial" w:eastAsia="Arial" w:cs="Arial"/>
        <w:spacing w:val="-2"/>
        <w:w w:val="100"/>
        <w:sz w:val="19"/>
        <w:szCs w:val="19"/>
        <w:lang w:val="zh-CN" w:eastAsia="zh-CN" w:bidi="zh-CN"/>
      </w:rPr>
    </w:lvl>
    <w:lvl w:ilvl="1" w:tentative="0">
      <w:start w:val="0"/>
      <w:numFmt w:val="bullet"/>
      <w:lvlText w:val="•"/>
      <w:lvlJc w:val="left"/>
      <w:pPr>
        <w:ind w:left="2034" w:hanging="178"/>
      </w:pPr>
      <w:rPr>
        <w:rFonts w:hint="default"/>
        <w:lang w:val="zh-CN" w:eastAsia="zh-CN" w:bidi="zh-CN"/>
      </w:rPr>
    </w:lvl>
    <w:lvl w:ilvl="2" w:tentative="0">
      <w:start w:val="0"/>
      <w:numFmt w:val="bullet"/>
      <w:lvlText w:val="•"/>
      <w:lvlJc w:val="left"/>
      <w:pPr>
        <w:ind w:left="2929" w:hanging="178"/>
      </w:pPr>
      <w:rPr>
        <w:rFonts w:hint="default"/>
        <w:lang w:val="zh-CN" w:eastAsia="zh-CN" w:bidi="zh-CN"/>
      </w:rPr>
    </w:lvl>
    <w:lvl w:ilvl="3" w:tentative="0">
      <w:start w:val="0"/>
      <w:numFmt w:val="bullet"/>
      <w:lvlText w:val="•"/>
      <w:lvlJc w:val="left"/>
      <w:pPr>
        <w:ind w:left="3823" w:hanging="178"/>
      </w:pPr>
      <w:rPr>
        <w:rFonts w:hint="default"/>
        <w:lang w:val="zh-CN" w:eastAsia="zh-CN" w:bidi="zh-CN"/>
      </w:rPr>
    </w:lvl>
    <w:lvl w:ilvl="4" w:tentative="0">
      <w:start w:val="0"/>
      <w:numFmt w:val="bullet"/>
      <w:lvlText w:val="•"/>
      <w:lvlJc w:val="left"/>
      <w:pPr>
        <w:ind w:left="4718" w:hanging="178"/>
      </w:pPr>
      <w:rPr>
        <w:rFonts w:hint="default"/>
        <w:lang w:val="zh-CN" w:eastAsia="zh-CN" w:bidi="zh-CN"/>
      </w:rPr>
    </w:lvl>
    <w:lvl w:ilvl="5" w:tentative="0">
      <w:start w:val="0"/>
      <w:numFmt w:val="bullet"/>
      <w:lvlText w:val="•"/>
      <w:lvlJc w:val="left"/>
      <w:pPr>
        <w:ind w:left="5613" w:hanging="178"/>
      </w:pPr>
      <w:rPr>
        <w:rFonts w:hint="default"/>
        <w:lang w:val="zh-CN" w:eastAsia="zh-CN" w:bidi="zh-CN"/>
      </w:rPr>
    </w:lvl>
    <w:lvl w:ilvl="6" w:tentative="0">
      <w:start w:val="0"/>
      <w:numFmt w:val="bullet"/>
      <w:lvlText w:val="•"/>
      <w:lvlJc w:val="left"/>
      <w:pPr>
        <w:ind w:left="6507" w:hanging="178"/>
      </w:pPr>
      <w:rPr>
        <w:rFonts w:hint="default"/>
        <w:lang w:val="zh-CN" w:eastAsia="zh-CN" w:bidi="zh-CN"/>
      </w:rPr>
    </w:lvl>
    <w:lvl w:ilvl="7" w:tentative="0">
      <w:start w:val="0"/>
      <w:numFmt w:val="bullet"/>
      <w:lvlText w:val="•"/>
      <w:lvlJc w:val="left"/>
      <w:pPr>
        <w:ind w:left="7402" w:hanging="178"/>
      </w:pPr>
      <w:rPr>
        <w:rFonts w:hint="default"/>
        <w:lang w:val="zh-CN" w:eastAsia="zh-CN" w:bidi="zh-CN"/>
      </w:rPr>
    </w:lvl>
    <w:lvl w:ilvl="8" w:tentative="0">
      <w:start w:val="0"/>
      <w:numFmt w:val="bullet"/>
      <w:lvlText w:val="•"/>
      <w:lvlJc w:val="left"/>
      <w:pPr>
        <w:ind w:left="8297" w:hanging="178"/>
      </w:pPr>
      <w:rPr>
        <w:rFonts w:hint="default"/>
        <w:lang w:val="zh-CN" w:eastAsia="zh-CN" w:bidi="zh-CN"/>
      </w:rPr>
    </w:lvl>
  </w:abstractNum>
  <w:abstractNum w:abstractNumId="11">
    <w:nsid w:val="F7735DC9"/>
    <w:multiLevelType w:val="multilevel"/>
    <w:tmpl w:val="F7735DC9"/>
    <w:lvl w:ilvl="0" w:tentative="0">
      <w:start w:val="1"/>
      <w:numFmt w:val="decimal"/>
      <w:lvlText w:val="（%1）"/>
      <w:lvlJc w:val="left"/>
      <w:pPr>
        <w:ind w:left="1493" w:hanging="616"/>
        <w:jc w:val="left"/>
      </w:pPr>
      <w:rPr>
        <w:rFonts w:hint="default" w:ascii="宋体" w:hAnsi="宋体" w:eastAsia="宋体" w:cs="宋体"/>
        <w:w w:val="99"/>
        <w:sz w:val="22"/>
        <w:szCs w:val="22"/>
        <w:lang w:val="zh-CN" w:eastAsia="zh-CN" w:bidi="zh-CN"/>
      </w:rPr>
    </w:lvl>
    <w:lvl w:ilvl="1" w:tentative="0">
      <w:start w:val="0"/>
      <w:numFmt w:val="bullet"/>
      <w:lvlText w:val="•"/>
      <w:lvlJc w:val="left"/>
      <w:pPr>
        <w:ind w:left="2358" w:hanging="616"/>
      </w:pPr>
      <w:rPr>
        <w:rFonts w:hint="default"/>
        <w:lang w:val="zh-CN" w:eastAsia="zh-CN" w:bidi="zh-CN"/>
      </w:rPr>
    </w:lvl>
    <w:lvl w:ilvl="2" w:tentative="0">
      <w:start w:val="0"/>
      <w:numFmt w:val="bullet"/>
      <w:lvlText w:val="•"/>
      <w:lvlJc w:val="left"/>
      <w:pPr>
        <w:ind w:left="3217" w:hanging="616"/>
      </w:pPr>
      <w:rPr>
        <w:rFonts w:hint="default"/>
        <w:lang w:val="zh-CN" w:eastAsia="zh-CN" w:bidi="zh-CN"/>
      </w:rPr>
    </w:lvl>
    <w:lvl w:ilvl="3" w:tentative="0">
      <w:start w:val="0"/>
      <w:numFmt w:val="bullet"/>
      <w:lvlText w:val="•"/>
      <w:lvlJc w:val="left"/>
      <w:pPr>
        <w:ind w:left="4075" w:hanging="616"/>
      </w:pPr>
      <w:rPr>
        <w:rFonts w:hint="default"/>
        <w:lang w:val="zh-CN" w:eastAsia="zh-CN" w:bidi="zh-CN"/>
      </w:rPr>
    </w:lvl>
    <w:lvl w:ilvl="4" w:tentative="0">
      <w:start w:val="0"/>
      <w:numFmt w:val="bullet"/>
      <w:lvlText w:val="•"/>
      <w:lvlJc w:val="left"/>
      <w:pPr>
        <w:ind w:left="4934" w:hanging="616"/>
      </w:pPr>
      <w:rPr>
        <w:rFonts w:hint="default"/>
        <w:lang w:val="zh-CN" w:eastAsia="zh-CN" w:bidi="zh-CN"/>
      </w:rPr>
    </w:lvl>
    <w:lvl w:ilvl="5" w:tentative="0">
      <w:start w:val="0"/>
      <w:numFmt w:val="bullet"/>
      <w:lvlText w:val="•"/>
      <w:lvlJc w:val="left"/>
      <w:pPr>
        <w:ind w:left="5793" w:hanging="616"/>
      </w:pPr>
      <w:rPr>
        <w:rFonts w:hint="default"/>
        <w:lang w:val="zh-CN" w:eastAsia="zh-CN" w:bidi="zh-CN"/>
      </w:rPr>
    </w:lvl>
    <w:lvl w:ilvl="6" w:tentative="0">
      <w:start w:val="0"/>
      <w:numFmt w:val="bullet"/>
      <w:lvlText w:val="•"/>
      <w:lvlJc w:val="left"/>
      <w:pPr>
        <w:ind w:left="6651" w:hanging="616"/>
      </w:pPr>
      <w:rPr>
        <w:rFonts w:hint="default"/>
        <w:lang w:val="zh-CN" w:eastAsia="zh-CN" w:bidi="zh-CN"/>
      </w:rPr>
    </w:lvl>
    <w:lvl w:ilvl="7" w:tentative="0">
      <w:start w:val="0"/>
      <w:numFmt w:val="bullet"/>
      <w:lvlText w:val="•"/>
      <w:lvlJc w:val="left"/>
      <w:pPr>
        <w:ind w:left="7510" w:hanging="616"/>
      </w:pPr>
      <w:rPr>
        <w:rFonts w:hint="default"/>
        <w:lang w:val="zh-CN" w:eastAsia="zh-CN" w:bidi="zh-CN"/>
      </w:rPr>
    </w:lvl>
    <w:lvl w:ilvl="8" w:tentative="0">
      <w:start w:val="0"/>
      <w:numFmt w:val="bullet"/>
      <w:lvlText w:val="•"/>
      <w:lvlJc w:val="left"/>
      <w:pPr>
        <w:ind w:left="8369" w:hanging="616"/>
      </w:pPr>
      <w:rPr>
        <w:rFonts w:hint="default"/>
        <w:lang w:val="zh-CN" w:eastAsia="zh-CN" w:bidi="zh-CN"/>
      </w:rPr>
    </w:lvl>
  </w:abstractNum>
  <w:abstractNum w:abstractNumId="12">
    <w:nsid w:val="03D62ECE"/>
    <w:multiLevelType w:val="multilevel"/>
    <w:tmpl w:val="03D62ECE"/>
    <w:lvl w:ilvl="0" w:tentative="0">
      <w:start w:val="1"/>
      <w:numFmt w:val="decimal"/>
      <w:lvlText w:val="%1."/>
      <w:lvlJc w:val="left"/>
      <w:pPr>
        <w:ind w:left="720" w:hanging="322"/>
        <w:jc w:val="left"/>
      </w:pPr>
      <w:rPr>
        <w:rFonts w:hint="default" w:ascii="Arial" w:hAnsi="Arial" w:eastAsia="Arial" w:cs="Arial"/>
        <w:b/>
        <w:bCs/>
        <w:w w:val="99"/>
        <w:sz w:val="24"/>
        <w:szCs w:val="24"/>
        <w:lang w:val="zh-CN" w:eastAsia="zh-CN" w:bidi="zh-CN"/>
      </w:rPr>
    </w:lvl>
    <w:lvl w:ilvl="1" w:tentative="0">
      <w:start w:val="1"/>
      <w:numFmt w:val="decimal"/>
      <w:lvlText w:val="%1.%2"/>
      <w:lvlJc w:val="left"/>
      <w:pPr>
        <w:ind w:left="398" w:hanging="351"/>
        <w:jc w:val="left"/>
      </w:pPr>
      <w:rPr>
        <w:rFonts w:hint="default" w:ascii="Arial" w:hAnsi="Arial" w:eastAsia="Arial" w:cs="Arial"/>
        <w:spacing w:val="-2"/>
        <w:w w:val="100"/>
        <w:sz w:val="21"/>
        <w:szCs w:val="21"/>
        <w:lang w:val="zh-CN" w:eastAsia="zh-CN" w:bidi="zh-CN"/>
      </w:rPr>
    </w:lvl>
    <w:lvl w:ilvl="2" w:tentative="0">
      <w:start w:val="0"/>
      <w:numFmt w:val="bullet"/>
      <w:lvlText w:val="•"/>
      <w:lvlJc w:val="left"/>
      <w:pPr>
        <w:ind w:left="1220" w:hanging="351"/>
      </w:pPr>
      <w:rPr>
        <w:rFonts w:hint="default"/>
        <w:lang w:val="zh-CN" w:eastAsia="zh-CN" w:bidi="zh-CN"/>
      </w:rPr>
    </w:lvl>
    <w:lvl w:ilvl="3" w:tentative="0">
      <w:start w:val="0"/>
      <w:numFmt w:val="bullet"/>
      <w:lvlText w:val="•"/>
      <w:lvlJc w:val="left"/>
      <w:pPr>
        <w:ind w:left="1260" w:hanging="351"/>
      </w:pPr>
      <w:rPr>
        <w:rFonts w:hint="default"/>
        <w:lang w:val="zh-CN" w:eastAsia="zh-CN" w:bidi="zh-CN"/>
      </w:rPr>
    </w:lvl>
    <w:lvl w:ilvl="4" w:tentative="0">
      <w:start w:val="0"/>
      <w:numFmt w:val="bullet"/>
      <w:lvlText w:val="•"/>
      <w:lvlJc w:val="left"/>
      <w:pPr>
        <w:ind w:left="2520" w:hanging="351"/>
      </w:pPr>
      <w:rPr>
        <w:rFonts w:hint="default"/>
        <w:lang w:val="zh-CN" w:eastAsia="zh-CN" w:bidi="zh-CN"/>
      </w:rPr>
    </w:lvl>
    <w:lvl w:ilvl="5" w:tentative="0">
      <w:start w:val="0"/>
      <w:numFmt w:val="bullet"/>
      <w:lvlText w:val="•"/>
      <w:lvlJc w:val="left"/>
      <w:pPr>
        <w:ind w:left="3781" w:hanging="351"/>
      </w:pPr>
      <w:rPr>
        <w:rFonts w:hint="default"/>
        <w:lang w:val="zh-CN" w:eastAsia="zh-CN" w:bidi="zh-CN"/>
      </w:rPr>
    </w:lvl>
    <w:lvl w:ilvl="6" w:tentative="0">
      <w:start w:val="0"/>
      <w:numFmt w:val="bullet"/>
      <w:lvlText w:val="•"/>
      <w:lvlJc w:val="left"/>
      <w:pPr>
        <w:ind w:left="5042" w:hanging="351"/>
      </w:pPr>
      <w:rPr>
        <w:rFonts w:hint="default"/>
        <w:lang w:val="zh-CN" w:eastAsia="zh-CN" w:bidi="zh-CN"/>
      </w:rPr>
    </w:lvl>
    <w:lvl w:ilvl="7" w:tentative="0">
      <w:start w:val="0"/>
      <w:numFmt w:val="bullet"/>
      <w:lvlText w:val="•"/>
      <w:lvlJc w:val="left"/>
      <w:pPr>
        <w:ind w:left="6303" w:hanging="351"/>
      </w:pPr>
      <w:rPr>
        <w:rFonts w:hint="default"/>
        <w:lang w:val="zh-CN" w:eastAsia="zh-CN" w:bidi="zh-CN"/>
      </w:rPr>
    </w:lvl>
    <w:lvl w:ilvl="8" w:tentative="0">
      <w:start w:val="0"/>
      <w:numFmt w:val="bullet"/>
      <w:lvlText w:val="•"/>
      <w:lvlJc w:val="left"/>
      <w:pPr>
        <w:ind w:left="7564" w:hanging="351"/>
      </w:pPr>
      <w:rPr>
        <w:rFonts w:hint="default"/>
        <w:lang w:val="zh-CN" w:eastAsia="zh-CN" w:bidi="zh-CN"/>
      </w:rPr>
    </w:lvl>
  </w:abstractNum>
  <w:abstractNum w:abstractNumId="13">
    <w:nsid w:val="0709FD3E"/>
    <w:multiLevelType w:val="multilevel"/>
    <w:tmpl w:val="0709FD3E"/>
    <w:lvl w:ilvl="0" w:tentative="0">
      <w:start w:val="7"/>
      <w:numFmt w:val="decimal"/>
      <w:lvlText w:val="%1."/>
      <w:lvlJc w:val="left"/>
      <w:pPr>
        <w:ind w:left="1202" w:hanging="322"/>
        <w:jc w:val="left"/>
      </w:pPr>
      <w:rPr>
        <w:rFonts w:hint="default" w:ascii="Arial" w:hAnsi="Arial" w:eastAsia="Arial" w:cs="Arial"/>
        <w:b/>
        <w:bCs/>
        <w:w w:val="99"/>
        <w:sz w:val="24"/>
        <w:szCs w:val="24"/>
        <w:lang w:val="zh-CN" w:eastAsia="zh-CN" w:bidi="zh-CN"/>
      </w:rPr>
    </w:lvl>
    <w:lvl w:ilvl="1" w:tentative="0">
      <w:start w:val="1"/>
      <w:numFmt w:val="decimal"/>
      <w:lvlText w:val="%1.%2"/>
      <w:lvlJc w:val="left"/>
      <w:pPr>
        <w:ind w:left="1274" w:hanging="396"/>
        <w:jc w:val="left"/>
      </w:pPr>
      <w:rPr>
        <w:rFonts w:hint="default" w:ascii="Arial" w:hAnsi="Arial" w:eastAsia="Arial" w:cs="Arial"/>
        <w:b/>
        <w:bCs/>
        <w:w w:val="99"/>
        <w:sz w:val="24"/>
        <w:szCs w:val="24"/>
        <w:lang w:val="zh-CN" w:eastAsia="zh-CN" w:bidi="zh-CN"/>
      </w:rPr>
    </w:lvl>
    <w:lvl w:ilvl="2" w:tentative="0">
      <w:start w:val="0"/>
      <w:numFmt w:val="bullet"/>
      <w:lvlText w:val="•"/>
      <w:lvlJc w:val="left"/>
      <w:pPr>
        <w:ind w:left="2258" w:hanging="396"/>
      </w:pPr>
      <w:rPr>
        <w:rFonts w:hint="default"/>
        <w:lang w:val="zh-CN" w:eastAsia="zh-CN" w:bidi="zh-CN"/>
      </w:rPr>
    </w:lvl>
    <w:lvl w:ilvl="3" w:tentative="0">
      <w:start w:val="0"/>
      <w:numFmt w:val="bullet"/>
      <w:lvlText w:val="•"/>
      <w:lvlJc w:val="left"/>
      <w:pPr>
        <w:ind w:left="3236" w:hanging="396"/>
      </w:pPr>
      <w:rPr>
        <w:rFonts w:hint="default"/>
        <w:lang w:val="zh-CN" w:eastAsia="zh-CN" w:bidi="zh-CN"/>
      </w:rPr>
    </w:lvl>
    <w:lvl w:ilvl="4" w:tentative="0">
      <w:start w:val="0"/>
      <w:numFmt w:val="bullet"/>
      <w:lvlText w:val="•"/>
      <w:lvlJc w:val="left"/>
      <w:pPr>
        <w:ind w:left="4215" w:hanging="396"/>
      </w:pPr>
      <w:rPr>
        <w:rFonts w:hint="default"/>
        <w:lang w:val="zh-CN" w:eastAsia="zh-CN" w:bidi="zh-CN"/>
      </w:rPr>
    </w:lvl>
    <w:lvl w:ilvl="5" w:tentative="0">
      <w:start w:val="0"/>
      <w:numFmt w:val="bullet"/>
      <w:lvlText w:val="•"/>
      <w:lvlJc w:val="left"/>
      <w:pPr>
        <w:ind w:left="5193" w:hanging="396"/>
      </w:pPr>
      <w:rPr>
        <w:rFonts w:hint="default"/>
        <w:lang w:val="zh-CN" w:eastAsia="zh-CN" w:bidi="zh-CN"/>
      </w:rPr>
    </w:lvl>
    <w:lvl w:ilvl="6" w:tentative="0">
      <w:start w:val="0"/>
      <w:numFmt w:val="bullet"/>
      <w:lvlText w:val="•"/>
      <w:lvlJc w:val="left"/>
      <w:pPr>
        <w:ind w:left="6172" w:hanging="396"/>
      </w:pPr>
      <w:rPr>
        <w:rFonts w:hint="default"/>
        <w:lang w:val="zh-CN" w:eastAsia="zh-CN" w:bidi="zh-CN"/>
      </w:rPr>
    </w:lvl>
    <w:lvl w:ilvl="7" w:tentative="0">
      <w:start w:val="0"/>
      <w:numFmt w:val="bullet"/>
      <w:lvlText w:val="•"/>
      <w:lvlJc w:val="left"/>
      <w:pPr>
        <w:ind w:left="7150" w:hanging="396"/>
      </w:pPr>
      <w:rPr>
        <w:rFonts w:hint="default"/>
        <w:lang w:val="zh-CN" w:eastAsia="zh-CN" w:bidi="zh-CN"/>
      </w:rPr>
    </w:lvl>
    <w:lvl w:ilvl="8" w:tentative="0">
      <w:start w:val="0"/>
      <w:numFmt w:val="bullet"/>
      <w:lvlText w:val="•"/>
      <w:lvlJc w:val="left"/>
      <w:pPr>
        <w:ind w:left="8129" w:hanging="396"/>
      </w:pPr>
      <w:rPr>
        <w:rFonts w:hint="default"/>
        <w:lang w:val="zh-CN" w:eastAsia="zh-CN" w:bidi="zh-CN"/>
      </w:rPr>
    </w:lvl>
  </w:abstractNum>
  <w:abstractNum w:abstractNumId="14">
    <w:nsid w:val="0CEF100B"/>
    <w:multiLevelType w:val="multilevel"/>
    <w:tmpl w:val="0CEF100B"/>
    <w:lvl w:ilvl="0" w:tentative="0">
      <w:start w:val="7"/>
      <w:numFmt w:val="decimal"/>
      <w:lvlText w:val="%1"/>
      <w:lvlJc w:val="left"/>
      <w:pPr>
        <w:ind w:left="1334" w:hanging="456"/>
        <w:jc w:val="left"/>
      </w:pPr>
      <w:rPr>
        <w:rFonts w:hint="default"/>
        <w:lang w:val="zh-CN" w:eastAsia="zh-CN" w:bidi="zh-CN"/>
      </w:rPr>
    </w:lvl>
    <w:lvl w:ilvl="1" w:tentative="0">
      <w:start w:val="5"/>
      <w:numFmt w:val="decimal"/>
      <w:lvlText w:val="%1.%2"/>
      <w:lvlJc w:val="left"/>
      <w:pPr>
        <w:ind w:left="1334" w:hanging="456"/>
        <w:jc w:val="right"/>
      </w:pPr>
      <w:rPr>
        <w:rFonts w:hint="default" w:ascii="Arial" w:hAnsi="Arial" w:eastAsia="Arial" w:cs="Arial"/>
        <w:b/>
        <w:bCs/>
        <w:w w:val="99"/>
        <w:sz w:val="24"/>
        <w:szCs w:val="24"/>
        <w:lang w:val="zh-CN" w:eastAsia="zh-CN" w:bidi="zh-CN"/>
      </w:rPr>
    </w:lvl>
    <w:lvl w:ilvl="2" w:tentative="0">
      <w:start w:val="0"/>
      <w:numFmt w:val="bullet"/>
      <w:lvlText w:val="•"/>
      <w:lvlJc w:val="left"/>
      <w:pPr>
        <w:ind w:left="3089" w:hanging="456"/>
      </w:pPr>
      <w:rPr>
        <w:rFonts w:hint="default"/>
        <w:lang w:val="zh-CN" w:eastAsia="zh-CN" w:bidi="zh-CN"/>
      </w:rPr>
    </w:lvl>
    <w:lvl w:ilvl="3" w:tentative="0">
      <w:start w:val="0"/>
      <w:numFmt w:val="bullet"/>
      <w:lvlText w:val="•"/>
      <w:lvlJc w:val="left"/>
      <w:pPr>
        <w:ind w:left="3963" w:hanging="456"/>
      </w:pPr>
      <w:rPr>
        <w:rFonts w:hint="default"/>
        <w:lang w:val="zh-CN" w:eastAsia="zh-CN" w:bidi="zh-CN"/>
      </w:rPr>
    </w:lvl>
    <w:lvl w:ilvl="4" w:tentative="0">
      <w:start w:val="0"/>
      <w:numFmt w:val="bullet"/>
      <w:lvlText w:val="•"/>
      <w:lvlJc w:val="left"/>
      <w:pPr>
        <w:ind w:left="4838" w:hanging="456"/>
      </w:pPr>
      <w:rPr>
        <w:rFonts w:hint="default"/>
        <w:lang w:val="zh-CN" w:eastAsia="zh-CN" w:bidi="zh-CN"/>
      </w:rPr>
    </w:lvl>
    <w:lvl w:ilvl="5" w:tentative="0">
      <w:start w:val="0"/>
      <w:numFmt w:val="bullet"/>
      <w:lvlText w:val="•"/>
      <w:lvlJc w:val="left"/>
      <w:pPr>
        <w:ind w:left="5713" w:hanging="456"/>
      </w:pPr>
      <w:rPr>
        <w:rFonts w:hint="default"/>
        <w:lang w:val="zh-CN" w:eastAsia="zh-CN" w:bidi="zh-CN"/>
      </w:rPr>
    </w:lvl>
    <w:lvl w:ilvl="6" w:tentative="0">
      <w:start w:val="0"/>
      <w:numFmt w:val="bullet"/>
      <w:lvlText w:val="•"/>
      <w:lvlJc w:val="left"/>
      <w:pPr>
        <w:ind w:left="6587" w:hanging="456"/>
      </w:pPr>
      <w:rPr>
        <w:rFonts w:hint="default"/>
        <w:lang w:val="zh-CN" w:eastAsia="zh-CN" w:bidi="zh-CN"/>
      </w:rPr>
    </w:lvl>
    <w:lvl w:ilvl="7" w:tentative="0">
      <w:start w:val="0"/>
      <w:numFmt w:val="bullet"/>
      <w:lvlText w:val="•"/>
      <w:lvlJc w:val="left"/>
      <w:pPr>
        <w:ind w:left="7462" w:hanging="456"/>
      </w:pPr>
      <w:rPr>
        <w:rFonts w:hint="default"/>
        <w:lang w:val="zh-CN" w:eastAsia="zh-CN" w:bidi="zh-CN"/>
      </w:rPr>
    </w:lvl>
    <w:lvl w:ilvl="8" w:tentative="0">
      <w:start w:val="0"/>
      <w:numFmt w:val="bullet"/>
      <w:lvlText w:val="•"/>
      <w:lvlJc w:val="left"/>
      <w:pPr>
        <w:ind w:left="8337" w:hanging="456"/>
      </w:pPr>
      <w:rPr>
        <w:rFonts w:hint="default"/>
        <w:lang w:val="zh-CN" w:eastAsia="zh-CN" w:bidi="zh-CN"/>
      </w:rPr>
    </w:lvl>
  </w:abstractNum>
  <w:abstractNum w:abstractNumId="15">
    <w:nsid w:val="1ACDE60F"/>
    <w:multiLevelType w:val="multilevel"/>
    <w:tmpl w:val="1ACDE60F"/>
    <w:lvl w:ilvl="0" w:tentative="0">
      <w:start w:val="3"/>
      <w:numFmt w:val="decimal"/>
      <w:lvlText w:val="%1"/>
      <w:lvlJc w:val="left"/>
      <w:pPr>
        <w:ind w:left="1334" w:hanging="456"/>
        <w:jc w:val="left"/>
      </w:pPr>
      <w:rPr>
        <w:rFonts w:hint="default"/>
        <w:lang w:val="zh-CN" w:eastAsia="zh-CN" w:bidi="zh-CN"/>
      </w:rPr>
    </w:lvl>
    <w:lvl w:ilvl="1" w:tentative="0">
      <w:start w:val="4"/>
      <w:numFmt w:val="decimal"/>
      <w:lvlText w:val="%1.%2"/>
      <w:lvlJc w:val="left"/>
      <w:pPr>
        <w:ind w:left="1334" w:hanging="456"/>
        <w:jc w:val="left"/>
      </w:pPr>
      <w:rPr>
        <w:rFonts w:hint="default" w:ascii="Arial" w:hAnsi="Arial" w:eastAsia="Arial" w:cs="Arial"/>
        <w:b/>
        <w:bCs/>
        <w:w w:val="99"/>
        <w:sz w:val="24"/>
        <w:szCs w:val="24"/>
        <w:lang w:val="zh-CN" w:eastAsia="zh-CN" w:bidi="zh-CN"/>
      </w:rPr>
    </w:lvl>
    <w:lvl w:ilvl="2" w:tentative="0">
      <w:start w:val="1"/>
      <w:numFmt w:val="decimal"/>
      <w:lvlText w:val="%1.%2.%3"/>
      <w:lvlJc w:val="left"/>
      <w:pPr>
        <w:ind w:left="1533" w:hanging="656"/>
        <w:jc w:val="left"/>
      </w:pPr>
      <w:rPr>
        <w:rFonts w:hint="default" w:ascii="Arial" w:hAnsi="Arial" w:eastAsia="Arial" w:cs="Arial"/>
        <w:spacing w:val="-2"/>
        <w:w w:val="99"/>
        <w:sz w:val="24"/>
        <w:szCs w:val="24"/>
        <w:lang w:val="zh-CN" w:eastAsia="zh-CN" w:bidi="zh-CN"/>
      </w:rPr>
    </w:lvl>
    <w:lvl w:ilvl="3" w:tentative="0">
      <w:start w:val="0"/>
      <w:numFmt w:val="bullet"/>
      <w:lvlText w:val="•"/>
      <w:lvlJc w:val="left"/>
      <w:pPr>
        <w:ind w:left="3439" w:hanging="656"/>
      </w:pPr>
      <w:rPr>
        <w:rFonts w:hint="default"/>
        <w:lang w:val="zh-CN" w:eastAsia="zh-CN" w:bidi="zh-CN"/>
      </w:rPr>
    </w:lvl>
    <w:lvl w:ilvl="4" w:tentative="0">
      <w:start w:val="0"/>
      <w:numFmt w:val="bullet"/>
      <w:lvlText w:val="•"/>
      <w:lvlJc w:val="left"/>
      <w:pPr>
        <w:ind w:left="4388" w:hanging="656"/>
      </w:pPr>
      <w:rPr>
        <w:rFonts w:hint="default"/>
        <w:lang w:val="zh-CN" w:eastAsia="zh-CN" w:bidi="zh-CN"/>
      </w:rPr>
    </w:lvl>
    <w:lvl w:ilvl="5" w:tentative="0">
      <w:start w:val="0"/>
      <w:numFmt w:val="bullet"/>
      <w:lvlText w:val="•"/>
      <w:lvlJc w:val="left"/>
      <w:pPr>
        <w:ind w:left="5338" w:hanging="656"/>
      </w:pPr>
      <w:rPr>
        <w:rFonts w:hint="default"/>
        <w:lang w:val="zh-CN" w:eastAsia="zh-CN" w:bidi="zh-CN"/>
      </w:rPr>
    </w:lvl>
    <w:lvl w:ilvl="6" w:tentative="0">
      <w:start w:val="0"/>
      <w:numFmt w:val="bullet"/>
      <w:lvlText w:val="•"/>
      <w:lvlJc w:val="left"/>
      <w:pPr>
        <w:ind w:left="6288" w:hanging="656"/>
      </w:pPr>
      <w:rPr>
        <w:rFonts w:hint="default"/>
        <w:lang w:val="zh-CN" w:eastAsia="zh-CN" w:bidi="zh-CN"/>
      </w:rPr>
    </w:lvl>
    <w:lvl w:ilvl="7" w:tentative="0">
      <w:start w:val="0"/>
      <w:numFmt w:val="bullet"/>
      <w:lvlText w:val="•"/>
      <w:lvlJc w:val="left"/>
      <w:pPr>
        <w:ind w:left="7237" w:hanging="656"/>
      </w:pPr>
      <w:rPr>
        <w:rFonts w:hint="default"/>
        <w:lang w:val="zh-CN" w:eastAsia="zh-CN" w:bidi="zh-CN"/>
      </w:rPr>
    </w:lvl>
    <w:lvl w:ilvl="8" w:tentative="0">
      <w:start w:val="0"/>
      <w:numFmt w:val="bullet"/>
      <w:lvlText w:val="•"/>
      <w:lvlJc w:val="left"/>
      <w:pPr>
        <w:ind w:left="8187" w:hanging="656"/>
      </w:pPr>
      <w:rPr>
        <w:rFonts w:hint="default"/>
        <w:lang w:val="zh-CN" w:eastAsia="zh-CN" w:bidi="zh-CN"/>
      </w:rPr>
    </w:lvl>
  </w:abstractNum>
  <w:abstractNum w:abstractNumId="16">
    <w:nsid w:val="1C257C7B"/>
    <w:multiLevelType w:val="multilevel"/>
    <w:tmpl w:val="1C257C7B"/>
    <w:lvl w:ilvl="0" w:tentative="0">
      <w:start w:val="23"/>
      <w:numFmt w:val="decimal"/>
      <w:lvlText w:val="%1."/>
      <w:lvlJc w:val="left"/>
      <w:pPr>
        <w:ind w:left="1214" w:hanging="337"/>
        <w:jc w:val="left"/>
      </w:pPr>
      <w:rPr>
        <w:rFonts w:hint="default" w:ascii="Arial" w:hAnsi="Arial" w:eastAsia="Arial" w:cs="Arial"/>
        <w:w w:val="99"/>
        <w:sz w:val="22"/>
        <w:szCs w:val="22"/>
        <w:lang w:val="zh-CN" w:eastAsia="zh-CN" w:bidi="zh-CN"/>
      </w:rPr>
    </w:lvl>
    <w:lvl w:ilvl="1" w:tentative="0">
      <w:start w:val="2"/>
      <w:numFmt w:val="decimal"/>
      <w:lvlText w:val="%2."/>
      <w:lvlJc w:val="left"/>
      <w:pPr>
        <w:ind w:left="1517" w:hanging="279"/>
        <w:jc w:val="left"/>
      </w:pPr>
      <w:rPr>
        <w:rFonts w:hint="default" w:ascii="Arial" w:hAnsi="Arial" w:eastAsia="Arial" w:cs="Arial"/>
        <w:w w:val="100"/>
        <w:sz w:val="21"/>
        <w:szCs w:val="21"/>
        <w:lang w:val="zh-CN" w:eastAsia="zh-CN" w:bidi="zh-CN"/>
      </w:rPr>
    </w:lvl>
    <w:lvl w:ilvl="2" w:tentative="0">
      <w:start w:val="0"/>
      <w:numFmt w:val="bullet"/>
      <w:lvlText w:val="•"/>
      <w:lvlJc w:val="left"/>
      <w:pPr>
        <w:ind w:left="2471" w:hanging="279"/>
      </w:pPr>
      <w:rPr>
        <w:rFonts w:hint="default"/>
        <w:lang w:val="zh-CN" w:eastAsia="zh-CN" w:bidi="zh-CN"/>
      </w:rPr>
    </w:lvl>
    <w:lvl w:ilvl="3" w:tentative="0">
      <w:start w:val="0"/>
      <w:numFmt w:val="bullet"/>
      <w:lvlText w:val="•"/>
      <w:lvlJc w:val="left"/>
      <w:pPr>
        <w:ind w:left="3423" w:hanging="279"/>
      </w:pPr>
      <w:rPr>
        <w:rFonts w:hint="default"/>
        <w:lang w:val="zh-CN" w:eastAsia="zh-CN" w:bidi="zh-CN"/>
      </w:rPr>
    </w:lvl>
    <w:lvl w:ilvl="4" w:tentative="0">
      <w:start w:val="0"/>
      <w:numFmt w:val="bullet"/>
      <w:lvlText w:val="•"/>
      <w:lvlJc w:val="left"/>
      <w:pPr>
        <w:ind w:left="4375" w:hanging="279"/>
      </w:pPr>
      <w:rPr>
        <w:rFonts w:hint="default"/>
        <w:lang w:val="zh-CN" w:eastAsia="zh-CN" w:bidi="zh-CN"/>
      </w:rPr>
    </w:lvl>
    <w:lvl w:ilvl="5" w:tentative="0">
      <w:start w:val="0"/>
      <w:numFmt w:val="bullet"/>
      <w:lvlText w:val="•"/>
      <w:lvlJc w:val="left"/>
      <w:pPr>
        <w:ind w:left="5327" w:hanging="279"/>
      </w:pPr>
      <w:rPr>
        <w:rFonts w:hint="default"/>
        <w:lang w:val="zh-CN" w:eastAsia="zh-CN" w:bidi="zh-CN"/>
      </w:rPr>
    </w:lvl>
    <w:lvl w:ilvl="6" w:tentative="0">
      <w:start w:val="0"/>
      <w:numFmt w:val="bullet"/>
      <w:lvlText w:val="•"/>
      <w:lvlJc w:val="left"/>
      <w:pPr>
        <w:ind w:left="6279" w:hanging="279"/>
      </w:pPr>
      <w:rPr>
        <w:rFonts w:hint="default"/>
        <w:lang w:val="zh-CN" w:eastAsia="zh-CN" w:bidi="zh-CN"/>
      </w:rPr>
    </w:lvl>
    <w:lvl w:ilvl="7" w:tentative="0">
      <w:start w:val="0"/>
      <w:numFmt w:val="bullet"/>
      <w:lvlText w:val="•"/>
      <w:lvlJc w:val="left"/>
      <w:pPr>
        <w:ind w:left="7230" w:hanging="279"/>
      </w:pPr>
      <w:rPr>
        <w:rFonts w:hint="default"/>
        <w:lang w:val="zh-CN" w:eastAsia="zh-CN" w:bidi="zh-CN"/>
      </w:rPr>
    </w:lvl>
    <w:lvl w:ilvl="8" w:tentative="0">
      <w:start w:val="0"/>
      <w:numFmt w:val="bullet"/>
      <w:lvlText w:val="•"/>
      <w:lvlJc w:val="left"/>
      <w:pPr>
        <w:ind w:left="8182" w:hanging="279"/>
      </w:pPr>
      <w:rPr>
        <w:rFonts w:hint="default"/>
        <w:lang w:val="zh-CN" w:eastAsia="zh-CN" w:bidi="zh-CN"/>
      </w:rPr>
    </w:lvl>
  </w:abstractNum>
  <w:abstractNum w:abstractNumId="17">
    <w:nsid w:val="243FCF68"/>
    <w:multiLevelType w:val="multilevel"/>
    <w:tmpl w:val="243FCF68"/>
    <w:lvl w:ilvl="0" w:tentative="0">
      <w:start w:val="1"/>
      <w:numFmt w:val="decimal"/>
      <w:lvlText w:val="（%1）"/>
      <w:lvlJc w:val="left"/>
      <w:pPr>
        <w:ind w:left="969" w:hanging="542"/>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630" w:hanging="542"/>
      </w:pPr>
      <w:rPr>
        <w:rFonts w:hint="default"/>
        <w:lang w:val="zh-CN" w:eastAsia="zh-CN" w:bidi="zh-CN"/>
      </w:rPr>
    </w:lvl>
    <w:lvl w:ilvl="2" w:tentative="0">
      <w:start w:val="0"/>
      <w:numFmt w:val="bullet"/>
      <w:lvlText w:val="•"/>
      <w:lvlJc w:val="left"/>
      <w:pPr>
        <w:ind w:left="2300" w:hanging="542"/>
      </w:pPr>
      <w:rPr>
        <w:rFonts w:hint="default"/>
        <w:lang w:val="zh-CN" w:eastAsia="zh-CN" w:bidi="zh-CN"/>
      </w:rPr>
    </w:lvl>
    <w:lvl w:ilvl="3" w:tentative="0">
      <w:start w:val="0"/>
      <w:numFmt w:val="bullet"/>
      <w:lvlText w:val="•"/>
      <w:lvlJc w:val="left"/>
      <w:pPr>
        <w:ind w:left="2970" w:hanging="542"/>
      </w:pPr>
      <w:rPr>
        <w:rFonts w:hint="default"/>
        <w:lang w:val="zh-CN" w:eastAsia="zh-CN" w:bidi="zh-CN"/>
      </w:rPr>
    </w:lvl>
    <w:lvl w:ilvl="4" w:tentative="0">
      <w:start w:val="0"/>
      <w:numFmt w:val="bullet"/>
      <w:lvlText w:val="•"/>
      <w:lvlJc w:val="left"/>
      <w:pPr>
        <w:ind w:left="3640" w:hanging="542"/>
      </w:pPr>
      <w:rPr>
        <w:rFonts w:hint="default"/>
        <w:lang w:val="zh-CN" w:eastAsia="zh-CN" w:bidi="zh-CN"/>
      </w:rPr>
    </w:lvl>
    <w:lvl w:ilvl="5" w:tentative="0">
      <w:start w:val="0"/>
      <w:numFmt w:val="bullet"/>
      <w:lvlText w:val="•"/>
      <w:lvlJc w:val="left"/>
      <w:pPr>
        <w:ind w:left="4310" w:hanging="542"/>
      </w:pPr>
      <w:rPr>
        <w:rFonts w:hint="default"/>
        <w:lang w:val="zh-CN" w:eastAsia="zh-CN" w:bidi="zh-CN"/>
      </w:rPr>
    </w:lvl>
    <w:lvl w:ilvl="6" w:tentative="0">
      <w:start w:val="0"/>
      <w:numFmt w:val="bullet"/>
      <w:lvlText w:val="•"/>
      <w:lvlJc w:val="left"/>
      <w:pPr>
        <w:ind w:left="4980" w:hanging="542"/>
      </w:pPr>
      <w:rPr>
        <w:rFonts w:hint="default"/>
        <w:lang w:val="zh-CN" w:eastAsia="zh-CN" w:bidi="zh-CN"/>
      </w:rPr>
    </w:lvl>
    <w:lvl w:ilvl="7" w:tentative="0">
      <w:start w:val="0"/>
      <w:numFmt w:val="bullet"/>
      <w:lvlText w:val="•"/>
      <w:lvlJc w:val="left"/>
      <w:pPr>
        <w:ind w:left="5651" w:hanging="542"/>
      </w:pPr>
      <w:rPr>
        <w:rFonts w:hint="default"/>
        <w:lang w:val="zh-CN" w:eastAsia="zh-CN" w:bidi="zh-CN"/>
      </w:rPr>
    </w:lvl>
    <w:lvl w:ilvl="8" w:tentative="0">
      <w:start w:val="0"/>
      <w:numFmt w:val="bullet"/>
      <w:lvlText w:val="•"/>
      <w:lvlJc w:val="left"/>
      <w:pPr>
        <w:ind w:left="6321" w:hanging="542"/>
      </w:pPr>
      <w:rPr>
        <w:rFonts w:hint="default"/>
        <w:lang w:val="zh-CN" w:eastAsia="zh-CN" w:bidi="zh-CN"/>
      </w:rPr>
    </w:lvl>
  </w:abstractNum>
  <w:abstractNum w:abstractNumId="18">
    <w:nsid w:val="25B654F3"/>
    <w:multiLevelType w:val="multilevel"/>
    <w:tmpl w:val="25B654F3"/>
    <w:lvl w:ilvl="0" w:tentative="0">
      <w:start w:val="1"/>
      <w:numFmt w:val="decimal"/>
      <w:lvlText w:val="（%1）"/>
      <w:lvlJc w:val="left"/>
      <w:pPr>
        <w:ind w:left="398" w:hanging="542"/>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368" w:hanging="542"/>
      </w:pPr>
      <w:rPr>
        <w:rFonts w:hint="default"/>
        <w:lang w:val="zh-CN" w:eastAsia="zh-CN" w:bidi="zh-CN"/>
      </w:rPr>
    </w:lvl>
    <w:lvl w:ilvl="2" w:tentative="0">
      <w:start w:val="0"/>
      <w:numFmt w:val="bullet"/>
      <w:lvlText w:val="•"/>
      <w:lvlJc w:val="left"/>
      <w:pPr>
        <w:ind w:left="2337" w:hanging="542"/>
      </w:pPr>
      <w:rPr>
        <w:rFonts w:hint="default"/>
        <w:lang w:val="zh-CN" w:eastAsia="zh-CN" w:bidi="zh-CN"/>
      </w:rPr>
    </w:lvl>
    <w:lvl w:ilvl="3" w:tentative="0">
      <w:start w:val="0"/>
      <w:numFmt w:val="bullet"/>
      <w:lvlText w:val="•"/>
      <w:lvlJc w:val="left"/>
      <w:pPr>
        <w:ind w:left="3305" w:hanging="542"/>
      </w:pPr>
      <w:rPr>
        <w:rFonts w:hint="default"/>
        <w:lang w:val="zh-CN" w:eastAsia="zh-CN" w:bidi="zh-CN"/>
      </w:rPr>
    </w:lvl>
    <w:lvl w:ilvl="4" w:tentative="0">
      <w:start w:val="0"/>
      <w:numFmt w:val="bullet"/>
      <w:lvlText w:val="•"/>
      <w:lvlJc w:val="left"/>
      <w:pPr>
        <w:ind w:left="4274" w:hanging="542"/>
      </w:pPr>
      <w:rPr>
        <w:rFonts w:hint="default"/>
        <w:lang w:val="zh-CN" w:eastAsia="zh-CN" w:bidi="zh-CN"/>
      </w:rPr>
    </w:lvl>
    <w:lvl w:ilvl="5" w:tentative="0">
      <w:start w:val="0"/>
      <w:numFmt w:val="bullet"/>
      <w:lvlText w:val="•"/>
      <w:lvlJc w:val="left"/>
      <w:pPr>
        <w:ind w:left="5243" w:hanging="542"/>
      </w:pPr>
      <w:rPr>
        <w:rFonts w:hint="default"/>
        <w:lang w:val="zh-CN" w:eastAsia="zh-CN" w:bidi="zh-CN"/>
      </w:rPr>
    </w:lvl>
    <w:lvl w:ilvl="6" w:tentative="0">
      <w:start w:val="0"/>
      <w:numFmt w:val="bullet"/>
      <w:lvlText w:val="•"/>
      <w:lvlJc w:val="left"/>
      <w:pPr>
        <w:ind w:left="6211" w:hanging="542"/>
      </w:pPr>
      <w:rPr>
        <w:rFonts w:hint="default"/>
        <w:lang w:val="zh-CN" w:eastAsia="zh-CN" w:bidi="zh-CN"/>
      </w:rPr>
    </w:lvl>
    <w:lvl w:ilvl="7" w:tentative="0">
      <w:start w:val="0"/>
      <w:numFmt w:val="bullet"/>
      <w:lvlText w:val="•"/>
      <w:lvlJc w:val="left"/>
      <w:pPr>
        <w:ind w:left="7180" w:hanging="542"/>
      </w:pPr>
      <w:rPr>
        <w:rFonts w:hint="default"/>
        <w:lang w:val="zh-CN" w:eastAsia="zh-CN" w:bidi="zh-CN"/>
      </w:rPr>
    </w:lvl>
    <w:lvl w:ilvl="8" w:tentative="0">
      <w:start w:val="0"/>
      <w:numFmt w:val="bullet"/>
      <w:lvlText w:val="•"/>
      <w:lvlJc w:val="left"/>
      <w:pPr>
        <w:ind w:left="8149" w:hanging="542"/>
      </w:pPr>
      <w:rPr>
        <w:rFonts w:hint="default"/>
        <w:lang w:val="zh-CN" w:eastAsia="zh-CN" w:bidi="zh-CN"/>
      </w:rPr>
    </w:lvl>
  </w:abstractNum>
  <w:abstractNum w:abstractNumId="19">
    <w:nsid w:val="2A8F537B"/>
    <w:multiLevelType w:val="multilevel"/>
    <w:tmpl w:val="2A8F537B"/>
    <w:lvl w:ilvl="0" w:tentative="0">
      <w:start w:val="1"/>
      <w:numFmt w:val="decimal"/>
      <w:lvlText w:val="（%1）"/>
      <w:lvlJc w:val="left"/>
      <w:pPr>
        <w:ind w:left="905" w:hanging="528"/>
      </w:pPr>
      <w:rPr>
        <w:rFonts w:ascii="Microsoft YaHei UI" w:hAnsi="Microsoft YaHei UI" w:eastAsia="Microsoft YaHei UI"/>
        <w:b/>
        <w:bCs/>
        <w:spacing w:val="-1"/>
        <w:w w:val="99"/>
        <w:sz w:val="19"/>
        <w:szCs w:val="19"/>
      </w:rPr>
    </w:lvl>
    <w:lvl w:ilvl="1" w:tentative="0">
      <w:start w:val="0"/>
      <w:numFmt w:val="bullet"/>
      <w:lvlText w:val="•"/>
      <w:lvlJc w:val="left"/>
      <w:pPr>
        <w:ind w:left="1516" w:hanging="528"/>
      </w:pPr>
    </w:lvl>
    <w:lvl w:ilvl="2" w:tentative="0">
      <w:start w:val="0"/>
      <w:numFmt w:val="bullet"/>
      <w:lvlText w:val="•"/>
      <w:lvlJc w:val="left"/>
      <w:pPr>
        <w:ind w:left="2132" w:hanging="528"/>
      </w:pPr>
    </w:lvl>
    <w:lvl w:ilvl="3" w:tentative="0">
      <w:start w:val="0"/>
      <w:numFmt w:val="bullet"/>
      <w:lvlText w:val="•"/>
      <w:lvlJc w:val="left"/>
      <w:pPr>
        <w:ind w:left="2748" w:hanging="528"/>
      </w:pPr>
    </w:lvl>
    <w:lvl w:ilvl="4" w:tentative="0">
      <w:start w:val="0"/>
      <w:numFmt w:val="bullet"/>
      <w:lvlText w:val="•"/>
      <w:lvlJc w:val="left"/>
      <w:pPr>
        <w:ind w:left="3364" w:hanging="528"/>
      </w:pPr>
    </w:lvl>
    <w:lvl w:ilvl="5" w:tentative="0">
      <w:start w:val="0"/>
      <w:numFmt w:val="bullet"/>
      <w:lvlText w:val="•"/>
      <w:lvlJc w:val="left"/>
      <w:pPr>
        <w:ind w:left="3980" w:hanging="528"/>
      </w:pPr>
    </w:lvl>
    <w:lvl w:ilvl="6" w:tentative="0">
      <w:start w:val="0"/>
      <w:numFmt w:val="bullet"/>
      <w:lvlText w:val="•"/>
      <w:lvlJc w:val="left"/>
      <w:pPr>
        <w:ind w:left="4596" w:hanging="528"/>
      </w:pPr>
    </w:lvl>
    <w:lvl w:ilvl="7" w:tentative="0">
      <w:start w:val="0"/>
      <w:numFmt w:val="bullet"/>
      <w:lvlText w:val="•"/>
      <w:lvlJc w:val="left"/>
      <w:pPr>
        <w:ind w:left="5212" w:hanging="528"/>
      </w:pPr>
    </w:lvl>
    <w:lvl w:ilvl="8" w:tentative="0">
      <w:start w:val="0"/>
      <w:numFmt w:val="bullet"/>
      <w:lvlText w:val="•"/>
      <w:lvlJc w:val="left"/>
      <w:pPr>
        <w:ind w:left="5828" w:hanging="528"/>
      </w:pPr>
    </w:lvl>
  </w:abstractNum>
  <w:abstractNum w:abstractNumId="20">
    <w:nsid w:val="30FC5B15"/>
    <w:multiLevelType w:val="multilevel"/>
    <w:tmpl w:val="30FC5B15"/>
    <w:lvl w:ilvl="0" w:tentative="0">
      <w:start w:val="1"/>
      <w:numFmt w:val="decimal"/>
      <w:lvlText w:val="（%1）"/>
      <w:lvlJc w:val="left"/>
      <w:pPr>
        <w:ind w:left="397" w:hanging="539"/>
        <w:jc w:val="left"/>
      </w:pPr>
      <w:rPr>
        <w:rFonts w:hint="default" w:ascii="宋体" w:hAnsi="宋体" w:eastAsia="宋体" w:cs="宋体"/>
        <w:spacing w:val="-41"/>
        <w:w w:val="100"/>
        <w:sz w:val="19"/>
        <w:szCs w:val="19"/>
        <w:lang w:val="zh-CN" w:eastAsia="zh-CN" w:bidi="zh-CN"/>
      </w:rPr>
    </w:lvl>
    <w:lvl w:ilvl="1" w:tentative="0">
      <w:start w:val="0"/>
      <w:numFmt w:val="bullet"/>
      <w:lvlText w:val="•"/>
      <w:lvlJc w:val="left"/>
      <w:pPr>
        <w:ind w:left="1368" w:hanging="539"/>
      </w:pPr>
      <w:rPr>
        <w:rFonts w:hint="default"/>
        <w:lang w:val="zh-CN" w:eastAsia="zh-CN" w:bidi="zh-CN"/>
      </w:rPr>
    </w:lvl>
    <w:lvl w:ilvl="2" w:tentative="0">
      <w:start w:val="0"/>
      <w:numFmt w:val="bullet"/>
      <w:lvlText w:val="•"/>
      <w:lvlJc w:val="left"/>
      <w:pPr>
        <w:ind w:left="2337" w:hanging="539"/>
      </w:pPr>
      <w:rPr>
        <w:rFonts w:hint="default"/>
        <w:lang w:val="zh-CN" w:eastAsia="zh-CN" w:bidi="zh-CN"/>
      </w:rPr>
    </w:lvl>
    <w:lvl w:ilvl="3" w:tentative="0">
      <w:start w:val="0"/>
      <w:numFmt w:val="bullet"/>
      <w:lvlText w:val="•"/>
      <w:lvlJc w:val="left"/>
      <w:pPr>
        <w:ind w:left="3305" w:hanging="539"/>
      </w:pPr>
      <w:rPr>
        <w:rFonts w:hint="default"/>
        <w:lang w:val="zh-CN" w:eastAsia="zh-CN" w:bidi="zh-CN"/>
      </w:rPr>
    </w:lvl>
    <w:lvl w:ilvl="4" w:tentative="0">
      <w:start w:val="0"/>
      <w:numFmt w:val="bullet"/>
      <w:lvlText w:val="•"/>
      <w:lvlJc w:val="left"/>
      <w:pPr>
        <w:ind w:left="4274" w:hanging="539"/>
      </w:pPr>
      <w:rPr>
        <w:rFonts w:hint="default"/>
        <w:lang w:val="zh-CN" w:eastAsia="zh-CN" w:bidi="zh-CN"/>
      </w:rPr>
    </w:lvl>
    <w:lvl w:ilvl="5" w:tentative="0">
      <w:start w:val="0"/>
      <w:numFmt w:val="bullet"/>
      <w:lvlText w:val="•"/>
      <w:lvlJc w:val="left"/>
      <w:pPr>
        <w:ind w:left="5243" w:hanging="539"/>
      </w:pPr>
      <w:rPr>
        <w:rFonts w:hint="default"/>
        <w:lang w:val="zh-CN" w:eastAsia="zh-CN" w:bidi="zh-CN"/>
      </w:rPr>
    </w:lvl>
    <w:lvl w:ilvl="6" w:tentative="0">
      <w:start w:val="0"/>
      <w:numFmt w:val="bullet"/>
      <w:lvlText w:val="•"/>
      <w:lvlJc w:val="left"/>
      <w:pPr>
        <w:ind w:left="6211" w:hanging="539"/>
      </w:pPr>
      <w:rPr>
        <w:rFonts w:hint="default"/>
        <w:lang w:val="zh-CN" w:eastAsia="zh-CN" w:bidi="zh-CN"/>
      </w:rPr>
    </w:lvl>
    <w:lvl w:ilvl="7" w:tentative="0">
      <w:start w:val="0"/>
      <w:numFmt w:val="bullet"/>
      <w:lvlText w:val="•"/>
      <w:lvlJc w:val="left"/>
      <w:pPr>
        <w:ind w:left="7180" w:hanging="539"/>
      </w:pPr>
      <w:rPr>
        <w:rFonts w:hint="default"/>
        <w:lang w:val="zh-CN" w:eastAsia="zh-CN" w:bidi="zh-CN"/>
      </w:rPr>
    </w:lvl>
    <w:lvl w:ilvl="8" w:tentative="0">
      <w:start w:val="0"/>
      <w:numFmt w:val="bullet"/>
      <w:lvlText w:val="•"/>
      <w:lvlJc w:val="left"/>
      <w:pPr>
        <w:ind w:left="8149" w:hanging="539"/>
      </w:pPr>
      <w:rPr>
        <w:rFonts w:hint="default"/>
        <w:lang w:val="zh-CN" w:eastAsia="zh-CN" w:bidi="zh-CN"/>
      </w:rPr>
    </w:lvl>
  </w:abstractNum>
  <w:abstractNum w:abstractNumId="21">
    <w:nsid w:val="322D85CA"/>
    <w:multiLevelType w:val="multilevel"/>
    <w:tmpl w:val="322D85CA"/>
    <w:lvl w:ilvl="0" w:tentative="0">
      <w:start w:val="13"/>
      <w:numFmt w:val="decimal"/>
      <w:lvlText w:val="（%1）"/>
      <w:lvlJc w:val="left"/>
      <w:pPr>
        <w:ind w:left="1628" w:hanging="750"/>
        <w:jc w:val="left"/>
      </w:pPr>
      <w:rPr>
        <w:rFonts w:hint="default" w:ascii="宋体" w:hAnsi="宋体" w:eastAsia="宋体" w:cs="宋体"/>
        <w:spacing w:val="-3"/>
        <w:w w:val="99"/>
        <w:sz w:val="22"/>
        <w:szCs w:val="22"/>
        <w:lang w:val="zh-CN" w:eastAsia="zh-CN" w:bidi="zh-CN"/>
      </w:rPr>
    </w:lvl>
    <w:lvl w:ilvl="1" w:tentative="0">
      <w:start w:val="0"/>
      <w:numFmt w:val="bullet"/>
      <w:lvlText w:val="•"/>
      <w:lvlJc w:val="left"/>
      <w:pPr>
        <w:ind w:left="2466" w:hanging="750"/>
      </w:pPr>
      <w:rPr>
        <w:rFonts w:hint="default"/>
        <w:lang w:val="zh-CN" w:eastAsia="zh-CN" w:bidi="zh-CN"/>
      </w:rPr>
    </w:lvl>
    <w:lvl w:ilvl="2" w:tentative="0">
      <w:start w:val="0"/>
      <w:numFmt w:val="bullet"/>
      <w:lvlText w:val="•"/>
      <w:lvlJc w:val="left"/>
      <w:pPr>
        <w:ind w:left="3313" w:hanging="750"/>
      </w:pPr>
      <w:rPr>
        <w:rFonts w:hint="default"/>
        <w:lang w:val="zh-CN" w:eastAsia="zh-CN" w:bidi="zh-CN"/>
      </w:rPr>
    </w:lvl>
    <w:lvl w:ilvl="3" w:tentative="0">
      <w:start w:val="0"/>
      <w:numFmt w:val="bullet"/>
      <w:lvlText w:val="•"/>
      <w:lvlJc w:val="left"/>
      <w:pPr>
        <w:ind w:left="4159" w:hanging="750"/>
      </w:pPr>
      <w:rPr>
        <w:rFonts w:hint="default"/>
        <w:lang w:val="zh-CN" w:eastAsia="zh-CN" w:bidi="zh-CN"/>
      </w:rPr>
    </w:lvl>
    <w:lvl w:ilvl="4" w:tentative="0">
      <w:start w:val="0"/>
      <w:numFmt w:val="bullet"/>
      <w:lvlText w:val="•"/>
      <w:lvlJc w:val="left"/>
      <w:pPr>
        <w:ind w:left="5006" w:hanging="750"/>
      </w:pPr>
      <w:rPr>
        <w:rFonts w:hint="default"/>
        <w:lang w:val="zh-CN" w:eastAsia="zh-CN" w:bidi="zh-CN"/>
      </w:rPr>
    </w:lvl>
    <w:lvl w:ilvl="5" w:tentative="0">
      <w:start w:val="0"/>
      <w:numFmt w:val="bullet"/>
      <w:lvlText w:val="•"/>
      <w:lvlJc w:val="left"/>
      <w:pPr>
        <w:ind w:left="5853" w:hanging="750"/>
      </w:pPr>
      <w:rPr>
        <w:rFonts w:hint="default"/>
        <w:lang w:val="zh-CN" w:eastAsia="zh-CN" w:bidi="zh-CN"/>
      </w:rPr>
    </w:lvl>
    <w:lvl w:ilvl="6" w:tentative="0">
      <w:start w:val="0"/>
      <w:numFmt w:val="bullet"/>
      <w:lvlText w:val="•"/>
      <w:lvlJc w:val="left"/>
      <w:pPr>
        <w:ind w:left="6699" w:hanging="750"/>
      </w:pPr>
      <w:rPr>
        <w:rFonts w:hint="default"/>
        <w:lang w:val="zh-CN" w:eastAsia="zh-CN" w:bidi="zh-CN"/>
      </w:rPr>
    </w:lvl>
    <w:lvl w:ilvl="7" w:tentative="0">
      <w:start w:val="0"/>
      <w:numFmt w:val="bullet"/>
      <w:lvlText w:val="•"/>
      <w:lvlJc w:val="left"/>
      <w:pPr>
        <w:ind w:left="7546" w:hanging="750"/>
      </w:pPr>
      <w:rPr>
        <w:rFonts w:hint="default"/>
        <w:lang w:val="zh-CN" w:eastAsia="zh-CN" w:bidi="zh-CN"/>
      </w:rPr>
    </w:lvl>
    <w:lvl w:ilvl="8" w:tentative="0">
      <w:start w:val="0"/>
      <w:numFmt w:val="bullet"/>
      <w:lvlText w:val="•"/>
      <w:lvlJc w:val="left"/>
      <w:pPr>
        <w:ind w:left="8393" w:hanging="750"/>
      </w:pPr>
      <w:rPr>
        <w:rFonts w:hint="default"/>
        <w:lang w:val="zh-CN" w:eastAsia="zh-CN" w:bidi="zh-CN"/>
      </w:rPr>
    </w:lvl>
  </w:abstractNum>
  <w:abstractNum w:abstractNumId="22">
    <w:nsid w:val="497605D0"/>
    <w:multiLevelType w:val="multilevel"/>
    <w:tmpl w:val="497605D0"/>
    <w:lvl w:ilvl="0" w:tentative="0">
      <w:start w:val="1"/>
      <w:numFmt w:val="decimalEnclosedParen"/>
      <w:lvlText w:val="%1"/>
      <w:lvlJc w:val="left"/>
      <w:pPr>
        <w:ind w:left="579" w:hanging="360"/>
      </w:pPr>
      <w:rPr>
        <w:rFonts w:hint="default"/>
      </w:rPr>
    </w:lvl>
    <w:lvl w:ilvl="1" w:tentative="0">
      <w:start w:val="1"/>
      <w:numFmt w:val="lowerLetter"/>
      <w:lvlText w:val="%2)"/>
      <w:lvlJc w:val="left"/>
      <w:pPr>
        <w:ind w:left="1059" w:hanging="420"/>
      </w:pPr>
    </w:lvl>
    <w:lvl w:ilvl="2" w:tentative="0">
      <w:start w:val="1"/>
      <w:numFmt w:val="lowerRoman"/>
      <w:lvlText w:val="%3."/>
      <w:lvlJc w:val="right"/>
      <w:pPr>
        <w:ind w:left="1479" w:hanging="420"/>
      </w:pPr>
    </w:lvl>
    <w:lvl w:ilvl="3" w:tentative="0">
      <w:start w:val="1"/>
      <w:numFmt w:val="decimal"/>
      <w:lvlText w:val="%4."/>
      <w:lvlJc w:val="left"/>
      <w:pPr>
        <w:ind w:left="1899" w:hanging="420"/>
      </w:pPr>
    </w:lvl>
    <w:lvl w:ilvl="4" w:tentative="0">
      <w:start w:val="1"/>
      <w:numFmt w:val="lowerLetter"/>
      <w:lvlText w:val="%5)"/>
      <w:lvlJc w:val="left"/>
      <w:pPr>
        <w:ind w:left="2319" w:hanging="420"/>
      </w:pPr>
    </w:lvl>
    <w:lvl w:ilvl="5" w:tentative="0">
      <w:start w:val="1"/>
      <w:numFmt w:val="lowerRoman"/>
      <w:lvlText w:val="%6."/>
      <w:lvlJc w:val="right"/>
      <w:pPr>
        <w:ind w:left="2739" w:hanging="420"/>
      </w:pPr>
    </w:lvl>
    <w:lvl w:ilvl="6" w:tentative="0">
      <w:start w:val="1"/>
      <w:numFmt w:val="decimal"/>
      <w:lvlText w:val="%7."/>
      <w:lvlJc w:val="left"/>
      <w:pPr>
        <w:ind w:left="3159" w:hanging="420"/>
      </w:pPr>
    </w:lvl>
    <w:lvl w:ilvl="7" w:tentative="0">
      <w:start w:val="1"/>
      <w:numFmt w:val="lowerLetter"/>
      <w:lvlText w:val="%8)"/>
      <w:lvlJc w:val="left"/>
      <w:pPr>
        <w:ind w:left="3579" w:hanging="420"/>
      </w:pPr>
    </w:lvl>
    <w:lvl w:ilvl="8" w:tentative="0">
      <w:start w:val="1"/>
      <w:numFmt w:val="lowerRoman"/>
      <w:lvlText w:val="%9."/>
      <w:lvlJc w:val="right"/>
      <w:pPr>
        <w:ind w:left="3999" w:hanging="420"/>
      </w:pPr>
    </w:lvl>
  </w:abstractNum>
  <w:abstractNum w:abstractNumId="23">
    <w:nsid w:val="4D94DA66"/>
    <w:multiLevelType w:val="multilevel"/>
    <w:tmpl w:val="4D94DA66"/>
    <w:lvl w:ilvl="0" w:tentative="0">
      <w:start w:val="1"/>
      <w:numFmt w:val="decimal"/>
      <w:lvlText w:val="%1."/>
      <w:lvlJc w:val="left"/>
      <w:pPr>
        <w:ind w:left="665" w:hanging="268"/>
        <w:jc w:val="left"/>
      </w:pPr>
      <w:rPr>
        <w:rFonts w:hint="default" w:ascii="Arial" w:hAnsi="Arial" w:eastAsia="Arial" w:cs="Arial"/>
        <w:w w:val="99"/>
        <w:sz w:val="30"/>
        <w:szCs w:val="30"/>
        <w:lang w:val="zh-CN" w:eastAsia="zh-CN" w:bidi="zh-CN"/>
      </w:rPr>
    </w:lvl>
    <w:lvl w:ilvl="1" w:tentative="0">
      <w:start w:val="1"/>
      <w:numFmt w:val="decimal"/>
      <w:lvlText w:val="%1.%2"/>
      <w:lvlJc w:val="left"/>
      <w:pPr>
        <w:ind w:left="1334" w:hanging="456"/>
        <w:jc w:val="left"/>
      </w:pPr>
      <w:rPr>
        <w:rFonts w:hint="default" w:ascii="Arial" w:hAnsi="Arial" w:eastAsia="Arial" w:cs="Arial"/>
        <w:w w:val="99"/>
        <w:sz w:val="24"/>
        <w:szCs w:val="24"/>
        <w:lang w:val="zh-CN" w:eastAsia="zh-CN" w:bidi="zh-CN"/>
      </w:rPr>
    </w:lvl>
    <w:lvl w:ilvl="2" w:tentative="0">
      <w:start w:val="1"/>
      <w:numFmt w:val="decimal"/>
      <w:lvlText w:val="%1.%2.%3"/>
      <w:lvlJc w:val="left"/>
      <w:pPr>
        <w:ind w:left="878" w:hanging="656"/>
        <w:jc w:val="left"/>
      </w:pPr>
      <w:rPr>
        <w:rFonts w:hint="default" w:ascii="Arial" w:hAnsi="Arial" w:eastAsia="Arial" w:cs="Arial"/>
        <w:spacing w:val="-2"/>
        <w:w w:val="99"/>
        <w:sz w:val="24"/>
        <w:szCs w:val="24"/>
        <w:lang w:val="zh-CN" w:eastAsia="zh-CN" w:bidi="zh-CN"/>
      </w:rPr>
    </w:lvl>
    <w:lvl w:ilvl="3" w:tentative="0">
      <w:start w:val="0"/>
      <w:numFmt w:val="bullet"/>
      <w:lvlText w:val="•"/>
      <w:lvlJc w:val="left"/>
      <w:pPr>
        <w:ind w:left="2433" w:hanging="656"/>
      </w:pPr>
      <w:rPr>
        <w:rFonts w:hint="default"/>
        <w:lang w:val="zh-CN" w:eastAsia="zh-CN" w:bidi="zh-CN"/>
      </w:rPr>
    </w:lvl>
    <w:lvl w:ilvl="4" w:tentative="0">
      <w:start w:val="0"/>
      <w:numFmt w:val="bullet"/>
      <w:lvlText w:val="•"/>
      <w:lvlJc w:val="left"/>
      <w:pPr>
        <w:ind w:left="3526" w:hanging="656"/>
      </w:pPr>
      <w:rPr>
        <w:rFonts w:hint="default"/>
        <w:lang w:val="zh-CN" w:eastAsia="zh-CN" w:bidi="zh-CN"/>
      </w:rPr>
    </w:lvl>
    <w:lvl w:ilvl="5" w:tentative="0">
      <w:start w:val="0"/>
      <w:numFmt w:val="bullet"/>
      <w:lvlText w:val="•"/>
      <w:lvlJc w:val="left"/>
      <w:pPr>
        <w:ind w:left="4619" w:hanging="656"/>
      </w:pPr>
      <w:rPr>
        <w:rFonts w:hint="default"/>
        <w:lang w:val="zh-CN" w:eastAsia="zh-CN" w:bidi="zh-CN"/>
      </w:rPr>
    </w:lvl>
    <w:lvl w:ilvl="6" w:tentative="0">
      <w:start w:val="0"/>
      <w:numFmt w:val="bullet"/>
      <w:lvlText w:val="•"/>
      <w:lvlJc w:val="left"/>
      <w:pPr>
        <w:ind w:left="5713" w:hanging="656"/>
      </w:pPr>
      <w:rPr>
        <w:rFonts w:hint="default"/>
        <w:lang w:val="zh-CN" w:eastAsia="zh-CN" w:bidi="zh-CN"/>
      </w:rPr>
    </w:lvl>
    <w:lvl w:ilvl="7" w:tentative="0">
      <w:start w:val="0"/>
      <w:numFmt w:val="bullet"/>
      <w:lvlText w:val="•"/>
      <w:lvlJc w:val="left"/>
      <w:pPr>
        <w:ind w:left="6806" w:hanging="656"/>
      </w:pPr>
      <w:rPr>
        <w:rFonts w:hint="default"/>
        <w:lang w:val="zh-CN" w:eastAsia="zh-CN" w:bidi="zh-CN"/>
      </w:rPr>
    </w:lvl>
    <w:lvl w:ilvl="8" w:tentative="0">
      <w:start w:val="0"/>
      <w:numFmt w:val="bullet"/>
      <w:lvlText w:val="•"/>
      <w:lvlJc w:val="left"/>
      <w:pPr>
        <w:ind w:left="7899" w:hanging="656"/>
      </w:pPr>
      <w:rPr>
        <w:rFonts w:hint="default"/>
        <w:lang w:val="zh-CN" w:eastAsia="zh-CN" w:bidi="zh-CN"/>
      </w:rPr>
    </w:lvl>
  </w:abstractNum>
  <w:abstractNum w:abstractNumId="24">
    <w:nsid w:val="59A7128F"/>
    <w:multiLevelType w:val="multilevel"/>
    <w:tmpl w:val="59A7128F"/>
    <w:lvl w:ilvl="0" w:tentative="0">
      <w:start w:val="1"/>
      <w:numFmt w:val="decimal"/>
      <w:lvlText w:val="（%1）"/>
      <w:lvlJc w:val="left"/>
      <w:pPr>
        <w:ind w:left="398" w:hanging="542"/>
        <w:jc w:val="left"/>
      </w:pPr>
      <w:rPr>
        <w:rFonts w:hint="default" w:ascii="宋体" w:hAnsi="宋体" w:eastAsia="宋体" w:cs="宋体"/>
        <w:spacing w:val="-3"/>
        <w:w w:val="100"/>
        <w:sz w:val="24"/>
        <w:szCs w:val="24"/>
        <w:lang w:val="zh-CN" w:eastAsia="zh-CN" w:bidi="zh-CN"/>
      </w:rPr>
    </w:lvl>
    <w:lvl w:ilvl="1" w:tentative="0">
      <w:start w:val="0"/>
      <w:numFmt w:val="bullet"/>
      <w:lvlText w:val="•"/>
      <w:lvlJc w:val="left"/>
      <w:pPr>
        <w:ind w:left="1368" w:hanging="542"/>
      </w:pPr>
      <w:rPr>
        <w:rFonts w:hint="default"/>
        <w:lang w:val="zh-CN" w:eastAsia="zh-CN" w:bidi="zh-CN"/>
      </w:rPr>
    </w:lvl>
    <w:lvl w:ilvl="2" w:tentative="0">
      <w:start w:val="0"/>
      <w:numFmt w:val="bullet"/>
      <w:lvlText w:val="•"/>
      <w:lvlJc w:val="left"/>
      <w:pPr>
        <w:ind w:left="2337" w:hanging="542"/>
      </w:pPr>
      <w:rPr>
        <w:rFonts w:hint="default"/>
        <w:lang w:val="zh-CN" w:eastAsia="zh-CN" w:bidi="zh-CN"/>
      </w:rPr>
    </w:lvl>
    <w:lvl w:ilvl="3" w:tentative="0">
      <w:start w:val="0"/>
      <w:numFmt w:val="bullet"/>
      <w:lvlText w:val="•"/>
      <w:lvlJc w:val="left"/>
      <w:pPr>
        <w:ind w:left="3305" w:hanging="542"/>
      </w:pPr>
      <w:rPr>
        <w:rFonts w:hint="default"/>
        <w:lang w:val="zh-CN" w:eastAsia="zh-CN" w:bidi="zh-CN"/>
      </w:rPr>
    </w:lvl>
    <w:lvl w:ilvl="4" w:tentative="0">
      <w:start w:val="0"/>
      <w:numFmt w:val="bullet"/>
      <w:lvlText w:val="•"/>
      <w:lvlJc w:val="left"/>
      <w:pPr>
        <w:ind w:left="4274" w:hanging="542"/>
      </w:pPr>
      <w:rPr>
        <w:rFonts w:hint="default"/>
        <w:lang w:val="zh-CN" w:eastAsia="zh-CN" w:bidi="zh-CN"/>
      </w:rPr>
    </w:lvl>
    <w:lvl w:ilvl="5" w:tentative="0">
      <w:start w:val="0"/>
      <w:numFmt w:val="bullet"/>
      <w:lvlText w:val="•"/>
      <w:lvlJc w:val="left"/>
      <w:pPr>
        <w:ind w:left="5243" w:hanging="542"/>
      </w:pPr>
      <w:rPr>
        <w:rFonts w:hint="default"/>
        <w:lang w:val="zh-CN" w:eastAsia="zh-CN" w:bidi="zh-CN"/>
      </w:rPr>
    </w:lvl>
    <w:lvl w:ilvl="6" w:tentative="0">
      <w:start w:val="0"/>
      <w:numFmt w:val="bullet"/>
      <w:lvlText w:val="•"/>
      <w:lvlJc w:val="left"/>
      <w:pPr>
        <w:ind w:left="6211" w:hanging="542"/>
      </w:pPr>
      <w:rPr>
        <w:rFonts w:hint="default"/>
        <w:lang w:val="zh-CN" w:eastAsia="zh-CN" w:bidi="zh-CN"/>
      </w:rPr>
    </w:lvl>
    <w:lvl w:ilvl="7" w:tentative="0">
      <w:start w:val="0"/>
      <w:numFmt w:val="bullet"/>
      <w:lvlText w:val="•"/>
      <w:lvlJc w:val="left"/>
      <w:pPr>
        <w:ind w:left="7180" w:hanging="542"/>
      </w:pPr>
      <w:rPr>
        <w:rFonts w:hint="default"/>
        <w:lang w:val="zh-CN" w:eastAsia="zh-CN" w:bidi="zh-CN"/>
      </w:rPr>
    </w:lvl>
    <w:lvl w:ilvl="8" w:tentative="0">
      <w:start w:val="0"/>
      <w:numFmt w:val="bullet"/>
      <w:lvlText w:val="•"/>
      <w:lvlJc w:val="left"/>
      <w:pPr>
        <w:ind w:left="8149" w:hanging="542"/>
      </w:pPr>
      <w:rPr>
        <w:rFonts w:hint="default"/>
        <w:lang w:val="zh-CN" w:eastAsia="zh-CN" w:bidi="zh-CN"/>
      </w:rPr>
    </w:lvl>
  </w:abstractNum>
  <w:abstractNum w:abstractNumId="25">
    <w:nsid w:val="5A241D34"/>
    <w:multiLevelType w:val="multilevel"/>
    <w:tmpl w:val="5A241D34"/>
    <w:lvl w:ilvl="0" w:tentative="0">
      <w:start w:val="0"/>
      <w:numFmt w:val="bullet"/>
      <w:lvlText w:val=""/>
      <w:lvlJc w:val="left"/>
      <w:pPr>
        <w:ind w:left="106" w:hanging="190"/>
      </w:pPr>
      <w:rPr>
        <w:rFonts w:ascii="Wingdings" w:hAnsi="Wingdings" w:eastAsia="Times New Roman"/>
        <w:spacing w:val="3"/>
        <w:w w:val="99"/>
        <w:sz w:val="19"/>
      </w:rPr>
    </w:lvl>
    <w:lvl w:ilvl="1" w:tentative="0">
      <w:start w:val="0"/>
      <w:numFmt w:val="bullet"/>
      <w:lvlText w:val="•"/>
      <w:lvlJc w:val="left"/>
      <w:pPr>
        <w:ind w:left="796" w:hanging="190"/>
      </w:pPr>
    </w:lvl>
    <w:lvl w:ilvl="2" w:tentative="0">
      <w:start w:val="0"/>
      <w:numFmt w:val="bullet"/>
      <w:lvlText w:val="•"/>
      <w:lvlJc w:val="left"/>
      <w:pPr>
        <w:ind w:left="1492" w:hanging="190"/>
      </w:pPr>
    </w:lvl>
    <w:lvl w:ilvl="3" w:tentative="0">
      <w:start w:val="0"/>
      <w:numFmt w:val="bullet"/>
      <w:lvlText w:val="•"/>
      <w:lvlJc w:val="left"/>
      <w:pPr>
        <w:ind w:left="2188" w:hanging="190"/>
      </w:pPr>
    </w:lvl>
    <w:lvl w:ilvl="4" w:tentative="0">
      <w:start w:val="0"/>
      <w:numFmt w:val="bullet"/>
      <w:lvlText w:val="•"/>
      <w:lvlJc w:val="left"/>
      <w:pPr>
        <w:ind w:left="2884" w:hanging="190"/>
      </w:pPr>
    </w:lvl>
    <w:lvl w:ilvl="5" w:tentative="0">
      <w:start w:val="0"/>
      <w:numFmt w:val="bullet"/>
      <w:lvlText w:val="•"/>
      <w:lvlJc w:val="left"/>
      <w:pPr>
        <w:ind w:left="3580" w:hanging="190"/>
      </w:pPr>
    </w:lvl>
    <w:lvl w:ilvl="6" w:tentative="0">
      <w:start w:val="0"/>
      <w:numFmt w:val="bullet"/>
      <w:lvlText w:val="•"/>
      <w:lvlJc w:val="left"/>
      <w:pPr>
        <w:ind w:left="4276" w:hanging="190"/>
      </w:pPr>
    </w:lvl>
    <w:lvl w:ilvl="7" w:tentative="0">
      <w:start w:val="0"/>
      <w:numFmt w:val="bullet"/>
      <w:lvlText w:val="•"/>
      <w:lvlJc w:val="left"/>
      <w:pPr>
        <w:ind w:left="4972" w:hanging="190"/>
      </w:pPr>
    </w:lvl>
    <w:lvl w:ilvl="8" w:tentative="0">
      <w:start w:val="0"/>
      <w:numFmt w:val="bullet"/>
      <w:lvlText w:val="•"/>
      <w:lvlJc w:val="left"/>
      <w:pPr>
        <w:ind w:left="5668" w:hanging="190"/>
      </w:pPr>
    </w:lvl>
  </w:abstractNum>
  <w:abstractNum w:abstractNumId="26">
    <w:nsid w:val="5E29AB5A"/>
    <w:multiLevelType w:val="multilevel"/>
    <w:tmpl w:val="5E29AB5A"/>
    <w:lvl w:ilvl="0" w:tentative="0">
      <w:start w:val="1"/>
      <w:numFmt w:val="decimal"/>
      <w:lvlText w:val="（%1）"/>
      <w:lvlJc w:val="left"/>
      <w:pPr>
        <w:ind w:left="1359" w:hanging="542"/>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232" w:hanging="542"/>
      </w:pPr>
      <w:rPr>
        <w:rFonts w:hint="default"/>
        <w:lang w:val="zh-CN" w:eastAsia="zh-CN" w:bidi="zh-CN"/>
      </w:rPr>
    </w:lvl>
    <w:lvl w:ilvl="2" w:tentative="0">
      <w:start w:val="0"/>
      <w:numFmt w:val="bullet"/>
      <w:lvlText w:val="•"/>
      <w:lvlJc w:val="left"/>
      <w:pPr>
        <w:ind w:left="3105" w:hanging="542"/>
      </w:pPr>
      <w:rPr>
        <w:rFonts w:hint="default"/>
        <w:lang w:val="zh-CN" w:eastAsia="zh-CN" w:bidi="zh-CN"/>
      </w:rPr>
    </w:lvl>
    <w:lvl w:ilvl="3" w:tentative="0">
      <w:start w:val="0"/>
      <w:numFmt w:val="bullet"/>
      <w:lvlText w:val="•"/>
      <w:lvlJc w:val="left"/>
      <w:pPr>
        <w:ind w:left="3977" w:hanging="542"/>
      </w:pPr>
      <w:rPr>
        <w:rFonts w:hint="default"/>
        <w:lang w:val="zh-CN" w:eastAsia="zh-CN" w:bidi="zh-CN"/>
      </w:rPr>
    </w:lvl>
    <w:lvl w:ilvl="4" w:tentative="0">
      <w:start w:val="0"/>
      <w:numFmt w:val="bullet"/>
      <w:lvlText w:val="•"/>
      <w:lvlJc w:val="left"/>
      <w:pPr>
        <w:ind w:left="4850" w:hanging="542"/>
      </w:pPr>
      <w:rPr>
        <w:rFonts w:hint="default"/>
        <w:lang w:val="zh-CN" w:eastAsia="zh-CN" w:bidi="zh-CN"/>
      </w:rPr>
    </w:lvl>
    <w:lvl w:ilvl="5" w:tentative="0">
      <w:start w:val="0"/>
      <w:numFmt w:val="bullet"/>
      <w:lvlText w:val="•"/>
      <w:lvlJc w:val="left"/>
      <w:pPr>
        <w:ind w:left="5723" w:hanging="542"/>
      </w:pPr>
      <w:rPr>
        <w:rFonts w:hint="default"/>
        <w:lang w:val="zh-CN" w:eastAsia="zh-CN" w:bidi="zh-CN"/>
      </w:rPr>
    </w:lvl>
    <w:lvl w:ilvl="6" w:tentative="0">
      <w:start w:val="0"/>
      <w:numFmt w:val="bullet"/>
      <w:lvlText w:val="•"/>
      <w:lvlJc w:val="left"/>
      <w:pPr>
        <w:ind w:left="6595" w:hanging="542"/>
      </w:pPr>
      <w:rPr>
        <w:rFonts w:hint="default"/>
        <w:lang w:val="zh-CN" w:eastAsia="zh-CN" w:bidi="zh-CN"/>
      </w:rPr>
    </w:lvl>
    <w:lvl w:ilvl="7" w:tentative="0">
      <w:start w:val="0"/>
      <w:numFmt w:val="bullet"/>
      <w:lvlText w:val="•"/>
      <w:lvlJc w:val="left"/>
      <w:pPr>
        <w:ind w:left="7468" w:hanging="542"/>
      </w:pPr>
      <w:rPr>
        <w:rFonts w:hint="default"/>
        <w:lang w:val="zh-CN" w:eastAsia="zh-CN" w:bidi="zh-CN"/>
      </w:rPr>
    </w:lvl>
    <w:lvl w:ilvl="8" w:tentative="0">
      <w:start w:val="0"/>
      <w:numFmt w:val="bullet"/>
      <w:lvlText w:val="•"/>
      <w:lvlJc w:val="left"/>
      <w:pPr>
        <w:ind w:left="8341" w:hanging="542"/>
      </w:pPr>
      <w:rPr>
        <w:rFonts w:hint="default"/>
        <w:lang w:val="zh-CN" w:eastAsia="zh-CN" w:bidi="zh-CN"/>
      </w:rPr>
    </w:lvl>
  </w:abstractNum>
  <w:abstractNum w:abstractNumId="27">
    <w:nsid w:val="5FFFB1A7"/>
    <w:multiLevelType w:val="multilevel"/>
    <w:tmpl w:val="5FFFB1A7"/>
    <w:lvl w:ilvl="0" w:tentative="0">
      <w:start w:val="1"/>
      <w:numFmt w:val="decimal"/>
      <w:lvlText w:val="（%1）"/>
      <w:lvlJc w:val="left"/>
      <w:pPr>
        <w:ind w:left="398" w:hanging="616"/>
        <w:jc w:val="left"/>
      </w:pPr>
      <w:rPr>
        <w:rFonts w:hint="default" w:ascii="宋体" w:hAnsi="宋体" w:eastAsia="宋体" w:cs="宋体"/>
        <w:spacing w:val="-58"/>
        <w:w w:val="99"/>
        <w:sz w:val="22"/>
        <w:szCs w:val="22"/>
        <w:lang w:val="zh-CN" w:eastAsia="zh-CN" w:bidi="zh-CN"/>
      </w:rPr>
    </w:lvl>
    <w:lvl w:ilvl="1" w:tentative="0">
      <w:start w:val="0"/>
      <w:numFmt w:val="bullet"/>
      <w:lvlText w:val="•"/>
      <w:lvlJc w:val="left"/>
      <w:pPr>
        <w:ind w:left="1368" w:hanging="616"/>
      </w:pPr>
      <w:rPr>
        <w:rFonts w:hint="default"/>
        <w:lang w:val="zh-CN" w:eastAsia="zh-CN" w:bidi="zh-CN"/>
      </w:rPr>
    </w:lvl>
    <w:lvl w:ilvl="2" w:tentative="0">
      <w:start w:val="0"/>
      <w:numFmt w:val="bullet"/>
      <w:lvlText w:val="•"/>
      <w:lvlJc w:val="left"/>
      <w:pPr>
        <w:ind w:left="2337" w:hanging="616"/>
      </w:pPr>
      <w:rPr>
        <w:rFonts w:hint="default"/>
        <w:lang w:val="zh-CN" w:eastAsia="zh-CN" w:bidi="zh-CN"/>
      </w:rPr>
    </w:lvl>
    <w:lvl w:ilvl="3" w:tentative="0">
      <w:start w:val="0"/>
      <w:numFmt w:val="bullet"/>
      <w:lvlText w:val="•"/>
      <w:lvlJc w:val="left"/>
      <w:pPr>
        <w:ind w:left="3305" w:hanging="616"/>
      </w:pPr>
      <w:rPr>
        <w:rFonts w:hint="default"/>
        <w:lang w:val="zh-CN" w:eastAsia="zh-CN" w:bidi="zh-CN"/>
      </w:rPr>
    </w:lvl>
    <w:lvl w:ilvl="4" w:tentative="0">
      <w:start w:val="0"/>
      <w:numFmt w:val="bullet"/>
      <w:lvlText w:val="•"/>
      <w:lvlJc w:val="left"/>
      <w:pPr>
        <w:ind w:left="4274" w:hanging="616"/>
      </w:pPr>
      <w:rPr>
        <w:rFonts w:hint="default"/>
        <w:lang w:val="zh-CN" w:eastAsia="zh-CN" w:bidi="zh-CN"/>
      </w:rPr>
    </w:lvl>
    <w:lvl w:ilvl="5" w:tentative="0">
      <w:start w:val="0"/>
      <w:numFmt w:val="bullet"/>
      <w:lvlText w:val="•"/>
      <w:lvlJc w:val="left"/>
      <w:pPr>
        <w:ind w:left="5243" w:hanging="616"/>
      </w:pPr>
      <w:rPr>
        <w:rFonts w:hint="default"/>
        <w:lang w:val="zh-CN" w:eastAsia="zh-CN" w:bidi="zh-CN"/>
      </w:rPr>
    </w:lvl>
    <w:lvl w:ilvl="6" w:tentative="0">
      <w:start w:val="0"/>
      <w:numFmt w:val="bullet"/>
      <w:lvlText w:val="•"/>
      <w:lvlJc w:val="left"/>
      <w:pPr>
        <w:ind w:left="6211" w:hanging="616"/>
      </w:pPr>
      <w:rPr>
        <w:rFonts w:hint="default"/>
        <w:lang w:val="zh-CN" w:eastAsia="zh-CN" w:bidi="zh-CN"/>
      </w:rPr>
    </w:lvl>
    <w:lvl w:ilvl="7" w:tentative="0">
      <w:start w:val="0"/>
      <w:numFmt w:val="bullet"/>
      <w:lvlText w:val="•"/>
      <w:lvlJc w:val="left"/>
      <w:pPr>
        <w:ind w:left="7180" w:hanging="616"/>
      </w:pPr>
      <w:rPr>
        <w:rFonts w:hint="default"/>
        <w:lang w:val="zh-CN" w:eastAsia="zh-CN" w:bidi="zh-CN"/>
      </w:rPr>
    </w:lvl>
    <w:lvl w:ilvl="8" w:tentative="0">
      <w:start w:val="0"/>
      <w:numFmt w:val="bullet"/>
      <w:lvlText w:val="•"/>
      <w:lvlJc w:val="left"/>
      <w:pPr>
        <w:ind w:left="8149" w:hanging="616"/>
      </w:pPr>
      <w:rPr>
        <w:rFonts w:hint="default"/>
        <w:lang w:val="zh-CN" w:eastAsia="zh-CN" w:bidi="zh-CN"/>
      </w:rPr>
    </w:lvl>
  </w:abstractNum>
  <w:abstractNum w:abstractNumId="28">
    <w:nsid w:val="6441C7D9"/>
    <w:multiLevelType w:val="singleLevel"/>
    <w:tmpl w:val="6441C7D9"/>
    <w:lvl w:ilvl="0" w:tentative="0">
      <w:start w:val="1"/>
      <w:numFmt w:val="decimal"/>
      <w:suff w:val="nothing"/>
      <w:lvlText w:val="%1．"/>
      <w:lvlJc w:val="left"/>
      <w:pPr>
        <w:ind w:left="0" w:firstLine="400"/>
      </w:pPr>
      <w:rPr>
        <w:rFonts w:hint="default"/>
      </w:rPr>
    </w:lvl>
  </w:abstractNum>
  <w:abstractNum w:abstractNumId="29">
    <w:nsid w:val="65CD0074"/>
    <w:multiLevelType w:val="multilevel"/>
    <w:tmpl w:val="65CD0074"/>
    <w:lvl w:ilvl="0" w:tentative="0">
      <w:start w:val="1"/>
      <w:numFmt w:val="lowerLetter"/>
      <w:lvlText w:val="%1."/>
      <w:lvlJc w:val="left"/>
      <w:pPr>
        <w:ind w:left="1253" w:hanging="376"/>
        <w:jc w:val="left"/>
      </w:pPr>
      <w:rPr>
        <w:rFonts w:hint="default" w:ascii="Arial" w:hAnsi="Arial" w:eastAsia="Arial" w:cs="Arial"/>
        <w:spacing w:val="-58"/>
        <w:w w:val="99"/>
        <w:sz w:val="22"/>
        <w:szCs w:val="22"/>
        <w:lang w:val="zh-CN" w:eastAsia="zh-CN" w:bidi="zh-CN"/>
      </w:rPr>
    </w:lvl>
    <w:lvl w:ilvl="1" w:tentative="0">
      <w:start w:val="0"/>
      <w:numFmt w:val="bullet"/>
      <w:lvlText w:val="•"/>
      <w:lvlJc w:val="left"/>
      <w:pPr>
        <w:ind w:left="2142" w:hanging="376"/>
      </w:pPr>
      <w:rPr>
        <w:rFonts w:hint="default"/>
        <w:lang w:val="zh-CN" w:eastAsia="zh-CN" w:bidi="zh-CN"/>
      </w:rPr>
    </w:lvl>
    <w:lvl w:ilvl="2" w:tentative="0">
      <w:start w:val="0"/>
      <w:numFmt w:val="bullet"/>
      <w:lvlText w:val="•"/>
      <w:lvlJc w:val="left"/>
      <w:pPr>
        <w:ind w:left="3025" w:hanging="376"/>
      </w:pPr>
      <w:rPr>
        <w:rFonts w:hint="default"/>
        <w:lang w:val="zh-CN" w:eastAsia="zh-CN" w:bidi="zh-CN"/>
      </w:rPr>
    </w:lvl>
    <w:lvl w:ilvl="3" w:tentative="0">
      <w:start w:val="0"/>
      <w:numFmt w:val="bullet"/>
      <w:lvlText w:val="•"/>
      <w:lvlJc w:val="left"/>
      <w:pPr>
        <w:ind w:left="3907" w:hanging="376"/>
      </w:pPr>
      <w:rPr>
        <w:rFonts w:hint="default"/>
        <w:lang w:val="zh-CN" w:eastAsia="zh-CN" w:bidi="zh-CN"/>
      </w:rPr>
    </w:lvl>
    <w:lvl w:ilvl="4" w:tentative="0">
      <w:start w:val="0"/>
      <w:numFmt w:val="bullet"/>
      <w:lvlText w:val="•"/>
      <w:lvlJc w:val="left"/>
      <w:pPr>
        <w:ind w:left="4790" w:hanging="376"/>
      </w:pPr>
      <w:rPr>
        <w:rFonts w:hint="default"/>
        <w:lang w:val="zh-CN" w:eastAsia="zh-CN" w:bidi="zh-CN"/>
      </w:rPr>
    </w:lvl>
    <w:lvl w:ilvl="5" w:tentative="0">
      <w:start w:val="0"/>
      <w:numFmt w:val="bullet"/>
      <w:lvlText w:val="•"/>
      <w:lvlJc w:val="left"/>
      <w:pPr>
        <w:ind w:left="5673" w:hanging="376"/>
      </w:pPr>
      <w:rPr>
        <w:rFonts w:hint="default"/>
        <w:lang w:val="zh-CN" w:eastAsia="zh-CN" w:bidi="zh-CN"/>
      </w:rPr>
    </w:lvl>
    <w:lvl w:ilvl="6" w:tentative="0">
      <w:start w:val="0"/>
      <w:numFmt w:val="bullet"/>
      <w:lvlText w:val="•"/>
      <w:lvlJc w:val="left"/>
      <w:pPr>
        <w:ind w:left="6555" w:hanging="376"/>
      </w:pPr>
      <w:rPr>
        <w:rFonts w:hint="default"/>
        <w:lang w:val="zh-CN" w:eastAsia="zh-CN" w:bidi="zh-CN"/>
      </w:rPr>
    </w:lvl>
    <w:lvl w:ilvl="7" w:tentative="0">
      <w:start w:val="0"/>
      <w:numFmt w:val="bullet"/>
      <w:lvlText w:val="•"/>
      <w:lvlJc w:val="left"/>
      <w:pPr>
        <w:ind w:left="7438" w:hanging="376"/>
      </w:pPr>
      <w:rPr>
        <w:rFonts w:hint="default"/>
        <w:lang w:val="zh-CN" w:eastAsia="zh-CN" w:bidi="zh-CN"/>
      </w:rPr>
    </w:lvl>
    <w:lvl w:ilvl="8" w:tentative="0">
      <w:start w:val="0"/>
      <w:numFmt w:val="bullet"/>
      <w:lvlText w:val="•"/>
      <w:lvlJc w:val="left"/>
      <w:pPr>
        <w:ind w:left="8321" w:hanging="376"/>
      </w:pPr>
      <w:rPr>
        <w:rFonts w:hint="default"/>
        <w:lang w:val="zh-CN" w:eastAsia="zh-CN" w:bidi="zh-CN"/>
      </w:rPr>
    </w:lvl>
  </w:abstractNum>
  <w:abstractNum w:abstractNumId="30">
    <w:nsid w:val="74C28B35"/>
    <w:multiLevelType w:val="multilevel"/>
    <w:tmpl w:val="74C28B35"/>
    <w:lvl w:ilvl="0" w:tentative="0">
      <w:start w:val="3"/>
      <w:numFmt w:val="decimal"/>
      <w:lvlText w:val="%1"/>
      <w:lvlJc w:val="left"/>
      <w:pPr>
        <w:ind w:left="1334" w:hanging="456"/>
        <w:jc w:val="left"/>
      </w:pPr>
      <w:rPr>
        <w:rFonts w:hint="default"/>
        <w:lang w:val="zh-CN" w:eastAsia="zh-CN" w:bidi="zh-CN"/>
      </w:rPr>
    </w:lvl>
    <w:lvl w:ilvl="1" w:tentative="0">
      <w:start w:val="9"/>
      <w:numFmt w:val="decimal"/>
      <w:lvlText w:val="%1.%2"/>
      <w:lvlJc w:val="left"/>
      <w:pPr>
        <w:ind w:left="1334" w:hanging="456"/>
        <w:jc w:val="left"/>
      </w:pPr>
      <w:rPr>
        <w:rFonts w:hint="default" w:ascii="Arial" w:hAnsi="Arial" w:eastAsia="Arial" w:cs="Arial"/>
        <w:b/>
        <w:bCs/>
        <w:w w:val="99"/>
        <w:sz w:val="24"/>
        <w:szCs w:val="24"/>
        <w:lang w:val="zh-CN" w:eastAsia="zh-CN" w:bidi="zh-CN"/>
      </w:rPr>
    </w:lvl>
    <w:lvl w:ilvl="2" w:tentative="0">
      <w:start w:val="1"/>
      <w:numFmt w:val="decimal"/>
      <w:lvlText w:val="%1.%2.%3"/>
      <w:lvlJc w:val="left"/>
      <w:pPr>
        <w:ind w:left="1473" w:hanging="596"/>
        <w:jc w:val="left"/>
      </w:pPr>
      <w:rPr>
        <w:rFonts w:hint="default" w:ascii="Arial" w:hAnsi="Arial" w:eastAsia="Arial" w:cs="Arial"/>
        <w:spacing w:val="-2"/>
        <w:w w:val="99"/>
        <w:sz w:val="24"/>
        <w:szCs w:val="24"/>
        <w:lang w:val="zh-CN" w:eastAsia="zh-CN" w:bidi="zh-CN"/>
      </w:rPr>
    </w:lvl>
    <w:lvl w:ilvl="3" w:tentative="0">
      <w:start w:val="0"/>
      <w:numFmt w:val="bullet"/>
      <w:lvlText w:val="•"/>
      <w:lvlJc w:val="left"/>
      <w:pPr>
        <w:ind w:left="3392" w:hanging="596"/>
      </w:pPr>
      <w:rPr>
        <w:rFonts w:hint="default"/>
        <w:lang w:val="zh-CN" w:eastAsia="zh-CN" w:bidi="zh-CN"/>
      </w:rPr>
    </w:lvl>
    <w:lvl w:ilvl="4" w:tentative="0">
      <w:start w:val="0"/>
      <w:numFmt w:val="bullet"/>
      <w:lvlText w:val="•"/>
      <w:lvlJc w:val="left"/>
      <w:pPr>
        <w:ind w:left="4348" w:hanging="596"/>
      </w:pPr>
      <w:rPr>
        <w:rFonts w:hint="default"/>
        <w:lang w:val="zh-CN" w:eastAsia="zh-CN" w:bidi="zh-CN"/>
      </w:rPr>
    </w:lvl>
    <w:lvl w:ilvl="5" w:tentative="0">
      <w:start w:val="0"/>
      <w:numFmt w:val="bullet"/>
      <w:lvlText w:val="•"/>
      <w:lvlJc w:val="left"/>
      <w:pPr>
        <w:ind w:left="5305" w:hanging="596"/>
      </w:pPr>
      <w:rPr>
        <w:rFonts w:hint="default"/>
        <w:lang w:val="zh-CN" w:eastAsia="zh-CN" w:bidi="zh-CN"/>
      </w:rPr>
    </w:lvl>
    <w:lvl w:ilvl="6" w:tentative="0">
      <w:start w:val="0"/>
      <w:numFmt w:val="bullet"/>
      <w:lvlText w:val="•"/>
      <w:lvlJc w:val="left"/>
      <w:pPr>
        <w:ind w:left="6261" w:hanging="596"/>
      </w:pPr>
      <w:rPr>
        <w:rFonts w:hint="default"/>
        <w:lang w:val="zh-CN" w:eastAsia="zh-CN" w:bidi="zh-CN"/>
      </w:rPr>
    </w:lvl>
    <w:lvl w:ilvl="7" w:tentative="0">
      <w:start w:val="0"/>
      <w:numFmt w:val="bullet"/>
      <w:lvlText w:val="•"/>
      <w:lvlJc w:val="left"/>
      <w:pPr>
        <w:ind w:left="7217" w:hanging="596"/>
      </w:pPr>
      <w:rPr>
        <w:rFonts w:hint="default"/>
        <w:lang w:val="zh-CN" w:eastAsia="zh-CN" w:bidi="zh-CN"/>
      </w:rPr>
    </w:lvl>
    <w:lvl w:ilvl="8" w:tentative="0">
      <w:start w:val="0"/>
      <w:numFmt w:val="bullet"/>
      <w:lvlText w:val="•"/>
      <w:lvlJc w:val="left"/>
      <w:pPr>
        <w:ind w:left="8173" w:hanging="596"/>
      </w:pPr>
      <w:rPr>
        <w:rFonts w:hint="default"/>
        <w:lang w:val="zh-CN" w:eastAsia="zh-CN" w:bidi="zh-CN"/>
      </w:rPr>
    </w:lvl>
  </w:abstractNum>
  <w:abstractNum w:abstractNumId="31">
    <w:nsid w:val="79AA4FA4"/>
    <w:multiLevelType w:val="multilevel"/>
    <w:tmpl w:val="79AA4FA4"/>
    <w:lvl w:ilvl="0" w:tentative="0">
      <w:start w:val="1"/>
      <w:numFmt w:val="decimal"/>
      <w:lvlText w:val="（%1）"/>
      <w:lvlJc w:val="left"/>
      <w:pPr>
        <w:ind w:left="398" w:hanging="542"/>
        <w:jc w:val="left"/>
      </w:pPr>
      <w:rPr>
        <w:rFonts w:hint="default" w:ascii="宋体" w:hAnsi="宋体" w:eastAsia="宋体" w:cs="宋体"/>
        <w:spacing w:val="-29"/>
        <w:w w:val="100"/>
        <w:sz w:val="19"/>
        <w:szCs w:val="19"/>
        <w:lang w:val="zh-CN" w:eastAsia="zh-CN" w:bidi="zh-CN"/>
      </w:rPr>
    </w:lvl>
    <w:lvl w:ilvl="1" w:tentative="0">
      <w:start w:val="0"/>
      <w:numFmt w:val="bullet"/>
      <w:lvlText w:val="•"/>
      <w:lvlJc w:val="left"/>
      <w:pPr>
        <w:ind w:left="1368" w:hanging="542"/>
      </w:pPr>
      <w:rPr>
        <w:rFonts w:hint="default"/>
        <w:lang w:val="zh-CN" w:eastAsia="zh-CN" w:bidi="zh-CN"/>
      </w:rPr>
    </w:lvl>
    <w:lvl w:ilvl="2" w:tentative="0">
      <w:start w:val="0"/>
      <w:numFmt w:val="bullet"/>
      <w:lvlText w:val="•"/>
      <w:lvlJc w:val="left"/>
      <w:pPr>
        <w:ind w:left="2337" w:hanging="542"/>
      </w:pPr>
      <w:rPr>
        <w:rFonts w:hint="default"/>
        <w:lang w:val="zh-CN" w:eastAsia="zh-CN" w:bidi="zh-CN"/>
      </w:rPr>
    </w:lvl>
    <w:lvl w:ilvl="3" w:tentative="0">
      <w:start w:val="0"/>
      <w:numFmt w:val="bullet"/>
      <w:lvlText w:val="•"/>
      <w:lvlJc w:val="left"/>
      <w:pPr>
        <w:ind w:left="3305" w:hanging="542"/>
      </w:pPr>
      <w:rPr>
        <w:rFonts w:hint="default"/>
        <w:lang w:val="zh-CN" w:eastAsia="zh-CN" w:bidi="zh-CN"/>
      </w:rPr>
    </w:lvl>
    <w:lvl w:ilvl="4" w:tentative="0">
      <w:start w:val="0"/>
      <w:numFmt w:val="bullet"/>
      <w:lvlText w:val="•"/>
      <w:lvlJc w:val="left"/>
      <w:pPr>
        <w:ind w:left="4274" w:hanging="542"/>
      </w:pPr>
      <w:rPr>
        <w:rFonts w:hint="default"/>
        <w:lang w:val="zh-CN" w:eastAsia="zh-CN" w:bidi="zh-CN"/>
      </w:rPr>
    </w:lvl>
    <w:lvl w:ilvl="5" w:tentative="0">
      <w:start w:val="0"/>
      <w:numFmt w:val="bullet"/>
      <w:lvlText w:val="•"/>
      <w:lvlJc w:val="left"/>
      <w:pPr>
        <w:ind w:left="5243" w:hanging="542"/>
      </w:pPr>
      <w:rPr>
        <w:rFonts w:hint="default"/>
        <w:lang w:val="zh-CN" w:eastAsia="zh-CN" w:bidi="zh-CN"/>
      </w:rPr>
    </w:lvl>
    <w:lvl w:ilvl="6" w:tentative="0">
      <w:start w:val="0"/>
      <w:numFmt w:val="bullet"/>
      <w:lvlText w:val="•"/>
      <w:lvlJc w:val="left"/>
      <w:pPr>
        <w:ind w:left="6211" w:hanging="542"/>
      </w:pPr>
      <w:rPr>
        <w:rFonts w:hint="default"/>
        <w:lang w:val="zh-CN" w:eastAsia="zh-CN" w:bidi="zh-CN"/>
      </w:rPr>
    </w:lvl>
    <w:lvl w:ilvl="7" w:tentative="0">
      <w:start w:val="0"/>
      <w:numFmt w:val="bullet"/>
      <w:lvlText w:val="•"/>
      <w:lvlJc w:val="left"/>
      <w:pPr>
        <w:ind w:left="7180" w:hanging="542"/>
      </w:pPr>
      <w:rPr>
        <w:rFonts w:hint="default"/>
        <w:lang w:val="zh-CN" w:eastAsia="zh-CN" w:bidi="zh-CN"/>
      </w:rPr>
    </w:lvl>
    <w:lvl w:ilvl="8" w:tentative="0">
      <w:start w:val="0"/>
      <w:numFmt w:val="bullet"/>
      <w:lvlText w:val="•"/>
      <w:lvlJc w:val="left"/>
      <w:pPr>
        <w:ind w:left="8149" w:hanging="542"/>
      </w:pPr>
      <w:rPr>
        <w:rFonts w:hint="default"/>
        <w:lang w:val="zh-CN" w:eastAsia="zh-CN" w:bidi="zh-CN"/>
      </w:rPr>
    </w:lvl>
  </w:abstractNum>
  <w:num w:numId="1">
    <w:abstractNumId w:val="7"/>
  </w:num>
  <w:num w:numId="2">
    <w:abstractNumId w:val="12"/>
  </w:num>
  <w:num w:numId="3">
    <w:abstractNumId w:val="18"/>
  </w:num>
  <w:num w:numId="4">
    <w:abstractNumId w:val="4"/>
  </w:num>
  <w:num w:numId="5">
    <w:abstractNumId w:val="19"/>
  </w:num>
  <w:num w:numId="6">
    <w:abstractNumId w:val="25"/>
  </w:num>
  <w:num w:numId="7">
    <w:abstractNumId w:val="22"/>
  </w:num>
  <w:num w:numId="8">
    <w:abstractNumId w:val="0"/>
  </w:num>
  <w:num w:numId="9">
    <w:abstractNumId w:val="17"/>
  </w:num>
  <w:num w:numId="10">
    <w:abstractNumId w:val="23"/>
  </w:num>
  <w:num w:numId="11">
    <w:abstractNumId w:val="11"/>
  </w:num>
  <w:num w:numId="12">
    <w:abstractNumId w:val="9"/>
  </w:num>
  <w:num w:numId="13">
    <w:abstractNumId w:val="20"/>
  </w:num>
  <w:num w:numId="14">
    <w:abstractNumId w:val="31"/>
  </w:num>
  <w:num w:numId="15">
    <w:abstractNumId w:val="6"/>
  </w:num>
  <w:num w:numId="16">
    <w:abstractNumId w:val="3"/>
  </w:num>
  <w:num w:numId="17">
    <w:abstractNumId w:val="5"/>
  </w:num>
  <w:num w:numId="18">
    <w:abstractNumId w:val="26"/>
  </w:num>
  <w:num w:numId="19">
    <w:abstractNumId w:val="1"/>
  </w:num>
  <w:num w:numId="20">
    <w:abstractNumId w:val="15"/>
  </w:num>
  <w:num w:numId="21">
    <w:abstractNumId w:val="2"/>
  </w:num>
  <w:num w:numId="22">
    <w:abstractNumId w:val="27"/>
  </w:num>
  <w:num w:numId="23">
    <w:abstractNumId w:val="30"/>
  </w:num>
  <w:num w:numId="24">
    <w:abstractNumId w:val="24"/>
  </w:num>
  <w:num w:numId="25">
    <w:abstractNumId w:val="21"/>
  </w:num>
  <w:num w:numId="26">
    <w:abstractNumId w:val="29"/>
  </w:num>
  <w:num w:numId="27">
    <w:abstractNumId w:val="13"/>
  </w:num>
  <w:num w:numId="28">
    <w:abstractNumId w:val="14"/>
  </w:num>
  <w:num w:numId="29">
    <w:abstractNumId w:val="8"/>
  </w:num>
  <w:num w:numId="30">
    <w:abstractNumId w:val="28"/>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Y2VhODgxM2QxZTY2YTQzNDc4M2NkYjI3NWE1Y2QifQ=="/>
  </w:docVars>
  <w:rsids>
    <w:rsidRoot w:val="00000000"/>
    <w:rsid w:val="00337586"/>
    <w:rsid w:val="003B6829"/>
    <w:rsid w:val="00784F9E"/>
    <w:rsid w:val="01351709"/>
    <w:rsid w:val="018362EB"/>
    <w:rsid w:val="01B86CD6"/>
    <w:rsid w:val="029B75CA"/>
    <w:rsid w:val="02D432A2"/>
    <w:rsid w:val="02D663A0"/>
    <w:rsid w:val="02E11436"/>
    <w:rsid w:val="02F94AB6"/>
    <w:rsid w:val="03BB1D6C"/>
    <w:rsid w:val="03CC3F79"/>
    <w:rsid w:val="04D06D2A"/>
    <w:rsid w:val="0575123A"/>
    <w:rsid w:val="05860158"/>
    <w:rsid w:val="06756F8A"/>
    <w:rsid w:val="06A54BA2"/>
    <w:rsid w:val="07ED44BE"/>
    <w:rsid w:val="084D31AF"/>
    <w:rsid w:val="08FD6983"/>
    <w:rsid w:val="092959CA"/>
    <w:rsid w:val="0949606C"/>
    <w:rsid w:val="09945539"/>
    <w:rsid w:val="09E61C0F"/>
    <w:rsid w:val="09F87B91"/>
    <w:rsid w:val="0A762E91"/>
    <w:rsid w:val="0A96708F"/>
    <w:rsid w:val="0AAF1EFF"/>
    <w:rsid w:val="0C177D5B"/>
    <w:rsid w:val="0C2D3A23"/>
    <w:rsid w:val="0D2512B6"/>
    <w:rsid w:val="0D531267"/>
    <w:rsid w:val="0DE442A8"/>
    <w:rsid w:val="0E0D7668"/>
    <w:rsid w:val="0F64775C"/>
    <w:rsid w:val="1008458B"/>
    <w:rsid w:val="10A1053B"/>
    <w:rsid w:val="10DF35A5"/>
    <w:rsid w:val="11826503"/>
    <w:rsid w:val="12CD1ABC"/>
    <w:rsid w:val="12E45C46"/>
    <w:rsid w:val="139F6FB4"/>
    <w:rsid w:val="14092680"/>
    <w:rsid w:val="142C636E"/>
    <w:rsid w:val="14302302"/>
    <w:rsid w:val="1578138A"/>
    <w:rsid w:val="15AF7257"/>
    <w:rsid w:val="15C9656A"/>
    <w:rsid w:val="15CB7CC6"/>
    <w:rsid w:val="16D74CB7"/>
    <w:rsid w:val="178C3D03"/>
    <w:rsid w:val="1796247C"/>
    <w:rsid w:val="17DD454F"/>
    <w:rsid w:val="181608E4"/>
    <w:rsid w:val="197A68DF"/>
    <w:rsid w:val="19D32C42"/>
    <w:rsid w:val="1A253F8B"/>
    <w:rsid w:val="1A6F1E95"/>
    <w:rsid w:val="1A8B2040"/>
    <w:rsid w:val="1B075976"/>
    <w:rsid w:val="1B346A29"/>
    <w:rsid w:val="1C89436F"/>
    <w:rsid w:val="1CC50941"/>
    <w:rsid w:val="1D67129B"/>
    <w:rsid w:val="1DB4365C"/>
    <w:rsid w:val="1F3F5AEF"/>
    <w:rsid w:val="202A1755"/>
    <w:rsid w:val="209B4FA7"/>
    <w:rsid w:val="21132D8F"/>
    <w:rsid w:val="22993768"/>
    <w:rsid w:val="22F8223D"/>
    <w:rsid w:val="23842384"/>
    <w:rsid w:val="256B319A"/>
    <w:rsid w:val="25B52A1E"/>
    <w:rsid w:val="26D22DA5"/>
    <w:rsid w:val="27514612"/>
    <w:rsid w:val="276205CD"/>
    <w:rsid w:val="27E6387B"/>
    <w:rsid w:val="284E04A7"/>
    <w:rsid w:val="287B0EA1"/>
    <w:rsid w:val="28AF74B9"/>
    <w:rsid w:val="28DF17A9"/>
    <w:rsid w:val="2A4D57CE"/>
    <w:rsid w:val="2A9A62D0"/>
    <w:rsid w:val="2BFC0486"/>
    <w:rsid w:val="2CD0422B"/>
    <w:rsid w:val="2D881AC6"/>
    <w:rsid w:val="2D9C43CC"/>
    <w:rsid w:val="2DC27E1E"/>
    <w:rsid w:val="2E092BF5"/>
    <w:rsid w:val="2E0E5C9E"/>
    <w:rsid w:val="2E8B21B7"/>
    <w:rsid w:val="2FBB4296"/>
    <w:rsid w:val="30B11E3E"/>
    <w:rsid w:val="31816934"/>
    <w:rsid w:val="31E72F8F"/>
    <w:rsid w:val="33014DEF"/>
    <w:rsid w:val="33FD441D"/>
    <w:rsid w:val="344E6BA8"/>
    <w:rsid w:val="34A02734"/>
    <w:rsid w:val="34B85698"/>
    <w:rsid w:val="355A115C"/>
    <w:rsid w:val="3590276F"/>
    <w:rsid w:val="364A0BAA"/>
    <w:rsid w:val="36EF52AD"/>
    <w:rsid w:val="36F17277"/>
    <w:rsid w:val="37206882"/>
    <w:rsid w:val="3951224F"/>
    <w:rsid w:val="39F552D0"/>
    <w:rsid w:val="3A707DE1"/>
    <w:rsid w:val="3B1F12BF"/>
    <w:rsid w:val="3B2C04A1"/>
    <w:rsid w:val="3B751569"/>
    <w:rsid w:val="3CDC1EE8"/>
    <w:rsid w:val="3CDC5718"/>
    <w:rsid w:val="3CDF7817"/>
    <w:rsid w:val="3DFD4754"/>
    <w:rsid w:val="3ED41958"/>
    <w:rsid w:val="41456B3D"/>
    <w:rsid w:val="415D3E87"/>
    <w:rsid w:val="419929E5"/>
    <w:rsid w:val="41E81277"/>
    <w:rsid w:val="42A31D6D"/>
    <w:rsid w:val="43A01E09"/>
    <w:rsid w:val="43F809F6"/>
    <w:rsid w:val="445F457F"/>
    <w:rsid w:val="45B01E02"/>
    <w:rsid w:val="4729480B"/>
    <w:rsid w:val="4765466F"/>
    <w:rsid w:val="482E1938"/>
    <w:rsid w:val="4B0230A8"/>
    <w:rsid w:val="4D2E0486"/>
    <w:rsid w:val="4DB72B71"/>
    <w:rsid w:val="4DBC0187"/>
    <w:rsid w:val="4E6879C7"/>
    <w:rsid w:val="4E797E26"/>
    <w:rsid w:val="4EC56BC8"/>
    <w:rsid w:val="4EEC4CDB"/>
    <w:rsid w:val="4FF27E90"/>
    <w:rsid w:val="514364CA"/>
    <w:rsid w:val="52DC0984"/>
    <w:rsid w:val="52DC1DBF"/>
    <w:rsid w:val="52DC6BD6"/>
    <w:rsid w:val="52E33763"/>
    <w:rsid w:val="52EC6E19"/>
    <w:rsid w:val="5356597C"/>
    <w:rsid w:val="541D1254"/>
    <w:rsid w:val="543A5E39"/>
    <w:rsid w:val="552F7491"/>
    <w:rsid w:val="55D43B94"/>
    <w:rsid w:val="56EB73E7"/>
    <w:rsid w:val="57C805DB"/>
    <w:rsid w:val="597A4A53"/>
    <w:rsid w:val="5A9D28FB"/>
    <w:rsid w:val="5BE80399"/>
    <w:rsid w:val="5BF3746A"/>
    <w:rsid w:val="5C6F1771"/>
    <w:rsid w:val="5CA60DED"/>
    <w:rsid w:val="5DDA046B"/>
    <w:rsid w:val="5DE74DAC"/>
    <w:rsid w:val="5FA8056B"/>
    <w:rsid w:val="5FAB62C3"/>
    <w:rsid w:val="60AD4552"/>
    <w:rsid w:val="61295098"/>
    <w:rsid w:val="620677CB"/>
    <w:rsid w:val="623A20D0"/>
    <w:rsid w:val="63C17E4E"/>
    <w:rsid w:val="63C805A6"/>
    <w:rsid w:val="65355423"/>
    <w:rsid w:val="653B3C30"/>
    <w:rsid w:val="65E603C8"/>
    <w:rsid w:val="66855163"/>
    <w:rsid w:val="67915D89"/>
    <w:rsid w:val="679A12F7"/>
    <w:rsid w:val="67A54312"/>
    <w:rsid w:val="6889476E"/>
    <w:rsid w:val="695A0B28"/>
    <w:rsid w:val="6A2151A2"/>
    <w:rsid w:val="6A435E2C"/>
    <w:rsid w:val="6B9B4914"/>
    <w:rsid w:val="6BCB7ABB"/>
    <w:rsid w:val="6C727F37"/>
    <w:rsid w:val="6CBE3134"/>
    <w:rsid w:val="6D4625D8"/>
    <w:rsid w:val="6D626A21"/>
    <w:rsid w:val="6D7D5FC0"/>
    <w:rsid w:val="6DB4632D"/>
    <w:rsid w:val="6E7C6571"/>
    <w:rsid w:val="6E881C94"/>
    <w:rsid w:val="6FDB2297"/>
    <w:rsid w:val="704A4D27"/>
    <w:rsid w:val="71B615C9"/>
    <w:rsid w:val="71F92EA9"/>
    <w:rsid w:val="721834E3"/>
    <w:rsid w:val="730C2768"/>
    <w:rsid w:val="73133AF6"/>
    <w:rsid w:val="74996569"/>
    <w:rsid w:val="75DB50D3"/>
    <w:rsid w:val="7630676D"/>
    <w:rsid w:val="76816FC9"/>
    <w:rsid w:val="77BA4E88"/>
    <w:rsid w:val="79202AC9"/>
    <w:rsid w:val="7936053E"/>
    <w:rsid w:val="79710F40"/>
    <w:rsid w:val="7A6F4CC9"/>
    <w:rsid w:val="7B1D4115"/>
    <w:rsid w:val="7B2E771F"/>
    <w:rsid w:val="7B5D6256"/>
    <w:rsid w:val="7C3C2D8C"/>
    <w:rsid w:val="7C720860"/>
    <w:rsid w:val="7C815F74"/>
    <w:rsid w:val="7E1977FA"/>
    <w:rsid w:val="7F01514B"/>
    <w:rsid w:val="7F25708B"/>
    <w:rsid w:val="7FE17456"/>
    <w:rsid w:val="7FEA47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qFormat="1" w:unhideWhenUsed="0" w:uiPriority="1" w:semiHidden="0" w:name="toc 6"/>
    <w:lsdException w:qFormat="1" w:unhideWhenUsed="0" w:uiPriority="1" w:semiHidden="0" w:name="toc 7"/>
    <w:lsdException w:qFormat="1" w:unhideWhenUsed="0" w:uiPriority="1" w:semiHidden="0" w:name="toc 8"/>
    <w:lsdException w:qFormat="1" w:unhideWhenUsed="0" w:uiPriority="1"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5">
    <w:name w:val="heading 1"/>
    <w:basedOn w:val="1"/>
    <w:next w:val="1"/>
    <w:qFormat/>
    <w:uiPriority w:val="1"/>
    <w:pPr>
      <w:spacing w:before="28"/>
      <w:ind w:right="10"/>
      <w:jc w:val="center"/>
      <w:outlineLvl w:val="1"/>
    </w:pPr>
    <w:rPr>
      <w:rFonts w:ascii="黑体" w:hAnsi="黑体" w:eastAsia="黑体" w:cs="黑体"/>
      <w:b/>
      <w:bCs/>
      <w:sz w:val="52"/>
      <w:szCs w:val="52"/>
      <w:lang w:val="zh-CN" w:eastAsia="zh-CN" w:bidi="zh-CN"/>
    </w:rPr>
  </w:style>
  <w:style w:type="paragraph" w:styleId="6">
    <w:name w:val="heading 2"/>
    <w:basedOn w:val="1"/>
    <w:next w:val="1"/>
    <w:qFormat/>
    <w:uiPriority w:val="1"/>
    <w:pPr>
      <w:spacing w:before="23"/>
      <w:ind w:right="314"/>
      <w:jc w:val="center"/>
      <w:outlineLvl w:val="2"/>
    </w:pPr>
    <w:rPr>
      <w:rFonts w:ascii="黑体" w:hAnsi="黑体" w:eastAsia="黑体" w:cs="黑体"/>
      <w:sz w:val="44"/>
      <w:szCs w:val="44"/>
      <w:lang w:val="zh-CN" w:eastAsia="zh-CN" w:bidi="zh-CN"/>
    </w:rPr>
  </w:style>
  <w:style w:type="paragraph" w:styleId="7">
    <w:name w:val="heading 3"/>
    <w:basedOn w:val="1"/>
    <w:next w:val="1"/>
    <w:qFormat/>
    <w:uiPriority w:val="1"/>
    <w:pPr>
      <w:spacing w:before="163"/>
      <w:ind w:right="314"/>
      <w:jc w:val="center"/>
      <w:outlineLvl w:val="3"/>
    </w:pPr>
    <w:rPr>
      <w:rFonts w:ascii="宋体" w:hAnsi="宋体" w:eastAsia="宋体" w:cs="宋体"/>
      <w:b/>
      <w:bCs/>
      <w:sz w:val="36"/>
      <w:szCs w:val="36"/>
      <w:lang w:val="zh-CN" w:eastAsia="zh-CN" w:bidi="zh-CN"/>
    </w:rPr>
  </w:style>
  <w:style w:type="paragraph" w:styleId="8">
    <w:name w:val="heading 4"/>
    <w:basedOn w:val="1"/>
    <w:next w:val="1"/>
    <w:qFormat/>
    <w:uiPriority w:val="1"/>
    <w:pPr>
      <w:ind w:left="665"/>
      <w:jc w:val="center"/>
      <w:outlineLvl w:val="4"/>
    </w:pPr>
    <w:rPr>
      <w:rFonts w:ascii="宋体" w:hAnsi="宋体" w:eastAsia="宋体" w:cs="宋体"/>
      <w:b/>
      <w:bCs/>
      <w:sz w:val="32"/>
      <w:szCs w:val="32"/>
      <w:lang w:val="zh-CN" w:eastAsia="zh-CN" w:bidi="zh-CN"/>
    </w:rPr>
  </w:style>
  <w:style w:type="paragraph" w:styleId="9">
    <w:name w:val="heading 5"/>
    <w:basedOn w:val="1"/>
    <w:next w:val="1"/>
    <w:qFormat/>
    <w:uiPriority w:val="1"/>
    <w:pPr>
      <w:spacing w:before="40"/>
      <w:ind w:left="300" w:right="314"/>
      <w:jc w:val="center"/>
      <w:outlineLvl w:val="5"/>
    </w:pPr>
    <w:rPr>
      <w:rFonts w:ascii="黑体" w:hAnsi="黑体" w:eastAsia="黑体" w:cs="黑体"/>
      <w:sz w:val="32"/>
      <w:szCs w:val="32"/>
      <w:lang w:val="zh-CN" w:eastAsia="zh-CN" w:bidi="zh-CN"/>
    </w:rPr>
  </w:style>
  <w:style w:type="paragraph" w:styleId="10">
    <w:name w:val="heading 6"/>
    <w:basedOn w:val="1"/>
    <w:next w:val="1"/>
    <w:qFormat/>
    <w:uiPriority w:val="1"/>
    <w:pPr>
      <w:spacing w:before="58"/>
      <w:ind w:left="398"/>
      <w:outlineLvl w:val="6"/>
    </w:pPr>
    <w:rPr>
      <w:rFonts w:ascii="黑体" w:hAnsi="黑体" w:eastAsia="黑体" w:cs="黑体"/>
      <w:b/>
      <w:bCs/>
      <w:sz w:val="30"/>
      <w:szCs w:val="30"/>
      <w:lang w:val="zh-CN" w:eastAsia="zh-CN" w:bidi="zh-CN"/>
    </w:rPr>
  </w:style>
  <w:style w:type="paragraph" w:styleId="11">
    <w:name w:val="heading 7"/>
    <w:basedOn w:val="1"/>
    <w:next w:val="1"/>
    <w:qFormat/>
    <w:uiPriority w:val="1"/>
    <w:pPr>
      <w:spacing w:before="33"/>
      <w:ind w:right="16"/>
      <w:jc w:val="center"/>
      <w:outlineLvl w:val="7"/>
    </w:pPr>
    <w:rPr>
      <w:rFonts w:ascii="黑体" w:hAnsi="黑体" w:eastAsia="黑体" w:cs="黑体"/>
      <w:sz w:val="30"/>
      <w:szCs w:val="30"/>
      <w:lang w:val="zh-CN" w:eastAsia="zh-CN" w:bidi="zh-CN"/>
    </w:rPr>
  </w:style>
  <w:style w:type="paragraph" w:styleId="12">
    <w:name w:val="heading 8"/>
    <w:basedOn w:val="1"/>
    <w:next w:val="1"/>
    <w:qFormat/>
    <w:uiPriority w:val="1"/>
    <w:pPr>
      <w:spacing w:before="61"/>
      <w:ind w:left="772" w:hanging="375"/>
      <w:jc w:val="center"/>
      <w:outlineLvl w:val="8"/>
    </w:pPr>
    <w:rPr>
      <w:rFonts w:ascii="宋体" w:hAnsi="宋体" w:eastAsia="宋体" w:cs="宋体"/>
      <w:b/>
      <w:bCs/>
      <w:sz w:val="28"/>
      <w:szCs w:val="28"/>
      <w:lang w:val="zh-CN" w:eastAsia="zh-CN" w:bidi="zh-CN"/>
    </w:rPr>
  </w:style>
  <w:style w:type="paragraph" w:styleId="13">
    <w:name w:val="heading 9"/>
    <w:basedOn w:val="1"/>
    <w:next w:val="1"/>
    <w:qFormat/>
    <w:uiPriority w:val="1"/>
    <w:pPr>
      <w:ind w:left="720" w:hanging="323"/>
      <w:outlineLvl w:val="9"/>
    </w:pPr>
    <w:rPr>
      <w:rFonts w:ascii="宋体" w:hAnsi="宋体" w:eastAsia="宋体" w:cs="宋体"/>
      <w:b/>
      <w:bCs/>
      <w:sz w:val="24"/>
      <w:szCs w:val="24"/>
      <w:lang w:val="zh-CN" w:eastAsia="zh-CN" w:bidi="zh-CN"/>
    </w:rPr>
  </w:style>
  <w:style w:type="character" w:default="1" w:styleId="27">
    <w:name w:val="Default Paragraph Font"/>
    <w:semiHidden/>
    <w:unhideWhenUsed/>
    <w:qFormat/>
    <w:uiPriority w:val="1"/>
  </w:style>
  <w:style w:type="table" w:default="1" w:styleId="2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21"/>
      <w:szCs w:val="21"/>
      <w:lang w:val="zh-CN" w:eastAsia="zh-CN" w:bidi="zh-CN"/>
    </w:rPr>
  </w:style>
  <w:style w:type="paragraph" w:styleId="3">
    <w:name w:val="Body Text First Indent"/>
    <w:basedOn w:val="2"/>
    <w:next w:val="4"/>
    <w:qFormat/>
    <w:uiPriority w:val="0"/>
    <w:pPr>
      <w:ind w:firstLine="420" w:firstLineChars="100"/>
    </w:pPr>
  </w:style>
  <w:style w:type="paragraph" w:styleId="4">
    <w:name w:val="toc 6"/>
    <w:basedOn w:val="1"/>
    <w:next w:val="1"/>
    <w:qFormat/>
    <w:uiPriority w:val="1"/>
    <w:pPr>
      <w:spacing w:before="43"/>
      <w:ind w:left="823"/>
    </w:pPr>
    <w:rPr>
      <w:rFonts w:ascii="宋体" w:hAnsi="宋体" w:eastAsia="宋体" w:cs="宋体"/>
      <w:sz w:val="21"/>
      <w:szCs w:val="21"/>
      <w:lang w:val="zh-CN" w:eastAsia="zh-CN" w:bidi="zh-CN"/>
    </w:rPr>
  </w:style>
  <w:style w:type="paragraph" w:styleId="14">
    <w:name w:val="toc 7"/>
    <w:basedOn w:val="1"/>
    <w:next w:val="1"/>
    <w:qFormat/>
    <w:uiPriority w:val="1"/>
    <w:pPr>
      <w:spacing w:before="43"/>
      <w:ind w:left="1238"/>
    </w:pPr>
    <w:rPr>
      <w:rFonts w:ascii="宋体" w:hAnsi="宋体" w:eastAsia="宋体" w:cs="宋体"/>
      <w:b/>
      <w:bCs/>
      <w:sz w:val="21"/>
      <w:szCs w:val="21"/>
      <w:lang w:val="zh-CN" w:eastAsia="zh-CN" w:bidi="zh-CN"/>
    </w:rPr>
  </w:style>
  <w:style w:type="paragraph" w:styleId="15">
    <w:name w:val="Normal Indent"/>
    <w:basedOn w:val="1"/>
    <w:qFormat/>
    <w:uiPriority w:val="0"/>
    <w:pPr>
      <w:ind w:firstLine="420" w:firstLineChars="200"/>
    </w:pPr>
  </w:style>
  <w:style w:type="paragraph" w:styleId="16">
    <w:name w:val="annotation text"/>
    <w:basedOn w:val="1"/>
    <w:qFormat/>
    <w:uiPriority w:val="0"/>
    <w:pPr>
      <w:jc w:val="left"/>
    </w:pPr>
  </w:style>
  <w:style w:type="paragraph" w:styleId="17">
    <w:name w:val="toc 5"/>
    <w:basedOn w:val="1"/>
    <w:next w:val="1"/>
    <w:qFormat/>
    <w:uiPriority w:val="1"/>
    <w:pPr>
      <w:spacing w:before="43"/>
      <w:ind w:left="1099" w:hanging="282"/>
    </w:pPr>
    <w:rPr>
      <w:rFonts w:ascii="宋体" w:hAnsi="宋体" w:eastAsia="宋体" w:cs="宋体"/>
      <w:b/>
      <w:bCs/>
      <w:sz w:val="21"/>
      <w:szCs w:val="21"/>
      <w:lang w:val="zh-CN" w:eastAsia="zh-CN" w:bidi="zh-CN"/>
    </w:rPr>
  </w:style>
  <w:style w:type="paragraph" w:styleId="18">
    <w:name w:val="toc 3"/>
    <w:basedOn w:val="1"/>
    <w:next w:val="1"/>
    <w:qFormat/>
    <w:uiPriority w:val="1"/>
    <w:pPr>
      <w:spacing w:before="43"/>
      <w:ind w:right="419"/>
      <w:jc w:val="right"/>
    </w:pPr>
    <w:rPr>
      <w:rFonts w:ascii="宋体" w:hAnsi="宋体" w:eastAsia="宋体" w:cs="宋体"/>
      <w:b/>
      <w:bCs/>
      <w:i/>
      <w:lang w:val="zh-CN" w:eastAsia="zh-CN" w:bidi="zh-CN"/>
    </w:rPr>
  </w:style>
  <w:style w:type="paragraph" w:styleId="19">
    <w:name w:val="toc 8"/>
    <w:basedOn w:val="1"/>
    <w:next w:val="1"/>
    <w:qFormat/>
    <w:uiPriority w:val="1"/>
    <w:pPr>
      <w:spacing w:before="43"/>
      <w:ind w:left="1238"/>
    </w:pPr>
    <w:rPr>
      <w:rFonts w:ascii="黑体" w:hAnsi="黑体" w:eastAsia="黑体" w:cs="黑体"/>
      <w:sz w:val="21"/>
      <w:szCs w:val="21"/>
      <w:lang w:val="zh-CN" w:eastAsia="zh-CN" w:bidi="zh-CN"/>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2">
    <w:name w:val="toc 1"/>
    <w:basedOn w:val="1"/>
    <w:next w:val="1"/>
    <w:qFormat/>
    <w:uiPriority w:val="1"/>
    <w:pPr>
      <w:spacing w:before="43"/>
      <w:ind w:right="419"/>
      <w:jc w:val="right"/>
    </w:pPr>
    <w:rPr>
      <w:rFonts w:ascii="宋体" w:hAnsi="宋体" w:eastAsia="宋体" w:cs="宋体"/>
      <w:b/>
      <w:bCs/>
      <w:sz w:val="21"/>
      <w:szCs w:val="21"/>
      <w:lang w:val="zh-CN" w:eastAsia="zh-CN" w:bidi="zh-CN"/>
    </w:rPr>
  </w:style>
  <w:style w:type="paragraph" w:styleId="23">
    <w:name w:val="toc 4"/>
    <w:basedOn w:val="1"/>
    <w:next w:val="1"/>
    <w:qFormat/>
    <w:uiPriority w:val="1"/>
    <w:pPr>
      <w:spacing w:before="42"/>
      <w:ind w:left="402"/>
    </w:pPr>
    <w:rPr>
      <w:rFonts w:ascii="黑体" w:hAnsi="黑体" w:eastAsia="黑体" w:cs="黑体"/>
      <w:sz w:val="21"/>
      <w:szCs w:val="21"/>
      <w:lang w:val="zh-CN" w:eastAsia="zh-CN" w:bidi="zh-CN"/>
    </w:rPr>
  </w:style>
  <w:style w:type="paragraph" w:styleId="24">
    <w:name w:val="toc 2"/>
    <w:basedOn w:val="1"/>
    <w:next w:val="1"/>
    <w:qFormat/>
    <w:uiPriority w:val="1"/>
    <w:pPr>
      <w:spacing w:before="43"/>
      <w:ind w:right="419"/>
      <w:jc w:val="right"/>
    </w:pPr>
    <w:rPr>
      <w:rFonts w:ascii="宋体" w:hAnsi="宋体" w:eastAsia="宋体" w:cs="宋体"/>
      <w:sz w:val="21"/>
      <w:szCs w:val="21"/>
      <w:lang w:val="zh-CN" w:eastAsia="zh-CN" w:bidi="zh-CN"/>
    </w:rPr>
  </w:style>
  <w:style w:type="paragraph" w:styleId="25">
    <w:name w:val="toc 9"/>
    <w:basedOn w:val="1"/>
    <w:next w:val="1"/>
    <w:qFormat/>
    <w:uiPriority w:val="1"/>
    <w:pPr>
      <w:spacing w:before="43"/>
      <w:ind w:left="1238" w:hanging="282"/>
    </w:pPr>
    <w:rPr>
      <w:rFonts w:ascii="宋体" w:hAnsi="宋体" w:eastAsia="宋体" w:cs="宋体"/>
      <w:b/>
      <w:bCs/>
      <w:i/>
      <w:lang w:val="zh-CN" w:eastAsia="zh-CN" w:bidi="zh-CN"/>
    </w:rPr>
  </w:style>
  <w:style w:type="character" w:styleId="28">
    <w:name w:val="Hyperlink"/>
    <w:basedOn w:val="27"/>
    <w:qFormat/>
    <w:uiPriority w:val="99"/>
    <w:rPr>
      <w:color w:val="333333"/>
      <w:u w:val="none"/>
    </w:rPr>
  </w:style>
  <w:style w:type="table" w:customStyle="1" w:styleId="29">
    <w:name w:val="Table Normal"/>
    <w:semiHidden/>
    <w:unhideWhenUsed/>
    <w:qFormat/>
    <w:uiPriority w:val="2"/>
    <w:tblPr>
      <w:tblCellMar>
        <w:top w:w="0" w:type="dxa"/>
        <w:left w:w="0" w:type="dxa"/>
        <w:bottom w:w="0" w:type="dxa"/>
        <w:right w:w="0" w:type="dxa"/>
      </w:tblCellMar>
    </w:tblPr>
  </w:style>
  <w:style w:type="paragraph" w:styleId="30">
    <w:name w:val="List Paragraph"/>
    <w:basedOn w:val="1"/>
    <w:qFormat/>
    <w:uiPriority w:val="1"/>
    <w:pPr>
      <w:ind w:left="398" w:firstLine="422"/>
    </w:pPr>
    <w:rPr>
      <w:rFonts w:ascii="宋体" w:hAnsi="宋体" w:eastAsia="宋体" w:cs="宋体"/>
      <w:lang w:val="zh-CN" w:eastAsia="zh-CN" w:bidi="zh-CN"/>
    </w:rPr>
  </w:style>
  <w:style w:type="paragraph" w:customStyle="1" w:styleId="31">
    <w:name w:val="Table Paragraph"/>
    <w:basedOn w:val="1"/>
    <w:qFormat/>
    <w:uiPriority w:val="1"/>
    <w:rPr>
      <w:rFonts w:ascii="宋体" w:hAnsi="宋体" w:eastAsia="宋体" w:cs="宋体"/>
      <w:lang w:val="zh-CN" w:eastAsia="zh-CN" w:bidi="zh-CN"/>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
    <w:name w:val="正文_0"/>
    <w:basedOn w:val="1"/>
    <w:qFormat/>
    <w:uiPriority w:val="0"/>
    <w:rPr>
      <w:szCs w:val="21"/>
    </w:rPr>
  </w:style>
  <w:style w:type="paragraph" w:customStyle="1" w:styleId="34">
    <w:name w:val="正文_2_0_0"/>
    <w:basedOn w:val="1"/>
    <w:qFormat/>
    <w:uiPriority w:val="0"/>
    <w:pPr>
      <w:suppressAutoHyphens/>
      <w:jc w:val="left"/>
    </w:pPr>
    <w:rPr>
      <w:szCs w:val="21"/>
    </w:rPr>
  </w:style>
  <w:style w:type="paragraph" w:customStyle="1" w:styleId="35">
    <w:name w:val="样式 标题 2 + Times New Roman 四号 非加粗 段前: 5 磅 段后: 0 磅 行距: 固定值 20..."/>
    <w:basedOn w:val="6"/>
    <w:qFormat/>
    <w:uiPriority w:val="0"/>
    <w:pPr>
      <w:spacing w:before="100" w:after="0" w:line="400" w:lineRule="exact"/>
    </w:pPr>
    <w:rPr>
      <w:rFonts w:ascii="Times New Roman" w:hAnsi="Times New Roman" w:cs="宋体"/>
      <w:sz w:val="28"/>
      <w:szCs w:val="20"/>
    </w:rPr>
  </w:style>
  <w:style w:type="paragraph" w:customStyle="1" w:styleId="36">
    <w:name w:val="WPSOffice手动目录 3"/>
    <w:qFormat/>
    <w:uiPriority w:val="0"/>
    <w:pPr>
      <w:ind w:leftChars="400"/>
    </w:pPr>
    <w:rPr>
      <w:rFonts w:ascii="Times New Roman" w:hAnsi="Times New Roman" w:eastAsia="宋体" w:cs="Times New Roman"/>
      <w:sz w:val="20"/>
      <w:szCs w:val="20"/>
    </w:r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customXml" Target="ink/ink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2-12-19T15:53:38"/>
    </inkml:context>
    <inkml:brush xml:id="br0">
      <inkml:brushProperty name="width" value="0.05292" units="cm"/>
      <inkml:brushProperty name="height" value="0.05292" units="cm"/>
      <inkml:brushProperty name="color" value="#f80600"/>
      <inkml:brushProperty name="ignorePressure" value="0"/>
    </inkml:brush>
  </inkml:definitions>
  <inkml:trace contextRef="#ctx0" brushRef="#br0">10266 778549,'0'0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99</Pages>
  <Words>46278</Words>
  <Characters>48604</Characters>
  <TotalTime>5</TotalTime>
  <ScaleCrop>false</ScaleCrop>
  <LinksUpToDate>false</LinksUpToDate>
  <CharactersWithSpaces>50382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2022-11-25T07:49:00Z</dcterms:created>
  <dc:creator>赖文俊</dc:creator>
  <cp:lastModifiedBy>噗嗤噗嗤饿</cp:lastModifiedBy>
  <cp:lastPrinted>2023-11-27T07:44:00Z</cp:lastPrinted>
  <dcterms:modified xsi:type="dcterms:W3CDTF">2023-12-05T06:45:35Z</dcterms:modified>
  <dc:title>勘察设计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Acrobat PDFMaker 11 Word 版</vt:lpwstr>
  </property>
  <property fmtid="{D5CDD505-2E9C-101B-9397-08002B2CF9AE}" pid="4" name="LastSaved">
    <vt:filetime>2022-11-25T00:00:00Z</vt:filetime>
  </property>
  <property fmtid="{D5CDD505-2E9C-101B-9397-08002B2CF9AE}" pid="5" name="KSOProductBuildVer">
    <vt:lpwstr>2052-11.1.0.14309</vt:lpwstr>
  </property>
  <property fmtid="{D5CDD505-2E9C-101B-9397-08002B2CF9AE}" pid="6" name="ICV">
    <vt:lpwstr>165F4061E74140D3ADE7F1EA2CD8FC38</vt:lpwstr>
  </property>
</Properties>
</file>