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sz w:val="20"/>
        </w:rPr>
      </w:pPr>
    </w:p>
    <w:p>
      <w:pPr>
        <w:pStyle w:val="2"/>
        <w:rPr>
          <w:rFonts w:ascii="Times New Roman" w:hAnsi="Times New Roman" w:cs="Times New Roman"/>
          <w:sz w:val="20"/>
        </w:rPr>
      </w:pPr>
    </w:p>
    <w:p>
      <w:pPr>
        <w:pStyle w:val="2"/>
        <w:rPr>
          <w:rFonts w:ascii="Times New Roman" w:hAnsi="Times New Roman" w:cs="Times New Roman"/>
          <w:sz w:val="20"/>
        </w:rPr>
      </w:pPr>
    </w:p>
    <w:p>
      <w:pPr>
        <w:pStyle w:val="2"/>
        <w:spacing w:before="2"/>
        <w:rPr>
          <w:rFonts w:ascii="Times New Roman" w:hAnsi="Times New Roman" w:cs="Times New Roman"/>
          <w:sz w:val="26"/>
        </w:rPr>
      </w:pPr>
    </w:p>
    <w:p>
      <w:pPr>
        <w:pStyle w:val="2"/>
        <w:jc w:val="center"/>
        <w:rPr>
          <w:rFonts w:hint="eastAsia" w:ascii="Times New Roman" w:hAnsi="Times New Roman" w:eastAsia="宋体" w:cs="Times New Roman"/>
          <w:b/>
          <w:sz w:val="48"/>
          <w:szCs w:val="48"/>
          <w:lang w:eastAsia="zh-CN"/>
        </w:rPr>
      </w:pPr>
      <w:r>
        <w:rPr>
          <w:rFonts w:hint="eastAsia" w:ascii="Times New Roman" w:hAnsi="Times New Roman" w:cs="Times New Roman"/>
          <w:spacing w:val="-30"/>
          <w:w w:val="95"/>
          <w:sz w:val="48"/>
          <w:szCs w:val="48"/>
          <w:lang w:eastAsia="zh-CN"/>
        </w:rPr>
        <w:t>三门县下银岩山建筑用石料（凝灰岩）矿开发项目及三门县大周塘片区土地整治提升项目（监理）</w:t>
      </w:r>
    </w:p>
    <w:p>
      <w:pPr>
        <w:pStyle w:val="2"/>
        <w:spacing w:before="1"/>
        <w:rPr>
          <w:rFonts w:ascii="Times New Roman" w:hAnsi="Times New Roman" w:cs="Times New Roman"/>
          <w:b/>
          <w:sz w:val="63"/>
        </w:rPr>
      </w:pPr>
    </w:p>
    <w:p>
      <w:pPr>
        <w:ind w:left="997" w:right="998"/>
        <w:jc w:val="center"/>
        <w:rPr>
          <w:rFonts w:ascii="Times New Roman" w:hAnsi="Times New Roman" w:cs="Times New Roman"/>
          <w:b/>
          <w:sz w:val="96"/>
        </w:rPr>
      </w:pPr>
      <w:r>
        <w:rPr>
          <w:rFonts w:ascii="Times New Roman" w:hAnsi="Times New Roman" w:cs="Times New Roman"/>
          <w:b/>
          <w:sz w:val="96"/>
        </w:rPr>
        <w:t>招 标 文 件</w:t>
      </w:r>
    </w:p>
    <w:p>
      <w:pPr>
        <w:pStyle w:val="2"/>
        <w:spacing w:before="10"/>
        <w:rPr>
          <w:rFonts w:ascii="Times New Roman" w:hAnsi="Times New Roman" w:cs="Times New Roman"/>
          <w:b/>
          <w:sz w:val="121"/>
        </w:rPr>
      </w:pPr>
    </w:p>
    <w:p>
      <w:pPr>
        <w:spacing w:line="500" w:lineRule="exact"/>
        <w:jc w:val="center"/>
        <w:rPr>
          <w:rFonts w:ascii="Times New Roman" w:hAnsi="Times New Roman" w:cs="Times New Roman"/>
          <w:b/>
          <w:sz w:val="30"/>
          <w:szCs w:val="30"/>
        </w:rPr>
      </w:pPr>
      <w:bookmarkStart w:id="0" w:name="_Toc90041959"/>
      <w:bookmarkStart w:id="1" w:name="_Toc89960453"/>
      <w:r>
        <w:rPr>
          <w:rFonts w:ascii="Times New Roman" w:hAnsi="Times New Roman" w:cs="Times New Roman"/>
          <w:b/>
          <w:sz w:val="30"/>
          <w:szCs w:val="30"/>
        </w:rPr>
        <w:t>（备案登记号：三招建备【2023】</w:t>
      </w:r>
      <w:r>
        <w:rPr>
          <w:rFonts w:hint="eastAsia" w:ascii="Times New Roman" w:hAnsi="Times New Roman" w:cs="Times New Roman"/>
          <w:b/>
          <w:sz w:val="30"/>
          <w:szCs w:val="30"/>
          <w:lang w:val="en-US" w:eastAsia="zh-CN"/>
        </w:rPr>
        <w:t>132</w:t>
      </w:r>
      <w:r>
        <w:rPr>
          <w:rFonts w:ascii="Times New Roman" w:hAnsi="Times New Roman" w:cs="Times New Roman"/>
          <w:b/>
          <w:sz w:val="30"/>
          <w:szCs w:val="30"/>
        </w:rPr>
        <w:t>号）</w:t>
      </w:r>
      <w:bookmarkEnd w:id="0"/>
      <w:bookmarkEnd w:id="1"/>
    </w:p>
    <w:p>
      <w:pPr>
        <w:pStyle w:val="2"/>
        <w:rPr>
          <w:rFonts w:ascii="Times New Roman" w:hAnsi="Times New Roman" w:cs="Times New Roman"/>
          <w:b/>
          <w:sz w:val="20"/>
        </w:rPr>
      </w:pPr>
    </w:p>
    <w:p>
      <w:pPr>
        <w:pStyle w:val="2"/>
        <w:rPr>
          <w:rFonts w:ascii="Times New Roman" w:hAnsi="Times New Roman" w:cs="Times New Roman"/>
          <w:b/>
          <w:sz w:val="20"/>
        </w:rPr>
      </w:pPr>
    </w:p>
    <w:p>
      <w:pPr>
        <w:pStyle w:val="2"/>
        <w:rPr>
          <w:rFonts w:ascii="Times New Roman" w:hAnsi="Times New Roman" w:cs="Times New Roman"/>
          <w:b/>
          <w:sz w:val="20"/>
        </w:rPr>
      </w:pPr>
    </w:p>
    <w:p>
      <w:pPr>
        <w:pStyle w:val="2"/>
        <w:rPr>
          <w:rFonts w:ascii="Times New Roman" w:hAnsi="Times New Roman" w:cs="Times New Roman"/>
          <w:b/>
          <w:sz w:val="20"/>
        </w:rPr>
      </w:pPr>
    </w:p>
    <w:p>
      <w:pPr>
        <w:pStyle w:val="3"/>
        <w:ind w:firstLine="210"/>
        <w:rPr>
          <w:lang w:val="zh-CN" w:bidi="zh-CN"/>
        </w:rPr>
      </w:pPr>
    </w:p>
    <w:p>
      <w:pPr>
        <w:pStyle w:val="71"/>
        <w:rPr>
          <w:rFonts w:ascii="Times New Roman" w:hAnsi="Times New Roman" w:cs="Times New Roman"/>
        </w:rPr>
      </w:pPr>
    </w:p>
    <w:p>
      <w:pPr>
        <w:pStyle w:val="2"/>
        <w:rPr>
          <w:rFonts w:ascii="Times New Roman" w:hAnsi="Times New Roman" w:cs="Times New Roman"/>
          <w:b/>
          <w:sz w:val="20"/>
        </w:rPr>
      </w:pPr>
    </w:p>
    <w:p>
      <w:pPr>
        <w:pStyle w:val="2"/>
        <w:rPr>
          <w:rFonts w:ascii="Times New Roman" w:hAnsi="Times New Roman" w:cs="Times New Roman"/>
          <w:b/>
          <w:sz w:val="20"/>
        </w:rPr>
      </w:pPr>
    </w:p>
    <w:p>
      <w:pPr>
        <w:pStyle w:val="3"/>
        <w:ind w:firstLine="210"/>
        <w:rPr>
          <w:lang w:val="zh-CN" w:bidi="zh-CN"/>
        </w:rPr>
      </w:pPr>
    </w:p>
    <w:p>
      <w:pPr>
        <w:pStyle w:val="71"/>
        <w:rPr>
          <w:rFonts w:ascii="Times New Roman" w:hAnsi="Times New Roman" w:cs="Times New Roman"/>
        </w:rPr>
      </w:pPr>
    </w:p>
    <w:tbl>
      <w:tblPr>
        <w:tblStyle w:val="90"/>
        <w:tblW w:w="8711" w:type="dxa"/>
        <w:jc w:val="center"/>
        <w:tblLayout w:type="fixed"/>
        <w:tblCellMar>
          <w:top w:w="0" w:type="dxa"/>
          <w:left w:w="108" w:type="dxa"/>
          <w:bottom w:w="0" w:type="dxa"/>
          <w:right w:w="108" w:type="dxa"/>
        </w:tblCellMar>
      </w:tblPr>
      <w:tblGrid>
        <w:gridCol w:w="2263"/>
        <w:gridCol w:w="293"/>
        <w:gridCol w:w="6155"/>
      </w:tblGrid>
      <w:tr>
        <w:tblPrEx>
          <w:tblCellMar>
            <w:top w:w="0" w:type="dxa"/>
            <w:left w:w="108" w:type="dxa"/>
            <w:bottom w:w="0" w:type="dxa"/>
            <w:right w:w="108" w:type="dxa"/>
          </w:tblCellMar>
        </w:tblPrEx>
        <w:trPr>
          <w:trHeight w:val="988" w:hRule="atLeast"/>
          <w:jc w:val="center"/>
        </w:trPr>
        <w:tc>
          <w:tcPr>
            <w:tcW w:w="2263" w:type="dxa"/>
            <w:vAlign w:val="center"/>
          </w:tcPr>
          <w:p>
            <w:pPr>
              <w:snapToGrid w:val="0"/>
              <w:spacing w:line="440" w:lineRule="exact"/>
              <w:jc w:val="distribute"/>
              <w:rPr>
                <w:rFonts w:ascii="Times New Roman" w:hAnsi="Times New Roman" w:cs="Times New Roman"/>
                <w:snapToGrid w:val="0"/>
                <w:sz w:val="32"/>
                <w:szCs w:val="21"/>
              </w:rPr>
            </w:pPr>
            <w:r>
              <w:rPr>
                <w:rFonts w:ascii="Times New Roman" w:hAnsi="Times New Roman" w:cs="Times New Roman"/>
                <w:snapToGrid w:val="0"/>
                <w:sz w:val="32"/>
                <w:szCs w:val="21"/>
              </w:rPr>
              <w:t>招标人</w:t>
            </w:r>
          </w:p>
        </w:tc>
        <w:tc>
          <w:tcPr>
            <w:tcW w:w="293" w:type="dxa"/>
            <w:vAlign w:val="center"/>
          </w:tcPr>
          <w:p>
            <w:pPr>
              <w:snapToGrid w:val="0"/>
              <w:spacing w:line="440" w:lineRule="exact"/>
              <w:jc w:val="distribute"/>
              <w:rPr>
                <w:rFonts w:ascii="Times New Roman" w:hAnsi="Times New Roman" w:cs="Times New Roman"/>
                <w:snapToGrid w:val="0"/>
                <w:sz w:val="32"/>
                <w:szCs w:val="21"/>
              </w:rPr>
            </w:pPr>
            <w:r>
              <w:rPr>
                <w:rFonts w:ascii="Times New Roman" w:hAnsi="Times New Roman" w:cs="Times New Roman"/>
                <w:snapToGrid w:val="0"/>
                <w:sz w:val="32"/>
                <w:szCs w:val="21"/>
              </w:rPr>
              <w:t>：</w:t>
            </w:r>
          </w:p>
        </w:tc>
        <w:tc>
          <w:tcPr>
            <w:tcW w:w="6155" w:type="dxa"/>
            <w:vAlign w:val="center"/>
          </w:tcPr>
          <w:p>
            <w:pPr>
              <w:snapToGrid w:val="0"/>
              <w:spacing w:line="440" w:lineRule="exact"/>
              <w:jc w:val="distribute"/>
              <w:rPr>
                <w:rFonts w:hint="eastAsia" w:ascii="Times New Roman" w:hAnsi="Times New Roman" w:eastAsia="宋体" w:cs="Times New Roman"/>
                <w:snapToGrid w:val="0"/>
                <w:sz w:val="32"/>
                <w:szCs w:val="21"/>
                <w:lang w:eastAsia="zh-CN"/>
              </w:rPr>
            </w:pPr>
            <w:r>
              <w:rPr>
                <w:rFonts w:hint="eastAsia" w:ascii="Times New Roman" w:hAnsi="Times New Roman" w:cs="Times New Roman"/>
                <w:snapToGrid w:val="0"/>
                <w:sz w:val="32"/>
                <w:szCs w:val="21"/>
                <w:lang w:eastAsia="zh-CN"/>
              </w:rPr>
              <w:t>三门县资源和能源集团有限公司</w:t>
            </w:r>
          </w:p>
        </w:tc>
      </w:tr>
      <w:tr>
        <w:tblPrEx>
          <w:tblCellMar>
            <w:top w:w="0" w:type="dxa"/>
            <w:left w:w="108" w:type="dxa"/>
            <w:bottom w:w="0" w:type="dxa"/>
            <w:right w:w="108" w:type="dxa"/>
          </w:tblCellMar>
        </w:tblPrEx>
        <w:trPr>
          <w:trHeight w:val="1134" w:hRule="atLeast"/>
          <w:jc w:val="center"/>
        </w:trPr>
        <w:tc>
          <w:tcPr>
            <w:tcW w:w="2263" w:type="dxa"/>
            <w:vAlign w:val="center"/>
          </w:tcPr>
          <w:p>
            <w:pPr>
              <w:snapToGrid w:val="0"/>
              <w:spacing w:line="440" w:lineRule="exact"/>
              <w:jc w:val="distribute"/>
              <w:rPr>
                <w:rFonts w:ascii="Times New Roman" w:hAnsi="Times New Roman" w:cs="Times New Roman"/>
                <w:snapToGrid w:val="0"/>
                <w:sz w:val="32"/>
                <w:szCs w:val="21"/>
              </w:rPr>
            </w:pPr>
            <w:r>
              <w:rPr>
                <w:rFonts w:ascii="Times New Roman" w:hAnsi="Times New Roman" w:cs="Times New Roman"/>
                <w:snapToGrid w:val="0"/>
                <w:sz w:val="32"/>
                <w:szCs w:val="21"/>
              </w:rPr>
              <w:t>招标代理人</w:t>
            </w:r>
          </w:p>
        </w:tc>
        <w:tc>
          <w:tcPr>
            <w:tcW w:w="293" w:type="dxa"/>
            <w:vAlign w:val="center"/>
          </w:tcPr>
          <w:p>
            <w:pPr>
              <w:snapToGrid w:val="0"/>
              <w:spacing w:line="440" w:lineRule="exact"/>
              <w:jc w:val="distribute"/>
              <w:rPr>
                <w:rFonts w:ascii="Times New Roman" w:hAnsi="Times New Roman" w:cs="Times New Roman"/>
                <w:snapToGrid w:val="0"/>
                <w:sz w:val="32"/>
                <w:szCs w:val="21"/>
              </w:rPr>
            </w:pPr>
            <w:r>
              <w:rPr>
                <w:rFonts w:ascii="Times New Roman" w:hAnsi="Times New Roman" w:cs="Times New Roman"/>
                <w:snapToGrid w:val="0"/>
                <w:sz w:val="32"/>
                <w:szCs w:val="21"/>
              </w:rPr>
              <w:t>：</w:t>
            </w:r>
          </w:p>
        </w:tc>
        <w:tc>
          <w:tcPr>
            <w:tcW w:w="6155" w:type="dxa"/>
            <w:vAlign w:val="center"/>
          </w:tcPr>
          <w:p>
            <w:pPr>
              <w:snapToGrid w:val="0"/>
              <w:spacing w:line="440" w:lineRule="exact"/>
              <w:jc w:val="distribute"/>
              <w:rPr>
                <w:rFonts w:hint="eastAsia" w:ascii="Times New Roman" w:hAnsi="Times New Roman" w:eastAsia="宋体" w:cs="Times New Roman"/>
                <w:snapToGrid w:val="0"/>
                <w:sz w:val="32"/>
                <w:szCs w:val="21"/>
                <w:lang w:eastAsia="zh-CN"/>
              </w:rPr>
            </w:pPr>
            <w:r>
              <w:rPr>
                <w:rFonts w:hint="eastAsia" w:ascii="Times New Roman" w:hAnsi="Times New Roman" w:cs="Times New Roman"/>
                <w:snapToGrid w:val="0"/>
                <w:sz w:val="32"/>
                <w:szCs w:val="21"/>
                <w:lang w:eastAsia="zh-CN"/>
              </w:rPr>
              <w:t>浙江希霖工程咨询有限公司</w:t>
            </w:r>
          </w:p>
        </w:tc>
      </w:tr>
      <w:tr>
        <w:tblPrEx>
          <w:tblCellMar>
            <w:top w:w="0" w:type="dxa"/>
            <w:left w:w="108" w:type="dxa"/>
            <w:bottom w:w="0" w:type="dxa"/>
            <w:right w:w="108" w:type="dxa"/>
          </w:tblCellMar>
        </w:tblPrEx>
        <w:trPr>
          <w:trHeight w:val="1134" w:hRule="atLeast"/>
          <w:jc w:val="center"/>
        </w:trPr>
        <w:tc>
          <w:tcPr>
            <w:tcW w:w="2263" w:type="dxa"/>
            <w:vAlign w:val="center"/>
          </w:tcPr>
          <w:p>
            <w:pPr>
              <w:snapToGrid w:val="0"/>
              <w:spacing w:line="440" w:lineRule="exact"/>
              <w:rPr>
                <w:rFonts w:ascii="Times New Roman" w:hAnsi="Times New Roman" w:cs="Times New Roman"/>
                <w:snapToGrid w:val="0"/>
                <w:sz w:val="32"/>
                <w:szCs w:val="21"/>
              </w:rPr>
            </w:pPr>
            <w:r>
              <w:rPr>
                <w:rFonts w:ascii="Times New Roman" w:hAnsi="Times New Roman" w:cs="Times New Roman"/>
                <w:snapToGrid w:val="0"/>
                <w:sz w:val="32"/>
                <w:szCs w:val="21"/>
              </w:rPr>
              <w:t>行业主管部门</w:t>
            </w:r>
          </w:p>
        </w:tc>
        <w:tc>
          <w:tcPr>
            <w:tcW w:w="293" w:type="dxa"/>
            <w:vAlign w:val="center"/>
          </w:tcPr>
          <w:p>
            <w:pPr>
              <w:snapToGrid w:val="0"/>
              <w:spacing w:line="440" w:lineRule="exact"/>
              <w:jc w:val="distribute"/>
              <w:rPr>
                <w:rFonts w:ascii="Times New Roman" w:hAnsi="Times New Roman" w:cs="Times New Roman"/>
                <w:snapToGrid w:val="0"/>
                <w:sz w:val="32"/>
                <w:szCs w:val="21"/>
              </w:rPr>
            </w:pPr>
            <w:r>
              <w:rPr>
                <w:rFonts w:ascii="Times New Roman" w:hAnsi="Times New Roman" w:cs="Times New Roman"/>
                <w:snapToGrid w:val="0"/>
                <w:sz w:val="32"/>
                <w:szCs w:val="21"/>
              </w:rPr>
              <w:t>：</w:t>
            </w:r>
          </w:p>
        </w:tc>
        <w:tc>
          <w:tcPr>
            <w:tcW w:w="6155" w:type="dxa"/>
            <w:vAlign w:val="center"/>
          </w:tcPr>
          <w:p>
            <w:pPr>
              <w:snapToGrid w:val="0"/>
              <w:spacing w:line="440" w:lineRule="exact"/>
              <w:jc w:val="distribute"/>
              <w:rPr>
                <w:rFonts w:hint="eastAsia" w:ascii="Times New Roman" w:hAnsi="Times New Roman" w:eastAsia="宋体" w:cs="Times New Roman"/>
                <w:snapToGrid w:val="0"/>
                <w:sz w:val="32"/>
                <w:szCs w:val="21"/>
                <w:lang w:eastAsia="zh-CN"/>
              </w:rPr>
            </w:pPr>
            <w:r>
              <w:rPr>
                <w:rFonts w:hint="eastAsia" w:ascii="Times New Roman" w:hAnsi="Times New Roman" w:cs="Times New Roman"/>
                <w:snapToGrid w:val="0"/>
                <w:sz w:val="32"/>
                <w:szCs w:val="21"/>
                <w:lang w:eastAsia="zh-CN"/>
              </w:rPr>
              <w:t>三门县自然资源和规划局</w:t>
            </w:r>
          </w:p>
        </w:tc>
      </w:tr>
    </w:tbl>
    <w:p>
      <w:pPr>
        <w:spacing w:before="58"/>
        <w:ind w:left="998" w:right="998"/>
        <w:jc w:val="center"/>
        <w:rPr>
          <w:rFonts w:ascii="Times New Roman" w:hAnsi="Times New Roman" w:cs="Times New Roman"/>
          <w:sz w:val="32"/>
          <w:szCs w:val="32"/>
        </w:rPr>
      </w:pPr>
    </w:p>
    <w:p>
      <w:pPr>
        <w:spacing w:before="58"/>
        <w:ind w:left="998" w:right="998"/>
        <w:jc w:val="center"/>
        <w:rPr>
          <w:rFonts w:ascii="Times New Roman" w:hAnsi="Times New Roman" w:cs="Times New Roman"/>
          <w:b/>
          <w:bCs/>
          <w:sz w:val="48"/>
          <w:szCs w:val="48"/>
        </w:rPr>
      </w:pPr>
      <w:r>
        <w:rPr>
          <w:rFonts w:ascii="Times New Roman" w:hAnsi="Times New Roman" w:cs="Times New Roman"/>
          <w:sz w:val="32"/>
          <w:szCs w:val="32"/>
        </w:rPr>
        <w:t>二 〇 二 三 年 十 月</w:t>
      </w:r>
    </w:p>
    <w:p>
      <w:pPr>
        <w:spacing w:before="480" w:beforeLines="200"/>
        <w:jc w:val="center"/>
        <w:rPr>
          <w:rFonts w:ascii="Times New Roman" w:hAnsi="Times New Roman" w:cs="Times New Roman"/>
          <w:b/>
          <w:bCs/>
          <w:sz w:val="24"/>
          <w:szCs w:val="24"/>
        </w:rPr>
      </w:pPr>
      <w:r>
        <w:rPr>
          <w:rFonts w:ascii="Times New Roman" w:hAnsi="Times New Roman" w:cs="Times New Roman"/>
          <w:b/>
          <w:bCs/>
          <w:sz w:val="48"/>
          <w:szCs w:val="48"/>
        </w:rPr>
        <w:t>三   门   县</w:t>
      </w:r>
    </w:p>
    <w:p>
      <w:pPr>
        <w:jc w:val="center"/>
        <w:rPr>
          <w:rFonts w:ascii="Times New Roman" w:hAnsi="Times New Roman" w:cs="Times New Roman"/>
          <w:b/>
          <w:bCs/>
          <w:sz w:val="48"/>
          <w:szCs w:val="48"/>
        </w:rPr>
      </w:pPr>
    </w:p>
    <w:p>
      <w:pPr>
        <w:jc w:val="center"/>
        <w:rPr>
          <w:rFonts w:ascii="Times New Roman" w:hAnsi="Times New Roman" w:cs="Times New Roman"/>
          <w:b/>
          <w:bCs/>
          <w:spacing w:val="120"/>
          <w:sz w:val="48"/>
          <w:szCs w:val="48"/>
        </w:rPr>
      </w:pPr>
      <w:r>
        <w:rPr>
          <w:rFonts w:ascii="Times New Roman" w:hAnsi="Times New Roman" w:cs="Times New Roman"/>
          <w:b/>
          <w:bCs/>
          <w:spacing w:val="120"/>
          <w:sz w:val="48"/>
          <w:szCs w:val="48"/>
        </w:rPr>
        <w:t>建设工程招标文件</w:t>
      </w:r>
    </w:p>
    <w:p>
      <w:pPr>
        <w:spacing w:line="460" w:lineRule="exact"/>
        <w:jc w:val="center"/>
        <w:rPr>
          <w:rFonts w:ascii="Times New Roman" w:hAnsi="Times New Roman" w:cs="Times New Roman"/>
          <w:b/>
          <w:sz w:val="30"/>
          <w:szCs w:val="30"/>
        </w:rPr>
      </w:pPr>
    </w:p>
    <w:p>
      <w:pPr>
        <w:spacing w:line="500" w:lineRule="exact"/>
        <w:jc w:val="center"/>
        <w:rPr>
          <w:rFonts w:ascii="Times New Roman" w:hAnsi="Times New Roman" w:cs="Times New Roman"/>
          <w:b/>
          <w:bCs/>
          <w:sz w:val="36"/>
          <w:szCs w:val="36"/>
        </w:rPr>
      </w:pPr>
      <w:r>
        <w:rPr>
          <w:rFonts w:ascii="Times New Roman" w:hAnsi="Times New Roman" w:cs="Times New Roman"/>
          <w:b/>
          <w:sz w:val="30"/>
          <w:szCs w:val="30"/>
        </w:rPr>
        <w:t>（备案登记号：三招建备【202</w:t>
      </w:r>
      <w:r>
        <w:rPr>
          <w:rFonts w:hint="eastAsia" w:ascii="Times New Roman" w:hAnsi="Times New Roman" w:cs="Times New Roman"/>
          <w:b/>
          <w:sz w:val="30"/>
          <w:szCs w:val="30"/>
          <w:lang w:val="en-US" w:eastAsia="zh-CN"/>
        </w:rPr>
        <w:t>3</w:t>
      </w:r>
      <w:r>
        <w:rPr>
          <w:rFonts w:ascii="Times New Roman" w:hAnsi="Times New Roman" w:cs="Times New Roman"/>
          <w:b/>
          <w:sz w:val="30"/>
          <w:szCs w:val="30"/>
        </w:rPr>
        <w:t>】</w:t>
      </w:r>
      <w:r>
        <w:rPr>
          <w:rFonts w:hint="eastAsia" w:ascii="Times New Roman" w:hAnsi="Times New Roman" w:cs="Times New Roman"/>
          <w:b/>
          <w:sz w:val="30"/>
          <w:szCs w:val="30"/>
          <w:lang w:val="en-US" w:eastAsia="zh-CN"/>
        </w:rPr>
        <w:t>132</w:t>
      </w:r>
      <w:r>
        <w:rPr>
          <w:rFonts w:ascii="Times New Roman" w:hAnsi="Times New Roman" w:cs="Times New Roman"/>
          <w:b/>
          <w:sz w:val="30"/>
          <w:szCs w:val="30"/>
        </w:rPr>
        <w:t>号）</w:t>
      </w:r>
    </w:p>
    <w:p>
      <w:pPr>
        <w:spacing w:line="500" w:lineRule="exact"/>
        <w:rPr>
          <w:rFonts w:ascii="Times New Roman" w:hAnsi="Times New Roman" w:cs="Times New Roman"/>
          <w:b/>
          <w:bCs/>
          <w:sz w:val="36"/>
          <w:szCs w:val="36"/>
        </w:rPr>
      </w:pPr>
    </w:p>
    <w:p>
      <w:pPr>
        <w:spacing w:line="640" w:lineRule="exact"/>
        <w:ind w:left="2323" w:leftChars="651" w:hanging="891" w:hangingChars="296"/>
        <w:rPr>
          <w:rFonts w:hint="eastAsia" w:ascii="Times New Roman" w:hAnsi="Times New Roman" w:eastAsia="宋体" w:cs="Times New Roman"/>
          <w:b/>
          <w:bCs/>
          <w:sz w:val="30"/>
          <w:szCs w:val="30"/>
          <w:lang w:eastAsia="zh-CN"/>
        </w:rPr>
      </w:pPr>
      <w:bookmarkStart w:id="2" w:name="_Toc445724915"/>
      <w:bookmarkStart w:id="3" w:name="_Toc450657515"/>
      <w:r>
        <w:rPr>
          <w:rFonts w:ascii="Times New Roman" w:hAnsi="Times New Roman" w:cs="Times New Roman"/>
          <w:b/>
          <w:bCs/>
          <w:sz w:val="30"/>
          <w:szCs w:val="30"/>
        </w:rPr>
        <w:t>项目名称：</w:t>
      </w:r>
      <w:bookmarkEnd w:id="2"/>
      <w:bookmarkEnd w:id="3"/>
      <w:r>
        <w:rPr>
          <w:rFonts w:hint="eastAsia" w:ascii="Times New Roman" w:hAnsi="Times New Roman" w:cs="Times New Roman"/>
          <w:b/>
          <w:bCs/>
          <w:sz w:val="30"/>
          <w:szCs w:val="30"/>
          <w:lang w:eastAsia="zh-CN"/>
        </w:rPr>
        <w:t>三门县下银岩山建筑用石料（凝灰岩）矿开发项目及三门县大周塘片区土地整治提升项目（监理）</w:t>
      </w:r>
    </w:p>
    <w:p>
      <w:pPr>
        <w:pStyle w:val="2"/>
        <w:rPr>
          <w:rFonts w:ascii="Times New Roman" w:hAnsi="Times New Roman" w:cs="Times New Roman"/>
        </w:rPr>
      </w:pPr>
    </w:p>
    <w:p>
      <w:pPr>
        <w:pStyle w:val="2"/>
        <w:rPr>
          <w:rFonts w:ascii="Times New Roman" w:hAnsi="Times New Roman" w:cs="Times New Roman"/>
        </w:rPr>
      </w:pPr>
    </w:p>
    <w:p>
      <w:pPr>
        <w:spacing w:line="640" w:lineRule="exact"/>
        <w:ind w:left="144" w:firstLine="1412" w:firstLineChars="469"/>
        <w:rPr>
          <w:rFonts w:ascii="Times New Roman" w:hAnsi="Times New Roman" w:cs="Times New Roman"/>
          <w:b/>
          <w:bCs/>
          <w:sz w:val="30"/>
          <w:szCs w:val="30"/>
        </w:rPr>
      </w:pPr>
      <w:r>
        <w:rPr>
          <w:rFonts w:ascii="Times New Roman" w:hAnsi="Times New Roman" w:cs="Times New Roman"/>
          <w:b/>
          <w:bCs/>
          <w:sz w:val="30"/>
          <w:szCs w:val="30"/>
        </w:rPr>
        <w:t>招 标 人：</w:t>
      </w:r>
      <w:r>
        <w:rPr>
          <w:rFonts w:hint="eastAsia" w:ascii="Times New Roman" w:hAnsi="Times New Roman" w:cs="Times New Roman"/>
          <w:b/>
          <w:bCs/>
          <w:sz w:val="30"/>
          <w:szCs w:val="30"/>
          <w:lang w:eastAsia="zh-CN"/>
        </w:rPr>
        <w:t>三门县资源和能源集团有限公司</w:t>
      </w:r>
      <w:r>
        <w:rPr>
          <w:rFonts w:ascii="Times New Roman" w:hAnsi="Times New Roman" w:cs="Times New Roman"/>
          <w:b/>
          <w:bCs/>
          <w:sz w:val="30"/>
          <w:szCs w:val="30"/>
        </w:rPr>
        <w:t xml:space="preserve">（盖章） </w:t>
      </w:r>
    </w:p>
    <w:p>
      <w:pPr>
        <w:spacing w:line="640" w:lineRule="exact"/>
        <w:ind w:left="144" w:firstLine="1412" w:firstLineChars="469"/>
        <w:rPr>
          <w:rFonts w:hint="eastAsia" w:ascii="Times New Roman" w:hAnsi="Times New Roman" w:eastAsia="宋体" w:cs="Times New Roman"/>
          <w:b/>
          <w:bCs/>
          <w:sz w:val="30"/>
          <w:lang w:eastAsia="zh-CN"/>
        </w:rPr>
      </w:pPr>
      <w:r>
        <w:rPr>
          <w:rFonts w:ascii="Times New Roman" w:hAnsi="Times New Roman" w:cs="Times New Roman"/>
          <w:b/>
          <w:bCs/>
          <w:sz w:val="30"/>
        </w:rPr>
        <w:t>联 系 人：</w:t>
      </w:r>
      <w:r>
        <w:rPr>
          <w:rFonts w:hint="eastAsia" w:ascii="Times New Roman" w:hAnsi="Times New Roman" w:cs="Times New Roman"/>
          <w:b/>
          <w:bCs/>
          <w:sz w:val="30"/>
        </w:rPr>
        <w:t xml:space="preserve">李欣羽 </w:t>
      </w:r>
      <w:r>
        <w:rPr>
          <w:rFonts w:hint="eastAsia" w:ascii="Times New Roman" w:hAnsi="Times New Roman" w:cs="Times New Roman"/>
          <w:b/>
          <w:bCs/>
          <w:sz w:val="30"/>
          <w:lang w:val="en-US" w:eastAsia="zh-CN"/>
        </w:rPr>
        <w:t xml:space="preserve"> </w:t>
      </w:r>
    </w:p>
    <w:p>
      <w:pPr>
        <w:spacing w:line="640" w:lineRule="exact"/>
        <w:ind w:left="144" w:firstLine="1412" w:firstLineChars="469"/>
        <w:rPr>
          <w:rFonts w:hint="eastAsia" w:ascii="Times New Roman" w:hAnsi="Times New Roman" w:eastAsia="宋体" w:cs="Times New Roman"/>
          <w:b/>
          <w:bCs/>
          <w:sz w:val="30"/>
          <w:szCs w:val="30"/>
          <w:lang w:eastAsia="zh-CN"/>
        </w:rPr>
      </w:pPr>
      <w:r>
        <w:rPr>
          <w:rFonts w:ascii="Times New Roman" w:hAnsi="Times New Roman" w:cs="Times New Roman"/>
          <w:b/>
          <w:bCs/>
          <w:sz w:val="30"/>
        </w:rPr>
        <w:t>联系电话：</w:t>
      </w:r>
      <w:r>
        <w:rPr>
          <w:rFonts w:hint="eastAsia" w:ascii="Times New Roman" w:hAnsi="Times New Roman" w:cs="Times New Roman"/>
          <w:b/>
          <w:bCs/>
          <w:sz w:val="30"/>
        </w:rPr>
        <w:t xml:space="preserve">18605763973   </w:t>
      </w:r>
      <w:r>
        <w:rPr>
          <w:rFonts w:ascii="Times New Roman" w:hAnsi="Times New Roman" w:cs="Times New Roman"/>
          <w:b/>
          <w:bCs/>
          <w:sz w:val="30"/>
        </w:rPr>
        <w:t xml:space="preserve"> </w:t>
      </w:r>
      <w:r>
        <w:rPr>
          <w:rFonts w:hint="eastAsia" w:ascii="Times New Roman" w:hAnsi="Times New Roman" w:cs="Times New Roman"/>
          <w:b/>
          <w:bCs/>
          <w:sz w:val="30"/>
          <w:lang w:val="en-US" w:eastAsia="zh-CN"/>
        </w:rPr>
        <w:t xml:space="preserve"> </w:t>
      </w:r>
    </w:p>
    <w:p>
      <w:pPr>
        <w:spacing w:line="440" w:lineRule="exact"/>
        <w:ind w:left="144" w:firstLine="810" w:firstLineChars="269"/>
        <w:rPr>
          <w:rFonts w:ascii="Times New Roman" w:hAnsi="Times New Roman" w:cs="Times New Roman"/>
          <w:b/>
          <w:bCs/>
          <w:sz w:val="30"/>
          <w:szCs w:val="30"/>
        </w:rPr>
      </w:pPr>
    </w:p>
    <w:p>
      <w:pPr>
        <w:pStyle w:val="2"/>
        <w:rPr>
          <w:rFonts w:ascii="Times New Roman" w:hAnsi="Times New Roman" w:cs="Times New Roman"/>
        </w:rPr>
      </w:pPr>
    </w:p>
    <w:p>
      <w:pPr>
        <w:spacing w:line="640" w:lineRule="exact"/>
        <w:ind w:left="144" w:firstLine="1355" w:firstLineChars="450"/>
        <w:rPr>
          <w:rFonts w:ascii="Times New Roman" w:hAnsi="Times New Roman" w:cs="Times New Roman"/>
          <w:b/>
          <w:bCs/>
          <w:sz w:val="30"/>
          <w:szCs w:val="30"/>
        </w:rPr>
      </w:pPr>
      <w:r>
        <w:rPr>
          <w:rFonts w:ascii="Times New Roman" w:hAnsi="Times New Roman" w:cs="Times New Roman"/>
          <w:b/>
          <w:bCs/>
          <w:sz w:val="30"/>
          <w:szCs w:val="30"/>
        </w:rPr>
        <w:t>招标代理：</w:t>
      </w:r>
      <w:r>
        <w:rPr>
          <w:rFonts w:hint="eastAsia" w:ascii="Times New Roman" w:hAnsi="Times New Roman" w:cs="Times New Roman"/>
          <w:b/>
          <w:bCs/>
          <w:sz w:val="30"/>
          <w:szCs w:val="30"/>
          <w:lang w:eastAsia="zh-CN"/>
        </w:rPr>
        <w:t>浙江希霖工程咨询有限公司</w:t>
      </w:r>
      <w:r>
        <w:rPr>
          <w:rFonts w:ascii="Times New Roman" w:hAnsi="Times New Roman" w:cs="Times New Roman"/>
          <w:b/>
          <w:bCs/>
          <w:sz w:val="30"/>
          <w:szCs w:val="30"/>
        </w:rPr>
        <w:t>（盖章）</w:t>
      </w:r>
    </w:p>
    <w:p>
      <w:pPr>
        <w:spacing w:line="640" w:lineRule="exact"/>
        <w:ind w:left="144" w:firstLine="1412" w:firstLineChars="469"/>
        <w:rPr>
          <w:rFonts w:hint="eastAsia" w:ascii="Times New Roman" w:hAnsi="Times New Roman" w:eastAsia="宋体" w:cs="Times New Roman"/>
          <w:b/>
          <w:bCs/>
          <w:sz w:val="30"/>
          <w:szCs w:val="30"/>
          <w:lang w:eastAsia="zh-CN"/>
        </w:rPr>
      </w:pPr>
      <w:r>
        <w:rPr>
          <w:rFonts w:ascii="Times New Roman" w:hAnsi="Times New Roman" w:cs="Times New Roman"/>
          <w:b/>
          <w:bCs/>
          <w:sz w:val="30"/>
          <w:szCs w:val="30"/>
        </w:rPr>
        <w:t>联 系 人：</w:t>
      </w:r>
      <w:r>
        <w:rPr>
          <w:rFonts w:hint="eastAsia" w:ascii="Times New Roman" w:hAnsi="Times New Roman" w:cs="Times New Roman"/>
          <w:b/>
          <w:bCs/>
          <w:sz w:val="30"/>
          <w:szCs w:val="30"/>
          <w:lang w:eastAsia="zh-CN"/>
        </w:rPr>
        <w:t>周文君</w:t>
      </w:r>
    </w:p>
    <w:p>
      <w:pPr>
        <w:spacing w:line="640" w:lineRule="exact"/>
        <w:ind w:left="144" w:firstLine="1412" w:firstLineChars="469"/>
        <w:rPr>
          <w:rFonts w:hint="eastAsia" w:ascii="Times New Roman" w:hAnsi="Times New Roman" w:eastAsia="宋体" w:cs="Times New Roman"/>
          <w:b/>
          <w:bCs/>
          <w:sz w:val="30"/>
          <w:szCs w:val="30"/>
          <w:lang w:eastAsia="zh-CN"/>
        </w:rPr>
      </w:pPr>
      <w:r>
        <w:rPr>
          <w:rFonts w:ascii="Times New Roman" w:hAnsi="Times New Roman" w:cs="Times New Roman"/>
          <w:b/>
          <w:bCs/>
          <w:sz w:val="30"/>
          <w:szCs w:val="30"/>
        </w:rPr>
        <w:t>联系电话：</w:t>
      </w:r>
      <w:r>
        <w:rPr>
          <w:rFonts w:hint="eastAsia" w:ascii="Times New Roman" w:hAnsi="Times New Roman" w:cs="Times New Roman"/>
          <w:b/>
          <w:bCs/>
          <w:sz w:val="30"/>
          <w:szCs w:val="30"/>
          <w:lang w:eastAsia="zh-CN"/>
        </w:rPr>
        <w:t>13958533735</w:t>
      </w:r>
    </w:p>
    <w:p>
      <w:pPr>
        <w:spacing w:line="640" w:lineRule="exact"/>
        <w:ind w:left="144" w:firstLine="810" w:firstLineChars="269"/>
        <w:rPr>
          <w:rFonts w:ascii="Times New Roman" w:hAnsi="Times New Roman" w:cs="Times New Roman"/>
          <w:b/>
          <w:bCs/>
          <w:sz w:val="30"/>
          <w:szCs w:val="30"/>
        </w:rPr>
      </w:pPr>
    </w:p>
    <w:p>
      <w:pPr>
        <w:pStyle w:val="2"/>
        <w:rPr>
          <w:rFonts w:ascii="Times New Roman" w:hAnsi="Times New Roman" w:cs="Times New Roman"/>
        </w:rPr>
      </w:pPr>
    </w:p>
    <w:p>
      <w:pPr>
        <w:spacing w:line="640" w:lineRule="exact"/>
        <w:ind w:left="144" w:firstLine="1494" w:firstLineChars="496"/>
        <w:rPr>
          <w:rFonts w:ascii="Times New Roman" w:hAnsi="Times New Roman" w:cs="Times New Roman"/>
          <w:b/>
          <w:bCs/>
          <w:sz w:val="30"/>
          <w:szCs w:val="30"/>
        </w:rPr>
      </w:pPr>
      <w:r>
        <w:rPr>
          <w:rFonts w:ascii="Times New Roman" w:hAnsi="Times New Roman" w:cs="Times New Roman"/>
          <w:b/>
          <w:bCs/>
          <w:sz w:val="30"/>
          <w:szCs w:val="30"/>
        </w:rPr>
        <w:t>行业主管部门</w:t>
      </w:r>
      <w:r>
        <w:rPr>
          <w:rFonts w:ascii="Times New Roman" w:hAnsi="Times New Roman" w:cs="Times New Roman"/>
          <w:b/>
          <w:bCs/>
          <w:spacing w:val="-16"/>
          <w:sz w:val="30"/>
          <w:szCs w:val="30"/>
        </w:rPr>
        <w:t>：</w:t>
      </w:r>
      <w:r>
        <w:rPr>
          <w:rFonts w:hint="eastAsia" w:ascii="Times New Roman" w:hAnsi="Times New Roman" w:cs="Times New Roman"/>
          <w:b/>
          <w:bCs/>
          <w:sz w:val="30"/>
          <w:szCs w:val="30"/>
          <w:lang w:val="en-US" w:eastAsia="zh-CN"/>
        </w:rPr>
        <w:t>三门县自然资源和规划局</w:t>
      </w:r>
      <w:r>
        <w:rPr>
          <w:rFonts w:ascii="Times New Roman" w:hAnsi="Times New Roman" w:cs="Times New Roman"/>
          <w:b/>
          <w:bCs/>
          <w:sz w:val="30"/>
          <w:szCs w:val="30"/>
        </w:rPr>
        <w:t>（盖章）</w:t>
      </w:r>
    </w:p>
    <w:p>
      <w:pPr>
        <w:spacing w:line="640" w:lineRule="exact"/>
        <w:ind w:left="144" w:firstLine="891" w:firstLineChars="296"/>
        <w:rPr>
          <w:rFonts w:ascii="Times New Roman" w:hAnsi="Times New Roman" w:cs="Times New Roman"/>
          <w:b/>
          <w:bCs/>
          <w:sz w:val="30"/>
          <w:szCs w:val="30"/>
        </w:rPr>
      </w:pPr>
      <w:r>
        <w:rPr>
          <w:rFonts w:ascii="Times New Roman" w:hAnsi="Times New Roman" w:cs="Times New Roman"/>
          <w:b/>
          <w:bCs/>
          <w:sz w:val="30"/>
          <w:szCs w:val="30"/>
        </w:rPr>
        <w:t xml:space="preserve">          </w:t>
      </w:r>
    </w:p>
    <w:p>
      <w:pPr>
        <w:spacing w:line="440" w:lineRule="exact"/>
        <w:ind w:left="144" w:firstLine="810" w:firstLineChars="269"/>
        <w:rPr>
          <w:rFonts w:ascii="Times New Roman" w:hAnsi="Times New Roman" w:cs="Times New Roman"/>
          <w:b/>
          <w:bCs/>
          <w:sz w:val="30"/>
          <w:szCs w:val="30"/>
        </w:rPr>
      </w:pPr>
    </w:p>
    <w:p>
      <w:pPr>
        <w:jc w:val="center"/>
        <w:rPr>
          <w:rFonts w:ascii="Times New Roman" w:hAnsi="Times New Roman" w:cs="Times New Roman"/>
        </w:rPr>
      </w:pPr>
      <w:r>
        <w:rPr>
          <w:rFonts w:ascii="Times New Roman" w:hAnsi="Times New Roman" w:cs="Times New Roman"/>
          <w:b/>
          <w:bCs/>
          <w:sz w:val="30"/>
          <w:szCs w:val="30"/>
        </w:rPr>
        <w:t>二 〇 二 三 年 十 月</w:t>
      </w:r>
    </w:p>
    <w:p>
      <w:pPr>
        <w:rPr>
          <w:rFonts w:ascii="Times New Roman" w:hAnsi="Times New Roman" w:cs="Times New Roman"/>
        </w:rPr>
      </w:pPr>
    </w:p>
    <w:p>
      <w:pPr>
        <w:pStyle w:val="2"/>
        <w:rPr>
          <w:rFonts w:ascii="Times New Roman" w:hAnsi="Times New Roman" w:cs="Times New Roman"/>
        </w:rPr>
      </w:pPr>
    </w:p>
    <w:p>
      <w:pPr>
        <w:widowControl/>
        <w:autoSpaceDE/>
        <w:autoSpaceDN/>
        <w:rPr>
          <w:rFonts w:ascii="Times New Roman" w:hAnsi="Times New Roman" w:cs="Times New Roman"/>
          <w:b/>
          <w:bCs/>
          <w:kern w:val="2"/>
          <w:sz w:val="44"/>
          <w:szCs w:val="44"/>
          <w:lang w:val="en-US" w:bidi="ar-SA"/>
        </w:rPr>
      </w:pPr>
      <w:r>
        <w:rPr>
          <w:rFonts w:ascii="Times New Roman" w:hAnsi="Times New Roman" w:cs="Times New Roman"/>
          <w:b/>
          <w:bCs/>
          <w:kern w:val="2"/>
          <w:sz w:val="44"/>
          <w:szCs w:val="44"/>
          <w:lang w:val="en-US" w:bidi="ar-SA"/>
        </w:rPr>
        <w:br w:type="page"/>
      </w:r>
    </w:p>
    <w:p>
      <w:pPr>
        <w:autoSpaceDE/>
        <w:autoSpaceDN/>
        <w:spacing w:line="520" w:lineRule="exact"/>
        <w:jc w:val="center"/>
        <w:rPr>
          <w:rFonts w:ascii="Times New Roman" w:hAnsi="Times New Roman" w:cs="Times New Roman"/>
          <w:b/>
          <w:bCs/>
          <w:kern w:val="2"/>
          <w:sz w:val="44"/>
          <w:szCs w:val="44"/>
          <w:lang w:val="en-US" w:bidi="ar-SA"/>
        </w:rPr>
      </w:pPr>
      <w:r>
        <w:rPr>
          <w:rFonts w:ascii="Times New Roman" w:hAnsi="Times New Roman" w:cs="Times New Roman"/>
          <w:b/>
          <w:bCs/>
          <w:kern w:val="2"/>
          <w:sz w:val="44"/>
          <w:szCs w:val="44"/>
          <w:lang w:val="en-US" w:bidi="ar-SA"/>
        </w:rPr>
        <w:t>目     录</w:t>
      </w:r>
    </w:p>
    <w:p>
      <w:pPr>
        <w:pStyle w:val="77"/>
        <w:tabs>
          <w:tab w:val="right" w:leader="dot" w:pos="9322"/>
        </w:tabs>
        <w:spacing w:line="300" w:lineRule="exact"/>
        <w:rPr>
          <w:rStyle w:val="98"/>
          <w:rFonts w:ascii="Times New Roman" w:hAnsi="Times New Roman" w:cs="Times New Roman" w:eastAsiaTheme="minorEastAsia"/>
          <w:b/>
          <w:snapToGrid w:val="0"/>
          <w:color w:val="auto"/>
          <w:u w:val="none"/>
        </w:rPr>
      </w:pP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_Toc19651 </w:instrText>
      </w:r>
      <w:r>
        <w:rPr>
          <w:rFonts w:ascii="Times New Roman" w:hAnsi="Times New Roman" w:cs="Times New Roman"/>
        </w:rPr>
        <w:fldChar w:fldCharType="separate"/>
      </w:r>
      <w:r>
        <w:rPr>
          <w:rFonts w:ascii="Times New Roman" w:hAnsi="Times New Roman" w:cs="Times New Roman" w:eastAsiaTheme="minorEastAsia"/>
          <w:snapToGrid w:val="0"/>
        </w:rPr>
        <w:t>第二章 投标人须知</w:t>
      </w:r>
      <w:r>
        <w:tab/>
      </w:r>
      <w:r>
        <w:fldChar w:fldCharType="begin"/>
      </w:r>
      <w:r>
        <w:instrText xml:space="preserve"> PAGEREF _Toc19651 \h </w:instrText>
      </w:r>
      <w:r>
        <w:fldChar w:fldCharType="separate"/>
      </w:r>
      <w:r>
        <w:t>9</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_Toc28549 </w:instrText>
      </w:r>
      <w:r>
        <w:rPr>
          <w:rFonts w:ascii="Times New Roman" w:hAnsi="Times New Roman" w:cs="Times New Roman"/>
        </w:rPr>
        <w:fldChar w:fldCharType="separate"/>
      </w:r>
      <w:r>
        <w:rPr>
          <w:rFonts w:ascii="Times New Roman" w:hAnsi="Times New Roman" w:cs="Times New Roman" w:eastAsiaTheme="minorEastAsia"/>
          <w:snapToGrid w:val="0"/>
          <w:szCs w:val="21"/>
        </w:rPr>
        <w:t>1. 总则</w:t>
      </w:r>
      <w:r>
        <w:tab/>
      </w:r>
      <w:r>
        <w:fldChar w:fldCharType="begin"/>
      </w:r>
      <w:r>
        <w:instrText xml:space="preserve"> PAGEREF _Toc28549 \h </w:instrText>
      </w:r>
      <w:r>
        <w:fldChar w:fldCharType="separate"/>
      </w:r>
      <w:r>
        <w:t>16</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_Toc12386 </w:instrText>
      </w:r>
      <w:r>
        <w:rPr>
          <w:rFonts w:ascii="Times New Roman" w:hAnsi="Times New Roman" w:cs="Times New Roman"/>
        </w:rPr>
        <w:fldChar w:fldCharType="separate"/>
      </w:r>
      <w:r>
        <w:rPr>
          <w:rFonts w:ascii="Times New Roman" w:hAnsi="Times New Roman" w:cs="Times New Roman" w:eastAsiaTheme="minorEastAsia"/>
          <w:snapToGrid w:val="0"/>
          <w:szCs w:val="21"/>
        </w:rPr>
        <w:t>2. 招标文件</w:t>
      </w:r>
      <w:r>
        <w:tab/>
      </w:r>
      <w:r>
        <w:fldChar w:fldCharType="begin"/>
      </w:r>
      <w:r>
        <w:instrText xml:space="preserve"> PAGEREF _Toc12386 \h </w:instrText>
      </w:r>
      <w:r>
        <w:fldChar w:fldCharType="separate"/>
      </w:r>
      <w:r>
        <w:t>18</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_Toc5967 </w:instrText>
      </w:r>
      <w:r>
        <w:rPr>
          <w:rFonts w:ascii="Times New Roman" w:hAnsi="Times New Roman" w:cs="Times New Roman"/>
        </w:rPr>
        <w:fldChar w:fldCharType="separate"/>
      </w:r>
      <w:r>
        <w:rPr>
          <w:rFonts w:ascii="Times New Roman" w:hAnsi="Times New Roman" w:cs="Times New Roman" w:eastAsiaTheme="minorEastAsia"/>
          <w:snapToGrid w:val="0"/>
          <w:szCs w:val="21"/>
        </w:rPr>
        <w:t>3. 投标文件</w:t>
      </w:r>
      <w:r>
        <w:tab/>
      </w:r>
      <w:r>
        <w:fldChar w:fldCharType="begin"/>
      </w:r>
      <w:r>
        <w:instrText xml:space="preserve"> PAGEREF _Toc5967 \h </w:instrText>
      </w:r>
      <w:r>
        <w:fldChar w:fldCharType="separate"/>
      </w:r>
      <w:r>
        <w:t>19</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_Toc14128 </w:instrText>
      </w:r>
      <w:r>
        <w:rPr>
          <w:rFonts w:ascii="Times New Roman" w:hAnsi="Times New Roman" w:cs="Times New Roman"/>
        </w:rPr>
        <w:fldChar w:fldCharType="separate"/>
      </w:r>
      <w:r>
        <w:rPr>
          <w:rFonts w:ascii="Times New Roman" w:hAnsi="Times New Roman" w:cs="Times New Roman" w:eastAsiaTheme="minorEastAsia"/>
          <w:snapToGrid w:val="0"/>
          <w:szCs w:val="21"/>
        </w:rPr>
        <w:t>4. 投标</w:t>
      </w:r>
      <w:r>
        <w:tab/>
      </w:r>
      <w:r>
        <w:fldChar w:fldCharType="begin"/>
      </w:r>
      <w:r>
        <w:instrText xml:space="preserve"> PAGEREF _Toc14128 \h </w:instrText>
      </w:r>
      <w:r>
        <w:fldChar w:fldCharType="separate"/>
      </w:r>
      <w:r>
        <w:t>20</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_Toc9731 </w:instrText>
      </w:r>
      <w:r>
        <w:rPr>
          <w:rFonts w:ascii="Times New Roman" w:hAnsi="Times New Roman" w:cs="Times New Roman"/>
        </w:rPr>
        <w:fldChar w:fldCharType="separate"/>
      </w:r>
      <w:r>
        <w:rPr>
          <w:rFonts w:ascii="Times New Roman" w:hAnsi="Times New Roman" w:cs="Times New Roman" w:eastAsiaTheme="minorEastAsia"/>
          <w:snapToGrid w:val="0"/>
          <w:szCs w:val="21"/>
        </w:rPr>
        <w:t>5. 开标</w:t>
      </w:r>
      <w:r>
        <w:tab/>
      </w:r>
      <w:r>
        <w:fldChar w:fldCharType="begin"/>
      </w:r>
      <w:r>
        <w:instrText xml:space="preserve"> PAGEREF _Toc9731 \h </w:instrText>
      </w:r>
      <w:r>
        <w:fldChar w:fldCharType="separate"/>
      </w:r>
      <w:r>
        <w:t>21</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_Toc18646 </w:instrText>
      </w:r>
      <w:r>
        <w:rPr>
          <w:rFonts w:ascii="Times New Roman" w:hAnsi="Times New Roman" w:cs="Times New Roman"/>
        </w:rPr>
        <w:fldChar w:fldCharType="separate"/>
      </w:r>
      <w:r>
        <w:rPr>
          <w:rFonts w:ascii="Times New Roman" w:hAnsi="Times New Roman" w:cs="Times New Roman" w:eastAsiaTheme="minorEastAsia"/>
          <w:snapToGrid w:val="0"/>
          <w:szCs w:val="21"/>
        </w:rPr>
        <w:t>6. 评标</w:t>
      </w:r>
      <w:r>
        <w:tab/>
      </w:r>
      <w:r>
        <w:fldChar w:fldCharType="begin"/>
      </w:r>
      <w:r>
        <w:instrText xml:space="preserve"> PAGEREF _Toc18646 \h </w:instrText>
      </w:r>
      <w:r>
        <w:fldChar w:fldCharType="separate"/>
      </w:r>
      <w:r>
        <w:t>21</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_Toc17001 </w:instrText>
      </w:r>
      <w:r>
        <w:rPr>
          <w:rFonts w:ascii="Times New Roman" w:hAnsi="Times New Roman" w:cs="Times New Roman"/>
        </w:rPr>
        <w:fldChar w:fldCharType="separate"/>
      </w:r>
      <w:r>
        <w:rPr>
          <w:rFonts w:ascii="Times New Roman" w:hAnsi="Times New Roman" w:cs="Times New Roman" w:eastAsiaTheme="minorEastAsia"/>
          <w:snapToGrid w:val="0"/>
          <w:szCs w:val="21"/>
        </w:rPr>
        <w:t>7. 合同授予</w:t>
      </w:r>
      <w:r>
        <w:tab/>
      </w:r>
      <w:r>
        <w:fldChar w:fldCharType="begin"/>
      </w:r>
      <w:r>
        <w:instrText xml:space="preserve"> PAGEREF _Toc17001 \h </w:instrText>
      </w:r>
      <w:r>
        <w:fldChar w:fldCharType="separate"/>
      </w:r>
      <w:r>
        <w:t>21</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_Toc24501 </w:instrText>
      </w:r>
      <w:r>
        <w:rPr>
          <w:rFonts w:ascii="Times New Roman" w:hAnsi="Times New Roman" w:cs="Times New Roman"/>
        </w:rPr>
        <w:fldChar w:fldCharType="separate"/>
      </w:r>
      <w:r>
        <w:rPr>
          <w:rFonts w:ascii="Times New Roman" w:hAnsi="Times New Roman" w:cs="Times New Roman" w:eastAsiaTheme="minorEastAsia"/>
          <w:snapToGrid w:val="0"/>
          <w:szCs w:val="21"/>
        </w:rPr>
        <w:t>8.重新招标和不再招标</w:t>
      </w:r>
      <w:r>
        <w:tab/>
      </w:r>
      <w:r>
        <w:fldChar w:fldCharType="begin"/>
      </w:r>
      <w:r>
        <w:instrText xml:space="preserve"> PAGEREF _Toc24501 \h </w:instrText>
      </w:r>
      <w:r>
        <w:fldChar w:fldCharType="separate"/>
      </w:r>
      <w:r>
        <w:t>22</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_Toc6451 </w:instrText>
      </w:r>
      <w:r>
        <w:rPr>
          <w:rFonts w:ascii="Times New Roman" w:hAnsi="Times New Roman" w:cs="Times New Roman"/>
        </w:rPr>
        <w:fldChar w:fldCharType="separate"/>
      </w:r>
      <w:r>
        <w:rPr>
          <w:rFonts w:ascii="Times New Roman" w:hAnsi="Times New Roman" w:cs="Times New Roman" w:eastAsiaTheme="minorEastAsia"/>
          <w:snapToGrid w:val="0"/>
          <w:szCs w:val="21"/>
        </w:rPr>
        <w:t>9. 纪律和监督</w:t>
      </w:r>
      <w:r>
        <w:tab/>
      </w:r>
      <w:r>
        <w:fldChar w:fldCharType="begin"/>
      </w:r>
      <w:r>
        <w:instrText xml:space="preserve"> PAGEREF _Toc6451 \h </w:instrText>
      </w:r>
      <w:r>
        <w:fldChar w:fldCharType="separate"/>
      </w:r>
      <w:r>
        <w:t>23</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_Toc27208 </w:instrText>
      </w:r>
      <w:r>
        <w:rPr>
          <w:rFonts w:ascii="Times New Roman" w:hAnsi="Times New Roman" w:cs="Times New Roman"/>
        </w:rPr>
        <w:fldChar w:fldCharType="separate"/>
      </w:r>
      <w:r>
        <w:rPr>
          <w:rFonts w:ascii="Times New Roman" w:hAnsi="Times New Roman" w:cs="Times New Roman" w:eastAsiaTheme="minorEastAsia"/>
          <w:snapToGrid w:val="0"/>
          <w:szCs w:val="21"/>
        </w:rPr>
        <w:t>10. 需要补充的其他内容</w:t>
      </w:r>
      <w:r>
        <w:tab/>
      </w:r>
      <w:r>
        <w:fldChar w:fldCharType="begin"/>
      </w:r>
      <w:r>
        <w:instrText xml:space="preserve"> PAGEREF _Toc27208 \h </w:instrText>
      </w:r>
      <w:r>
        <w:fldChar w:fldCharType="separate"/>
      </w:r>
      <w:r>
        <w:t>23</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_Toc10575 </w:instrText>
      </w:r>
      <w:r>
        <w:rPr>
          <w:rFonts w:ascii="Times New Roman" w:hAnsi="Times New Roman" w:cs="Times New Roman"/>
        </w:rPr>
        <w:fldChar w:fldCharType="separate"/>
      </w:r>
      <w:r>
        <w:rPr>
          <w:rFonts w:ascii="Times New Roman" w:hAnsi="Times New Roman" w:cs="Times New Roman" w:eastAsiaTheme="minorEastAsia"/>
          <w:snapToGrid w:val="0"/>
          <w:szCs w:val="21"/>
        </w:rPr>
        <w:t>11. 其他</w:t>
      </w:r>
      <w:r>
        <w:tab/>
      </w:r>
      <w:r>
        <w:fldChar w:fldCharType="begin"/>
      </w:r>
      <w:r>
        <w:instrText xml:space="preserve"> PAGEREF _Toc10575 \h </w:instrText>
      </w:r>
      <w:r>
        <w:fldChar w:fldCharType="separate"/>
      </w:r>
      <w:r>
        <w:t>23</w:t>
      </w:r>
      <w:r>
        <w:fldChar w:fldCharType="end"/>
      </w:r>
      <w:r>
        <w:rPr>
          <w:rFonts w:ascii="Times New Roman" w:hAnsi="Times New Roman" w:cs="Times New Roman"/>
        </w:rPr>
        <w:fldChar w:fldCharType="end"/>
      </w: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_Toc23574 </w:instrText>
      </w:r>
      <w:r>
        <w:rPr>
          <w:rFonts w:ascii="Times New Roman" w:hAnsi="Times New Roman" w:cs="Times New Roman"/>
        </w:rPr>
        <w:fldChar w:fldCharType="separate"/>
      </w:r>
      <w:r>
        <w:rPr>
          <w:rFonts w:ascii="Times New Roman" w:hAnsi="Times New Roman" w:cs="Times New Roman" w:eastAsiaTheme="minorEastAsia"/>
          <w:snapToGrid w:val="0"/>
        </w:rPr>
        <w:t>第三章 评标办法</w:t>
      </w:r>
      <w:r>
        <w:tab/>
      </w:r>
      <w:r>
        <w:fldChar w:fldCharType="begin"/>
      </w:r>
      <w:r>
        <w:instrText xml:space="preserve"> PAGEREF _Toc23574 \h </w:instrText>
      </w:r>
      <w:r>
        <w:fldChar w:fldCharType="separate"/>
      </w:r>
      <w:r>
        <w:t>25</w:t>
      </w:r>
      <w:r>
        <w:fldChar w:fldCharType="end"/>
      </w:r>
      <w:r>
        <w:rPr>
          <w:rFonts w:ascii="Times New Roman" w:hAnsi="Times New Roman" w:cs="Times New Roman"/>
        </w:rPr>
        <w:fldChar w:fldCharType="end"/>
      </w: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_Toc8773 </w:instrText>
      </w:r>
      <w:r>
        <w:rPr>
          <w:rFonts w:ascii="Times New Roman" w:hAnsi="Times New Roman" w:cs="Times New Roman"/>
        </w:rPr>
        <w:fldChar w:fldCharType="separate"/>
      </w:r>
      <w:r>
        <w:rPr>
          <w:rFonts w:ascii="Times New Roman" w:hAnsi="Times New Roman" w:cs="Times New Roman" w:eastAsiaTheme="minorEastAsia"/>
          <w:snapToGrid w:val="0"/>
        </w:rPr>
        <w:t>第四章 合同条款及格式</w:t>
      </w:r>
      <w:r>
        <w:tab/>
      </w:r>
      <w:r>
        <w:fldChar w:fldCharType="begin"/>
      </w:r>
      <w:r>
        <w:instrText xml:space="preserve"> PAGEREF _Toc8773 \h </w:instrText>
      </w:r>
      <w:r>
        <w:fldChar w:fldCharType="separate"/>
      </w:r>
      <w:r>
        <w:t>31</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_Toc4003 </w:instrText>
      </w:r>
      <w:r>
        <w:rPr>
          <w:rFonts w:ascii="Times New Roman" w:hAnsi="Times New Roman" w:cs="Times New Roman"/>
        </w:rPr>
        <w:fldChar w:fldCharType="separate"/>
      </w:r>
      <w:r>
        <w:rPr>
          <w:rFonts w:ascii="Times New Roman" w:hAnsi="Times New Roman" w:cs="Times New Roman" w:eastAsiaTheme="minorEastAsia"/>
          <w:snapToGrid w:val="0"/>
          <w:szCs w:val="30"/>
        </w:rPr>
        <w:t>第一部分  协议书</w:t>
      </w:r>
      <w:r>
        <w:tab/>
      </w:r>
      <w:r>
        <w:fldChar w:fldCharType="begin"/>
      </w:r>
      <w:r>
        <w:instrText xml:space="preserve"> PAGEREF _Toc4003 \h </w:instrText>
      </w:r>
      <w:r>
        <w:fldChar w:fldCharType="separate"/>
      </w:r>
      <w:r>
        <w:t>31</w:t>
      </w:r>
      <w:r>
        <w:fldChar w:fldCharType="end"/>
      </w:r>
      <w:r>
        <w:rPr>
          <w:rFonts w:ascii="Times New Roman" w:hAnsi="Times New Roman" w:cs="Times New Roman"/>
        </w:rPr>
        <w:fldChar w:fldCharType="end"/>
      </w: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_Toc1531 </w:instrText>
      </w:r>
      <w:r>
        <w:rPr>
          <w:rFonts w:ascii="Times New Roman" w:hAnsi="Times New Roman" w:cs="Times New Roman"/>
        </w:rPr>
        <w:fldChar w:fldCharType="separate"/>
      </w:r>
      <w:r>
        <w:rPr>
          <w:rFonts w:hint="eastAsia" w:ascii="Times New Roman" w:hAnsi="Times New Roman" w:cs="Times New Roman" w:eastAsiaTheme="minorEastAsia"/>
          <w:snapToGrid w:val="0"/>
          <w:lang w:val="en-US" w:eastAsia="zh-CN"/>
        </w:rPr>
        <w:t>(以下无正文）</w:t>
      </w:r>
      <w:r>
        <w:tab/>
      </w:r>
      <w:r>
        <w:fldChar w:fldCharType="begin"/>
      </w:r>
      <w:r>
        <w:instrText xml:space="preserve"> PAGEREF _Toc1531 \h </w:instrText>
      </w:r>
      <w:r>
        <w:fldChar w:fldCharType="separate"/>
      </w:r>
      <w:r>
        <w:t>33</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_Toc11532 </w:instrText>
      </w:r>
      <w:r>
        <w:rPr>
          <w:rFonts w:ascii="Times New Roman" w:hAnsi="Times New Roman" w:cs="Times New Roman"/>
        </w:rPr>
        <w:fldChar w:fldCharType="separate"/>
      </w:r>
      <w:r>
        <w:rPr>
          <w:rFonts w:ascii="Times New Roman" w:hAnsi="Times New Roman" w:cs="Times New Roman" w:eastAsiaTheme="minorEastAsia"/>
          <w:snapToGrid w:val="0"/>
          <w:szCs w:val="30"/>
        </w:rPr>
        <w:t>第二部分  通用条件</w:t>
      </w:r>
      <w:r>
        <w:tab/>
      </w:r>
      <w:r>
        <w:fldChar w:fldCharType="begin"/>
      </w:r>
      <w:r>
        <w:instrText xml:space="preserve"> PAGEREF _Toc11532 \h </w:instrText>
      </w:r>
      <w:r>
        <w:fldChar w:fldCharType="separate"/>
      </w:r>
      <w:r>
        <w:t>35</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_Toc2366 </w:instrText>
      </w:r>
      <w:r>
        <w:rPr>
          <w:rFonts w:ascii="Times New Roman" w:hAnsi="Times New Roman" w:cs="Times New Roman"/>
        </w:rPr>
        <w:fldChar w:fldCharType="separate"/>
      </w:r>
      <w:r>
        <w:rPr>
          <w:rFonts w:ascii="Times New Roman" w:hAnsi="Times New Roman" w:cs="Times New Roman" w:eastAsiaTheme="minorEastAsia"/>
          <w:snapToGrid w:val="0"/>
          <w:szCs w:val="32"/>
        </w:rPr>
        <w:t>第三部分　　专用条件</w:t>
      </w:r>
      <w:r>
        <w:tab/>
      </w:r>
      <w:r>
        <w:fldChar w:fldCharType="begin"/>
      </w:r>
      <w:r>
        <w:instrText xml:space="preserve"> PAGEREF _Toc2366 \h </w:instrText>
      </w:r>
      <w:r>
        <w:fldChar w:fldCharType="separate"/>
      </w:r>
      <w:r>
        <w:t>43</w:t>
      </w:r>
      <w:r>
        <w:fldChar w:fldCharType="end"/>
      </w:r>
      <w:r>
        <w:rPr>
          <w:rFonts w:ascii="Times New Roman" w:hAnsi="Times New Roman" w:cs="Times New Roman"/>
        </w:rPr>
        <w:fldChar w:fldCharType="end"/>
      </w: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_Toc29026 </w:instrText>
      </w:r>
      <w:r>
        <w:rPr>
          <w:rFonts w:ascii="Times New Roman" w:hAnsi="Times New Roman" w:cs="Times New Roman"/>
        </w:rPr>
        <w:fldChar w:fldCharType="separate"/>
      </w:r>
      <w:r>
        <w:rPr>
          <w:rFonts w:ascii="Times New Roman" w:hAnsi="Times New Roman" w:cs="Times New Roman" w:eastAsiaTheme="minorEastAsia"/>
          <w:snapToGrid w:val="0"/>
        </w:rPr>
        <w:t>第五章 图  纸</w:t>
      </w:r>
      <w:r>
        <w:tab/>
      </w:r>
      <w:r>
        <w:fldChar w:fldCharType="begin"/>
      </w:r>
      <w:r>
        <w:instrText xml:space="preserve"> PAGEREF _Toc29026 \h </w:instrText>
      </w:r>
      <w:r>
        <w:fldChar w:fldCharType="separate"/>
      </w:r>
      <w:r>
        <w:t>61</w:t>
      </w:r>
      <w:r>
        <w:fldChar w:fldCharType="end"/>
      </w:r>
      <w:r>
        <w:rPr>
          <w:rFonts w:ascii="Times New Roman" w:hAnsi="Times New Roman" w:cs="Times New Roman"/>
        </w:rPr>
        <w:fldChar w:fldCharType="end"/>
      </w: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_Toc12282 </w:instrText>
      </w:r>
      <w:r>
        <w:rPr>
          <w:rFonts w:ascii="Times New Roman" w:hAnsi="Times New Roman" w:cs="Times New Roman"/>
        </w:rPr>
        <w:fldChar w:fldCharType="separate"/>
      </w:r>
      <w:r>
        <w:rPr>
          <w:rFonts w:ascii="Times New Roman" w:hAnsi="Times New Roman" w:cs="Times New Roman" w:eastAsiaTheme="minorEastAsia"/>
          <w:snapToGrid w:val="0"/>
        </w:rPr>
        <w:t>第六章  投标文件格式</w:t>
      </w:r>
      <w:r>
        <w:tab/>
      </w:r>
      <w:r>
        <w:fldChar w:fldCharType="begin"/>
      </w:r>
      <w:r>
        <w:instrText xml:space="preserve"> PAGEREF _Toc12282 \h </w:instrText>
      </w:r>
      <w:r>
        <w:fldChar w:fldCharType="separate"/>
      </w:r>
      <w:r>
        <w:t>64</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_Toc1944 </w:instrText>
      </w:r>
      <w:r>
        <w:rPr>
          <w:rFonts w:ascii="Times New Roman" w:hAnsi="Times New Roman" w:cs="Times New Roman"/>
        </w:rPr>
        <w:fldChar w:fldCharType="separate"/>
      </w:r>
      <w:r>
        <w:rPr>
          <w:rFonts w:ascii="Times New Roman" w:hAnsi="Times New Roman" w:cs="Times New Roman" w:eastAsiaTheme="minorEastAsia"/>
          <w:snapToGrid w:val="0"/>
          <w:szCs w:val="28"/>
          <w:lang w:val="en-US" w:bidi="ar-SA"/>
        </w:rPr>
        <w:t>附件一：</w:t>
      </w:r>
      <w:r>
        <w:tab/>
      </w:r>
      <w:r>
        <w:fldChar w:fldCharType="begin"/>
      </w:r>
      <w:r>
        <w:instrText xml:space="preserve"> PAGEREF _Toc1944 \h </w:instrText>
      </w:r>
      <w:r>
        <w:fldChar w:fldCharType="separate"/>
      </w:r>
      <w:r>
        <w:t>65</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_Toc7484 </w:instrText>
      </w:r>
      <w:r>
        <w:rPr>
          <w:rFonts w:ascii="Times New Roman" w:hAnsi="Times New Roman" w:cs="Times New Roman"/>
        </w:rPr>
        <w:fldChar w:fldCharType="separate"/>
      </w:r>
      <w:r>
        <w:rPr>
          <w:rFonts w:hint="eastAsia" w:ascii="Times New Roman" w:hAnsi="Times New Roman" w:cs="Times New Roman" w:eastAsiaTheme="minorEastAsia"/>
          <w:snapToGrid w:val="0"/>
          <w:szCs w:val="28"/>
          <w:lang w:val="en-US" w:eastAsia="zh-CN" w:bidi="ar-SA"/>
        </w:rPr>
        <w:t>附件二：</w:t>
      </w:r>
      <w:r>
        <w:tab/>
      </w:r>
      <w:r>
        <w:fldChar w:fldCharType="begin"/>
      </w:r>
      <w:r>
        <w:instrText xml:space="preserve"> PAGEREF _Toc7484 \h </w:instrText>
      </w:r>
      <w:r>
        <w:fldChar w:fldCharType="separate"/>
      </w:r>
      <w:r>
        <w:t>66</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_Toc17094 </w:instrText>
      </w:r>
      <w:r>
        <w:rPr>
          <w:rFonts w:ascii="Times New Roman" w:hAnsi="Times New Roman" w:cs="Times New Roman"/>
        </w:rPr>
        <w:fldChar w:fldCharType="separate"/>
      </w:r>
      <w:r>
        <w:rPr>
          <w:rFonts w:ascii="Times New Roman" w:hAnsi="Times New Roman" w:cs="Times New Roman" w:eastAsiaTheme="minorEastAsia"/>
          <w:snapToGrid w:val="0"/>
          <w:szCs w:val="28"/>
          <w:lang w:val="en-US" w:bidi="ar-SA"/>
        </w:rPr>
        <w:t>附件</w:t>
      </w:r>
      <w:r>
        <w:rPr>
          <w:rFonts w:hint="eastAsia" w:ascii="Times New Roman" w:hAnsi="Times New Roman" w:cs="Times New Roman" w:eastAsiaTheme="minorEastAsia"/>
          <w:snapToGrid w:val="0"/>
          <w:szCs w:val="28"/>
          <w:lang w:val="en-US" w:eastAsia="zh-CN" w:bidi="ar-SA"/>
        </w:rPr>
        <w:t>三</w:t>
      </w:r>
      <w:r>
        <w:rPr>
          <w:rFonts w:ascii="Times New Roman" w:hAnsi="Times New Roman" w:cs="Times New Roman" w:eastAsiaTheme="minorEastAsia"/>
          <w:snapToGrid w:val="0"/>
          <w:szCs w:val="28"/>
          <w:lang w:val="en-US" w:bidi="ar-SA"/>
        </w:rPr>
        <w:t>：</w:t>
      </w:r>
      <w:r>
        <w:tab/>
      </w:r>
      <w:r>
        <w:fldChar w:fldCharType="begin"/>
      </w:r>
      <w:r>
        <w:instrText xml:space="preserve"> PAGEREF _Toc17094 \h </w:instrText>
      </w:r>
      <w:r>
        <w:fldChar w:fldCharType="separate"/>
      </w:r>
      <w:r>
        <w:t>67</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_Toc10999 </w:instrText>
      </w:r>
      <w:r>
        <w:rPr>
          <w:rFonts w:ascii="Times New Roman" w:hAnsi="Times New Roman" w:cs="Times New Roman"/>
        </w:rPr>
        <w:fldChar w:fldCharType="separate"/>
      </w:r>
      <w:r>
        <w:rPr>
          <w:rFonts w:ascii="Times New Roman" w:hAnsi="Times New Roman" w:cs="Times New Roman" w:eastAsiaTheme="minorEastAsia"/>
          <w:snapToGrid w:val="0"/>
          <w:szCs w:val="28"/>
          <w:lang w:val="en-US" w:bidi="ar-SA"/>
        </w:rPr>
        <w:t>附件</w:t>
      </w:r>
      <w:r>
        <w:rPr>
          <w:rFonts w:hint="eastAsia" w:ascii="Times New Roman" w:hAnsi="Times New Roman" w:cs="Times New Roman" w:eastAsiaTheme="minorEastAsia"/>
          <w:snapToGrid w:val="0"/>
          <w:szCs w:val="28"/>
          <w:lang w:val="en-US" w:eastAsia="zh-CN" w:bidi="ar-SA"/>
        </w:rPr>
        <w:t>四</w:t>
      </w:r>
      <w:r>
        <w:rPr>
          <w:rFonts w:ascii="Times New Roman" w:hAnsi="Times New Roman" w:cs="Times New Roman" w:eastAsiaTheme="minorEastAsia"/>
          <w:snapToGrid w:val="0"/>
          <w:szCs w:val="28"/>
          <w:lang w:val="en-US" w:bidi="ar-SA"/>
        </w:rPr>
        <w:t>：</w:t>
      </w:r>
      <w:r>
        <w:tab/>
      </w:r>
      <w:r>
        <w:fldChar w:fldCharType="begin"/>
      </w:r>
      <w:r>
        <w:instrText xml:space="preserve"> PAGEREF _Toc10999 \h </w:instrText>
      </w:r>
      <w:r>
        <w:fldChar w:fldCharType="separate"/>
      </w:r>
      <w:r>
        <w:t>68</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_Toc868 </w:instrText>
      </w:r>
      <w:r>
        <w:rPr>
          <w:rFonts w:ascii="Times New Roman" w:hAnsi="Times New Roman" w:cs="Times New Roman"/>
        </w:rPr>
        <w:fldChar w:fldCharType="separate"/>
      </w:r>
      <w:r>
        <w:rPr>
          <w:rFonts w:ascii="Times New Roman" w:hAnsi="Times New Roman" w:cs="Times New Roman" w:eastAsiaTheme="minorEastAsia"/>
          <w:snapToGrid w:val="0"/>
          <w:szCs w:val="28"/>
          <w:lang w:val="en-US" w:bidi="ar-SA"/>
        </w:rPr>
        <w:t>附件</w:t>
      </w:r>
      <w:r>
        <w:rPr>
          <w:rFonts w:hint="eastAsia" w:ascii="Times New Roman" w:hAnsi="Times New Roman" w:cs="Times New Roman" w:eastAsiaTheme="minorEastAsia"/>
          <w:snapToGrid w:val="0"/>
          <w:szCs w:val="28"/>
          <w:lang w:val="en-US" w:eastAsia="zh-CN" w:bidi="ar-SA"/>
        </w:rPr>
        <w:t>五</w:t>
      </w:r>
      <w:r>
        <w:rPr>
          <w:rFonts w:ascii="Times New Roman" w:hAnsi="Times New Roman" w:cs="Times New Roman" w:eastAsiaTheme="minorEastAsia"/>
          <w:snapToGrid w:val="0"/>
          <w:szCs w:val="28"/>
          <w:lang w:val="en-US" w:bidi="ar-SA"/>
        </w:rPr>
        <w:t>：</w:t>
      </w:r>
      <w:r>
        <w:tab/>
      </w:r>
      <w:r>
        <w:fldChar w:fldCharType="begin"/>
      </w:r>
      <w:r>
        <w:instrText xml:space="preserve"> PAGEREF _Toc868 \h </w:instrText>
      </w:r>
      <w:r>
        <w:fldChar w:fldCharType="separate"/>
      </w:r>
      <w:r>
        <w:t>69</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_Toc13519 </w:instrText>
      </w:r>
      <w:r>
        <w:rPr>
          <w:rFonts w:ascii="Times New Roman" w:hAnsi="Times New Roman" w:cs="Times New Roman"/>
        </w:rPr>
        <w:fldChar w:fldCharType="separate"/>
      </w:r>
      <w:r>
        <w:rPr>
          <w:rFonts w:ascii="Times New Roman" w:hAnsi="Times New Roman" w:cs="Times New Roman" w:eastAsiaTheme="minorEastAsia"/>
          <w:snapToGrid w:val="0"/>
          <w:szCs w:val="28"/>
          <w:lang w:val="en-US" w:bidi="ar-SA"/>
        </w:rPr>
        <w:t>附件</w:t>
      </w:r>
      <w:r>
        <w:rPr>
          <w:rFonts w:hint="eastAsia" w:ascii="Times New Roman" w:hAnsi="Times New Roman" w:cs="Times New Roman" w:eastAsiaTheme="minorEastAsia"/>
          <w:snapToGrid w:val="0"/>
          <w:szCs w:val="28"/>
          <w:lang w:val="en-US" w:eastAsia="zh-CN" w:bidi="ar-SA"/>
        </w:rPr>
        <w:t>六</w:t>
      </w:r>
      <w:r>
        <w:rPr>
          <w:rFonts w:ascii="Times New Roman" w:hAnsi="Times New Roman" w:cs="Times New Roman" w:eastAsiaTheme="minorEastAsia"/>
          <w:snapToGrid w:val="0"/>
          <w:szCs w:val="28"/>
          <w:lang w:val="en-US" w:bidi="ar-SA"/>
        </w:rPr>
        <w:t>：</w:t>
      </w:r>
      <w:r>
        <w:tab/>
      </w:r>
      <w:r>
        <w:fldChar w:fldCharType="begin"/>
      </w:r>
      <w:r>
        <w:instrText xml:space="preserve"> PAGEREF _Toc13519 \h </w:instrText>
      </w:r>
      <w:r>
        <w:fldChar w:fldCharType="separate"/>
      </w:r>
      <w:r>
        <w:t>70</w:t>
      </w:r>
      <w:r>
        <w:fldChar w:fldCharType="end"/>
      </w:r>
      <w:r>
        <w:rPr>
          <w:rFonts w:ascii="Times New Roman" w:hAnsi="Times New Roman" w:cs="Times New Roman"/>
        </w:rPr>
        <w:fldChar w:fldCharType="end"/>
      </w: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_Toc26475 </w:instrText>
      </w:r>
      <w:r>
        <w:rPr>
          <w:rFonts w:ascii="Times New Roman" w:hAnsi="Times New Roman" w:cs="Times New Roman"/>
        </w:rPr>
        <w:fldChar w:fldCharType="separate"/>
      </w:r>
      <w:r>
        <w:rPr>
          <w:rFonts w:ascii="Times New Roman" w:hAnsi="Times New Roman" w:cs="Times New Roman" w:eastAsiaTheme="minorEastAsia"/>
          <w:snapToGrid w:val="0"/>
          <w:szCs w:val="28"/>
        </w:rPr>
        <w:t>附件</w:t>
      </w:r>
      <w:r>
        <w:rPr>
          <w:rFonts w:hint="eastAsia" w:ascii="Times New Roman" w:hAnsi="Times New Roman" w:cs="Times New Roman" w:eastAsiaTheme="minorEastAsia"/>
          <w:snapToGrid w:val="0"/>
          <w:szCs w:val="28"/>
          <w:lang w:val="en-US" w:eastAsia="zh-CN"/>
        </w:rPr>
        <w:t>七</w:t>
      </w:r>
      <w:r>
        <w:rPr>
          <w:rFonts w:ascii="Times New Roman" w:hAnsi="Times New Roman" w:cs="Times New Roman" w:eastAsiaTheme="minorEastAsia"/>
          <w:snapToGrid w:val="0"/>
          <w:szCs w:val="28"/>
        </w:rPr>
        <w:t>：</w:t>
      </w:r>
      <w:r>
        <w:tab/>
      </w:r>
      <w:r>
        <w:fldChar w:fldCharType="begin"/>
      </w:r>
      <w:r>
        <w:instrText xml:space="preserve"> PAGEREF _Toc26475 \h </w:instrText>
      </w:r>
      <w:r>
        <w:fldChar w:fldCharType="separate"/>
      </w:r>
      <w:r>
        <w:t>71</w:t>
      </w:r>
      <w:r>
        <w:fldChar w:fldCharType="end"/>
      </w:r>
      <w:r>
        <w:rPr>
          <w:rFonts w:ascii="Times New Roman" w:hAnsi="Times New Roman" w:cs="Times New Roman"/>
        </w:rPr>
        <w:fldChar w:fldCharType="end"/>
      </w:r>
    </w:p>
    <w:p>
      <w:pPr>
        <w:pStyle w:val="61"/>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_Toc22064 </w:instrText>
      </w:r>
      <w:r>
        <w:rPr>
          <w:rFonts w:ascii="Times New Roman" w:hAnsi="Times New Roman" w:cs="Times New Roman"/>
        </w:rPr>
        <w:fldChar w:fldCharType="separate"/>
      </w:r>
      <w:r>
        <w:rPr>
          <w:rFonts w:ascii="Times New Roman" w:hAnsi="Times New Roman" w:cs="Times New Roman" w:eastAsiaTheme="minorEastAsia"/>
          <w:snapToGrid w:val="0"/>
          <w:szCs w:val="28"/>
        </w:rPr>
        <w:t>附件</w:t>
      </w:r>
      <w:r>
        <w:rPr>
          <w:rFonts w:hint="eastAsia" w:ascii="Times New Roman" w:hAnsi="Times New Roman" w:cs="Times New Roman" w:eastAsiaTheme="minorEastAsia"/>
          <w:snapToGrid w:val="0"/>
          <w:szCs w:val="28"/>
          <w:lang w:val="en-US" w:eastAsia="zh-CN"/>
        </w:rPr>
        <w:t>八</w:t>
      </w:r>
      <w:r>
        <w:rPr>
          <w:rFonts w:ascii="Times New Roman" w:hAnsi="Times New Roman" w:cs="Times New Roman" w:eastAsiaTheme="minorEastAsia"/>
          <w:snapToGrid w:val="0"/>
          <w:szCs w:val="28"/>
        </w:rPr>
        <w:t>：</w:t>
      </w:r>
      <w:r>
        <w:tab/>
      </w:r>
      <w:r>
        <w:fldChar w:fldCharType="begin"/>
      </w:r>
      <w:r>
        <w:instrText xml:space="preserve"> PAGEREF _Toc22064 \h </w:instrText>
      </w:r>
      <w:r>
        <w:fldChar w:fldCharType="separate"/>
      </w:r>
      <w:r>
        <w:t>72</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_Toc9349 </w:instrText>
      </w:r>
      <w:r>
        <w:rPr>
          <w:rFonts w:ascii="Times New Roman" w:hAnsi="Times New Roman" w:cs="Times New Roman"/>
        </w:rPr>
        <w:fldChar w:fldCharType="separate"/>
      </w:r>
      <w:r>
        <w:rPr>
          <w:rFonts w:ascii="Times New Roman" w:hAnsi="Times New Roman" w:cs="Times New Roman" w:eastAsiaTheme="minorEastAsia"/>
          <w:snapToGrid w:val="0"/>
          <w:szCs w:val="28"/>
        </w:rPr>
        <w:t>附件</w:t>
      </w:r>
      <w:r>
        <w:rPr>
          <w:rFonts w:hint="eastAsia" w:ascii="Times New Roman" w:hAnsi="Times New Roman" w:cs="Times New Roman" w:eastAsiaTheme="minorEastAsia"/>
          <w:snapToGrid w:val="0"/>
          <w:szCs w:val="28"/>
          <w:lang w:val="en-US" w:eastAsia="zh-CN"/>
        </w:rPr>
        <w:t>九</w:t>
      </w:r>
      <w:r>
        <w:rPr>
          <w:rFonts w:ascii="Times New Roman" w:hAnsi="Times New Roman" w:cs="Times New Roman" w:eastAsiaTheme="minorEastAsia"/>
          <w:snapToGrid w:val="0"/>
          <w:szCs w:val="28"/>
        </w:rPr>
        <w:t>：</w:t>
      </w:r>
      <w:r>
        <w:tab/>
      </w:r>
      <w:r>
        <w:fldChar w:fldCharType="begin"/>
      </w:r>
      <w:r>
        <w:instrText xml:space="preserve"> PAGEREF _Toc9349 \h </w:instrText>
      </w:r>
      <w:r>
        <w:fldChar w:fldCharType="separate"/>
      </w:r>
      <w:r>
        <w:t>73</w:t>
      </w:r>
      <w:r>
        <w:fldChar w:fldCharType="end"/>
      </w:r>
      <w:r>
        <w:rPr>
          <w:rFonts w:ascii="Times New Roman" w:hAnsi="Times New Roman" w:cs="Times New Roman"/>
        </w:rPr>
        <w:fldChar w:fldCharType="end"/>
      </w:r>
    </w:p>
    <w:p>
      <w:pPr>
        <w:pStyle w:val="77"/>
        <w:tabs>
          <w:tab w:val="right" w:leader="dot" w:pos="9185"/>
        </w:tabs>
      </w:pPr>
      <w:r>
        <w:rPr>
          <w:rFonts w:ascii="Times New Roman" w:hAnsi="Times New Roman" w:cs="Times New Roman"/>
        </w:rPr>
        <w:fldChar w:fldCharType="begin"/>
      </w:r>
      <w:r>
        <w:rPr>
          <w:rFonts w:ascii="Times New Roman" w:hAnsi="Times New Roman" w:cs="Times New Roman"/>
        </w:rPr>
        <w:instrText xml:space="preserve"> HYPERLINK \l _Toc7751 </w:instrText>
      </w:r>
      <w:r>
        <w:rPr>
          <w:rFonts w:ascii="Times New Roman" w:hAnsi="Times New Roman" w:cs="Times New Roman"/>
        </w:rPr>
        <w:fldChar w:fldCharType="separate"/>
      </w:r>
      <w:r>
        <w:rPr>
          <w:rFonts w:ascii="Times New Roman" w:hAnsi="Times New Roman" w:cs="Times New Roman" w:eastAsiaTheme="minorEastAsia"/>
          <w:bCs/>
          <w:snapToGrid w:val="0"/>
          <w:szCs w:val="28"/>
        </w:rPr>
        <w:t>附件</w:t>
      </w:r>
      <w:r>
        <w:rPr>
          <w:rFonts w:hint="eastAsia" w:ascii="Times New Roman" w:hAnsi="Times New Roman" w:cs="Times New Roman" w:eastAsiaTheme="minorEastAsia"/>
          <w:bCs/>
          <w:snapToGrid w:val="0"/>
          <w:szCs w:val="28"/>
          <w:lang w:val="en-US" w:eastAsia="zh-CN"/>
        </w:rPr>
        <w:t>十</w:t>
      </w:r>
      <w:r>
        <w:rPr>
          <w:rFonts w:ascii="Times New Roman" w:hAnsi="Times New Roman" w:cs="Times New Roman" w:eastAsiaTheme="minorEastAsia"/>
          <w:bCs/>
          <w:snapToGrid w:val="0"/>
          <w:szCs w:val="28"/>
        </w:rPr>
        <w:t>：</w:t>
      </w:r>
      <w:r>
        <w:tab/>
      </w:r>
      <w:r>
        <w:fldChar w:fldCharType="begin"/>
      </w:r>
      <w:r>
        <w:instrText xml:space="preserve"> PAGEREF _Toc7751 \h </w:instrText>
      </w:r>
      <w:r>
        <w:fldChar w:fldCharType="separate"/>
      </w:r>
      <w:r>
        <w:t>74</w:t>
      </w:r>
      <w:r>
        <w:fldChar w:fldCharType="end"/>
      </w:r>
      <w:r>
        <w:rPr>
          <w:rFonts w:ascii="Times New Roman" w:hAnsi="Times New Roman" w:cs="Times New Roman"/>
        </w:rPr>
        <w:fldChar w:fldCharType="end"/>
      </w:r>
    </w:p>
    <w:p>
      <w:pPr>
        <w:rPr>
          <w:rFonts w:ascii="Times New Roman" w:hAnsi="Times New Roman" w:cs="Times New Roman"/>
        </w:rPr>
      </w:pPr>
      <w:r>
        <w:rPr>
          <w:rFonts w:ascii="Times New Roman" w:hAnsi="Times New Roman" w:cs="Times New Roman"/>
        </w:rPr>
        <w:fldChar w:fldCharType="end"/>
      </w:r>
    </w:p>
    <w:p>
      <w:pPr>
        <w:tabs>
          <w:tab w:val="left" w:pos="6150"/>
        </w:tabs>
        <w:autoSpaceDE/>
        <w:autoSpaceDN/>
        <w:spacing w:line="400" w:lineRule="exact"/>
        <w:rPr>
          <w:rFonts w:ascii="Times New Roman" w:hAnsi="Times New Roman" w:cs="Times New Roman"/>
          <w:b/>
          <w:bCs/>
          <w:kern w:val="2"/>
          <w:sz w:val="44"/>
          <w:szCs w:val="44"/>
          <w:bdr w:val="single" w:color="auto" w:sz="4" w:space="0"/>
          <w:lang w:val="en-US" w:bidi="ar-SA"/>
        </w:rPr>
      </w:pPr>
    </w:p>
    <w:p>
      <w:pPr>
        <w:pStyle w:val="2"/>
        <w:rPr>
          <w:rFonts w:ascii="Times New Roman" w:hAnsi="Times New Roman" w:cs="Times New Roman"/>
        </w:rPr>
      </w:pPr>
    </w:p>
    <w:p>
      <w:pPr>
        <w:widowControl/>
        <w:autoSpaceDE/>
        <w:autoSpaceDN/>
        <w:rPr>
          <w:rFonts w:ascii="Times New Roman" w:hAnsi="Times New Roman" w:eastAsia="黑体" w:cs="Times New Roman"/>
          <w:snapToGrid w:val="0"/>
          <w:sz w:val="32"/>
          <w:szCs w:val="32"/>
        </w:rPr>
      </w:pPr>
      <w:bookmarkStart w:id="4" w:name="_TOC_250028"/>
      <w:bookmarkEnd w:id="4"/>
      <w:bookmarkStart w:id="5" w:name="_TOC_250027"/>
      <w:bookmarkEnd w:id="5"/>
      <w:bookmarkStart w:id="6" w:name="_Toc19931"/>
      <w:bookmarkStart w:id="7" w:name="_Toc23534"/>
      <w:bookmarkStart w:id="8" w:name="_Toc89960454"/>
      <w:r>
        <w:rPr>
          <w:rFonts w:ascii="Times New Roman" w:hAnsi="Times New Roman" w:eastAsia="黑体" w:cs="Times New Roman"/>
          <w:snapToGrid w:val="0"/>
          <w:sz w:val="32"/>
          <w:szCs w:val="32"/>
        </w:rPr>
        <w:br w:type="page"/>
      </w:r>
    </w:p>
    <w:p>
      <w:pPr>
        <w:spacing w:line="340" w:lineRule="exact"/>
        <w:jc w:val="center"/>
        <w:rPr>
          <w:rFonts w:ascii="Times New Roman" w:hAnsi="Times New Roman" w:cs="Times New Roman"/>
          <w:snapToGrid w:val="0"/>
          <w:sz w:val="32"/>
          <w:szCs w:val="32"/>
        </w:rPr>
      </w:pPr>
      <w:r>
        <w:rPr>
          <w:rFonts w:ascii="Times New Roman" w:hAnsi="Times New Roman" w:eastAsia="黑体" w:cs="Times New Roman"/>
          <w:snapToGrid w:val="0"/>
          <w:sz w:val="32"/>
          <w:szCs w:val="32"/>
        </w:rPr>
        <w:t>三门县公共资源交易不见面开标大厅试运行投标人须知</w:t>
      </w:r>
      <w:bookmarkEnd w:id="6"/>
      <w:bookmarkEnd w:id="7"/>
    </w:p>
    <w:p>
      <w:pPr>
        <w:spacing w:line="320" w:lineRule="exact"/>
        <w:ind w:firstLine="440" w:firstLineChars="200"/>
        <w:rPr>
          <w:rFonts w:ascii="Times New Roman" w:hAnsi="Times New Roman" w:cs="Times New Roman"/>
          <w:snapToGrid w:val="0"/>
        </w:rPr>
      </w:pP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1、三门县公共资源交易不见面开标大厅（以下简称：不见面开标系统）登录方式：插入CA锁—三门县公共资源交易网页—便捷导航—不见面开标大厅。</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2、</w:t>
      </w:r>
      <w:r>
        <w:rPr>
          <w:rFonts w:ascii="Times New Roman" w:hAnsi="Times New Roman" w:cs="Times New Roman"/>
          <w:b/>
          <w:snapToGrid w:val="0"/>
        </w:rPr>
        <w:t>投标文件递交截止时间前，各投标人的授权委托人或法人代表应提前进入不见面交易系统进行在线签到，未完成签到或逾期签到的，将无法解密投标文件，并视为放弃投标。</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3、投标文件递交截止时间后，主持人在系统内发出投标文件解密指令，投标人需在招标文件规定解密时间内解密（投标人远程解密方法详见操作手册）。</w:t>
      </w:r>
      <w:r>
        <w:rPr>
          <w:rFonts w:ascii="Times New Roman" w:hAnsi="Times New Roman" w:cs="Times New Roman"/>
          <w:b/>
          <w:snapToGrid w:val="0"/>
        </w:rPr>
        <w:t>投标人未在规定时间内解密、解密失败或解密超时，视为放弃投标。</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4、不见面开标前投标人需完成以下准备工作：</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（1）投标人需在“三门县公共资源交易网页”注册，并核验通过。</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（2）投标人终端要求：根据操作说明，自行安装相关插件并按要求进行相关插件的设置。</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（3）需使用数字证书（CA）操作，未取得数字证书（CA）的，请前往“三门县公共资源交易专用数字证书用户自助申报系统”自助办理（网址：</w:t>
      </w:r>
      <w:r>
        <w:fldChar w:fldCharType="begin"/>
      </w:r>
      <w:r>
        <w:instrText xml:space="preserve"> HYPERLINK "http://www.tseal.cn/tcloud/smxztb" </w:instrText>
      </w:r>
      <w:r>
        <w:fldChar w:fldCharType="separate"/>
      </w:r>
      <w:r>
        <w:rPr>
          <w:rStyle w:val="98"/>
          <w:rFonts w:ascii="Times New Roman" w:hAnsi="Times New Roman" w:cs="Times New Roman"/>
          <w:snapToGrid w:val="0"/>
          <w:color w:val="auto"/>
        </w:rPr>
        <w:t>http://www.tseal.cn/tcloud/smxztb</w:t>
      </w:r>
      <w:r>
        <w:rPr>
          <w:rStyle w:val="98"/>
          <w:rFonts w:ascii="Times New Roman" w:hAnsi="Times New Roman" w:cs="Times New Roman"/>
          <w:snapToGrid w:val="0"/>
          <w:color w:val="auto"/>
        </w:rPr>
        <w:fldChar w:fldCharType="end"/>
      </w:r>
      <w:r>
        <w:rPr>
          <w:rFonts w:ascii="Times New Roman" w:hAnsi="Times New Roman" w:cs="Times New Roman"/>
          <w:snapToGrid w:val="0"/>
        </w:rPr>
        <w:t>。</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（4）需使用专用投标工具软件编制，软件下载地址见网站下载中心，投标工具锁申请地址：</w:t>
      </w:r>
      <w:r>
        <w:fldChar w:fldCharType="begin"/>
      </w:r>
      <w:r>
        <w:instrText xml:space="preserve"> HYPERLINK "http://commkey.pminfo.cn/RegisterRockey/Login/Login.aspx" </w:instrText>
      </w:r>
      <w:r>
        <w:fldChar w:fldCharType="separate"/>
      </w:r>
      <w:r>
        <w:rPr>
          <w:rStyle w:val="98"/>
          <w:rFonts w:ascii="Times New Roman" w:hAnsi="Times New Roman" w:cs="Times New Roman"/>
          <w:snapToGrid w:val="0"/>
          <w:color w:val="auto"/>
        </w:rPr>
        <w:t>http://commkey.pminfo.cn/RegisterRockey/Login/Login.aspx</w:t>
      </w:r>
      <w:r>
        <w:rPr>
          <w:rStyle w:val="98"/>
          <w:rFonts w:ascii="Times New Roman" w:hAnsi="Times New Roman" w:cs="Times New Roman"/>
          <w:snapToGrid w:val="0"/>
          <w:color w:val="auto"/>
        </w:rPr>
        <w:fldChar w:fldCharType="end"/>
      </w:r>
      <w:r>
        <w:rPr>
          <w:rFonts w:ascii="Times New Roman" w:hAnsi="Times New Roman" w:cs="Times New Roman"/>
          <w:snapToGrid w:val="0"/>
        </w:rPr>
        <w:t>。</w:t>
      </w:r>
    </w:p>
    <w:p>
      <w:pPr>
        <w:widowControl/>
        <w:spacing w:line="360" w:lineRule="exact"/>
        <w:ind w:left="-123" w:leftChars="-56" w:right="-106" w:rightChars="-48" w:firstLine="442" w:firstLineChars="200"/>
        <w:rPr>
          <w:rFonts w:ascii="Times New Roman" w:hAnsi="Times New Roman" w:cs="Times New Roman"/>
          <w:b/>
          <w:snapToGrid w:val="0"/>
        </w:rPr>
      </w:pPr>
      <w:r>
        <w:rPr>
          <w:rFonts w:ascii="Times New Roman" w:hAnsi="Times New Roman" w:cs="Times New Roman"/>
          <w:b/>
          <w:snapToGrid w:val="0"/>
        </w:rPr>
        <w:t>其他说明：</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1）开标当日，投标人不必抵达开标现场，仅需在任意地点通过互联网参加开标会议，并根据需要使用开标系统与现场招标人进行互动交流、澄清、质疑等活动。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未参加开标会议视为放弃交互和放弃对开评标全过程提疑的权利。</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2）因投标人网络与电源不稳定、未按操作手册要求配置软硬件、解密锁发生故障或用错、故意不在要求时限内完成解密等自身原因，导致投标文件在规定时间内未能解密、解密失败或解密超时，视为投标人放弃投标；</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（3）因招标人原因或电子交易平台发生故障等，导致无法按时完成投标文件解密或开、评标工作无法进行的，可根据实际情况相应延迟解密时间或调整开、评标时间。</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（4）投标人必须使用生成电子投标文件的CA数字证书解密电子投标文件，否则造成解密失败的，由投标人负责。</w:t>
      </w:r>
    </w:p>
    <w:p>
      <w:pPr>
        <w:widowControl/>
        <w:spacing w:line="360" w:lineRule="exact"/>
        <w:ind w:left="-123" w:leftChars="-56" w:right="-106" w:rightChars="-48" w:firstLine="440" w:firstLineChars="200"/>
        <w:rPr>
          <w:rFonts w:ascii="Times New Roman" w:hAnsi="Times New Roman" w:cs="Times New Roman"/>
          <w:snapToGrid w:val="0"/>
        </w:rPr>
      </w:pPr>
      <w:r>
        <w:rPr>
          <w:rFonts w:ascii="Times New Roman" w:hAnsi="Times New Roman" w:cs="Times New Roman"/>
          <w:snapToGrid w:val="0"/>
        </w:rPr>
        <w:t>（5）开标项目的时间均以国家授时中心发布的时间为准。</w:t>
      </w:r>
    </w:p>
    <w:p>
      <w:pPr>
        <w:spacing w:line="360" w:lineRule="exact"/>
        <w:ind w:firstLine="440" w:firstLineChars="200"/>
        <w:rPr>
          <w:rFonts w:ascii="Times New Roman" w:hAnsi="Times New Roman" w:cs="Times New Roman"/>
          <w:snapToGrid w:val="0"/>
        </w:rPr>
      </w:pPr>
      <w:r>
        <w:rPr>
          <w:rFonts w:ascii="Times New Roman" w:hAnsi="Times New Roman" w:cs="Times New Roman"/>
          <w:snapToGrid w:val="0"/>
        </w:rPr>
        <w:t>如有疑问，请咨询品茗公司技术服务电话，技术服务电话：章宏涛，13968512856。QQ “三门交易平台交流群”（群号：146117595），进行业务咨询。此群也将作为不见面开标的备用远程交互群。</w:t>
      </w:r>
      <w:bookmarkStart w:id="9" w:name="_Toc7060"/>
    </w:p>
    <w:p>
      <w:pPr>
        <w:pStyle w:val="3"/>
        <w:ind w:firstLine="210"/>
        <w:rPr>
          <w:snapToGrid w:val="0"/>
        </w:rPr>
      </w:pPr>
      <w:r>
        <w:rPr>
          <w:snapToGrid w:val="0"/>
        </w:rPr>
        <w:br w:type="page"/>
      </w:r>
    </w:p>
    <w:p>
      <w:pPr>
        <w:spacing w:after="240" w:afterLines="100"/>
        <w:jc w:val="center"/>
        <w:rPr>
          <w:rFonts w:ascii="Times New Roman" w:hAnsi="Times New Roman" w:cs="Times New Roman"/>
          <w:snapToGrid w:val="0"/>
          <w:sz w:val="44"/>
          <w:szCs w:val="44"/>
        </w:rPr>
      </w:pPr>
      <w:r>
        <w:rPr>
          <w:rFonts w:ascii="Times New Roman" w:hAnsi="Times New Roman" w:cs="Times New Roman"/>
          <w:snapToGrid w:val="0"/>
          <w:sz w:val="44"/>
          <w:szCs w:val="44"/>
        </w:rPr>
        <w:t>第一卷</w:t>
      </w:r>
      <w:bookmarkEnd w:id="8"/>
      <w:bookmarkEnd w:id="9"/>
      <w:bookmarkStart w:id="10" w:name="_Toc754"/>
      <w:bookmarkStart w:id="11" w:name="_Toc89960455"/>
    </w:p>
    <w:p>
      <w:pPr>
        <w:spacing w:after="240" w:afterLines="100"/>
        <w:jc w:val="center"/>
        <w:rPr>
          <w:rFonts w:ascii="Times New Roman" w:hAnsi="Times New Roman" w:eastAsia="黑体" w:cs="Times New Roman"/>
          <w:sz w:val="44"/>
          <w:szCs w:val="44"/>
          <w:lang w:val="en-US" w:bidi="ar-SA"/>
        </w:rPr>
      </w:pPr>
      <w:r>
        <w:rPr>
          <w:rFonts w:ascii="Times New Roman" w:hAnsi="Times New Roman" w:eastAsia="黑体" w:cs="Times New Roman"/>
          <w:sz w:val="44"/>
          <w:szCs w:val="44"/>
          <w:lang w:val="en-US" w:bidi="ar-SA"/>
        </w:rPr>
        <w:t>招标公告</w:t>
      </w:r>
      <w:bookmarkEnd w:id="10"/>
      <w:bookmarkEnd w:id="11"/>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jc w:val="center"/>
        <w:textAlignment w:val="auto"/>
        <w:rPr>
          <w:rFonts w:hint="eastAsia" w:ascii="Times New Roman" w:hAnsi="Times New Roman" w:cs="Times New Roman"/>
          <w:b/>
          <w:iCs/>
          <w:sz w:val="28"/>
          <w:szCs w:val="28"/>
          <w:u w:val="single"/>
          <w:lang w:val="en-US" w:eastAsia="zh-CN" w:bidi="ar-SA"/>
        </w:rPr>
      </w:pPr>
      <w:r>
        <w:rPr>
          <w:rFonts w:hint="eastAsia" w:ascii="Times New Roman" w:hAnsi="Times New Roman" w:cs="Times New Roman"/>
          <w:b/>
          <w:iCs/>
          <w:sz w:val="28"/>
          <w:szCs w:val="28"/>
          <w:u w:val="single"/>
          <w:lang w:val="en-US" w:eastAsia="zh-CN" w:bidi="ar-SA"/>
        </w:rPr>
        <w:t>三门县下银岩山建筑用石料（凝灰岩）矿开发项目及三门县大周塘片区土地整治提升项目（监理）</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2" w:firstLineChars="200"/>
        <w:jc w:val="center"/>
        <w:textAlignment w:val="auto"/>
        <w:rPr>
          <w:rFonts w:ascii="Times New Roman" w:hAnsi="Times New Roman" w:cs="Times New Roman"/>
          <w:b/>
          <w:sz w:val="32"/>
          <w:szCs w:val="32"/>
          <w:lang w:val="en-US" w:bidi="ar-SA"/>
        </w:rPr>
      </w:pPr>
      <w:r>
        <w:rPr>
          <w:rFonts w:ascii="Times New Roman" w:hAnsi="Times New Roman" w:cs="Times New Roman"/>
          <w:b/>
          <w:iCs/>
          <w:sz w:val="28"/>
          <w:szCs w:val="28"/>
          <w:u w:val="single"/>
          <w:lang w:val="en-US" w:bidi="ar-SA"/>
        </w:rPr>
        <w:t>招标公告</w:t>
      </w:r>
      <w:bookmarkStart w:id="12" w:name="_Toc60687307"/>
      <w:bookmarkStart w:id="13" w:name="_Toc448383198"/>
      <w:bookmarkStart w:id="14" w:name="_Toc413603492"/>
      <w:bookmarkStart w:id="15" w:name="_Toc413620263"/>
      <w:bookmarkStart w:id="16" w:name="_Toc413620268"/>
      <w:bookmarkStart w:id="17" w:name="_Toc60687312"/>
      <w:bookmarkStart w:id="18" w:name="_Toc413603497"/>
      <w:bookmarkStart w:id="19" w:name="OLE_LINK3"/>
    </w:p>
    <w:p>
      <w:pPr>
        <w:adjustRightInd w:val="0"/>
        <w:spacing w:line="360" w:lineRule="auto"/>
        <w:ind w:firstLine="643" w:firstLineChars="200"/>
        <w:rPr>
          <w:rFonts w:ascii="Times New Roman" w:hAnsi="Times New Roman" w:cs="Times New Roman"/>
          <w:b/>
          <w:sz w:val="32"/>
          <w:szCs w:val="32"/>
          <w:lang w:val="en-US" w:bidi="ar-SA"/>
        </w:rPr>
      </w:pPr>
      <w:r>
        <w:rPr>
          <w:rFonts w:ascii="Times New Roman" w:hAnsi="Times New Roman" w:cs="Times New Roman"/>
          <w:b/>
          <w:sz w:val="32"/>
          <w:szCs w:val="32"/>
          <w:lang w:val="en-US" w:bidi="ar-SA"/>
        </w:rPr>
        <w:t>1.招标条件</w:t>
      </w:r>
      <w:bookmarkEnd w:id="12"/>
      <w:bookmarkEnd w:id="13"/>
      <w:bookmarkEnd w:id="14"/>
      <w:bookmarkEnd w:id="15"/>
    </w:p>
    <w:p>
      <w:pPr>
        <w:spacing w:line="360" w:lineRule="auto"/>
        <w:ind w:firstLine="480" w:firstLineChars="200"/>
        <w:rPr>
          <w:rFonts w:ascii="Times New Roman" w:hAnsi="Times New Roman" w:cs="Times New Roman"/>
          <w:snapToGrid w:val="0"/>
          <w:sz w:val="24"/>
          <w:szCs w:val="24"/>
          <w:u w:val="single"/>
        </w:rPr>
      </w:pPr>
      <w:r>
        <w:rPr>
          <w:rFonts w:ascii="Times New Roman" w:hAnsi="Times New Roman" w:cs="Times New Roman"/>
          <w:snapToGrid w:val="0"/>
          <w:sz w:val="24"/>
          <w:szCs w:val="24"/>
        </w:rPr>
        <w:t>1.1</w:t>
      </w:r>
      <w:bookmarkStart w:id="20" w:name="_Toc448383199"/>
      <w:bookmarkStart w:id="21" w:name="_Toc60687308"/>
      <w:bookmarkStart w:id="22" w:name="_Toc413620264"/>
      <w:bookmarkStart w:id="23" w:name="_Toc413603493"/>
      <w:r>
        <w:rPr>
          <w:rFonts w:ascii="Times New Roman" w:hAnsi="Times New Roman" w:cs="Times New Roman"/>
          <w:snapToGrid w:val="0"/>
          <w:sz w:val="24"/>
          <w:szCs w:val="24"/>
        </w:rPr>
        <w:t xml:space="preserve"> 本招标项目</w:t>
      </w:r>
      <w:r>
        <w:rPr>
          <w:rFonts w:hint="eastAsia" w:ascii="Times New Roman" w:hAnsi="Times New Roman" w:cs="Times New Roman"/>
          <w:snapToGrid w:val="0"/>
          <w:sz w:val="24"/>
          <w:szCs w:val="24"/>
          <w:u w:val="single"/>
          <w:lang w:eastAsia="zh-CN"/>
        </w:rPr>
        <w:t>三门县下银岩山建筑用石料（凝灰岩）矿开发项目及三门县大周塘片区土地整治提升项目（监理）</w:t>
      </w:r>
      <w:r>
        <w:rPr>
          <w:rFonts w:ascii="Times New Roman" w:hAnsi="Times New Roman" w:cs="Times New Roman"/>
          <w:snapToGrid w:val="0"/>
          <w:sz w:val="24"/>
          <w:szCs w:val="24"/>
        </w:rPr>
        <w:t>已由</w:t>
      </w:r>
      <w:r>
        <w:rPr>
          <w:rFonts w:ascii="Times New Roman" w:hAnsi="Times New Roman" w:cs="Times New Roman"/>
          <w:snapToGrid w:val="0"/>
          <w:sz w:val="24"/>
          <w:szCs w:val="24"/>
          <w:u w:val="single"/>
        </w:rPr>
        <w:t>三门县发展和改革局</w:t>
      </w:r>
      <w:r>
        <w:rPr>
          <w:rFonts w:hint="eastAsia" w:ascii="Times New Roman" w:hAnsi="Times New Roman" w:cs="Times New Roman"/>
          <w:snapToGrid w:val="0"/>
          <w:sz w:val="24"/>
          <w:szCs w:val="24"/>
          <w:u w:val="single"/>
        </w:rPr>
        <w:t>分别以项目代码</w:t>
      </w:r>
      <w:r>
        <w:rPr>
          <w:rFonts w:ascii="Times New Roman" w:hAnsi="Times New Roman" w:cs="Times New Roman"/>
          <w:snapToGrid w:val="0"/>
          <w:sz w:val="24"/>
          <w:szCs w:val="24"/>
          <w:u w:val="single"/>
        </w:rPr>
        <w:t>2301-331022-04-01-804943</w:t>
      </w:r>
      <w:r>
        <w:rPr>
          <w:rFonts w:hint="eastAsia" w:ascii="Times New Roman" w:hAnsi="Times New Roman" w:cs="Times New Roman"/>
          <w:snapToGrid w:val="0"/>
          <w:sz w:val="24"/>
          <w:szCs w:val="24"/>
          <w:u w:val="single"/>
        </w:rPr>
        <w:t>、</w:t>
      </w:r>
      <w:r>
        <w:rPr>
          <w:rFonts w:ascii="Times New Roman" w:hAnsi="Times New Roman" w:cs="Times New Roman"/>
          <w:snapToGrid w:val="0"/>
          <w:sz w:val="24"/>
          <w:szCs w:val="24"/>
          <w:u w:val="single"/>
        </w:rPr>
        <w:t>2309-331022-04-01-692060</w:t>
      </w:r>
      <w:r>
        <w:rPr>
          <w:rFonts w:ascii="Times New Roman" w:hAnsi="Times New Roman" w:cs="Times New Roman"/>
          <w:snapToGrid w:val="0"/>
          <w:sz w:val="24"/>
          <w:szCs w:val="24"/>
        </w:rPr>
        <w:t>批准建设，建设资金来源</w:t>
      </w:r>
      <w:r>
        <w:rPr>
          <w:rFonts w:ascii="Times New Roman" w:hAnsi="Times New Roman" w:cs="Times New Roman"/>
          <w:snapToGrid w:val="0"/>
          <w:sz w:val="24"/>
          <w:szCs w:val="24"/>
          <w:u w:val="single"/>
        </w:rPr>
        <w:t>自筹</w:t>
      </w:r>
      <w:r>
        <w:rPr>
          <w:rFonts w:ascii="Times New Roman" w:hAnsi="Times New Roman" w:cs="Times New Roman"/>
          <w:snapToGrid w:val="0"/>
          <w:sz w:val="24"/>
          <w:szCs w:val="24"/>
        </w:rPr>
        <w:t>，</w:t>
      </w:r>
      <w:r>
        <w:rPr>
          <w:rFonts w:hint="eastAsia" w:ascii="Times New Roman" w:hAnsi="Times New Roman" w:cs="Times New Roman"/>
          <w:snapToGrid w:val="0"/>
          <w:sz w:val="24"/>
          <w:szCs w:val="24"/>
        </w:rPr>
        <w:t>项目业主分别为</w:t>
      </w:r>
      <w:r>
        <w:rPr>
          <w:rFonts w:hint="eastAsia" w:ascii="Times New Roman" w:hAnsi="Times New Roman" w:cs="Times New Roman"/>
          <w:snapToGrid w:val="0"/>
          <w:sz w:val="24"/>
          <w:szCs w:val="24"/>
          <w:u w:val="single"/>
        </w:rPr>
        <w:t>三门县荆港矿业开发有限公司、三门县港城农业发展有限公司</w:t>
      </w:r>
      <w:r>
        <w:rPr>
          <w:rFonts w:hint="eastAsia" w:ascii="Times New Roman" w:hAnsi="Times New Roman" w:cs="Times New Roman"/>
          <w:snapToGrid w:val="0"/>
          <w:sz w:val="24"/>
          <w:szCs w:val="24"/>
        </w:rPr>
        <w:t>，受项目业主委托招标人为</w:t>
      </w:r>
      <w:r>
        <w:rPr>
          <w:rFonts w:hint="eastAsia" w:ascii="Times New Roman" w:hAnsi="Times New Roman" w:cs="Times New Roman"/>
          <w:i w:val="0"/>
          <w:iCs w:val="0"/>
          <w:snapToGrid w:val="0"/>
          <w:sz w:val="24"/>
          <w:szCs w:val="24"/>
          <w:u w:val="single"/>
        </w:rPr>
        <w:t>三门县资源和能源集团有限公司</w:t>
      </w:r>
      <w:r>
        <w:rPr>
          <w:rFonts w:hint="eastAsia" w:ascii="Times New Roman" w:hAnsi="Times New Roman" w:cs="Times New Roman"/>
          <w:snapToGrid w:val="0"/>
          <w:sz w:val="24"/>
          <w:szCs w:val="24"/>
        </w:rPr>
        <w:t>。</w:t>
      </w:r>
      <w:r>
        <w:rPr>
          <w:rFonts w:ascii="Times New Roman" w:hAnsi="Times New Roman" w:cs="Times New Roman"/>
          <w:snapToGrid w:val="0"/>
          <w:sz w:val="24"/>
          <w:szCs w:val="24"/>
        </w:rPr>
        <w:t>招标代理机构为</w:t>
      </w:r>
      <w:r>
        <w:rPr>
          <w:rFonts w:hint="eastAsia" w:ascii="Times New Roman" w:hAnsi="Times New Roman" w:cs="Times New Roman"/>
          <w:snapToGrid w:val="0"/>
          <w:sz w:val="24"/>
          <w:szCs w:val="24"/>
          <w:u w:val="single"/>
          <w:lang w:eastAsia="zh-CN"/>
        </w:rPr>
        <w:t>浙江希霖工程咨询有限公司</w:t>
      </w:r>
      <w:r>
        <w:rPr>
          <w:rFonts w:ascii="Times New Roman" w:hAnsi="Times New Roman" w:cs="Times New Roman"/>
          <w:snapToGrid w:val="0"/>
          <w:sz w:val="24"/>
          <w:szCs w:val="24"/>
        </w:rPr>
        <w:t>。目前，项目已具备招标条件，现对该项目进行公开招标。</w:t>
      </w:r>
    </w:p>
    <w:p>
      <w:pPr>
        <w:adjustRightInd w:val="0"/>
        <w:spacing w:line="360" w:lineRule="auto"/>
        <w:ind w:firstLine="643" w:firstLineChars="200"/>
        <w:rPr>
          <w:rFonts w:ascii="Times New Roman" w:hAnsi="Times New Roman" w:cs="Times New Roman"/>
          <w:b/>
          <w:sz w:val="32"/>
          <w:szCs w:val="32"/>
          <w:lang w:val="en-US" w:bidi="ar-SA"/>
        </w:rPr>
      </w:pPr>
      <w:r>
        <w:rPr>
          <w:rFonts w:ascii="Times New Roman" w:hAnsi="Times New Roman" w:cs="Times New Roman"/>
          <w:b/>
          <w:sz w:val="32"/>
          <w:szCs w:val="32"/>
          <w:lang w:val="en-US" w:bidi="ar-SA"/>
        </w:rPr>
        <w:t>2 项目概况与招标范围</w:t>
      </w:r>
      <w:bookmarkEnd w:id="20"/>
      <w:bookmarkEnd w:id="21"/>
      <w:bookmarkEnd w:id="22"/>
      <w:bookmarkEnd w:id="23"/>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0" w:firstLineChars="200"/>
        <w:rPr>
          <w:rFonts w:ascii="Times New Roman" w:hAnsi="Times New Roman" w:cs="Times New Roman"/>
          <w:sz w:val="24"/>
          <w:szCs w:val="24"/>
          <w:lang w:val="en-US" w:bidi="ar-SA"/>
        </w:rPr>
      </w:pPr>
      <w:r>
        <w:rPr>
          <w:rFonts w:ascii="Times New Roman" w:hAnsi="Times New Roman" w:cs="Times New Roman"/>
          <w:sz w:val="24"/>
          <w:szCs w:val="24"/>
          <w:lang w:val="en-US" w:bidi="ar-SA"/>
        </w:rPr>
        <w:t xml:space="preserve">2.1 </w:t>
      </w:r>
      <w:r>
        <w:rPr>
          <w:rFonts w:hint="eastAsia" w:ascii="Times New Roman" w:hAnsi="Times New Roman" w:cs="Times New Roman"/>
          <w:sz w:val="24"/>
          <w:szCs w:val="24"/>
          <w:lang w:val="en-US" w:eastAsia="zh-CN" w:bidi="ar-SA"/>
        </w:rPr>
        <w:t>项目</w:t>
      </w:r>
      <w:r>
        <w:rPr>
          <w:rFonts w:ascii="Times New Roman" w:hAnsi="Times New Roman" w:cs="Times New Roman"/>
          <w:sz w:val="24"/>
          <w:szCs w:val="24"/>
          <w:lang w:val="en-US" w:bidi="ar-SA"/>
        </w:rPr>
        <w:t>概况：</w:t>
      </w:r>
      <w:bookmarkStart w:id="24" w:name="_Toc413620265"/>
      <w:bookmarkStart w:id="25" w:name="_Toc413603494"/>
      <w:r>
        <w:rPr>
          <w:rFonts w:hint="eastAsia" w:ascii="Times New Roman" w:hAnsi="Times New Roman" w:cs="Times New Roman"/>
          <w:sz w:val="24"/>
          <w:szCs w:val="24"/>
          <w:lang w:val="en-US" w:bidi="ar-SA"/>
        </w:rPr>
        <w:t>本招标项目位于三门县海润街道、沙柳街道，包括两个子项工程，具体如下：</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2" w:firstLineChars="200"/>
        <w:rPr>
          <w:rFonts w:hint="eastAsia" w:ascii="Times New Roman" w:hAnsi="Times New Roman" w:cs="Times New Roman"/>
          <w:sz w:val="24"/>
          <w:szCs w:val="24"/>
          <w:lang w:val="en-US" w:bidi="ar-SA"/>
        </w:rPr>
      </w:pPr>
      <w:r>
        <w:rPr>
          <w:rFonts w:hint="eastAsia" w:ascii="Times New Roman" w:hAnsi="Times New Roman" w:cs="Times New Roman"/>
          <w:b/>
          <w:bCs/>
          <w:sz w:val="24"/>
          <w:szCs w:val="24"/>
          <w:lang w:val="en-US" w:bidi="ar-SA"/>
        </w:rPr>
        <w:t>子项1（矿山工程）</w:t>
      </w:r>
      <w:r>
        <w:rPr>
          <w:rFonts w:hint="eastAsia" w:ascii="Times New Roman" w:hAnsi="Times New Roman" w:cs="Times New Roman"/>
          <w:sz w:val="24"/>
          <w:szCs w:val="24"/>
          <w:lang w:val="en-US" w:bidi="ar-SA"/>
        </w:rPr>
        <w:t>：三门下银岩山石料矿开采矿种为建筑用石料 (凝灰岩) 矿，开采标高为+178m至+3.5m，拟建矿区面积0.3712平方千米，矿区范围内资源量4600.65万吨，其中，建筑用石料 (凝灰岩) 矿控制资源量1720.51m3(4370.09万吨)，宕碴(风化层)控制资源量为91.86m3 (230.56万吨)。矿区范围内剥离物163.61 万m3(307.59万吨)，剥采比0.09﹕1。开采期限5年，部分石料用于回填，多余石料拟用于砂石骨料加工。</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0" w:firstLineChars="200"/>
        <w:rPr>
          <w:rFonts w:ascii="Times New Roman" w:hAnsi="Times New Roman" w:cs="Times New Roman"/>
          <w:sz w:val="24"/>
          <w:szCs w:val="24"/>
          <w:lang w:val="en-US" w:bidi="ar-SA"/>
        </w:rPr>
      </w:pPr>
      <w:r>
        <w:rPr>
          <w:rFonts w:hint="eastAsia" w:ascii="Times New Roman" w:hAnsi="Times New Roman" w:cs="Times New Roman"/>
          <w:sz w:val="24"/>
          <w:szCs w:val="24"/>
          <w:lang w:val="en-US" w:bidi="ar-SA"/>
        </w:rPr>
        <w:t>本项目主要包括但不限于矿山开拓开采 (包括穿孔、爆破、局部机械破岩、挖装、运输等)、智能化绿色矿山建设、矿山开采后的地质环境保护与土地复垦，以及附属办公生活区、辅助设施工程 (含安全设施)建设、矿山管理、矿山运营服务。</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2" w:firstLineChars="200"/>
        <w:rPr>
          <w:rFonts w:hint="eastAsia" w:ascii="Times New Roman" w:hAnsi="Times New Roman" w:cs="Times New Roman"/>
          <w:sz w:val="24"/>
          <w:szCs w:val="24"/>
          <w:lang w:val="en-US" w:bidi="ar-SA"/>
        </w:rPr>
      </w:pPr>
      <w:r>
        <w:rPr>
          <w:rFonts w:hint="eastAsia" w:ascii="Times New Roman" w:hAnsi="Times New Roman" w:cs="Times New Roman"/>
          <w:b/>
          <w:bCs/>
          <w:sz w:val="24"/>
          <w:szCs w:val="24"/>
          <w:lang w:val="en-US" w:bidi="ar-SA"/>
        </w:rPr>
        <w:t>子项2（土地整治）</w:t>
      </w:r>
      <w:r>
        <w:rPr>
          <w:rFonts w:hint="eastAsia" w:ascii="Times New Roman" w:hAnsi="Times New Roman" w:cs="Times New Roman"/>
          <w:sz w:val="24"/>
          <w:szCs w:val="24"/>
          <w:lang w:val="en-US" w:bidi="ar-SA"/>
        </w:rPr>
        <w:t>：三门县大周塘片区土地整治提升项目包含2个子项目，具体如下：</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0" w:firstLineChars="200"/>
        <w:rPr>
          <w:rFonts w:hint="eastAsia" w:ascii="Times New Roman" w:hAnsi="Times New Roman" w:cs="Times New Roman"/>
          <w:sz w:val="24"/>
          <w:szCs w:val="24"/>
          <w:lang w:val="en-US" w:bidi="ar-SA"/>
        </w:rPr>
      </w:pPr>
      <w:r>
        <w:rPr>
          <w:rFonts w:hint="eastAsia" w:ascii="Times New Roman" w:hAnsi="Times New Roman" w:cs="Times New Roman"/>
          <w:sz w:val="24"/>
          <w:szCs w:val="24"/>
          <w:lang w:val="en-US" w:bidi="ar-SA"/>
        </w:rPr>
        <w:t>（1）三门县大周塘核心区块整治提升项目占地面积约693.34亩，涉及宕渣回填约543.25万吨。</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0" w:firstLineChars="200"/>
        <w:rPr>
          <w:rFonts w:hint="eastAsia" w:ascii="Times New Roman" w:hAnsi="Times New Roman" w:cs="Times New Roman"/>
          <w:sz w:val="24"/>
          <w:szCs w:val="24"/>
          <w:lang w:val="en-US" w:bidi="ar-SA"/>
        </w:rPr>
      </w:pPr>
      <w:r>
        <w:rPr>
          <w:rFonts w:hint="eastAsia" w:ascii="Times New Roman" w:hAnsi="Times New Roman" w:cs="Times New Roman"/>
          <w:sz w:val="24"/>
          <w:szCs w:val="24"/>
          <w:lang w:val="en-US" w:bidi="ar-SA"/>
        </w:rPr>
        <w:t>（2）三门县大周塘区块土地整治项目(一期、二期、三期）占地面积约2048.14亩，项目分三期实施，一期面积约708亩，二期面积约757亩，三期面积约583亩。建设内容包括宕渣回填约796.85万吨；耕地垦造约1778.85亩，耕作土回填约106.89万立方米；新建田间道路7368米，用地面积约114.80亩；新建灌渠7564米、排渠5108米，用地面积约7.78亩；新建河道6835米，涉及河道驳坎约13670米，用地面积约146.71亩。</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0" w:firstLineChars="200"/>
        <w:rPr>
          <w:rFonts w:hint="eastAsia" w:ascii="Times New Roman" w:hAnsi="Times New Roman" w:cs="Times New Roman"/>
          <w:color w:val="auto"/>
          <w:sz w:val="24"/>
          <w:szCs w:val="24"/>
          <w:lang w:val="en-US" w:bidi="ar-SA"/>
        </w:rPr>
      </w:pPr>
      <w:r>
        <w:rPr>
          <w:rFonts w:ascii="Times New Roman" w:hAnsi="Times New Roman" w:cs="Times New Roman"/>
          <w:sz w:val="24"/>
          <w:szCs w:val="24"/>
          <w:lang w:val="en-US" w:bidi="ar-SA"/>
        </w:rPr>
        <w:t>2.2 招标范围</w:t>
      </w:r>
      <w:r>
        <w:rPr>
          <w:rFonts w:ascii="Times New Roman" w:hAnsi="Times New Roman" w:cs="Times New Roman"/>
          <w:color w:val="auto"/>
          <w:sz w:val="24"/>
          <w:szCs w:val="24"/>
          <w:lang w:val="en-US" w:bidi="ar-SA"/>
        </w:rPr>
        <w:t>：</w:t>
      </w:r>
      <w:bookmarkStart w:id="26" w:name="_Toc60687309"/>
      <w:bookmarkStart w:id="27" w:name="_Toc448383200"/>
      <w:r>
        <w:rPr>
          <w:rFonts w:hint="eastAsia" w:ascii="Times New Roman" w:hAnsi="Times New Roman" w:cs="Times New Roman"/>
          <w:color w:val="auto"/>
          <w:sz w:val="24"/>
          <w:szCs w:val="24"/>
          <w:lang w:val="en-US" w:bidi="ar-SA"/>
        </w:rPr>
        <w:t>本项目所包含的全部施工（包含矿区开拓系统建设、代加工厂房建设、代加工流水线搭建、首采区清表及表土剥离、矿区施工现场周边围护建设、矿山安全设施建设、爆破施工组织设计审批等内容）、石料开采（含爆破、施工、矿区内道路修整扩建及临时电、排水、排污设施建设、场内运输等配套设施）、砂石加工（包括投料、头破、粗破、细破、整型、筛分、洗砂、机制砂石成品入库及存储，机制砂石成品装车、砂石成品出售时装车、过磅等）、</w:t>
      </w:r>
      <w:r>
        <w:rPr>
          <w:rFonts w:hint="eastAsia" w:ascii="Times New Roman" w:hAnsi="Times New Roman" w:cs="Times New Roman"/>
          <w:sz w:val="24"/>
          <w:szCs w:val="24"/>
          <w:highlight w:val="none"/>
          <w:lang w:val="en-US" w:bidi="ar-SA"/>
        </w:rPr>
        <w:t>宕渣回填</w:t>
      </w:r>
      <w:r>
        <w:rPr>
          <w:rFonts w:hint="eastAsia" w:ascii="Times New Roman" w:hAnsi="Times New Roman" w:cs="Times New Roman"/>
          <w:sz w:val="24"/>
          <w:szCs w:val="24"/>
          <w:highlight w:val="none"/>
          <w:lang w:val="en-US" w:eastAsia="zh-CN" w:bidi="ar-SA"/>
        </w:rPr>
        <w:t>、水田</w:t>
      </w:r>
      <w:r>
        <w:rPr>
          <w:rFonts w:hint="eastAsia" w:ascii="Times New Roman" w:hAnsi="Times New Roman" w:cs="Times New Roman"/>
          <w:sz w:val="24"/>
          <w:szCs w:val="24"/>
          <w:highlight w:val="none"/>
          <w:lang w:val="en-US" w:bidi="ar-SA"/>
        </w:rPr>
        <w:t>垦造</w:t>
      </w:r>
      <w:r>
        <w:rPr>
          <w:rFonts w:hint="eastAsia" w:ascii="Times New Roman" w:hAnsi="Times New Roman" w:cs="Times New Roman"/>
          <w:sz w:val="24"/>
          <w:szCs w:val="24"/>
          <w:highlight w:val="none"/>
          <w:lang w:val="en-US" w:eastAsia="zh-CN" w:bidi="ar-SA"/>
        </w:rPr>
        <w:t>、新建灌渠河道、河道</w:t>
      </w:r>
      <w:r>
        <w:rPr>
          <w:rFonts w:hint="eastAsia" w:ascii="Times New Roman" w:hAnsi="Times New Roman" w:cs="Times New Roman"/>
          <w:sz w:val="24"/>
          <w:szCs w:val="24"/>
          <w:lang w:val="en-US" w:bidi="ar-SA"/>
        </w:rPr>
        <w:t>驳坎</w:t>
      </w:r>
      <w:r>
        <w:rPr>
          <w:rFonts w:hint="eastAsia" w:ascii="Times New Roman" w:hAnsi="Times New Roman" w:cs="Times New Roman"/>
          <w:sz w:val="24"/>
          <w:szCs w:val="24"/>
          <w:lang w:val="en-US" w:eastAsia="zh-CN" w:bidi="ar-SA"/>
        </w:rPr>
        <w:t>、</w:t>
      </w:r>
      <w:r>
        <w:rPr>
          <w:rFonts w:hint="eastAsia" w:ascii="Times New Roman" w:hAnsi="Times New Roman" w:cs="Times New Roman"/>
          <w:color w:val="auto"/>
          <w:sz w:val="24"/>
          <w:szCs w:val="24"/>
          <w:highlight w:val="none"/>
          <w:lang w:val="en-US" w:bidi="ar-SA"/>
        </w:rPr>
        <w:t>边坡</w:t>
      </w:r>
      <w:r>
        <w:rPr>
          <w:rFonts w:hint="eastAsia" w:ascii="Times New Roman" w:hAnsi="Times New Roman" w:cs="Times New Roman"/>
          <w:color w:val="auto"/>
          <w:sz w:val="24"/>
          <w:szCs w:val="24"/>
          <w:lang w:val="en-US" w:bidi="ar-SA"/>
        </w:rPr>
        <w:t xml:space="preserve">治理、地质灾害的预防及治理、“绿色矿山”创建、监控、拆除、清场等工作的监理，包括项目前期准备工作、爆破安全监理、施工全过程监理、复绿工程等的监理、计量监管、配合结算审核、资料归档及保修阶段的监理。 </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0" w:firstLineChars="200"/>
        <w:rPr>
          <w:rFonts w:ascii="Times New Roman" w:hAnsi="Times New Roman" w:cs="Times New Roman"/>
          <w:sz w:val="24"/>
          <w:szCs w:val="24"/>
          <w:lang w:val="en-US" w:bidi="ar-SA"/>
        </w:rPr>
      </w:pPr>
      <w:r>
        <w:rPr>
          <w:rFonts w:hint="eastAsia" w:ascii="Times New Roman" w:hAnsi="Times New Roman" w:cs="Times New Roman"/>
          <w:sz w:val="24"/>
          <w:szCs w:val="24"/>
          <w:lang w:val="en-US" w:eastAsia="zh-CN" w:bidi="ar-SA"/>
        </w:rPr>
        <w:t>2</w:t>
      </w:r>
      <w:r>
        <w:rPr>
          <w:rFonts w:ascii="Times New Roman" w:hAnsi="Times New Roman" w:cs="Times New Roman"/>
          <w:sz w:val="24"/>
          <w:szCs w:val="24"/>
          <w:lang w:val="en-US" w:bidi="ar-SA"/>
        </w:rPr>
        <w:t>.3本工程监理服务期：</w:t>
      </w:r>
      <w:r>
        <w:rPr>
          <w:rFonts w:hint="eastAsia" w:ascii="Times New Roman" w:hAnsi="Times New Roman" w:cs="Times New Roman"/>
          <w:sz w:val="24"/>
          <w:szCs w:val="24"/>
          <w:lang w:val="en-US" w:bidi="ar-SA"/>
        </w:rPr>
        <w:t>自开工报告签发之日开始，至承接范围内所有工程竣工验收合格结束。前期准备及结算审核的监理服务期限不计在内。</w:t>
      </w:r>
    </w:p>
    <w:p>
      <w:pPr>
        <w:adjustRightInd w:val="0"/>
        <w:spacing w:line="360" w:lineRule="auto"/>
        <w:ind w:firstLine="643" w:firstLineChars="200"/>
        <w:rPr>
          <w:rFonts w:ascii="Times New Roman" w:hAnsi="Times New Roman" w:cs="Times New Roman"/>
          <w:b/>
          <w:sz w:val="32"/>
          <w:szCs w:val="32"/>
          <w:highlight w:val="none"/>
          <w:lang w:val="en-US" w:bidi="ar-SA"/>
        </w:rPr>
      </w:pPr>
      <w:r>
        <w:rPr>
          <w:rFonts w:ascii="Times New Roman" w:hAnsi="Times New Roman" w:cs="Times New Roman"/>
          <w:b/>
          <w:sz w:val="32"/>
          <w:szCs w:val="32"/>
          <w:highlight w:val="none"/>
          <w:lang w:val="en-US" w:bidi="ar-SA"/>
        </w:rPr>
        <w:t>3. 投标人资格要求</w:t>
      </w:r>
      <w:bookmarkEnd w:id="24"/>
      <w:bookmarkEnd w:id="25"/>
      <w:bookmarkEnd w:id="26"/>
      <w:bookmarkEnd w:id="27"/>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highlight w:val="none"/>
          <w:lang w:val="en-US" w:bidi="ar-SA"/>
        </w:rPr>
      </w:pPr>
      <w:bookmarkStart w:id="28" w:name="_Toc413603495"/>
      <w:bookmarkStart w:id="29" w:name="_Toc448383201"/>
      <w:bookmarkStart w:id="30" w:name="_Toc413620266"/>
      <w:bookmarkStart w:id="31" w:name="_Toc60687310"/>
      <w:r>
        <w:rPr>
          <w:rFonts w:ascii="Times New Roman" w:hAnsi="Times New Roman" w:cs="Times New Roman"/>
          <w:sz w:val="24"/>
          <w:szCs w:val="24"/>
          <w:highlight w:val="none"/>
          <w:lang w:val="en-US" w:bidi="ar-SA"/>
        </w:rPr>
        <w:t>3.1 本次招标要求投标人</w:t>
      </w:r>
      <w:r>
        <w:rPr>
          <w:rFonts w:hint="eastAsia" w:ascii="Times New Roman" w:hAnsi="Times New Roman" w:cs="Times New Roman"/>
          <w:sz w:val="24"/>
          <w:szCs w:val="24"/>
          <w:highlight w:val="none"/>
          <w:lang w:val="en-US" w:bidi="ar-SA"/>
        </w:rPr>
        <w:t>须具备下列条件：</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cs="Times New Roman"/>
          <w:sz w:val="24"/>
          <w:szCs w:val="24"/>
          <w:highlight w:val="none"/>
          <w:lang w:val="en-US" w:eastAsia="zh-CN" w:bidi="ar-SA"/>
        </w:rPr>
      </w:pPr>
      <w:r>
        <w:rPr>
          <w:rFonts w:hint="eastAsia" w:ascii="Times New Roman" w:hAnsi="Times New Roman" w:eastAsia="宋体" w:cs="Times New Roman"/>
          <w:sz w:val="24"/>
          <w:szCs w:val="24"/>
          <w:highlight w:val="none"/>
          <w:lang w:val="en-US" w:eastAsia="zh-CN" w:bidi="ar-SA"/>
        </w:rPr>
        <w:t>3.1.1投标人响应</w:t>
      </w:r>
      <w:r>
        <w:rPr>
          <w:rFonts w:hint="eastAsia" w:ascii="Times New Roman" w:hAnsi="Times New Roman" w:cs="Times New Roman"/>
          <w:sz w:val="24"/>
          <w:szCs w:val="24"/>
          <w:highlight w:val="none"/>
          <w:lang w:val="en-US" w:bidi="ar-SA"/>
        </w:rPr>
        <w:t>下列条件</w:t>
      </w:r>
      <w:r>
        <w:rPr>
          <w:rFonts w:hint="eastAsia" w:ascii="Times New Roman" w:hAnsi="Times New Roman" w:cs="Times New Roman"/>
          <w:sz w:val="24"/>
          <w:szCs w:val="24"/>
          <w:highlight w:val="none"/>
          <w:lang w:val="en-US" w:eastAsia="zh-CN" w:bidi="ar-SA"/>
        </w:rPr>
        <w:t>之一：</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sz w:val="24"/>
          <w:szCs w:val="24"/>
          <w:highlight w:val="none"/>
          <w:lang w:val="en-US" w:bidi="ar-SA"/>
        </w:rPr>
      </w:pPr>
      <w:r>
        <w:rPr>
          <w:rFonts w:hint="eastAsia" w:ascii="Times New Roman" w:hAnsi="Times New Roman" w:eastAsia="宋体" w:cs="Times New Roman"/>
          <w:sz w:val="24"/>
          <w:szCs w:val="24"/>
          <w:highlight w:val="none"/>
          <w:lang w:val="en-US" w:eastAsia="zh-CN" w:bidi="ar-SA"/>
        </w:rPr>
        <w:t>（1）</w:t>
      </w:r>
      <w:r>
        <w:rPr>
          <w:rFonts w:hint="eastAsia" w:ascii="Times New Roman" w:hAnsi="Times New Roman" w:cs="Times New Roman"/>
          <w:sz w:val="24"/>
          <w:szCs w:val="24"/>
          <w:highlight w:val="none"/>
          <w:lang w:val="en-US" w:eastAsia="zh-CN" w:bidi="ar-SA"/>
        </w:rPr>
        <w:t>同时</w:t>
      </w:r>
      <w:r>
        <w:rPr>
          <w:rFonts w:hint="eastAsia" w:ascii="Times New Roman" w:hAnsi="Times New Roman" w:eastAsia="宋体" w:cs="Times New Roman"/>
          <w:sz w:val="24"/>
          <w:szCs w:val="24"/>
          <w:highlight w:val="none"/>
          <w:lang w:val="en-US" w:eastAsia="zh-CN" w:bidi="ar-SA"/>
        </w:rPr>
        <w:t>具备</w:t>
      </w:r>
      <w:r>
        <w:rPr>
          <w:rFonts w:hint="eastAsia" w:ascii="Times New Roman" w:hAnsi="Times New Roman" w:eastAsia="宋体" w:cs="Times New Roman"/>
          <w:sz w:val="24"/>
          <w:szCs w:val="24"/>
          <w:highlight w:val="none"/>
          <w:lang w:val="en-US" w:bidi="ar-SA"/>
        </w:rPr>
        <w:t>工程监理综合资质</w:t>
      </w:r>
      <w:r>
        <w:rPr>
          <w:rFonts w:hint="eastAsia" w:ascii="Times New Roman" w:hAnsi="Times New Roman" w:eastAsia="宋体" w:cs="Times New Roman"/>
          <w:sz w:val="24"/>
          <w:szCs w:val="24"/>
          <w:highlight w:val="none"/>
          <w:lang w:val="en-US" w:eastAsia="zh-CN" w:bidi="ar-SA"/>
        </w:rPr>
        <w:t>和</w:t>
      </w:r>
      <w:r>
        <w:rPr>
          <w:rFonts w:hint="eastAsia" w:ascii="Times New Roman" w:hAnsi="Times New Roman" w:eastAsia="宋体" w:cs="Times New Roman"/>
          <w:sz w:val="24"/>
          <w:szCs w:val="24"/>
          <w:highlight w:val="none"/>
          <w:lang w:val="en-US" w:bidi="ar-SA"/>
        </w:rPr>
        <w:t>公安部门颁发的《爆破作业单位许可证》（营业性）一级；</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sz w:val="24"/>
          <w:szCs w:val="24"/>
          <w:highlight w:val="none"/>
          <w:lang w:val="en-US" w:eastAsia="zh-CN" w:bidi="ar-SA"/>
        </w:rPr>
      </w:pPr>
      <w:r>
        <w:rPr>
          <w:rFonts w:hint="eastAsia" w:ascii="Times New Roman" w:hAnsi="Times New Roman" w:eastAsia="宋体" w:cs="Times New Roman"/>
          <w:sz w:val="24"/>
          <w:szCs w:val="24"/>
          <w:highlight w:val="none"/>
          <w:lang w:val="en-US" w:eastAsia="zh-CN" w:bidi="ar-SA"/>
        </w:rPr>
        <w:t>（2）</w:t>
      </w:r>
      <w:r>
        <w:rPr>
          <w:rFonts w:hint="eastAsia" w:ascii="Times New Roman" w:hAnsi="Times New Roman" w:cs="Times New Roman"/>
          <w:sz w:val="24"/>
          <w:szCs w:val="24"/>
          <w:highlight w:val="none"/>
          <w:lang w:val="en-US" w:eastAsia="zh-CN" w:bidi="ar-SA"/>
        </w:rPr>
        <w:t>同时具备</w:t>
      </w:r>
      <w:r>
        <w:rPr>
          <w:rFonts w:hint="eastAsia" w:ascii="Times New Roman" w:hAnsi="Times New Roman" w:eastAsia="宋体" w:cs="Times New Roman"/>
          <w:sz w:val="24"/>
          <w:szCs w:val="24"/>
          <w:highlight w:val="none"/>
          <w:lang w:val="en-US" w:bidi="ar-SA"/>
        </w:rPr>
        <w:t>矿山工程专业监理甲级资质</w:t>
      </w:r>
      <w:r>
        <w:rPr>
          <w:rFonts w:hint="eastAsia" w:ascii="Times New Roman" w:hAnsi="Times New Roman" w:eastAsia="宋体" w:cs="Times New Roman"/>
          <w:sz w:val="24"/>
          <w:szCs w:val="24"/>
          <w:highlight w:val="none"/>
          <w:lang w:val="en-US" w:eastAsia="zh-CN" w:bidi="ar-SA"/>
        </w:rPr>
        <w:t>、</w:t>
      </w:r>
      <w:r>
        <w:rPr>
          <w:rFonts w:hint="eastAsia" w:ascii="Times New Roman" w:hAnsi="Times New Roman" w:cs="Times New Roman"/>
          <w:sz w:val="24"/>
          <w:szCs w:val="24"/>
          <w:highlight w:val="none"/>
          <w:lang w:val="en-US" w:eastAsia="zh-CN" w:bidi="ar-SA"/>
        </w:rPr>
        <w:t>水利</w:t>
      </w:r>
      <w:r>
        <w:rPr>
          <w:rFonts w:hint="eastAsia" w:ascii="Times New Roman" w:hAnsi="Times New Roman" w:eastAsia="宋体" w:cs="Times New Roman"/>
          <w:sz w:val="24"/>
          <w:szCs w:val="24"/>
          <w:highlight w:val="none"/>
          <w:lang w:val="en-US" w:eastAsia="zh-CN" w:bidi="ar-SA"/>
        </w:rPr>
        <w:t>工程专业监理甲级资质和</w:t>
      </w:r>
      <w:r>
        <w:rPr>
          <w:rFonts w:hint="eastAsia" w:ascii="Times New Roman" w:hAnsi="Times New Roman" w:eastAsia="宋体" w:cs="Times New Roman"/>
          <w:sz w:val="24"/>
          <w:szCs w:val="24"/>
          <w:highlight w:val="none"/>
          <w:lang w:val="en-US" w:bidi="ar-SA"/>
        </w:rPr>
        <w:t>公安部门颁发的《爆破作业单位许可证》（营业性）一级</w:t>
      </w:r>
      <w:r>
        <w:rPr>
          <w:rFonts w:hint="eastAsia" w:ascii="Times New Roman" w:hAnsi="Times New Roman" w:eastAsia="宋体" w:cs="Times New Roman"/>
          <w:sz w:val="24"/>
          <w:szCs w:val="24"/>
          <w:highlight w:val="none"/>
          <w:lang w:val="en-US" w:eastAsia="zh-CN" w:bidi="ar-SA"/>
        </w:rPr>
        <w:t>。</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sz w:val="24"/>
          <w:szCs w:val="24"/>
          <w:highlight w:val="none"/>
          <w:lang w:val="en-US" w:bidi="ar-SA"/>
        </w:rPr>
      </w:pPr>
      <w:r>
        <w:rPr>
          <w:rFonts w:hint="eastAsia" w:ascii="Times New Roman" w:hAnsi="Times New Roman" w:eastAsia="宋体" w:cs="Times New Roman"/>
          <w:sz w:val="24"/>
          <w:szCs w:val="24"/>
          <w:highlight w:val="none"/>
          <w:lang w:val="en-US" w:eastAsia="zh-CN" w:bidi="ar-SA"/>
        </w:rPr>
        <w:t xml:space="preserve">3.1.2 </w:t>
      </w:r>
      <w:r>
        <w:rPr>
          <w:rFonts w:hint="eastAsia" w:ascii="Times New Roman" w:hAnsi="Times New Roman" w:eastAsia="宋体" w:cs="Times New Roman"/>
          <w:sz w:val="24"/>
          <w:szCs w:val="24"/>
          <w:highlight w:val="none"/>
          <w:lang w:val="en-US" w:bidi="ar-SA"/>
        </w:rPr>
        <w:t>投标人应具备以下类似业绩要求：</w:t>
      </w:r>
    </w:p>
    <w:p>
      <w:pPr>
        <w:keepNext w:val="0"/>
        <w:keepLines w:val="0"/>
        <w:pageBreakBefore w:val="0"/>
        <w:widowControl w:val="0"/>
        <w:wordWrap/>
        <w:overflowPunct/>
        <w:topLinePunct w:val="0"/>
        <w:autoSpaceDE w:val="0"/>
        <w:autoSpaceDN w:val="0"/>
        <w:bidi w:val="0"/>
        <w:spacing w:line="360" w:lineRule="auto"/>
        <w:ind w:right="220" w:rightChars="100" w:firstLine="482" w:firstLineChars="200"/>
        <w:textAlignment w:val="auto"/>
        <w:rPr>
          <w:rFonts w:hint="eastAsia" w:ascii="Times New Roman" w:hAnsi="Times New Roman" w:eastAsia="宋体" w:cs="Times New Roman"/>
          <w:b/>
          <w:bCs/>
          <w:sz w:val="24"/>
          <w:szCs w:val="24"/>
          <w:highlight w:val="none"/>
          <w:lang w:val="en-US" w:bidi="ar-SA"/>
        </w:rPr>
      </w:pPr>
      <w:r>
        <w:rPr>
          <w:rFonts w:hint="eastAsia" w:ascii="Times New Roman" w:hAnsi="Times New Roman" w:eastAsia="宋体" w:cs="Times New Roman"/>
          <w:b/>
          <w:bCs/>
          <w:sz w:val="24"/>
          <w:szCs w:val="24"/>
          <w:highlight w:val="none"/>
          <w:lang w:val="en-US" w:bidi="ar-SA"/>
        </w:rPr>
        <w:t>投标人自201</w:t>
      </w:r>
      <w:r>
        <w:rPr>
          <w:rFonts w:hint="eastAsia" w:ascii="Times New Roman" w:hAnsi="Times New Roman" w:eastAsia="宋体" w:cs="Times New Roman"/>
          <w:b/>
          <w:bCs/>
          <w:sz w:val="24"/>
          <w:szCs w:val="24"/>
          <w:highlight w:val="none"/>
          <w:lang w:val="en-US" w:eastAsia="zh-CN" w:bidi="ar-SA"/>
        </w:rPr>
        <w:t>5</w:t>
      </w:r>
      <w:r>
        <w:rPr>
          <w:rFonts w:hint="eastAsia" w:ascii="Times New Roman" w:hAnsi="Times New Roman" w:eastAsia="宋体" w:cs="Times New Roman"/>
          <w:b/>
          <w:bCs/>
          <w:sz w:val="24"/>
          <w:szCs w:val="24"/>
          <w:highlight w:val="none"/>
          <w:lang w:val="en-US" w:bidi="ar-SA"/>
        </w:rPr>
        <w:t>年</w:t>
      </w:r>
      <w:r>
        <w:rPr>
          <w:rFonts w:hint="eastAsia" w:ascii="Times New Roman" w:hAnsi="Times New Roman" w:eastAsia="宋体" w:cs="Times New Roman"/>
          <w:b/>
          <w:bCs/>
          <w:sz w:val="24"/>
          <w:szCs w:val="24"/>
          <w:highlight w:val="none"/>
          <w:lang w:val="en-US" w:eastAsia="zh-CN" w:bidi="ar-SA"/>
        </w:rPr>
        <w:t>7</w:t>
      </w:r>
      <w:r>
        <w:rPr>
          <w:rFonts w:hint="eastAsia" w:ascii="Times New Roman" w:hAnsi="Times New Roman" w:eastAsia="宋体" w:cs="Times New Roman"/>
          <w:b/>
          <w:bCs/>
          <w:sz w:val="24"/>
          <w:szCs w:val="24"/>
          <w:highlight w:val="none"/>
          <w:lang w:val="en-US" w:bidi="ar-SA"/>
        </w:rPr>
        <w:t>月1日以来[以合同签订时间为准]承接过建筑用石料矿开采</w:t>
      </w:r>
      <w:r>
        <w:rPr>
          <w:rFonts w:hint="eastAsia" w:ascii="Times New Roman" w:hAnsi="Times New Roman" w:eastAsia="宋体" w:cs="Times New Roman"/>
          <w:b/>
          <w:bCs/>
          <w:sz w:val="24"/>
          <w:szCs w:val="24"/>
          <w:highlight w:val="none"/>
          <w:lang w:val="en-US" w:eastAsia="zh-CN" w:bidi="ar-SA"/>
        </w:rPr>
        <w:t>监理</w:t>
      </w:r>
      <w:r>
        <w:rPr>
          <w:rFonts w:hint="eastAsia" w:ascii="Times New Roman" w:hAnsi="Times New Roman" w:eastAsia="宋体" w:cs="Times New Roman"/>
          <w:b/>
          <w:bCs/>
          <w:sz w:val="24"/>
          <w:szCs w:val="24"/>
          <w:highlight w:val="none"/>
          <w:lang w:val="en-US" w:bidi="ar-SA"/>
        </w:rPr>
        <w:t>业绩。（如为联合体投标，则由联合体牵头人提供）</w:t>
      </w:r>
    </w:p>
    <w:p>
      <w:pPr>
        <w:keepNext w:val="0"/>
        <w:keepLines w:val="0"/>
        <w:pageBreakBefore w:val="0"/>
        <w:widowControl w:val="0"/>
        <w:numPr>
          <w:ilvl w:val="0"/>
          <w:numId w:val="0"/>
        </w:numPr>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sz w:val="24"/>
          <w:szCs w:val="24"/>
          <w:highlight w:val="none"/>
          <w:lang w:val="en-US" w:bidi="ar-SA"/>
        </w:rPr>
      </w:pPr>
      <w:r>
        <w:rPr>
          <w:rFonts w:hint="eastAsia" w:ascii="Times New Roman" w:hAnsi="Times New Roman" w:eastAsia="宋体" w:cs="Times New Roman"/>
          <w:sz w:val="24"/>
          <w:szCs w:val="24"/>
          <w:highlight w:val="none"/>
          <w:lang w:val="en-US" w:bidi="ar-SA"/>
        </w:rPr>
        <w:t>3.</w:t>
      </w:r>
      <w:r>
        <w:rPr>
          <w:rFonts w:hint="eastAsia" w:ascii="Times New Roman" w:hAnsi="Times New Roman" w:eastAsia="宋体" w:cs="Times New Roman"/>
          <w:sz w:val="24"/>
          <w:szCs w:val="24"/>
          <w:highlight w:val="none"/>
          <w:lang w:val="en-US" w:eastAsia="zh-CN" w:bidi="ar-SA"/>
        </w:rPr>
        <w:t>1.3</w:t>
      </w:r>
      <w:r>
        <w:rPr>
          <w:rFonts w:hint="eastAsia" w:ascii="Times New Roman" w:hAnsi="Times New Roman" w:eastAsia="宋体" w:cs="Times New Roman"/>
          <w:sz w:val="24"/>
          <w:szCs w:val="24"/>
          <w:highlight w:val="none"/>
          <w:lang w:val="en-US" w:bidi="ar-SA"/>
        </w:rPr>
        <w:t>投标人如是联合体投标，联合体应满足下列要求：</w:t>
      </w:r>
    </w:p>
    <w:p>
      <w:pPr>
        <w:keepNext w:val="0"/>
        <w:keepLines w:val="0"/>
        <w:pageBreakBefore w:val="0"/>
        <w:widowControl w:val="0"/>
        <w:numPr>
          <w:ilvl w:val="0"/>
          <w:numId w:val="3"/>
        </w:numPr>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left="81" w:leftChars="0" w:firstLine="480" w:firstLineChars="0"/>
        <w:textAlignment w:val="auto"/>
        <w:rPr>
          <w:rFonts w:hint="eastAsia" w:ascii="Times New Roman" w:hAnsi="Times New Roman" w:eastAsia="宋体" w:cs="Times New Roman"/>
          <w:sz w:val="24"/>
          <w:szCs w:val="24"/>
          <w:highlight w:val="none"/>
          <w:lang w:val="en-US" w:bidi="ar-SA"/>
        </w:rPr>
      </w:pPr>
      <w:r>
        <w:rPr>
          <w:rFonts w:hint="eastAsia" w:ascii="Times New Roman" w:hAnsi="Times New Roman" w:eastAsia="宋体" w:cs="Times New Roman"/>
          <w:sz w:val="24"/>
          <w:szCs w:val="24"/>
          <w:highlight w:val="none"/>
          <w:lang w:val="en-US" w:bidi="ar-SA"/>
        </w:rPr>
        <w:t>联合体成员不超过</w:t>
      </w:r>
      <w:r>
        <w:rPr>
          <w:rFonts w:hint="eastAsia" w:ascii="Times New Roman" w:hAnsi="Times New Roman" w:cs="Times New Roman"/>
          <w:sz w:val="24"/>
          <w:szCs w:val="24"/>
          <w:highlight w:val="none"/>
          <w:lang w:val="en-US" w:eastAsia="zh-CN" w:bidi="ar-SA"/>
        </w:rPr>
        <w:t>2</w:t>
      </w:r>
      <w:r>
        <w:rPr>
          <w:rFonts w:hint="eastAsia" w:ascii="Times New Roman" w:hAnsi="Times New Roman" w:eastAsia="宋体" w:cs="Times New Roman"/>
          <w:sz w:val="24"/>
          <w:szCs w:val="24"/>
          <w:highlight w:val="none"/>
          <w:lang w:val="en-US" w:bidi="ar-SA"/>
        </w:rPr>
        <w:t>家（含联合体牵头人），并提供权、责分工科学合理的联合体协议</w:t>
      </w:r>
      <w:r>
        <w:rPr>
          <w:rFonts w:hint="eastAsia" w:ascii="Times New Roman" w:hAnsi="Times New Roman" w:cs="Times New Roman"/>
          <w:sz w:val="24"/>
          <w:szCs w:val="24"/>
          <w:highlight w:val="none"/>
          <w:lang w:val="en-US" w:eastAsia="zh-CN" w:bidi="ar-SA"/>
        </w:rPr>
        <w:t>。</w:t>
      </w:r>
    </w:p>
    <w:p>
      <w:pPr>
        <w:keepNext w:val="0"/>
        <w:keepLines w:val="0"/>
        <w:pageBreakBefore w:val="0"/>
        <w:widowControl w:val="0"/>
        <w:numPr>
          <w:ilvl w:val="0"/>
          <w:numId w:val="3"/>
        </w:numPr>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left="81" w:leftChars="0" w:firstLine="480" w:firstLineChars="0"/>
        <w:textAlignment w:val="auto"/>
        <w:rPr>
          <w:rFonts w:hint="eastAsia" w:ascii="Times New Roman" w:hAnsi="Times New Roman" w:cs="Times New Roman"/>
          <w:sz w:val="24"/>
          <w:szCs w:val="24"/>
          <w:highlight w:val="none"/>
          <w:lang w:val="en-US" w:eastAsia="zh-CN" w:bidi="ar-SA"/>
        </w:rPr>
      </w:pPr>
      <w:r>
        <w:rPr>
          <w:rFonts w:hint="eastAsia" w:ascii="Times New Roman" w:hAnsi="Times New Roman" w:cs="Times New Roman"/>
          <w:sz w:val="24"/>
          <w:szCs w:val="24"/>
          <w:highlight w:val="none"/>
          <w:lang w:val="en-US" w:eastAsia="zh-CN" w:bidi="ar-SA"/>
        </w:rPr>
        <w:t>联合体牵头单位需</w:t>
      </w:r>
      <w:r>
        <w:rPr>
          <w:rFonts w:hint="eastAsia" w:ascii="Times New Roman" w:hAnsi="Times New Roman" w:eastAsia="宋体" w:cs="Times New Roman"/>
          <w:sz w:val="24"/>
          <w:szCs w:val="24"/>
          <w:highlight w:val="none"/>
          <w:lang w:val="en-US" w:eastAsia="zh-CN" w:bidi="ar-SA"/>
        </w:rPr>
        <w:t>具备</w:t>
      </w:r>
      <w:r>
        <w:rPr>
          <w:rFonts w:hint="eastAsia" w:ascii="Times New Roman" w:hAnsi="Times New Roman" w:eastAsia="宋体" w:cs="Times New Roman"/>
          <w:sz w:val="24"/>
          <w:szCs w:val="24"/>
          <w:highlight w:val="none"/>
          <w:lang w:val="en-US" w:bidi="ar-SA"/>
        </w:rPr>
        <w:t>工程监理综合资质</w:t>
      </w:r>
      <w:r>
        <w:rPr>
          <w:rFonts w:hint="eastAsia" w:ascii="Times New Roman" w:hAnsi="Times New Roman" w:cs="Times New Roman"/>
          <w:sz w:val="24"/>
          <w:szCs w:val="24"/>
          <w:highlight w:val="none"/>
          <w:lang w:val="en-US" w:eastAsia="zh-CN" w:bidi="ar-SA"/>
        </w:rPr>
        <w:t>或同时具备</w:t>
      </w:r>
      <w:r>
        <w:rPr>
          <w:rFonts w:hint="eastAsia" w:ascii="Times New Roman" w:hAnsi="Times New Roman" w:eastAsia="宋体" w:cs="Times New Roman"/>
          <w:sz w:val="24"/>
          <w:szCs w:val="24"/>
          <w:highlight w:val="none"/>
          <w:lang w:val="en-US" w:bidi="ar-SA"/>
        </w:rPr>
        <w:t>矿山工程专业监理甲级资质</w:t>
      </w:r>
      <w:r>
        <w:rPr>
          <w:rFonts w:hint="eastAsia" w:ascii="Times New Roman" w:hAnsi="Times New Roman" w:eastAsia="宋体" w:cs="Times New Roman"/>
          <w:sz w:val="24"/>
          <w:szCs w:val="24"/>
          <w:highlight w:val="none"/>
          <w:lang w:val="en-US" w:eastAsia="zh-CN" w:bidi="ar-SA"/>
        </w:rPr>
        <w:t>、</w:t>
      </w:r>
      <w:r>
        <w:rPr>
          <w:rFonts w:hint="eastAsia" w:ascii="Times New Roman" w:hAnsi="Times New Roman" w:cs="Times New Roman"/>
          <w:sz w:val="24"/>
          <w:szCs w:val="24"/>
          <w:highlight w:val="none"/>
          <w:lang w:val="en-US" w:eastAsia="zh-CN" w:bidi="ar-SA"/>
        </w:rPr>
        <w:t>水利</w:t>
      </w:r>
      <w:r>
        <w:rPr>
          <w:rFonts w:hint="eastAsia" w:ascii="Times New Roman" w:hAnsi="Times New Roman" w:eastAsia="宋体" w:cs="Times New Roman"/>
          <w:sz w:val="24"/>
          <w:szCs w:val="24"/>
          <w:highlight w:val="none"/>
          <w:lang w:val="en-US" w:eastAsia="zh-CN" w:bidi="ar-SA"/>
        </w:rPr>
        <w:t>工程专业监理甲级资质</w:t>
      </w:r>
      <w:r>
        <w:rPr>
          <w:rFonts w:hint="eastAsia" w:ascii="Times New Roman" w:hAnsi="Times New Roman" w:cs="Times New Roman"/>
          <w:sz w:val="24"/>
          <w:szCs w:val="24"/>
          <w:highlight w:val="none"/>
          <w:lang w:val="en-US" w:eastAsia="zh-CN" w:bidi="ar-SA"/>
        </w:rPr>
        <w:t>，项目总监理工程师由联合体牵头人委派。</w:t>
      </w:r>
    </w:p>
    <w:p>
      <w:pPr>
        <w:keepNext w:val="0"/>
        <w:keepLines w:val="0"/>
        <w:pageBreakBefore w:val="0"/>
        <w:widowControl w:val="0"/>
        <w:numPr>
          <w:ilvl w:val="0"/>
          <w:numId w:val="3"/>
        </w:numPr>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left="81" w:leftChars="0" w:firstLine="480" w:firstLineChars="0"/>
        <w:textAlignment w:val="auto"/>
        <w:rPr>
          <w:rFonts w:hint="eastAsia" w:ascii="Times New Roman" w:hAnsi="Times New Roman" w:eastAsia="宋体" w:cs="Times New Roman"/>
          <w:sz w:val="24"/>
          <w:szCs w:val="24"/>
          <w:highlight w:val="none"/>
          <w:lang w:val="en-US" w:bidi="ar-SA"/>
        </w:rPr>
      </w:pPr>
      <w:r>
        <w:rPr>
          <w:rFonts w:hint="eastAsia" w:ascii="Times New Roman" w:hAnsi="Times New Roman" w:eastAsia="宋体" w:cs="Times New Roman"/>
          <w:sz w:val="24"/>
          <w:szCs w:val="24"/>
          <w:highlight w:val="none"/>
          <w:lang w:val="en-US" w:bidi="ar-SA"/>
        </w:rPr>
        <w:t>联合体各方签订联合体协议后，不得再以自己名义单独投标，也不得组成新的联合体或参加其他联合体在本工程投标。</w:t>
      </w:r>
    </w:p>
    <w:p>
      <w:pPr>
        <w:keepNext w:val="0"/>
        <w:keepLines w:val="0"/>
        <w:pageBreakBefore w:val="0"/>
        <w:widowControl w:val="0"/>
        <w:numPr>
          <w:ilvl w:val="0"/>
          <w:numId w:val="0"/>
        </w:numPr>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leftChars="200"/>
        <w:textAlignment w:val="auto"/>
        <w:rPr>
          <w:rFonts w:hint="default" w:eastAsia="宋体"/>
          <w:highlight w:val="none"/>
          <w:lang w:val="en-US" w:eastAsia="zh-CN"/>
        </w:rPr>
      </w:pPr>
      <w:r>
        <w:rPr>
          <w:rFonts w:ascii="Times New Roman" w:hAnsi="Times New Roman" w:cs="Times New Roman"/>
          <w:sz w:val="24"/>
          <w:szCs w:val="24"/>
          <w:highlight w:val="none"/>
          <w:lang w:val="en-US" w:bidi="ar-SA"/>
        </w:rPr>
        <w:t>3.2 本次招标要求拟派项目总监理工程师要求：</w:t>
      </w:r>
      <w:r>
        <w:rPr>
          <w:rFonts w:hint="eastAsia" w:ascii="Times New Roman" w:hAnsi="Times New Roman" w:cs="Times New Roman"/>
          <w:sz w:val="24"/>
          <w:szCs w:val="24"/>
          <w:highlight w:val="none"/>
          <w:lang w:val="en-US" w:bidi="ar-SA"/>
        </w:rPr>
        <w:t>须具备国家注册监理工程师资格，</w:t>
      </w:r>
      <w:r>
        <w:rPr>
          <w:rFonts w:hint="eastAsia" w:ascii="Times New Roman" w:hAnsi="Times New Roman" w:eastAsia="宋体" w:cs="Times New Roman"/>
          <w:sz w:val="24"/>
          <w:szCs w:val="24"/>
          <w:highlight w:val="none"/>
          <w:lang w:val="en-US" w:bidi="ar-SA"/>
        </w:rPr>
        <w:t>注册专业为矿山工程，且无在监项目。（联合体投标的，由联合体牵头人派出</w:t>
      </w:r>
      <w:r>
        <w:rPr>
          <w:rFonts w:hint="eastAsia" w:ascii="Times New Roman" w:hAnsi="Times New Roman" w:cs="Times New Roman"/>
          <w:sz w:val="24"/>
          <w:szCs w:val="24"/>
          <w:highlight w:val="none"/>
          <w:lang w:val="en-US" w:eastAsia="zh-CN" w:bidi="ar-SA"/>
        </w:rPr>
        <w:t>）</w:t>
      </w:r>
      <w:r>
        <w:rPr>
          <w:rFonts w:hint="eastAsia" w:ascii="Times New Roman" w:hAnsi="Times New Roman" w:eastAsia="宋体" w:cs="Times New Roman"/>
          <w:sz w:val="24"/>
          <w:szCs w:val="24"/>
          <w:highlight w:val="none"/>
          <w:lang w:val="en-US" w:bidi="ar-SA"/>
        </w:rPr>
        <w:t>。</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ascii="Times New Roman" w:hAnsi="Times New Roman" w:cs="Times New Roman"/>
          <w:b/>
          <w:sz w:val="32"/>
          <w:szCs w:val="32"/>
          <w:lang w:val="en-US" w:bidi="ar-SA"/>
        </w:rPr>
      </w:pPr>
      <w:r>
        <w:rPr>
          <w:rFonts w:ascii="Times New Roman" w:hAnsi="Times New Roman" w:cs="Times New Roman"/>
          <w:b/>
          <w:sz w:val="32"/>
          <w:szCs w:val="32"/>
          <w:lang w:val="en-US" w:bidi="ar-SA"/>
        </w:rPr>
        <w:t>4．招标文件的获取</w:t>
      </w:r>
      <w:bookmarkEnd w:id="28"/>
      <w:bookmarkEnd w:id="29"/>
      <w:bookmarkEnd w:id="30"/>
      <w:bookmarkEnd w:id="31"/>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bookmarkStart w:id="32" w:name="_Toc413620267"/>
      <w:bookmarkStart w:id="33" w:name="_Toc448383202"/>
      <w:bookmarkStart w:id="34" w:name="_Toc60687311"/>
      <w:bookmarkStart w:id="35" w:name="_Toc413603496"/>
      <w:r>
        <w:rPr>
          <w:rFonts w:ascii="Times New Roman" w:hAnsi="Times New Roman" w:cs="Times New Roman"/>
          <w:sz w:val="24"/>
          <w:szCs w:val="24"/>
          <w:lang w:val="en-US" w:bidi="ar-SA"/>
        </w:rPr>
        <w:t>4.1 本工程实行资格后审，凡有意参加投标者，于公告发布之日起，可登录“三门县工程建设电子交易平台”（网址：gcjs.jyzx.sanmen.gov.cn）自行下载招标文件、招标资料。</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4.2 投标人网上免费下载招标文件，不收取任何工本费。</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4.3 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http:www.tseal.cn/tcloud/smxztb）。</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ascii="Times New Roman" w:hAnsi="Times New Roman" w:cs="Times New Roman"/>
          <w:b/>
          <w:sz w:val="32"/>
          <w:szCs w:val="32"/>
          <w:lang w:val="en-US" w:bidi="ar-SA"/>
        </w:rPr>
      </w:pPr>
      <w:r>
        <w:rPr>
          <w:rFonts w:ascii="Times New Roman" w:hAnsi="Times New Roman" w:cs="Times New Roman"/>
          <w:b/>
          <w:sz w:val="32"/>
          <w:szCs w:val="32"/>
          <w:lang w:val="en-US" w:bidi="ar-SA"/>
        </w:rPr>
        <w:t>5．投标文件的递交及相关事宜</w:t>
      </w:r>
      <w:bookmarkEnd w:id="32"/>
      <w:bookmarkEnd w:id="33"/>
      <w:bookmarkEnd w:id="34"/>
      <w:bookmarkEnd w:id="35"/>
    </w:p>
    <w:bookmarkEnd w:id="16"/>
    <w:bookmarkEnd w:id="17"/>
    <w:bookmarkEnd w:id="18"/>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bookmarkStart w:id="36" w:name="_Toc413620269"/>
      <w:bookmarkStart w:id="37" w:name="_Toc448383204"/>
      <w:bookmarkStart w:id="38" w:name="_Toc413603498"/>
      <w:bookmarkStart w:id="39" w:name="_Toc60687313"/>
      <w:r>
        <w:rPr>
          <w:rFonts w:ascii="Times New Roman" w:hAnsi="Times New Roman" w:cs="Times New Roman"/>
          <w:sz w:val="24"/>
          <w:szCs w:val="24"/>
          <w:lang w:val="en-US" w:bidi="ar-SA"/>
        </w:rPr>
        <w:t>5.1 投标文件上传截止时间（投标截止时间，下同）为2023年1</w:t>
      </w:r>
      <w:r>
        <w:rPr>
          <w:rFonts w:hint="eastAsia" w:ascii="Times New Roman" w:hAnsi="Times New Roman" w:cs="Times New Roman"/>
          <w:sz w:val="24"/>
          <w:szCs w:val="24"/>
          <w:lang w:val="en-US" w:eastAsia="zh-CN" w:bidi="ar-SA"/>
        </w:rPr>
        <w:t>2</w:t>
      </w:r>
      <w:r>
        <w:rPr>
          <w:rFonts w:ascii="Times New Roman" w:hAnsi="Times New Roman" w:cs="Times New Roman"/>
          <w:sz w:val="24"/>
          <w:szCs w:val="24"/>
          <w:lang w:val="en-US" w:bidi="ar-SA"/>
        </w:rPr>
        <w:t>月  日上午9时00分；开标地点为三门县公共资源交易中心交易大厅（具体开标室见四楼电子屏幕）。投标人无需到开标现场，电子投标文件上传至三门县工程建设电子交易平台，投标截止时间后对加密的投标文件进行远程解密，如远程解密遇有问题的请联系章宏涛13968512856。</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5.2逾期上传的或者未上传指定系统的，招标人不予受理。</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ascii="Times New Roman" w:hAnsi="Times New Roman" w:cs="Times New Roman"/>
          <w:b/>
          <w:sz w:val="32"/>
          <w:szCs w:val="32"/>
          <w:lang w:val="en-US" w:bidi="ar-SA"/>
        </w:rPr>
      </w:pPr>
      <w:r>
        <w:rPr>
          <w:rFonts w:ascii="Times New Roman" w:hAnsi="Times New Roman" w:cs="Times New Roman"/>
          <w:b/>
          <w:sz w:val="32"/>
          <w:szCs w:val="32"/>
          <w:lang w:val="en-US" w:bidi="ar-SA"/>
        </w:rPr>
        <w:t>6.</w:t>
      </w:r>
      <w:bookmarkStart w:id="40" w:name="_Toc459029744"/>
      <w:bookmarkStart w:id="41" w:name="_Toc454311370"/>
      <w:r>
        <w:rPr>
          <w:rFonts w:ascii="Times New Roman" w:hAnsi="Times New Roman" w:cs="Times New Roman"/>
          <w:b/>
          <w:sz w:val="32"/>
          <w:szCs w:val="32"/>
          <w:lang w:val="en-US" w:bidi="ar-SA"/>
        </w:rPr>
        <w:t>发布公告的媒介</w:t>
      </w:r>
      <w:bookmarkEnd w:id="40"/>
      <w:bookmarkEnd w:id="41"/>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本次招标公告同时在三门县公共资源交易网（网址：</w:t>
      </w:r>
      <w:r>
        <w:rPr>
          <w:rFonts w:hint="eastAsia" w:ascii="Times New Roman" w:hAnsi="Times New Roman" w:cs="Times New Roman"/>
          <w:sz w:val="24"/>
          <w:szCs w:val="24"/>
          <w:lang w:val="en-US" w:bidi="ar-SA"/>
        </w:rPr>
        <w:t>http://www.sanmen.gov.cn/col/col1229610743/index.html</w:t>
      </w:r>
      <w:r>
        <w:rPr>
          <w:rFonts w:ascii="Times New Roman" w:hAnsi="Times New Roman" w:cs="Times New Roman"/>
          <w:sz w:val="24"/>
          <w:szCs w:val="24"/>
          <w:lang w:val="en-US" w:bidi="ar-SA"/>
        </w:rPr>
        <w:t>）和浙江省公共资源交易服务平台（http://www.zjpubservice.com）上发布。</w:t>
      </w:r>
    </w:p>
    <w:p>
      <w:pPr>
        <w:keepNext w:val="0"/>
        <w:keepLines w:val="0"/>
        <w:pageBreakBefore w:val="0"/>
        <w:widowControl w:val="0"/>
        <w:wordWrap/>
        <w:overflowPunct/>
        <w:topLinePunct w:val="0"/>
        <w:autoSpaceDE w:val="0"/>
        <w:autoSpaceDN w:val="0"/>
        <w:bidi w:val="0"/>
        <w:adjustRightInd w:val="0"/>
        <w:spacing w:line="360" w:lineRule="auto"/>
        <w:ind w:firstLine="643" w:firstLineChars="200"/>
        <w:textAlignment w:val="auto"/>
        <w:rPr>
          <w:rFonts w:ascii="Times New Roman" w:hAnsi="Times New Roman" w:cs="Times New Roman"/>
          <w:b/>
          <w:sz w:val="32"/>
          <w:szCs w:val="32"/>
          <w:lang w:val="en-US" w:bidi="ar-SA"/>
        </w:rPr>
      </w:pPr>
      <w:r>
        <w:rPr>
          <w:rFonts w:ascii="Times New Roman" w:hAnsi="Times New Roman" w:cs="Times New Roman"/>
          <w:b/>
          <w:sz w:val="32"/>
          <w:szCs w:val="32"/>
          <w:lang w:val="en-US" w:bidi="ar-SA"/>
        </w:rPr>
        <w:t>7．联系方式</w:t>
      </w:r>
      <w:bookmarkEnd w:id="19"/>
      <w:bookmarkEnd w:id="36"/>
      <w:bookmarkEnd w:id="37"/>
      <w:bookmarkEnd w:id="38"/>
      <w:bookmarkEnd w:id="39"/>
      <w:bookmarkStart w:id="42" w:name="_TOC_250026"/>
      <w:bookmarkEnd w:id="42"/>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招标人：</w:t>
      </w:r>
      <w:r>
        <w:rPr>
          <w:rFonts w:hint="eastAsia" w:ascii="Times New Roman" w:hAnsi="Times New Roman" w:cs="Times New Roman"/>
          <w:sz w:val="24"/>
          <w:szCs w:val="24"/>
          <w:lang w:val="en-US" w:eastAsia="zh-CN" w:bidi="ar-SA"/>
        </w:rPr>
        <w:t>三门县资源和能源集团有限公司</w:t>
      </w:r>
      <w:r>
        <w:rPr>
          <w:rFonts w:ascii="Times New Roman" w:hAnsi="Times New Roman" w:cs="Times New Roman"/>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cs="Times New Roman"/>
          <w:sz w:val="24"/>
          <w:szCs w:val="24"/>
          <w:lang w:val="en-US" w:bidi="ar-SA"/>
        </w:rPr>
      </w:pPr>
      <w:r>
        <w:rPr>
          <w:rFonts w:ascii="Times New Roman" w:hAnsi="Times New Roman" w:cs="Times New Roman"/>
          <w:sz w:val="24"/>
          <w:szCs w:val="24"/>
          <w:lang w:val="en-US" w:bidi="ar-SA"/>
        </w:rPr>
        <w:t>地址：</w:t>
      </w:r>
      <w:r>
        <w:rPr>
          <w:rFonts w:hint="eastAsia" w:ascii="Times New Roman" w:hAnsi="Times New Roman" w:cs="Times New Roman"/>
          <w:sz w:val="24"/>
          <w:szCs w:val="24"/>
          <w:lang w:val="en-US" w:bidi="ar-SA"/>
        </w:rPr>
        <w:t>三门县海游街道梧桐路20号总商会大厦1701室</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联系人</w:t>
      </w:r>
      <w:r>
        <w:rPr>
          <w:rFonts w:ascii="Times New Roman" w:hAnsi="Times New Roman" w:eastAsia="宋体" w:cs="Times New Roman"/>
          <w:sz w:val="24"/>
          <w:szCs w:val="24"/>
          <w:lang w:val="en-US" w:bidi="ar-SA"/>
        </w:rPr>
        <w:t>：</w:t>
      </w:r>
      <w:r>
        <w:rPr>
          <w:rFonts w:hint="eastAsia" w:ascii="Times New Roman" w:hAnsi="Times New Roman" w:eastAsia="宋体" w:cs="Times New Roman"/>
          <w:sz w:val="24"/>
          <w:szCs w:val="24"/>
          <w:lang w:val="en-US" w:eastAsia="zh-CN" w:bidi="ar-SA"/>
        </w:rPr>
        <w:t xml:space="preserve"> </w:t>
      </w:r>
      <w:r>
        <w:rPr>
          <w:rFonts w:ascii="Times New Roman" w:hAnsi="Times New Roman" w:eastAsia="宋体" w:cs="Times New Roman"/>
          <w:sz w:val="24"/>
          <w:szCs w:val="24"/>
          <w:lang w:val="en-US" w:bidi="ar-SA"/>
        </w:rPr>
        <w:t xml:space="preserve"> </w:t>
      </w:r>
      <w:r>
        <w:rPr>
          <w:rFonts w:hint="eastAsia" w:ascii="Times New Roman" w:hAnsi="Times New Roman" w:eastAsia="宋体" w:cs="Times New Roman"/>
          <w:sz w:val="24"/>
          <w:szCs w:val="24"/>
          <w:lang w:val="en-US" w:bidi="ar-SA"/>
        </w:rPr>
        <w:t>李欣羽</w:t>
      </w:r>
      <w:r>
        <w:rPr>
          <w:rFonts w:ascii="Times New Roman" w:hAnsi="Times New Roman" w:eastAsia="宋体" w:cs="Times New Roman"/>
          <w:sz w:val="24"/>
          <w:szCs w:val="24"/>
          <w:lang w:val="en-US" w:bidi="ar-SA"/>
        </w:rPr>
        <w:t xml:space="preserve">           </w:t>
      </w:r>
      <w:r>
        <w:rPr>
          <w:rFonts w:ascii="Times New Roman" w:hAnsi="Times New Roman" w:cs="Times New Roman"/>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电话/传真：</w:t>
      </w:r>
      <w:r>
        <w:rPr>
          <w:rFonts w:hint="eastAsia" w:ascii="Times New Roman" w:hAnsi="Times New Roman" w:cs="Times New Roman"/>
          <w:sz w:val="24"/>
          <w:szCs w:val="24"/>
          <w:lang w:val="en-US" w:bidi="ar-SA"/>
        </w:rPr>
        <w:t>18605763973</w:t>
      </w:r>
      <w:r>
        <w:rPr>
          <w:rFonts w:hint="eastAsia" w:ascii="Times New Roman" w:hAnsi="Times New Roman" w:cs="Times New Roman"/>
          <w:sz w:val="24"/>
          <w:szCs w:val="24"/>
          <w:lang w:val="en-US" w:eastAsia="zh-CN" w:bidi="ar-SA"/>
        </w:rPr>
        <w:t xml:space="preserve"> </w:t>
      </w:r>
      <w:r>
        <w:rPr>
          <w:rFonts w:ascii="Times New Roman" w:hAnsi="Times New Roman" w:cs="Times New Roman"/>
          <w:sz w:val="24"/>
          <w:szCs w:val="24"/>
          <w:lang w:val="en-US" w:bidi="ar-SA"/>
        </w:rPr>
        <w:t xml:space="preserve">         </w:t>
      </w:r>
      <w:bookmarkStart w:id="935" w:name="_GoBack"/>
      <w:bookmarkEnd w:id="935"/>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val="en-US" w:eastAsia="zh-CN" w:bidi="ar-SA"/>
        </w:rPr>
      </w:pPr>
      <w:r>
        <w:rPr>
          <w:rFonts w:ascii="Times New Roman" w:hAnsi="Times New Roman" w:cs="Times New Roman"/>
          <w:sz w:val="24"/>
          <w:szCs w:val="24"/>
          <w:lang w:val="en-US" w:bidi="ar-SA"/>
        </w:rPr>
        <w:t>招标代理机构：</w:t>
      </w:r>
      <w:r>
        <w:rPr>
          <w:rFonts w:hint="eastAsia" w:ascii="Times New Roman" w:hAnsi="Times New Roman" w:cs="Times New Roman"/>
          <w:sz w:val="24"/>
          <w:szCs w:val="24"/>
          <w:lang w:val="en-US" w:eastAsia="zh-CN" w:bidi="ar-SA"/>
        </w:rPr>
        <w:t>浙江希霖工程咨询有限公司</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地址：三门县海游街道</w:t>
      </w:r>
      <w:r>
        <w:rPr>
          <w:rFonts w:hint="eastAsia" w:ascii="Times New Roman" w:hAnsi="Times New Roman" w:cs="Times New Roman"/>
          <w:sz w:val="24"/>
          <w:szCs w:val="24"/>
          <w:lang w:val="en-US" w:eastAsia="zh-CN" w:bidi="ar-SA"/>
        </w:rPr>
        <w:t>交通路327号4楼</w:t>
      </w:r>
      <w:r>
        <w:rPr>
          <w:rFonts w:ascii="Times New Roman" w:hAnsi="Times New Roman" w:cs="Times New Roman"/>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联系人：</w:t>
      </w:r>
      <w:r>
        <w:rPr>
          <w:rFonts w:hint="eastAsia" w:ascii="Times New Roman" w:hAnsi="Times New Roman" w:cs="Times New Roman"/>
          <w:sz w:val="24"/>
          <w:szCs w:val="24"/>
          <w:lang w:val="en-US" w:eastAsia="zh-CN" w:bidi="ar-SA"/>
        </w:rPr>
        <w:t>周文君</w:t>
      </w:r>
      <w:r>
        <w:rPr>
          <w:rFonts w:ascii="Times New Roman" w:hAnsi="Times New Roman" w:cs="Times New Roman"/>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电话/传真：</w:t>
      </w:r>
      <w:r>
        <w:rPr>
          <w:rFonts w:hint="eastAsia" w:ascii="Times New Roman" w:hAnsi="Times New Roman" w:cs="Times New Roman"/>
          <w:sz w:val="24"/>
          <w:szCs w:val="24"/>
          <w:lang w:val="en-US" w:eastAsia="zh-CN" w:bidi="ar-SA"/>
        </w:rPr>
        <w:t>13958533735</w:t>
      </w:r>
      <w:r>
        <w:rPr>
          <w:rFonts w:ascii="Times New Roman" w:hAnsi="Times New Roman" w:cs="Times New Roman"/>
          <w:sz w:val="24"/>
          <w:szCs w:val="24"/>
          <w:lang w:val="en-US" w:bidi="ar-SA"/>
        </w:rPr>
        <w:t xml:space="preserve">      </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textAlignment w:val="auto"/>
        <w:rPr>
          <w:rFonts w:ascii="Times New Roman" w:hAnsi="Times New Roman" w:cs="Times New Roman"/>
          <w:sz w:val="24"/>
          <w:szCs w:val="24"/>
          <w:lang w:val="en-US" w:bidi="ar-SA"/>
        </w:rPr>
      </w:pP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hint="eastAsia" w:ascii="Times New Roman" w:hAnsi="Times New Roman" w:eastAsia="宋体" w:cs="Times New Roman"/>
          <w:sz w:val="24"/>
          <w:szCs w:val="24"/>
          <w:lang w:val="en-US" w:eastAsia="zh-CN" w:bidi="ar-SA"/>
        </w:rPr>
      </w:pPr>
      <w:r>
        <w:rPr>
          <w:rFonts w:hint="eastAsia" w:ascii="Times New Roman" w:hAnsi="Times New Roman" w:cs="Times New Roman"/>
          <w:sz w:val="24"/>
          <w:szCs w:val="24"/>
          <w:lang w:val="en-US" w:eastAsia="zh-CN" w:bidi="ar-SA"/>
        </w:rPr>
        <w:t>三门县资源和能源集团有限公司</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hint="eastAsia" w:ascii="Times New Roman" w:hAnsi="Times New Roman" w:eastAsia="宋体" w:cs="Times New Roman"/>
          <w:sz w:val="24"/>
          <w:szCs w:val="24"/>
          <w:lang w:val="en-US" w:eastAsia="zh-CN" w:bidi="ar-SA"/>
        </w:rPr>
      </w:pPr>
      <w:r>
        <w:rPr>
          <w:rFonts w:hint="eastAsia" w:ascii="Times New Roman" w:hAnsi="Times New Roman" w:cs="Times New Roman"/>
          <w:sz w:val="24"/>
          <w:szCs w:val="24"/>
          <w:lang w:val="en-US" w:eastAsia="zh-CN" w:bidi="ar-SA"/>
        </w:rPr>
        <w:t>浙江希霖工程咨询有限公司</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hint="eastAsia" w:ascii="Times New Roman" w:hAnsi="Times New Roman" w:eastAsia="宋体" w:cs="Times New Roman"/>
          <w:sz w:val="24"/>
          <w:szCs w:val="24"/>
          <w:lang w:val="en-US" w:eastAsia="zh-CN" w:bidi="ar-SA"/>
        </w:rPr>
      </w:pPr>
      <w:r>
        <w:rPr>
          <w:rFonts w:hint="eastAsia" w:ascii="Times New Roman" w:hAnsi="Times New Roman" w:cs="Times New Roman"/>
          <w:sz w:val="24"/>
          <w:szCs w:val="24"/>
          <w:lang w:val="en-US" w:eastAsia="zh-CN" w:bidi="ar-SA"/>
        </w:rPr>
        <w:t>三门县自然资源和规划局</w:t>
      </w:r>
    </w:p>
    <w:p>
      <w:pPr>
        <w:keepNext w:val="0"/>
        <w:keepLines w:val="0"/>
        <w:pageBreakBefore w:val="0"/>
        <w:widowControl w:val="0"/>
        <w:tabs>
          <w:tab w:val="left" w:pos="1343"/>
          <w:tab w:val="left" w:pos="2697"/>
          <w:tab w:val="left" w:pos="3264"/>
          <w:tab w:val="left" w:pos="4896"/>
          <w:tab w:val="left" w:pos="6005"/>
          <w:tab w:val="left" w:pos="7085"/>
          <w:tab w:val="left" w:pos="7498"/>
        </w:tabs>
        <w:kinsoku w:val="0"/>
        <w:wordWrap/>
        <w:overflowPunct/>
        <w:topLinePunct w:val="0"/>
        <w:autoSpaceDE w:val="0"/>
        <w:autoSpaceDN w:val="0"/>
        <w:bidi w:val="0"/>
        <w:adjustRightInd w:val="0"/>
        <w:snapToGrid w:val="0"/>
        <w:spacing w:line="360" w:lineRule="auto"/>
        <w:ind w:firstLine="480" w:firstLineChars="200"/>
        <w:jc w:val="right"/>
        <w:textAlignment w:val="auto"/>
        <w:rPr>
          <w:rFonts w:ascii="Times New Roman" w:hAnsi="Times New Roman" w:cs="Times New Roman"/>
          <w:sz w:val="24"/>
          <w:szCs w:val="24"/>
          <w:lang w:val="en-US" w:bidi="ar-SA"/>
        </w:rPr>
      </w:pPr>
      <w:r>
        <w:rPr>
          <w:rFonts w:ascii="Times New Roman" w:hAnsi="Times New Roman" w:cs="Times New Roman"/>
          <w:sz w:val="24"/>
          <w:szCs w:val="24"/>
          <w:lang w:val="en-US" w:bidi="ar-SA"/>
        </w:rPr>
        <w:t>2023年1</w:t>
      </w:r>
      <w:r>
        <w:rPr>
          <w:rFonts w:hint="eastAsia" w:ascii="Times New Roman" w:hAnsi="Times New Roman" w:cs="Times New Roman"/>
          <w:sz w:val="24"/>
          <w:szCs w:val="24"/>
          <w:lang w:val="en-US" w:eastAsia="zh-CN" w:bidi="ar-SA"/>
        </w:rPr>
        <w:t>1</w:t>
      </w:r>
      <w:r>
        <w:rPr>
          <w:rFonts w:ascii="Times New Roman" w:hAnsi="Times New Roman" w:cs="Times New Roman"/>
          <w:sz w:val="24"/>
          <w:szCs w:val="24"/>
          <w:lang w:val="en-US" w:bidi="ar-SA"/>
        </w:rPr>
        <w:t>月</w:t>
      </w:r>
      <w:r>
        <w:rPr>
          <w:rFonts w:hint="eastAsia" w:ascii="Times New Roman" w:hAnsi="Times New Roman" w:cs="Times New Roman"/>
          <w:sz w:val="24"/>
          <w:szCs w:val="24"/>
          <w:lang w:val="en-US" w:eastAsia="zh-CN" w:bidi="ar-SA"/>
        </w:rPr>
        <w:t xml:space="preserve">   </w:t>
      </w:r>
      <w:r>
        <w:rPr>
          <w:rFonts w:ascii="Times New Roman" w:hAnsi="Times New Roman" w:cs="Times New Roman"/>
          <w:sz w:val="24"/>
          <w:szCs w:val="24"/>
          <w:lang w:val="en-US" w:bidi="ar-SA"/>
        </w:rPr>
        <w:t>日</w:t>
      </w:r>
      <w:bookmarkStart w:id="43" w:name="_Toc89960460"/>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80" w:firstLineChars="200"/>
        <w:rPr>
          <w:rFonts w:ascii="Times New Roman" w:hAnsi="Times New Roman" w:cs="Times New Roman"/>
          <w:sz w:val="24"/>
          <w:szCs w:val="24"/>
          <w:lang w:val="en-US" w:bidi="ar-SA"/>
        </w:rPr>
      </w:pPr>
    </w:p>
    <w:p>
      <w:pPr>
        <w:pStyle w:val="2"/>
        <w:rPr>
          <w:rFonts w:ascii="Times New Roman" w:hAnsi="Times New Roman" w:cs="Times New Roman" w:eastAsiaTheme="minorEastAsia"/>
          <w:snapToGrid w:val="0"/>
        </w:rPr>
      </w:pPr>
    </w:p>
    <w:p>
      <w:pPr>
        <w:widowControl/>
        <w:autoSpaceDE/>
        <w:autoSpaceDN/>
        <w:rPr>
          <w:rFonts w:ascii="Times New Roman" w:hAnsi="Times New Roman" w:cs="Times New Roman" w:eastAsiaTheme="minorEastAsia"/>
          <w:b/>
          <w:bCs/>
          <w:snapToGrid w:val="0"/>
          <w:sz w:val="32"/>
          <w:szCs w:val="32"/>
        </w:rPr>
      </w:pPr>
      <w:bookmarkStart w:id="44" w:name="_Toc2921"/>
    </w:p>
    <w:p>
      <w:pPr>
        <w:widowControl/>
        <w:autoSpaceDE/>
        <w:autoSpaceDN/>
        <w:rPr>
          <w:rFonts w:ascii="Times New Roman" w:hAnsi="Times New Roman" w:cs="Times New Roman" w:eastAsiaTheme="minorEastAsia"/>
          <w:b/>
          <w:bCs/>
          <w:snapToGrid w:val="0"/>
          <w:sz w:val="44"/>
          <w:szCs w:val="44"/>
        </w:rPr>
      </w:pPr>
      <w:r>
        <w:rPr>
          <w:rFonts w:ascii="Times New Roman" w:hAnsi="Times New Roman" w:cs="Times New Roman" w:eastAsiaTheme="minorEastAsia"/>
          <w:snapToGrid w:val="0"/>
        </w:rPr>
        <w:br w:type="page"/>
      </w:r>
    </w:p>
    <w:p>
      <w:pPr>
        <w:pStyle w:val="5"/>
        <w:rPr>
          <w:rFonts w:ascii="Times New Roman" w:hAnsi="Times New Roman" w:cs="Times New Roman" w:eastAsiaTheme="minorEastAsia"/>
          <w:snapToGrid w:val="0"/>
        </w:rPr>
      </w:pPr>
      <w:bookmarkStart w:id="45" w:name="_Toc19651"/>
      <w:r>
        <w:rPr>
          <w:rFonts w:ascii="Times New Roman" w:hAnsi="Times New Roman" w:cs="Times New Roman" w:eastAsiaTheme="minorEastAsia"/>
          <w:snapToGrid w:val="0"/>
        </w:rPr>
        <w:t>第二章 投标人须知</w:t>
      </w:r>
      <w:bookmarkEnd w:id="43"/>
      <w:bookmarkEnd w:id="44"/>
      <w:bookmarkEnd w:id="45"/>
    </w:p>
    <w:p>
      <w:pPr>
        <w:jc w:val="center"/>
        <w:rPr>
          <w:rFonts w:ascii="Times New Roman" w:hAnsi="Times New Roman" w:cs="Times New Roman" w:eastAsiaTheme="minorEastAsia"/>
          <w:snapToGrid w:val="0"/>
          <w:sz w:val="28"/>
          <w:szCs w:val="28"/>
        </w:rPr>
      </w:pPr>
      <w:bookmarkStart w:id="46" w:name="_TOC_250025"/>
      <w:bookmarkEnd w:id="46"/>
      <w:r>
        <w:rPr>
          <w:rFonts w:ascii="Times New Roman" w:hAnsi="Times New Roman" w:cs="Times New Roman" w:eastAsiaTheme="minorEastAsia"/>
          <w:snapToGrid w:val="0"/>
          <w:sz w:val="28"/>
          <w:szCs w:val="28"/>
        </w:rPr>
        <w:t>投标人须知前附表</w:t>
      </w:r>
    </w:p>
    <w:p>
      <w:pPr>
        <w:spacing w:line="252" w:lineRule="exact"/>
        <w:jc w:val="center"/>
        <w:rPr>
          <w:rFonts w:ascii="Times New Roman" w:hAnsi="Times New Roman" w:cs="Times New Roman" w:eastAsiaTheme="minorEastAsia"/>
          <w:snapToGrid w:val="0"/>
          <w:sz w:val="21"/>
        </w:rPr>
      </w:pPr>
    </w:p>
    <w:tbl>
      <w:tblPr>
        <w:tblStyle w:val="90"/>
        <w:tblW w:w="9368" w:type="dxa"/>
        <w:jc w:val="center"/>
        <w:tblLayout w:type="fixed"/>
        <w:tblCellMar>
          <w:top w:w="0" w:type="dxa"/>
          <w:left w:w="108" w:type="dxa"/>
          <w:bottom w:w="0" w:type="dxa"/>
          <w:right w:w="108" w:type="dxa"/>
        </w:tblCellMar>
      </w:tblPr>
      <w:tblGrid>
        <w:gridCol w:w="1055"/>
        <w:gridCol w:w="1400"/>
        <w:gridCol w:w="6913"/>
      </w:tblGrid>
      <w:tr>
        <w:tblPrEx>
          <w:tblCellMar>
            <w:top w:w="0" w:type="dxa"/>
            <w:left w:w="108" w:type="dxa"/>
            <w:bottom w:w="0" w:type="dxa"/>
            <w:right w:w="108" w:type="dxa"/>
          </w:tblCellMar>
        </w:tblPrEx>
        <w:trPr>
          <w:trHeight w:val="49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条款号</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条  款  名  称</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2" w:firstLineChars="200"/>
              <w:jc w:val="center"/>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编  列  内  容</w:t>
            </w:r>
          </w:p>
        </w:tc>
      </w:tr>
      <w:tr>
        <w:tblPrEx>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vAlign w:val="center"/>
          </w:tcPr>
          <w:p>
            <w:pPr>
              <w:pStyle w:val="104"/>
              <w:ind w:right="280"/>
              <w:jc w:val="center"/>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rPr>
              <w:t>1.1.</w:t>
            </w:r>
            <w:r>
              <w:rPr>
                <w:rFonts w:hint="eastAsia" w:asciiTheme="minorEastAsia" w:hAnsiTheme="minorEastAsia" w:eastAsiaTheme="minorEastAsia" w:cstheme="minorEastAsia"/>
                <w:snapToGrid w:val="0"/>
                <w:sz w:val="21"/>
                <w:szCs w:val="21"/>
                <w:lang w:val="en-US" w:eastAsia="zh-CN"/>
              </w:rPr>
              <w:t>2</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52"/>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招标人</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名称：三门县资源和能源集团有限公司</w:t>
            </w:r>
          </w:p>
          <w:p>
            <w:pPr>
              <w:pStyle w:val="104"/>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地址：</w:t>
            </w:r>
            <w:r>
              <w:rPr>
                <w:rFonts w:hint="eastAsia" w:asciiTheme="minorEastAsia" w:hAnsiTheme="minorEastAsia" w:eastAsiaTheme="minorEastAsia" w:cstheme="minorEastAsia"/>
                <w:snapToGrid w:val="0"/>
                <w:sz w:val="21"/>
                <w:szCs w:val="21"/>
                <w:lang w:val="en-US" w:eastAsia="zh-CN"/>
              </w:rPr>
              <w:t>三门县海游街道梧桐路20号总商会大厦1701室</w:t>
            </w:r>
          </w:p>
          <w:p>
            <w:pPr>
              <w:pStyle w:val="104"/>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联系人：</w:t>
            </w:r>
            <w:r>
              <w:rPr>
                <w:rFonts w:hint="eastAsia" w:asciiTheme="minorEastAsia" w:hAnsiTheme="minorEastAsia" w:eastAsiaTheme="minorEastAsia" w:cstheme="minorEastAsia"/>
                <w:snapToGrid w:val="0"/>
                <w:sz w:val="21"/>
                <w:szCs w:val="21"/>
                <w:lang w:val="en-US" w:eastAsia="zh-CN"/>
              </w:rPr>
              <w:t xml:space="preserve"> </w:t>
            </w:r>
            <w:r>
              <w:rPr>
                <w:rFonts w:hint="eastAsia" w:asciiTheme="minorEastAsia" w:hAnsiTheme="minorEastAsia" w:eastAsiaTheme="minorEastAsia" w:cstheme="minorEastAsia"/>
                <w:snapToGrid w:val="0"/>
                <w:sz w:val="21"/>
                <w:szCs w:val="21"/>
                <w:lang w:eastAsia="zh-CN"/>
              </w:rPr>
              <w:t xml:space="preserve">李欣羽 </w:t>
            </w:r>
          </w:p>
          <w:p>
            <w:pPr>
              <w:pStyle w:val="104"/>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 xml:space="preserve">电话：18605763973 </w:t>
            </w:r>
            <w:r>
              <w:rPr>
                <w:rFonts w:hint="eastAsia" w:asciiTheme="minorEastAsia" w:hAnsiTheme="minorEastAsia" w:eastAsiaTheme="minorEastAsia" w:cstheme="minorEastAsia"/>
                <w:snapToGrid w:val="0"/>
                <w:sz w:val="21"/>
                <w:szCs w:val="21"/>
                <w:lang w:val="en-US" w:eastAsia="zh-CN"/>
              </w:rPr>
              <w:t xml:space="preserve"> </w:t>
            </w:r>
          </w:p>
        </w:tc>
      </w:tr>
      <w:tr>
        <w:tblPrEx>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vAlign w:val="center"/>
          </w:tcPr>
          <w:p>
            <w:pPr>
              <w:pStyle w:val="104"/>
              <w:ind w:right="28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1.1.3</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ind w:firstLine="105" w:firstLineChars="5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招标代理机构</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招标代理机构：浙江希霖工程咨询有限公司</w:t>
            </w:r>
          </w:p>
          <w:p>
            <w:pPr>
              <w:pStyle w:val="104"/>
              <w:spacing w:line="400" w:lineRule="exact"/>
              <w:rPr>
                <w:rFonts w:hint="eastAsia" w:asciiTheme="minorEastAsia" w:hAnsiTheme="minorEastAsia" w:eastAsiaTheme="minorEastAsia" w:cstheme="minorEastAsia"/>
                <w:snapToGrid w:val="0"/>
                <w:sz w:val="21"/>
                <w:szCs w:val="21"/>
                <w:lang w:val="en-US" w:eastAsia="zh-CN"/>
              </w:rPr>
            </w:pPr>
            <w:r>
              <w:rPr>
                <w:rFonts w:hint="eastAsia" w:asciiTheme="minorEastAsia" w:hAnsiTheme="minorEastAsia" w:eastAsiaTheme="minorEastAsia" w:cstheme="minorEastAsia"/>
                <w:snapToGrid w:val="0"/>
                <w:sz w:val="21"/>
                <w:szCs w:val="21"/>
                <w:lang w:eastAsia="zh-CN"/>
              </w:rPr>
              <w:t>地址：三门县海游街道交通路</w:t>
            </w:r>
            <w:r>
              <w:rPr>
                <w:rFonts w:hint="eastAsia" w:asciiTheme="minorEastAsia" w:hAnsiTheme="minorEastAsia" w:eastAsiaTheme="minorEastAsia" w:cstheme="minorEastAsia"/>
                <w:snapToGrid w:val="0"/>
                <w:sz w:val="21"/>
                <w:szCs w:val="21"/>
                <w:lang w:val="en-US" w:eastAsia="zh-CN"/>
              </w:rPr>
              <w:t>327号4楼</w:t>
            </w:r>
          </w:p>
          <w:p>
            <w:pPr>
              <w:pStyle w:val="104"/>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联系人：周文君</w:t>
            </w:r>
          </w:p>
          <w:p>
            <w:pPr>
              <w:pStyle w:val="104"/>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联系电话：13958533735</w:t>
            </w:r>
          </w:p>
        </w:tc>
      </w:tr>
      <w:tr>
        <w:tblPrEx>
          <w:tblCellMar>
            <w:top w:w="0" w:type="dxa"/>
            <w:left w:w="108" w:type="dxa"/>
            <w:bottom w:w="0" w:type="dxa"/>
            <w:right w:w="108" w:type="dxa"/>
          </w:tblCellMar>
        </w:tblPrEx>
        <w:trPr>
          <w:trHeight w:val="439"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pStyle w:val="104"/>
              <w:spacing w:before="144"/>
              <w:ind w:right="28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1.1.4</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35"/>
              <w:ind w:firstLine="420" w:firstLineChars="20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工程名称</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napToGrid w:val="0"/>
                <w:sz w:val="21"/>
                <w:szCs w:val="21"/>
                <w:lang w:eastAsia="zh-CN"/>
              </w:rPr>
            </w:pPr>
            <w:r>
              <w:rPr>
                <w:rFonts w:hint="eastAsia" w:asciiTheme="minorEastAsia" w:hAnsiTheme="minorEastAsia" w:eastAsiaTheme="minorEastAsia" w:cstheme="minorEastAsia"/>
                <w:snapToGrid w:val="0"/>
                <w:sz w:val="21"/>
                <w:szCs w:val="21"/>
                <w:lang w:eastAsia="zh-CN"/>
              </w:rPr>
              <w:t>三门县下银岩山建筑用石料（凝灰岩）矿开发项目及三门县大周塘片区土地整治提升项目（监理）</w:t>
            </w:r>
          </w:p>
        </w:tc>
      </w:tr>
      <w:tr>
        <w:tblPrEx>
          <w:tblCellMar>
            <w:top w:w="0" w:type="dxa"/>
            <w:left w:w="108" w:type="dxa"/>
            <w:bottom w:w="0" w:type="dxa"/>
            <w:right w:w="108" w:type="dxa"/>
          </w:tblCellMar>
        </w:tblPrEx>
        <w:trPr>
          <w:trHeight w:val="439"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pStyle w:val="104"/>
              <w:ind w:right="28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1.1.6</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工程规模</w:t>
            </w:r>
          </w:p>
        </w:tc>
        <w:tc>
          <w:tcPr>
            <w:tcW w:w="6913" w:type="dxa"/>
            <w:tcBorders>
              <w:top w:val="single" w:color="auto" w:sz="4" w:space="0"/>
              <w:left w:val="single" w:color="auto" w:sz="4" w:space="0"/>
              <w:bottom w:val="single" w:color="auto" w:sz="4" w:space="0"/>
              <w:right w:val="single" w:color="auto" w:sz="4" w:space="0"/>
            </w:tcBorders>
            <w:vAlign w:val="center"/>
          </w:tcPr>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lang w:val="en-US" w:eastAsia="zh-CN" w:bidi="zh-CN"/>
              </w:rPr>
              <w:t>三门下银岩山石料矿开采矿种为建筑用石料（凝灰岩）矿，开采深度为+178m~+3.5m，矿区范围面积约0.3712km2，估算开挖资源总量4600.65万吨，其中建筑用石料（凝灰岩）矿控制资源量1720.51万m3（4370.09万吨），宕碴（风化层）控制资源量为91.86万m3（230.56万吨）。剥离物163.61万m3（307.59万吨），剥采比0.09﹕1。三门县大周塘核心区块整治提升项目占地面积约693.34亩，涉及宕渣回填约543.25万吨。三门县大周塘区块土地整治项目(一期、二期、三期）建设内容包括宕渣回填约796.85万吨；耕地垦造约1778.85亩，耕作土回填约106.89万立方米；新建田间道路7368米，用地面积约114.80亩；新建灌渠7564米、排渠5108米，用地面积约7.78亩；新建河道6835米，涉及河道驳坎约13670米，用地面积约146.71亩。</w:t>
            </w:r>
          </w:p>
        </w:tc>
      </w:tr>
      <w:tr>
        <w:tblPrEx>
          <w:tblCellMar>
            <w:top w:w="0" w:type="dxa"/>
            <w:left w:w="108" w:type="dxa"/>
            <w:bottom w:w="0" w:type="dxa"/>
            <w:right w:w="108" w:type="dxa"/>
          </w:tblCellMar>
        </w:tblPrEx>
        <w:trPr>
          <w:trHeight w:val="616"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pStyle w:val="104"/>
              <w:spacing w:before="147"/>
              <w:ind w:right="28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1.2.1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资金来源及</w:t>
            </w:r>
          </w:p>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出资比例</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rPr>
                <w:rFonts w:hint="eastAsia" w:asciiTheme="minorEastAsia" w:hAnsiTheme="minorEastAsia" w:eastAsiaTheme="minorEastAsia" w:cstheme="minorEastAsia"/>
                <w:snapToGrid w:val="0"/>
                <w:sz w:val="21"/>
                <w:szCs w:val="21"/>
                <w:lang w:val="en-US" w:eastAsia="zh-CN"/>
              </w:rPr>
            </w:pPr>
            <w:r>
              <w:rPr>
                <w:rFonts w:hint="eastAsia" w:asciiTheme="minorEastAsia" w:hAnsiTheme="minorEastAsia" w:eastAsiaTheme="minorEastAsia" w:cstheme="minorEastAsia"/>
                <w:snapToGrid w:val="0"/>
                <w:sz w:val="21"/>
                <w:szCs w:val="21"/>
              </w:rPr>
              <w:t>自筹</w:t>
            </w:r>
            <w:r>
              <w:rPr>
                <w:rFonts w:hint="eastAsia" w:asciiTheme="minorEastAsia" w:hAnsiTheme="minorEastAsia" w:eastAsiaTheme="minorEastAsia" w:cstheme="minorEastAsia"/>
                <w:snapToGrid w:val="0"/>
                <w:sz w:val="21"/>
                <w:szCs w:val="21"/>
                <w:lang w:eastAsia="zh-CN"/>
              </w:rPr>
              <w:t>，</w:t>
            </w:r>
            <w:r>
              <w:rPr>
                <w:rFonts w:hint="eastAsia" w:asciiTheme="minorEastAsia" w:hAnsiTheme="minorEastAsia" w:eastAsiaTheme="minorEastAsia" w:cstheme="minorEastAsia"/>
                <w:snapToGrid w:val="0"/>
                <w:sz w:val="21"/>
                <w:szCs w:val="21"/>
                <w:lang w:val="en-US" w:eastAsia="zh-CN"/>
              </w:rPr>
              <w:t>100%</w:t>
            </w:r>
          </w:p>
        </w:tc>
      </w:tr>
      <w:tr>
        <w:tblPrEx>
          <w:tblCellMar>
            <w:top w:w="0" w:type="dxa"/>
            <w:left w:w="108" w:type="dxa"/>
            <w:bottom w:w="0" w:type="dxa"/>
            <w:right w:w="108" w:type="dxa"/>
          </w:tblCellMar>
        </w:tblPrEx>
        <w:trPr>
          <w:trHeight w:val="557"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1.2.2</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资金落实情况</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已落实</w:t>
            </w:r>
          </w:p>
        </w:tc>
      </w:tr>
      <w:tr>
        <w:tblPrEx>
          <w:tblCellMar>
            <w:top w:w="0" w:type="dxa"/>
            <w:left w:w="108" w:type="dxa"/>
            <w:bottom w:w="0" w:type="dxa"/>
            <w:right w:w="108" w:type="dxa"/>
          </w:tblCellMar>
        </w:tblPrEx>
        <w:trPr>
          <w:trHeight w:val="367"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1.3.1</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招标范围</w:t>
            </w:r>
          </w:p>
        </w:tc>
        <w:tc>
          <w:tcPr>
            <w:tcW w:w="6913" w:type="dxa"/>
            <w:tcBorders>
              <w:top w:val="single" w:color="auto" w:sz="4" w:space="0"/>
              <w:left w:val="single" w:color="auto" w:sz="4" w:space="0"/>
              <w:bottom w:val="single" w:color="auto" w:sz="4" w:space="0"/>
              <w:right w:val="single" w:color="auto" w:sz="4" w:space="0"/>
            </w:tcBorders>
            <w:vAlign w:val="center"/>
          </w:tcPr>
          <w:p>
            <w:pPr>
              <w:tabs>
                <w:tab w:val="left" w:pos="1343"/>
                <w:tab w:val="left" w:pos="2697"/>
                <w:tab w:val="left" w:pos="3264"/>
                <w:tab w:val="left" w:pos="4896"/>
                <w:tab w:val="left" w:pos="6005"/>
                <w:tab w:val="left" w:pos="7085"/>
                <w:tab w:val="left" w:pos="7498"/>
              </w:tabs>
              <w:kinsoku w:val="0"/>
              <w:adjustRightInd w:val="0"/>
              <w:snapToGrid w:val="0"/>
              <w:spacing w:line="360" w:lineRule="auto"/>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color w:val="auto"/>
                <w:sz w:val="21"/>
                <w:szCs w:val="21"/>
                <w:lang w:val="en-US" w:eastAsia="zh-CN" w:bidi="zh-CN"/>
              </w:rPr>
              <w:t xml:space="preserve">本项目所包含的全部施工（包含矿区开拓系统建设、代加工厂房建设、代加工流水线搭建、首采区清表及表土剥离、矿区施工现场周边围护建设、矿山安全设施建设、爆破施工组织设计审批等内容）、石料开采（含爆破、施工、矿区内道路修整扩建及临时电、排水、排污设施建设、场内运输等配套设施）、砂石加工（包括投料、头破、粗破、细破、整型、筛分、洗砂、机制砂石成品入库及存储，机制砂石成品装车、砂石成品出售时装车、过磅等）、宕渣回填、水田垦造、新建灌渠河道、河道驳坎、边坡治理、地质灾害的预防及治理、“绿色矿山”创建、监控、拆除、清场等工作的监理，包括项目前期准备工作、爆破安全监理、施工全过程监理、复绿工程等的监理、计量监管、配合结算审核、资料归档及保修阶段的监理。 </w:t>
            </w:r>
          </w:p>
        </w:tc>
      </w:tr>
      <w:tr>
        <w:tblPrEx>
          <w:tblCellMar>
            <w:top w:w="0" w:type="dxa"/>
            <w:left w:w="108" w:type="dxa"/>
            <w:bottom w:w="0" w:type="dxa"/>
            <w:right w:w="108" w:type="dxa"/>
          </w:tblCellMar>
        </w:tblPrEx>
        <w:trPr>
          <w:trHeight w:val="61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1.3.2</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numPr>
                <w:ilvl w:val="0"/>
                <w:numId w:val="0"/>
              </w:numPr>
              <w:spacing w:line="400" w:lineRule="exact"/>
              <w:ind w:firstLine="210" w:firstLineChars="1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监理期限</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numPr>
                <w:ilvl w:val="0"/>
                <w:numId w:val="0"/>
              </w:numPr>
              <w:spacing w:line="400" w:lineRule="exact"/>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自开工报告签发之日开始，至承接范围内所有工程竣工验收合格结束。前期准备及结算审核的监理服务期限不计在内。</w:t>
            </w:r>
          </w:p>
        </w:tc>
      </w:tr>
      <w:tr>
        <w:tblPrEx>
          <w:tblCellMar>
            <w:top w:w="0" w:type="dxa"/>
            <w:left w:w="108" w:type="dxa"/>
            <w:bottom w:w="0" w:type="dxa"/>
            <w:right w:w="108" w:type="dxa"/>
          </w:tblCellMar>
        </w:tblPrEx>
        <w:trPr>
          <w:trHeight w:val="61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1.3.3</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质量等级要求</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 xml:space="preserve">符合国家相关规范、标准规定 </w:t>
            </w:r>
          </w:p>
        </w:tc>
      </w:tr>
      <w:tr>
        <w:tblPrEx>
          <w:tblCellMar>
            <w:top w:w="0" w:type="dxa"/>
            <w:left w:w="108" w:type="dxa"/>
            <w:bottom w:w="0" w:type="dxa"/>
            <w:right w:w="108" w:type="dxa"/>
          </w:tblCellMar>
        </w:tblPrEx>
        <w:trPr>
          <w:trHeight w:val="376"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1.4.1</w:t>
            </w:r>
          </w:p>
        </w:tc>
        <w:tc>
          <w:tcPr>
            <w:tcW w:w="1400" w:type="dxa"/>
            <w:tcBorders>
              <w:top w:val="single" w:color="auto" w:sz="4" w:space="0"/>
              <w:left w:val="single" w:color="auto" w:sz="4" w:space="0"/>
              <w:bottom w:val="single" w:color="auto" w:sz="4" w:space="0"/>
              <w:right w:val="single" w:color="auto" w:sz="4" w:space="0"/>
            </w:tcBorders>
            <w:vAlign w:val="center"/>
          </w:tcPr>
          <w:p>
            <w:pPr>
              <w:ind w:right="-178" w:rightChars="-81"/>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投标人资质条件、</w:t>
            </w:r>
            <w:r>
              <w:rPr>
                <w:rFonts w:hint="eastAsia" w:asciiTheme="minorEastAsia" w:hAnsiTheme="minorEastAsia" w:eastAsiaTheme="minorEastAsia" w:cstheme="minorEastAsia"/>
                <w:snapToGrid w:val="0"/>
                <w:sz w:val="21"/>
                <w:szCs w:val="21"/>
                <w:lang w:val="en-US"/>
              </w:rPr>
              <w:t>总监理工程师资格要求和其他要求</w:t>
            </w:r>
          </w:p>
        </w:tc>
        <w:tc>
          <w:tcPr>
            <w:tcW w:w="6913" w:type="dxa"/>
            <w:tcBorders>
              <w:top w:val="single" w:color="auto" w:sz="4" w:space="0"/>
              <w:left w:val="single" w:color="auto" w:sz="4" w:space="0"/>
              <w:bottom w:val="single" w:color="auto" w:sz="4" w:space="0"/>
              <w:right w:val="single" w:color="auto" w:sz="4" w:space="0"/>
            </w:tcBorders>
            <w:vAlign w:val="center"/>
          </w:tcPr>
          <w:p>
            <w:pPr>
              <w:topLinePunct/>
              <w:adjustRightInd w:val="0"/>
              <w:spacing w:line="400" w:lineRule="exact"/>
              <w:textAlignment w:val="baseline"/>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见第一章招标公告</w:t>
            </w:r>
          </w:p>
        </w:tc>
      </w:tr>
      <w:tr>
        <w:tblPrEx>
          <w:tblCellMar>
            <w:top w:w="0" w:type="dxa"/>
            <w:left w:w="108" w:type="dxa"/>
            <w:bottom w:w="0" w:type="dxa"/>
            <w:right w:w="108" w:type="dxa"/>
          </w:tblCellMar>
        </w:tblPrEx>
        <w:trPr>
          <w:trHeight w:val="376"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1.4.3</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ind w:left="141" w:right="137"/>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是否接受联合体投标</w:t>
            </w:r>
          </w:p>
        </w:tc>
        <w:tc>
          <w:tcPr>
            <w:tcW w:w="6913"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b/>
                <w:bCs/>
                <w:sz w:val="21"/>
                <w:szCs w:val="21"/>
              </w:rPr>
              <w:t>1、本项目接受联合体投标；</w:t>
            </w:r>
          </w:p>
          <w:p>
            <w:pPr>
              <w:spacing w:line="3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4"/>
                <w:sz w:val="21"/>
                <w:szCs w:val="21"/>
                <w:u w:val="none"/>
              </w:rPr>
              <w:t>2、</w:t>
            </w:r>
            <w:r>
              <w:rPr>
                <w:rFonts w:hint="eastAsia" w:asciiTheme="minorEastAsia" w:hAnsiTheme="minorEastAsia" w:eastAsiaTheme="minorEastAsia" w:cstheme="minorEastAsia"/>
                <w:sz w:val="21"/>
                <w:szCs w:val="21"/>
              </w:rPr>
              <w:t>联合体牵头单位需具备工程监理综合资质或同时具备矿山工程专业监理甲级资质、</w:t>
            </w:r>
            <w:r>
              <w:rPr>
                <w:rFonts w:hint="eastAsia" w:asciiTheme="minorEastAsia" w:hAnsiTheme="minorEastAsia" w:eastAsiaTheme="minorEastAsia" w:cstheme="minorEastAsia"/>
                <w:sz w:val="21"/>
                <w:szCs w:val="21"/>
                <w:lang w:eastAsia="zh-CN"/>
              </w:rPr>
              <w:t>水利</w:t>
            </w:r>
            <w:r>
              <w:rPr>
                <w:rFonts w:hint="eastAsia" w:asciiTheme="minorEastAsia" w:hAnsiTheme="minorEastAsia" w:eastAsiaTheme="minorEastAsia" w:cstheme="minorEastAsia"/>
                <w:sz w:val="21"/>
                <w:szCs w:val="21"/>
              </w:rPr>
              <w:t>工程专业监理甲级资质，项目总监理工程师由联合体牵头人委派。</w:t>
            </w:r>
          </w:p>
          <w:p>
            <w:pPr>
              <w:spacing w:line="380" w:lineRule="exac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z w:val="21"/>
                <w:szCs w:val="21"/>
              </w:rPr>
              <w:t>3、组成联合体的成员不得超过</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家；</w:t>
            </w:r>
          </w:p>
          <w:p>
            <w:pPr>
              <w:topLinePunct/>
              <w:adjustRightInd w:val="0"/>
              <w:spacing w:line="400" w:lineRule="exact"/>
              <w:textAlignment w:val="baseline"/>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4、联合体各方签订联合体协议后，不得再以自己名义单独投标，也不得组成新的联合体或参加其他联合体在本工程投标。</w:t>
            </w:r>
          </w:p>
        </w:tc>
      </w:tr>
      <w:tr>
        <w:tblPrEx>
          <w:tblCellMar>
            <w:top w:w="0" w:type="dxa"/>
            <w:left w:w="108" w:type="dxa"/>
            <w:bottom w:w="0" w:type="dxa"/>
            <w:right w:w="108" w:type="dxa"/>
          </w:tblCellMar>
        </w:tblPrEx>
        <w:trPr>
          <w:trHeight w:val="358"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1.9</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踏勘现场</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不组织，由潜在投标人自行前往现场踏勘。</w:t>
            </w:r>
          </w:p>
        </w:tc>
      </w:tr>
      <w:tr>
        <w:tblPrEx>
          <w:tblCellMar>
            <w:top w:w="0" w:type="dxa"/>
            <w:left w:w="108" w:type="dxa"/>
            <w:bottom w:w="0" w:type="dxa"/>
            <w:right w:w="108" w:type="dxa"/>
          </w:tblCellMar>
        </w:tblPrEx>
        <w:trPr>
          <w:trHeight w:val="368"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1.10</w:t>
            </w:r>
          </w:p>
        </w:tc>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投标预备会</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不召开</w:t>
            </w:r>
          </w:p>
        </w:tc>
      </w:tr>
      <w:tr>
        <w:tblPrEx>
          <w:tblCellMar>
            <w:top w:w="0" w:type="dxa"/>
            <w:left w:w="108" w:type="dxa"/>
            <w:bottom w:w="0" w:type="dxa"/>
            <w:right w:w="108" w:type="dxa"/>
          </w:tblCellMar>
        </w:tblPrEx>
        <w:trPr>
          <w:trHeight w:val="9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2.1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ind w:right="137"/>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投标上传（提交）截止时间</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2"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b/>
                <w:snapToGrid w:val="0"/>
                <w:sz w:val="21"/>
                <w:szCs w:val="21"/>
              </w:rPr>
              <w:t>详见本工程招标公告</w:t>
            </w:r>
          </w:p>
        </w:tc>
      </w:tr>
      <w:tr>
        <w:tblPrEx>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ind w:left="141" w:right="137"/>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投标文件组成</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投标文件由资信标、技术标和商务标三部分组成。由三门投标编制4.0.2.8版本生成后缀名.已加密投标文件。</w:t>
            </w:r>
          </w:p>
          <w:p>
            <w:pPr>
              <w:pStyle w:val="104"/>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1、资信标</w:t>
            </w:r>
          </w:p>
          <w:p>
            <w:pPr>
              <w:pStyle w:val="104"/>
              <w:tabs>
                <w:tab w:val="left" w:pos="634"/>
              </w:tabs>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由三门投标编制4.0.2.8版本生成的资信标电子投标文件包括：</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（1）台州市建设工程投标人资格自查表（附件</w:t>
            </w:r>
            <w:r>
              <w:rPr>
                <w:rFonts w:hint="eastAsia" w:asciiTheme="minorEastAsia" w:hAnsiTheme="minorEastAsia" w:eastAsiaTheme="minorEastAsia" w:cstheme="minorEastAsia"/>
                <w:snapToGrid w:val="0"/>
                <w:sz w:val="21"/>
                <w:szCs w:val="21"/>
                <w:lang w:eastAsia="zh-CN"/>
              </w:rPr>
              <w:t>三</w:t>
            </w:r>
            <w:r>
              <w:rPr>
                <w:rFonts w:hint="eastAsia" w:asciiTheme="minorEastAsia" w:hAnsiTheme="minorEastAsia" w:eastAsiaTheme="minorEastAsia" w:cstheme="minorEastAsia"/>
                <w:snapToGrid w:val="0"/>
                <w:sz w:val="21"/>
                <w:szCs w:val="21"/>
              </w:rPr>
              <w:t>）；</w:t>
            </w:r>
          </w:p>
          <w:p>
            <w:pPr>
              <w:adjustRightInd w:val="0"/>
              <w:snapToGrid w:val="0"/>
              <w:spacing w:line="380" w:lineRule="exact"/>
              <w:ind w:firstLine="315" w:firstLineChars="15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（2）台州市建设工程总监资格自查表（附件</w:t>
            </w:r>
            <w:r>
              <w:rPr>
                <w:rFonts w:hint="eastAsia" w:asciiTheme="minorEastAsia" w:hAnsiTheme="minorEastAsia" w:eastAsiaTheme="minorEastAsia" w:cstheme="minorEastAsia"/>
                <w:snapToGrid w:val="0"/>
                <w:sz w:val="21"/>
                <w:szCs w:val="21"/>
                <w:lang w:eastAsia="zh-CN"/>
              </w:rPr>
              <w:t>四</w:t>
            </w:r>
            <w:r>
              <w:rPr>
                <w:rFonts w:hint="eastAsia" w:asciiTheme="minorEastAsia" w:hAnsiTheme="minorEastAsia" w:eastAsiaTheme="minorEastAsia" w:cstheme="minorEastAsia"/>
                <w:snapToGrid w:val="0"/>
                <w:sz w:val="21"/>
                <w:szCs w:val="21"/>
              </w:rPr>
              <w:t>）；</w:t>
            </w:r>
            <w:r>
              <w:rPr>
                <w:rFonts w:hint="eastAsia" w:ascii="宋体" w:hAnsi="宋体" w:cs="宋体"/>
                <w:b/>
                <w:bCs/>
                <w:sz w:val="21"/>
                <w:szCs w:val="21"/>
              </w:rPr>
              <w:t>（如为联合体投标，由联合体牵头人出具）</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（3）台州市建设工程诚信投标承诺书（附件</w:t>
            </w:r>
            <w:r>
              <w:rPr>
                <w:rFonts w:hint="eastAsia" w:asciiTheme="minorEastAsia" w:hAnsiTheme="minorEastAsia" w:eastAsiaTheme="minorEastAsia" w:cstheme="minorEastAsia"/>
                <w:snapToGrid w:val="0"/>
                <w:sz w:val="21"/>
                <w:szCs w:val="21"/>
                <w:lang w:val="en-US" w:eastAsia="zh-CN"/>
              </w:rPr>
              <w:t>五</w:t>
            </w:r>
            <w:r>
              <w:rPr>
                <w:rFonts w:hint="eastAsia" w:asciiTheme="minorEastAsia" w:hAnsiTheme="minorEastAsia" w:eastAsiaTheme="minorEastAsia" w:cstheme="minorEastAsia"/>
                <w:snapToGrid w:val="0"/>
                <w:sz w:val="21"/>
                <w:szCs w:val="21"/>
              </w:rPr>
              <w:t>）；</w:t>
            </w:r>
          </w:p>
          <w:p>
            <w:pPr>
              <w:adjustRightInd w:val="0"/>
              <w:snapToGrid w:val="0"/>
              <w:spacing w:line="380" w:lineRule="exact"/>
              <w:ind w:firstLine="315" w:firstLineChars="15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（4）法定代表人授权委托书（投标文件格式</w:t>
            </w:r>
            <w:r>
              <w:rPr>
                <w:rFonts w:hint="eastAsia" w:asciiTheme="minorEastAsia" w:hAnsiTheme="minorEastAsia" w:eastAsiaTheme="minorEastAsia" w:cstheme="minorEastAsia"/>
                <w:snapToGrid w:val="0"/>
                <w:sz w:val="21"/>
                <w:szCs w:val="21"/>
                <w:lang w:eastAsia="zh-CN"/>
              </w:rPr>
              <w:t>六</w:t>
            </w:r>
            <w:r>
              <w:rPr>
                <w:rFonts w:hint="eastAsia" w:asciiTheme="minorEastAsia" w:hAnsiTheme="minorEastAsia" w:eastAsiaTheme="minorEastAsia" w:cstheme="minorEastAsia"/>
                <w:snapToGrid w:val="0"/>
                <w:sz w:val="21"/>
                <w:szCs w:val="21"/>
              </w:rPr>
              <w:t>）或法定代表人身份证明（投标文件格式</w:t>
            </w:r>
            <w:r>
              <w:rPr>
                <w:rFonts w:hint="eastAsia" w:asciiTheme="minorEastAsia" w:hAnsiTheme="minorEastAsia" w:eastAsiaTheme="minorEastAsia" w:cstheme="minorEastAsia"/>
                <w:snapToGrid w:val="0"/>
                <w:sz w:val="21"/>
                <w:szCs w:val="21"/>
                <w:lang w:eastAsia="zh-CN"/>
              </w:rPr>
              <w:t>九</w:t>
            </w:r>
            <w:r>
              <w:rPr>
                <w:rFonts w:hint="eastAsia" w:asciiTheme="minorEastAsia" w:hAnsiTheme="minorEastAsia" w:eastAsiaTheme="minorEastAsia" w:cstheme="minorEastAsia"/>
                <w:snapToGrid w:val="0"/>
                <w:sz w:val="21"/>
                <w:szCs w:val="21"/>
              </w:rPr>
              <w:t>）；</w:t>
            </w:r>
            <w:r>
              <w:rPr>
                <w:rFonts w:hint="eastAsia" w:ascii="宋体" w:hAnsi="宋体" w:eastAsia="宋体" w:cs="宋体"/>
                <w:b/>
                <w:bCs/>
                <w:sz w:val="21"/>
                <w:szCs w:val="21"/>
              </w:rPr>
              <w:t>（如为联合体投标，由联合体牵头人出具）</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snapToGrid w:val="0"/>
                <w:sz w:val="21"/>
                <w:szCs w:val="21"/>
              </w:rPr>
              <w:t>（5）</w:t>
            </w:r>
            <w:r>
              <w:rPr>
                <w:rFonts w:hint="eastAsia" w:asciiTheme="minorEastAsia" w:hAnsiTheme="minorEastAsia" w:eastAsiaTheme="minorEastAsia" w:cstheme="minorEastAsia"/>
                <w:sz w:val="21"/>
                <w:szCs w:val="21"/>
              </w:rPr>
              <w:t>联合体协议书</w:t>
            </w:r>
            <w:r>
              <w:rPr>
                <w:rFonts w:hint="eastAsia" w:asciiTheme="minorEastAsia" w:hAnsiTheme="minorEastAsia" w:eastAsiaTheme="minorEastAsia" w:cstheme="minorEastAsia"/>
                <w:color w:val="auto"/>
                <w:sz w:val="21"/>
                <w:szCs w:val="21"/>
              </w:rPr>
              <w:t>（格式详见招标文件第</w:t>
            </w:r>
            <w:r>
              <w:rPr>
                <w:rFonts w:hint="eastAsia" w:asciiTheme="minorEastAsia" w:hAnsiTheme="minorEastAsia" w:eastAsiaTheme="minorEastAsia" w:cstheme="minorEastAsia"/>
                <w:color w:val="auto"/>
                <w:sz w:val="21"/>
                <w:szCs w:val="21"/>
                <w:lang w:val="en-US" w:eastAsia="zh-CN"/>
              </w:rPr>
              <w:t>六</w:t>
            </w:r>
            <w:r>
              <w:rPr>
                <w:rFonts w:hint="eastAsia" w:asciiTheme="minorEastAsia" w:hAnsiTheme="minorEastAsia" w:eastAsiaTheme="minorEastAsia" w:cstheme="minorEastAsia"/>
                <w:color w:val="auto"/>
                <w:sz w:val="21"/>
                <w:szCs w:val="21"/>
              </w:rPr>
              <w:t>章）</w:t>
            </w:r>
            <w:r>
              <w:rPr>
                <w:rFonts w:hint="eastAsia" w:asciiTheme="minorEastAsia" w:hAnsiTheme="minorEastAsia" w:eastAsiaTheme="minorEastAsia" w:cstheme="minorEastAsia"/>
                <w:b/>
                <w:bCs/>
                <w:color w:val="auto"/>
                <w:sz w:val="21"/>
                <w:szCs w:val="21"/>
              </w:rPr>
              <w:t>（如为联合体投标须提供）；</w:t>
            </w:r>
          </w:p>
          <w:p>
            <w:pPr>
              <w:autoSpaceDE/>
              <w:autoSpaceDN/>
              <w:adjustRightInd w:val="0"/>
              <w:snapToGrid w:val="0"/>
              <w:spacing w:line="400" w:lineRule="exact"/>
              <w:ind w:firstLine="420" w:firstLineChars="200"/>
              <w:rPr>
                <w:rFonts w:hint="eastAsia" w:ascii="宋体" w:hAnsi="宋体" w:eastAsia="宋体" w:cs="宋体"/>
                <w:b/>
                <w:bCs/>
                <w:sz w:val="21"/>
                <w:szCs w:val="21"/>
              </w:rPr>
            </w:pPr>
            <w:r>
              <w:rPr>
                <w:rFonts w:hint="eastAsia" w:asciiTheme="minorEastAsia" w:hAnsiTheme="minorEastAsia" w:eastAsiaTheme="minorEastAsia" w:cstheme="minorEastAsia"/>
                <w:snapToGrid w:val="0"/>
                <w:sz w:val="21"/>
                <w:szCs w:val="21"/>
              </w:rPr>
              <w:t>（</w:t>
            </w:r>
            <w:r>
              <w:rPr>
                <w:rFonts w:hint="eastAsia" w:asciiTheme="minorEastAsia" w:hAnsiTheme="minorEastAsia" w:eastAsiaTheme="minorEastAsia" w:cstheme="minorEastAsia"/>
                <w:snapToGrid w:val="0"/>
                <w:sz w:val="21"/>
                <w:szCs w:val="21"/>
                <w:lang w:val="en-US" w:eastAsia="zh-CN"/>
              </w:rPr>
              <w:t>6</w:t>
            </w:r>
            <w:r>
              <w:rPr>
                <w:rFonts w:hint="eastAsia" w:asciiTheme="minorEastAsia" w:hAnsiTheme="minorEastAsia" w:eastAsiaTheme="minorEastAsia" w:cstheme="minorEastAsia"/>
                <w:snapToGrid w:val="0"/>
                <w:sz w:val="21"/>
                <w:szCs w:val="21"/>
              </w:rPr>
              <w:t>）如投标保证金未采用现金，则须提供工程保函（分为银行保函、保险机构保证保险保单、融资担保公司保函）；</w:t>
            </w:r>
            <w:r>
              <w:rPr>
                <w:rFonts w:hint="eastAsia" w:ascii="宋体" w:hAnsi="宋体" w:eastAsia="宋体" w:cs="宋体"/>
                <w:b/>
                <w:bCs/>
                <w:sz w:val="21"/>
                <w:szCs w:val="21"/>
              </w:rPr>
              <w:t>（如为联合体投标，由联合体牵头人出具）</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w:t>
            </w:r>
            <w:r>
              <w:rPr>
                <w:rFonts w:hint="eastAsia" w:asciiTheme="minorEastAsia" w:hAnsiTheme="minorEastAsia" w:eastAsiaTheme="minorEastAsia" w:cstheme="minorEastAsia"/>
                <w:snapToGrid w:val="0"/>
                <w:sz w:val="21"/>
                <w:szCs w:val="21"/>
                <w:lang w:val="en-US" w:eastAsia="zh-CN"/>
              </w:rPr>
              <w:t>7</w:t>
            </w:r>
            <w:r>
              <w:rPr>
                <w:rFonts w:hint="eastAsia" w:asciiTheme="minorEastAsia" w:hAnsiTheme="minorEastAsia" w:eastAsiaTheme="minorEastAsia" w:cstheme="minorEastAsia"/>
                <w:snapToGrid w:val="0"/>
                <w:sz w:val="21"/>
                <w:szCs w:val="21"/>
              </w:rPr>
              <w:t>）证书材料：</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①如投标人为浙江省省外企业的，应提供《省外企业进浙承接业务备案证明》或“浙江省建筑市场监管公共服务系统”对外发布的通过审核形成的备案信息网页截图；</w:t>
            </w:r>
          </w:p>
          <w:p>
            <w:pPr>
              <w:pStyle w:val="23"/>
              <w:spacing w:line="400" w:lineRule="exact"/>
              <w:ind w:firstLine="48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②《企业营业执照》、《工程监理企业资质证书》（若为住房和城乡建设部同意企业资质电子化试点的省、市可提供企业电子资质证书打印件），</w:t>
            </w:r>
            <w:r>
              <w:rPr>
                <w:rFonts w:hint="eastAsia" w:asciiTheme="minorEastAsia" w:hAnsiTheme="minorEastAsia" w:eastAsiaTheme="minorEastAsia" w:cstheme="minorEastAsia"/>
                <w:b/>
                <w:bCs/>
                <w:snapToGrid w:val="0"/>
                <w:sz w:val="21"/>
                <w:szCs w:val="21"/>
              </w:rPr>
              <w:t>投标人所提供的《工程监理企业资质证书》上的有关内容真实性有效性以投标截止时间当天在浙江省建筑市场监管公共服务系统中查询的资质动态核查结果为准。</w:t>
            </w:r>
            <w:r>
              <w:rPr>
                <w:rFonts w:hint="default" w:asciiTheme="minorEastAsia" w:hAnsiTheme="minorEastAsia" w:eastAsiaTheme="minorEastAsia" w:cstheme="minorEastAsia"/>
                <w:b/>
                <w:bCs/>
                <w:snapToGrid w:val="0"/>
                <w:sz w:val="21"/>
                <w:szCs w:val="21"/>
              </w:rPr>
              <w:t>（如为联合体投标，</w:t>
            </w:r>
            <w:r>
              <w:rPr>
                <w:rFonts w:hint="eastAsia" w:asciiTheme="minorEastAsia" w:hAnsiTheme="minorEastAsia" w:eastAsiaTheme="minorEastAsia" w:cstheme="minorEastAsia"/>
                <w:b/>
                <w:bCs/>
                <w:snapToGrid w:val="0"/>
                <w:sz w:val="21"/>
                <w:szCs w:val="21"/>
              </w:rPr>
              <w:t>则联合体各方均须提供</w:t>
            </w:r>
            <w:r>
              <w:rPr>
                <w:rFonts w:hint="default" w:asciiTheme="minorEastAsia" w:hAnsiTheme="minorEastAsia" w:eastAsiaTheme="minorEastAsia" w:cstheme="minorEastAsia"/>
                <w:b/>
                <w:bCs/>
                <w:snapToGrid w:val="0"/>
                <w:sz w:val="21"/>
                <w:szCs w:val="21"/>
              </w:rPr>
              <w:t>）</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sz w:val="21"/>
                <w:szCs w:val="21"/>
                <w:lang w:val="zh-CN" w:eastAsia="zh-CN"/>
              </w:rPr>
            </w:pPr>
            <w:r>
              <w:rPr>
                <w:rFonts w:hint="eastAsia" w:asciiTheme="minorEastAsia" w:hAnsiTheme="minorEastAsia" w:eastAsiaTheme="minorEastAsia" w:cstheme="minorEastAsia"/>
                <w:snapToGrid w:val="0"/>
                <w:sz w:val="21"/>
                <w:szCs w:val="21"/>
                <w:lang w:val="zh-CN" w:eastAsia="zh-CN"/>
              </w:rPr>
              <w:t>③爆破作业单位许可证；</w:t>
            </w:r>
            <w:r>
              <w:rPr>
                <w:rFonts w:hint="default" w:asciiTheme="minorEastAsia" w:hAnsiTheme="minorEastAsia" w:eastAsiaTheme="minorEastAsia" w:cstheme="minorEastAsia"/>
                <w:b/>
                <w:bCs/>
                <w:snapToGrid w:val="0"/>
                <w:sz w:val="21"/>
                <w:szCs w:val="21"/>
                <w:lang w:val="zh-CN" w:eastAsia="zh-CN" w:bidi="zh-CN"/>
              </w:rPr>
              <w:t>（如为联合体投标，</w:t>
            </w:r>
            <w:r>
              <w:rPr>
                <w:rFonts w:hint="eastAsia" w:asciiTheme="minorEastAsia" w:hAnsiTheme="minorEastAsia" w:eastAsiaTheme="minorEastAsia" w:cstheme="minorEastAsia"/>
                <w:b/>
                <w:bCs/>
                <w:snapToGrid w:val="0"/>
                <w:sz w:val="21"/>
                <w:szCs w:val="21"/>
                <w:lang w:val="zh-CN" w:eastAsia="zh-CN" w:bidi="zh-CN"/>
              </w:rPr>
              <w:t>则联合体成员提供</w:t>
            </w:r>
            <w:r>
              <w:rPr>
                <w:rFonts w:hint="default" w:asciiTheme="minorEastAsia" w:hAnsiTheme="minorEastAsia" w:eastAsiaTheme="minorEastAsia" w:cstheme="minorEastAsia"/>
                <w:b/>
                <w:bCs/>
                <w:snapToGrid w:val="0"/>
                <w:sz w:val="21"/>
                <w:szCs w:val="21"/>
                <w:lang w:val="zh-CN" w:eastAsia="zh-CN" w:bidi="zh-CN"/>
              </w:rPr>
              <w:t>）</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④</w:t>
            </w:r>
            <w:r>
              <w:rPr>
                <w:rFonts w:hint="eastAsia" w:asciiTheme="minorEastAsia" w:hAnsiTheme="minorEastAsia" w:eastAsiaTheme="minorEastAsia" w:cstheme="minorEastAsia"/>
                <w:snapToGrid w:val="0"/>
                <w:sz w:val="21"/>
                <w:szCs w:val="21"/>
                <w:lang w:val="zh-CN" w:eastAsia="zh-CN"/>
              </w:rPr>
              <w:t>总监理工程师的《中华人民共和国注册监理工程师注册执业证书》；总监理工程师提供投标截止时间前连续3 个月的社保缴纳证明（提供有效证明材料），</w:t>
            </w:r>
            <w:r>
              <w:rPr>
                <w:rFonts w:hint="eastAsia" w:asciiTheme="minorEastAsia" w:hAnsiTheme="minorEastAsia" w:eastAsiaTheme="minorEastAsia" w:cstheme="minorEastAsia"/>
                <w:snapToGrid w:val="0"/>
                <w:sz w:val="21"/>
                <w:szCs w:val="21"/>
              </w:rPr>
              <w:t>若总监理工程师已退休但仍可执业的，社保缴纳证明可凭社保部门出具的退休证明及聘用合同替代。</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⑤评标办法评分内容所需要的相关材料（</w:t>
            </w:r>
            <w:r>
              <w:rPr>
                <w:rFonts w:hint="eastAsia" w:asciiTheme="minorEastAsia" w:hAnsiTheme="minorEastAsia" w:eastAsiaTheme="minorEastAsia" w:cstheme="minorEastAsia"/>
                <w:snapToGrid w:val="0"/>
                <w:sz w:val="21"/>
                <w:szCs w:val="21"/>
                <w:lang w:val="en-US"/>
              </w:rPr>
              <w:t>如有</w:t>
            </w:r>
            <w:r>
              <w:rPr>
                <w:rFonts w:hint="eastAsia" w:asciiTheme="minorEastAsia" w:hAnsiTheme="minorEastAsia" w:eastAsiaTheme="minorEastAsia" w:cstheme="minorEastAsia"/>
                <w:snapToGrid w:val="0"/>
                <w:sz w:val="21"/>
                <w:szCs w:val="21"/>
              </w:rPr>
              <w:t>）。</w:t>
            </w:r>
          </w:p>
          <w:p>
            <w:pPr>
              <w:autoSpaceDE/>
              <w:autoSpaceDN/>
              <w:adjustRightInd w:val="0"/>
              <w:snapToGrid w:val="0"/>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备注：以上资信标内容均需在投标工具中的资信标对应处自行添加后自动生成，添加的内容须为清晰的电子文档。</w:t>
            </w:r>
          </w:p>
          <w:p>
            <w:pPr>
              <w:pStyle w:val="104"/>
              <w:numPr>
                <w:ilvl w:val="0"/>
                <w:numId w:val="4"/>
              </w:numPr>
              <w:spacing w:line="400" w:lineRule="exact"/>
              <w:ind w:left="0" w:firstLine="422" w:firstLineChars="200"/>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技术标：</w:t>
            </w:r>
          </w:p>
          <w:p>
            <w:pPr>
              <w:pStyle w:val="104"/>
              <w:tabs>
                <w:tab w:val="left" w:pos="634"/>
              </w:tabs>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由三门投标编制4.0.2.8 版本生成的技术标电子投标文件（投标人根据招标文件评标办法内容自行编制）。</w:t>
            </w:r>
          </w:p>
          <w:p>
            <w:pPr>
              <w:pStyle w:val="104"/>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3、商务标</w:t>
            </w:r>
          </w:p>
          <w:p>
            <w:pPr>
              <w:pStyle w:val="104"/>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三门投标编制 4.0.2.8 版本生成的商务标电子投标文件包括：</w:t>
            </w:r>
          </w:p>
          <w:p>
            <w:pPr>
              <w:pStyle w:val="104"/>
              <w:numPr>
                <w:ilvl w:val="0"/>
                <w:numId w:val="5"/>
              </w:numPr>
              <w:spacing w:line="400" w:lineRule="exact"/>
              <w:ind w:firstLine="420" w:firstLineChars="200"/>
              <w:rPr>
                <w:rFonts w:hint="eastAsia" w:asciiTheme="minorEastAsia" w:hAnsiTheme="minorEastAsia" w:eastAsiaTheme="minorEastAsia" w:cstheme="minorEastAsia"/>
                <w:bCs/>
                <w:snapToGrid w:val="0"/>
                <w:sz w:val="21"/>
                <w:szCs w:val="21"/>
              </w:rPr>
            </w:pPr>
            <w:r>
              <w:rPr>
                <w:rFonts w:hint="eastAsia" w:asciiTheme="minorEastAsia" w:hAnsiTheme="minorEastAsia" w:eastAsiaTheme="minorEastAsia" w:cstheme="minorEastAsia"/>
                <w:bCs/>
                <w:snapToGrid w:val="0"/>
                <w:sz w:val="21"/>
                <w:szCs w:val="21"/>
              </w:rPr>
              <w:t>投标函（附件一）</w:t>
            </w:r>
            <w:r>
              <w:rPr>
                <w:rFonts w:hint="eastAsia" w:asciiTheme="minorEastAsia" w:hAnsiTheme="minorEastAsia" w:eastAsiaTheme="minorEastAsia" w:cstheme="minorEastAsia"/>
                <w:bCs/>
                <w:snapToGrid w:val="0"/>
                <w:sz w:val="21"/>
                <w:szCs w:val="21"/>
                <w:lang w:eastAsia="zh-CN"/>
              </w:rPr>
              <w:t>；</w:t>
            </w:r>
          </w:p>
          <w:p>
            <w:pPr>
              <w:pStyle w:val="104"/>
              <w:numPr>
                <w:ilvl w:val="0"/>
                <w:numId w:val="5"/>
              </w:numPr>
              <w:spacing w:line="400" w:lineRule="exact"/>
              <w:ind w:firstLine="420"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Cs/>
                <w:snapToGrid w:val="0"/>
                <w:sz w:val="21"/>
                <w:szCs w:val="21"/>
              </w:rPr>
              <w:t>监理费用报价分析汇总表（附件</w:t>
            </w:r>
            <w:r>
              <w:rPr>
                <w:rFonts w:hint="eastAsia" w:asciiTheme="minorEastAsia" w:hAnsiTheme="minorEastAsia" w:eastAsiaTheme="minorEastAsia" w:cstheme="minorEastAsia"/>
                <w:bCs/>
                <w:snapToGrid w:val="0"/>
                <w:sz w:val="21"/>
                <w:szCs w:val="21"/>
                <w:lang w:eastAsia="zh-CN"/>
              </w:rPr>
              <w:t>二</w:t>
            </w:r>
            <w:r>
              <w:rPr>
                <w:rFonts w:hint="eastAsia" w:asciiTheme="minorEastAsia" w:hAnsiTheme="minorEastAsia" w:eastAsiaTheme="minorEastAsia" w:cstheme="minorEastAsia"/>
                <w:bCs/>
                <w:snapToGrid w:val="0"/>
                <w:sz w:val="21"/>
                <w:szCs w:val="21"/>
              </w:rPr>
              <w:t>）</w:t>
            </w:r>
            <w:r>
              <w:rPr>
                <w:rFonts w:hint="eastAsia" w:asciiTheme="minorEastAsia" w:hAnsiTheme="minorEastAsia" w:eastAsiaTheme="minorEastAsia" w:cstheme="minorEastAsia"/>
                <w:bCs/>
                <w:snapToGrid w:val="0"/>
                <w:sz w:val="21"/>
                <w:szCs w:val="21"/>
                <w:lang w:eastAsia="zh-CN"/>
              </w:rPr>
              <w:t>。</w:t>
            </w:r>
          </w:p>
          <w:p>
            <w:pPr>
              <w:pStyle w:val="104"/>
              <w:numPr>
                <w:ilvl w:val="0"/>
                <w:numId w:val="0"/>
              </w:numPr>
              <w:spacing w:line="400" w:lineRule="exact"/>
              <w:rPr>
                <w:rFonts w:hint="eastAsia" w:asciiTheme="minorEastAsia" w:hAnsiTheme="minorEastAsia" w:eastAsiaTheme="minorEastAsia" w:cstheme="minorEastAsia"/>
                <w:b/>
                <w:snapToGrid w:val="0"/>
                <w:sz w:val="21"/>
                <w:szCs w:val="21"/>
              </w:rPr>
            </w:pPr>
            <w:r>
              <w:rPr>
                <w:rFonts w:hint="eastAsia" w:ascii="Times New Roman" w:hAnsi="Times New Roman" w:eastAsia="宋体" w:cs="Times New Roman"/>
                <w:b/>
                <w:bCs/>
                <w:snapToGrid w:val="0"/>
                <w:sz w:val="21"/>
                <w:szCs w:val="21"/>
                <w:lang w:val="en-US" w:eastAsia="zh-CN" w:bidi="ar-SA"/>
              </w:rPr>
              <w:t>注：如为联合体投标，投标文件则由联合体牵头人提交。资料不全（模糊不清者视为不全），资格审查不予通过。资格审查未通过，无资格进入下阶段评审。</w:t>
            </w:r>
          </w:p>
        </w:tc>
      </w:tr>
      <w:tr>
        <w:tblPrEx>
          <w:tblCellMar>
            <w:top w:w="0" w:type="dxa"/>
            <w:left w:w="108" w:type="dxa"/>
            <w:bottom w:w="0" w:type="dxa"/>
            <w:right w:w="108" w:type="dxa"/>
          </w:tblCellMar>
        </w:tblPrEx>
        <w:trPr>
          <w:trHeight w:val="455"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lang w:val="en-US"/>
              </w:rPr>
            </w:pPr>
            <w:r>
              <w:rPr>
                <w:rFonts w:hint="eastAsia" w:asciiTheme="minorEastAsia" w:hAnsiTheme="minorEastAsia" w:eastAsiaTheme="minorEastAsia" w:cstheme="minorEastAsia"/>
                <w:snapToGrid w:val="0"/>
                <w:sz w:val="21"/>
                <w:szCs w:val="21"/>
                <w:lang w:val="en-US"/>
              </w:rPr>
              <w:t>3.2</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line="252" w:lineRule="exact"/>
              <w:ind w:left="141" w:right="137"/>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最高投标限价</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bCs/>
                <w:snapToGrid w:val="0"/>
                <w:sz w:val="21"/>
                <w:szCs w:val="21"/>
              </w:rPr>
              <w:t>最高投标限价</w:t>
            </w:r>
            <w:r>
              <w:rPr>
                <w:rFonts w:hint="eastAsia" w:asciiTheme="minorEastAsia" w:hAnsiTheme="minorEastAsia" w:eastAsiaTheme="minorEastAsia" w:cstheme="minorEastAsia"/>
                <w:b/>
                <w:snapToGrid w:val="0"/>
                <w:sz w:val="21"/>
                <w:szCs w:val="21"/>
              </w:rPr>
              <w:t>：</w:t>
            </w:r>
            <w:r>
              <w:rPr>
                <w:rFonts w:hint="eastAsia" w:asciiTheme="minorEastAsia" w:hAnsiTheme="minorEastAsia" w:eastAsiaTheme="minorEastAsia" w:cstheme="minorEastAsia"/>
                <w:b/>
                <w:snapToGrid w:val="0"/>
                <w:sz w:val="21"/>
                <w:szCs w:val="21"/>
                <w:lang w:eastAsia="zh-CN"/>
              </w:rPr>
              <w:t>人民币</w:t>
            </w:r>
            <w:r>
              <w:rPr>
                <w:rFonts w:hint="eastAsia" w:asciiTheme="minorEastAsia" w:hAnsiTheme="minorEastAsia" w:eastAsiaTheme="minorEastAsia" w:cstheme="minorEastAsia"/>
                <w:b/>
                <w:snapToGrid w:val="0"/>
                <w:sz w:val="21"/>
                <w:szCs w:val="21"/>
                <w:u w:val="single"/>
                <w:lang w:val="en-US" w:eastAsia="zh-CN"/>
              </w:rPr>
              <w:t>1104</w:t>
            </w:r>
            <w:r>
              <w:rPr>
                <w:rFonts w:hint="eastAsia" w:asciiTheme="minorEastAsia" w:hAnsiTheme="minorEastAsia" w:eastAsiaTheme="minorEastAsia" w:cstheme="minorEastAsia"/>
                <w:b/>
                <w:snapToGrid w:val="0"/>
                <w:sz w:val="21"/>
                <w:szCs w:val="21"/>
                <w:u w:val="single"/>
              </w:rPr>
              <w:t>万元</w:t>
            </w:r>
            <w:r>
              <w:rPr>
                <w:rFonts w:hint="eastAsia" w:asciiTheme="minorEastAsia" w:hAnsiTheme="minorEastAsia" w:eastAsiaTheme="minorEastAsia" w:cstheme="minorEastAsia"/>
                <w:b/>
                <w:snapToGrid w:val="0"/>
                <w:sz w:val="21"/>
                <w:szCs w:val="21"/>
              </w:rPr>
              <w:t>，超过的按无效标处理。（因政策处理或其他原因造成工程停工，停工期间不计监理服务费）</w:t>
            </w:r>
          </w:p>
        </w:tc>
      </w:tr>
      <w:tr>
        <w:tblPrEx>
          <w:tblCellMar>
            <w:top w:w="0" w:type="dxa"/>
            <w:left w:w="108" w:type="dxa"/>
            <w:bottom w:w="0" w:type="dxa"/>
            <w:right w:w="108" w:type="dxa"/>
          </w:tblCellMar>
        </w:tblPrEx>
        <w:trPr>
          <w:trHeight w:val="416"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3.3.1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line="250" w:lineRule="exact"/>
              <w:ind w:left="141" w:right="134"/>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投标有效期</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90 日历天（自投标截止日起计算）</w:t>
            </w:r>
          </w:p>
        </w:tc>
      </w:tr>
      <w:tr>
        <w:tblPrEx>
          <w:tblCellMar>
            <w:top w:w="0" w:type="dxa"/>
            <w:left w:w="108" w:type="dxa"/>
            <w:bottom w:w="0" w:type="dxa"/>
            <w:right w:w="108" w:type="dxa"/>
          </w:tblCellMar>
        </w:tblPrEx>
        <w:trPr>
          <w:trHeight w:val="416"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3.4.1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71"/>
              <w:ind w:left="141" w:right="134"/>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投标担保</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sym w:font="Wingdings" w:char="F0FE"/>
            </w:r>
            <w:r>
              <w:rPr>
                <w:rFonts w:hint="eastAsia" w:asciiTheme="minorEastAsia" w:hAnsiTheme="minorEastAsia" w:eastAsiaTheme="minorEastAsia" w:cstheme="minorEastAsia"/>
                <w:b/>
                <w:bCs/>
                <w:snapToGrid w:val="0"/>
                <w:sz w:val="21"/>
                <w:szCs w:val="21"/>
              </w:rPr>
              <w:t>要求递交投标保证金。</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1、担保金额：不低于</w:t>
            </w:r>
            <w:r>
              <w:rPr>
                <w:rFonts w:hint="eastAsia" w:asciiTheme="minorEastAsia" w:hAnsiTheme="minorEastAsia" w:eastAsiaTheme="minorEastAsia" w:cstheme="minorEastAsia"/>
                <w:snapToGrid w:val="0"/>
                <w:sz w:val="21"/>
                <w:szCs w:val="21"/>
                <w:u w:val="single"/>
              </w:rPr>
              <w:t xml:space="preserve"> </w:t>
            </w:r>
            <w:r>
              <w:rPr>
                <w:rFonts w:hint="eastAsia" w:asciiTheme="minorEastAsia" w:hAnsiTheme="minorEastAsia" w:eastAsiaTheme="minorEastAsia" w:cstheme="minorEastAsia"/>
                <w:snapToGrid w:val="0"/>
                <w:sz w:val="21"/>
                <w:szCs w:val="21"/>
                <w:u w:val="single"/>
                <w:lang w:val="en-US" w:eastAsia="zh-CN"/>
              </w:rPr>
              <w:t xml:space="preserve">20 </w:t>
            </w:r>
            <w:r>
              <w:rPr>
                <w:rFonts w:hint="eastAsia" w:asciiTheme="minorEastAsia" w:hAnsiTheme="minorEastAsia" w:eastAsiaTheme="minorEastAsia" w:cstheme="minorEastAsia"/>
                <w:snapToGrid w:val="0"/>
                <w:sz w:val="21"/>
                <w:szCs w:val="21"/>
              </w:rPr>
              <w:t>万元</w:t>
            </w:r>
            <w:r>
              <w:rPr>
                <w:rFonts w:hint="eastAsia" w:asciiTheme="minorEastAsia" w:hAnsiTheme="minorEastAsia" w:eastAsiaTheme="minorEastAsia" w:cstheme="minorEastAsia"/>
                <w:b/>
                <w:snapToGrid w:val="0"/>
                <w:sz w:val="21"/>
                <w:szCs w:val="21"/>
              </w:rPr>
              <w:t>（如为联合体投标，则由联合体牵头人提供）</w:t>
            </w:r>
            <w:r>
              <w:rPr>
                <w:rFonts w:hint="eastAsia" w:asciiTheme="minorEastAsia" w:hAnsiTheme="minorEastAsia" w:eastAsiaTheme="minorEastAsia" w:cstheme="minorEastAsia"/>
                <w:snapToGrid w:val="0"/>
                <w:sz w:val="21"/>
                <w:szCs w:val="21"/>
              </w:rPr>
              <w:t>。</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2、投标保证金缴纳方式（任选一种）：现金、银行保函、保险机构保证保险保单、融资担保公司保函。</w:t>
            </w:r>
          </w:p>
          <w:p>
            <w:pPr>
              <w:spacing w:line="400" w:lineRule="exact"/>
              <w:ind w:firstLine="422" w:firstLineChars="200"/>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（1）现金</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①电汇或网银转账（请不要使用“支付宝”等第三方支付平台），并通过“三门县建设工程项目交易系统”取得相应的取得投标保证金收款账户信息后支付，具体详见三门县公共资源交易中心网站“办事指南”栏目“三门县投标保证金（虚拟账户）缴纳操作说明”；</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②投标保证金应在投标截止时间前到交易中心账户。</w:t>
            </w:r>
          </w:p>
          <w:p>
            <w:pPr>
              <w:spacing w:line="400" w:lineRule="exact"/>
              <w:ind w:firstLine="422" w:firstLineChars="200"/>
              <w:rPr>
                <w:rFonts w:hint="eastAsia" w:asciiTheme="minorEastAsia" w:hAnsiTheme="minorEastAsia" w:eastAsiaTheme="minorEastAsia" w:cstheme="minorEastAsia"/>
                <w:b/>
                <w:bCs/>
                <w:snapToGrid w:val="0"/>
                <w:sz w:val="21"/>
                <w:szCs w:val="21"/>
                <w:u w:val="single"/>
              </w:rPr>
            </w:pPr>
            <w:r>
              <w:rPr>
                <w:rFonts w:hint="eastAsia" w:asciiTheme="minorEastAsia" w:hAnsiTheme="minorEastAsia" w:eastAsiaTheme="minorEastAsia" w:cstheme="minorEastAsia"/>
                <w:b/>
                <w:bCs/>
                <w:snapToGrid w:val="0"/>
                <w:sz w:val="21"/>
                <w:szCs w:val="21"/>
                <w:u w:val="single"/>
              </w:rPr>
              <w:t>（2）银行保函、保险机构保证保险保单、融资担保公司保函（以下合称“工程保函”）</w:t>
            </w:r>
          </w:p>
          <w:p>
            <w:pPr>
              <w:spacing w:line="400" w:lineRule="exact"/>
              <w:ind w:firstLine="420" w:firstLineChars="200"/>
              <w:rPr>
                <w:rFonts w:hint="eastAsia" w:asciiTheme="minorEastAsia" w:hAnsiTheme="minorEastAsia" w:eastAsiaTheme="minorEastAsia" w:cstheme="minorEastAsia"/>
                <w:snapToGrid w:val="0"/>
                <w:sz w:val="21"/>
                <w:szCs w:val="21"/>
                <w:u w:val="single"/>
              </w:rPr>
            </w:pPr>
            <w:r>
              <w:rPr>
                <w:rFonts w:hint="eastAsia" w:asciiTheme="minorEastAsia" w:hAnsiTheme="minorEastAsia" w:eastAsiaTheme="minorEastAsia" w:cstheme="minorEastAsia"/>
                <w:snapToGrid w:val="0"/>
                <w:sz w:val="21"/>
                <w:szCs w:val="21"/>
                <w:u w:val="single"/>
              </w:rPr>
              <w:t>①工程保函的受益人：</w:t>
            </w:r>
            <w:r>
              <w:rPr>
                <w:rFonts w:hint="eastAsia" w:asciiTheme="minorEastAsia" w:hAnsiTheme="minorEastAsia" w:eastAsiaTheme="minorEastAsia" w:cstheme="minorEastAsia"/>
                <w:snapToGrid w:val="0"/>
                <w:sz w:val="21"/>
                <w:szCs w:val="21"/>
                <w:u w:val="single"/>
                <w:lang w:eastAsia="zh-CN"/>
              </w:rPr>
              <w:t>三门县资源和能源集团有限公司</w:t>
            </w:r>
            <w:r>
              <w:rPr>
                <w:rFonts w:hint="eastAsia" w:asciiTheme="minorEastAsia" w:hAnsiTheme="minorEastAsia" w:eastAsiaTheme="minorEastAsia" w:cstheme="minorEastAsia"/>
                <w:snapToGrid w:val="0"/>
                <w:sz w:val="21"/>
                <w:szCs w:val="21"/>
                <w:u w:val="single"/>
              </w:rPr>
              <w:t>（招标人名称）；</w:t>
            </w:r>
          </w:p>
          <w:p>
            <w:pPr>
              <w:spacing w:line="400" w:lineRule="exact"/>
              <w:ind w:firstLine="420" w:firstLineChars="200"/>
              <w:rPr>
                <w:rFonts w:hint="eastAsia" w:asciiTheme="minorEastAsia" w:hAnsiTheme="minorEastAsia" w:eastAsiaTheme="minorEastAsia" w:cstheme="minorEastAsia"/>
                <w:b/>
                <w:bCs/>
                <w:snapToGrid w:val="0"/>
                <w:color w:val="auto"/>
                <w:sz w:val="21"/>
                <w:szCs w:val="21"/>
                <w:u w:val="single"/>
              </w:rPr>
            </w:pPr>
            <w:r>
              <w:rPr>
                <w:rFonts w:hint="eastAsia" w:asciiTheme="minorEastAsia" w:hAnsiTheme="minorEastAsia" w:eastAsiaTheme="minorEastAsia" w:cstheme="minorEastAsia"/>
                <w:snapToGrid w:val="0"/>
                <w:color w:val="auto"/>
                <w:sz w:val="21"/>
                <w:szCs w:val="21"/>
                <w:u w:val="single"/>
              </w:rPr>
              <w:t>②</w:t>
            </w:r>
            <w:r>
              <w:rPr>
                <w:rFonts w:hint="eastAsia" w:asciiTheme="minorEastAsia" w:hAnsiTheme="minorEastAsia" w:eastAsiaTheme="minorEastAsia" w:cstheme="minorEastAsia"/>
                <w:b/>
                <w:bCs/>
                <w:snapToGrid w:val="0"/>
                <w:color w:val="auto"/>
                <w:sz w:val="21"/>
                <w:szCs w:val="21"/>
                <w:u w:val="single"/>
              </w:rPr>
              <w:t>工程保函的有效期</w:t>
            </w:r>
            <w:r>
              <w:rPr>
                <w:rFonts w:hint="eastAsia" w:asciiTheme="minorEastAsia" w:hAnsiTheme="minorEastAsia" w:eastAsiaTheme="minorEastAsia" w:cstheme="minorEastAsia"/>
                <w:b/>
                <w:bCs/>
                <w:snapToGrid w:val="0"/>
                <w:color w:val="auto"/>
                <w:sz w:val="21"/>
                <w:szCs w:val="21"/>
                <w:u w:val="single"/>
                <w:lang w:eastAsia="zh-CN"/>
              </w:rPr>
              <w:t>为</w:t>
            </w:r>
            <w:r>
              <w:rPr>
                <w:rFonts w:hint="eastAsia" w:asciiTheme="minorEastAsia" w:hAnsiTheme="minorEastAsia" w:eastAsiaTheme="minorEastAsia" w:cstheme="minorEastAsia"/>
                <w:b/>
                <w:bCs/>
                <w:snapToGrid w:val="0"/>
                <w:color w:val="auto"/>
                <w:sz w:val="21"/>
                <w:szCs w:val="21"/>
                <w:u w:val="single"/>
              </w:rPr>
              <w:t>1年</w:t>
            </w:r>
            <w:r>
              <w:rPr>
                <w:rFonts w:hint="eastAsia" w:asciiTheme="minorEastAsia" w:hAnsiTheme="minorEastAsia" w:eastAsiaTheme="minorEastAsia" w:cstheme="minorEastAsia"/>
                <w:snapToGrid w:val="0"/>
                <w:color w:val="auto"/>
                <w:sz w:val="21"/>
                <w:szCs w:val="21"/>
                <w:u w:val="single"/>
              </w:rPr>
              <w:t>；</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③递交方式：</w:t>
            </w:r>
          </w:p>
          <w:p>
            <w:pPr>
              <w:spacing w:line="400" w:lineRule="exact"/>
              <w:ind w:firstLine="422" w:firstLineChars="200"/>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递交方式一（电子保函系统）</w:t>
            </w:r>
            <w:r>
              <w:rPr>
                <w:rFonts w:hint="eastAsia" w:asciiTheme="minorEastAsia" w:hAnsiTheme="minorEastAsia" w:eastAsiaTheme="minorEastAsia" w:cstheme="minorEastAsia"/>
                <w:snapToGrid w:val="0"/>
                <w:sz w:val="21"/>
                <w:szCs w:val="21"/>
              </w:rPr>
              <w:t>：</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通过三门县建设工程项目交易系统在“业务管理—费用管理”栏目选择“电子保函”递交方式，并按系统流程进行操作、申购电子保函。</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注：电子保单生效时间为投保第二天00:00,各投标人须在投标截止时间前1天申购电子保函；付款后请确认已收到出单提醒短信，或者在系统中查看保单状态为“已出单”，因未确认保函出单情况导致递交投标保证金失败的，所有后果由投标人自行承担。</w:t>
            </w:r>
          </w:p>
          <w:p>
            <w:pPr>
              <w:spacing w:line="400" w:lineRule="exact"/>
              <w:ind w:firstLine="422" w:firstLineChars="200"/>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递交方式二（非电子保函系统）</w:t>
            </w:r>
            <w:r>
              <w:rPr>
                <w:rFonts w:hint="eastAsia" w:asciiTheme="minorEastAsia" w:hAnsiTheme="minorEastAsia" w:eastAsiaTheme="minorEastAsia" w:cstheme="minorEastAsia"/>
                <w:snapToGrid w:val="0"/>
                <w:sz w:val="21"/>
                <w:szCs w:val="21"/>
              </w:rPr>
              <w:t>：</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采用电子文件投标的项目，工程保函电子版本（纸质保函的扫描件、以PDF等格式签盖电子印章的电子保函）作为电子投标文件的资信标组成部分，在投标截止时间前随电子投标文件的资信标一起上传交易系统进行递交。</w:t>
            </w:r>
            <w:r>
              <w:rPr>
                <w:rFonts w:hint="eastAsia" w:asciiTheme="minorEastAsia" w:hAnsiTheme="minorEastAsia" w:eastAsiaTheme="minorEastAsia" w:cstheme="minorEastAsia"/>
                <w:b/>
                <w:bCs/>
                <w:snapToGrid w:val="0"/>
                <w:sz w:val="21"/>
                <w:szCs w:val="21"/>
              </w:rPr>
              <w:t>电子版本形式的工程保函须注明“本保函的电子版本（纸质保函的扫描件、以PDF等格式签盖电子印章的电子保函）不影响索赔、代偿，与原件具有同等效力。”（如无法在工程保函中载明此条款的，可通过另签协议等方式进行约定，相关文件随工程保函一并提交）。</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3、注意事项</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①若招标文件允许联合体投标且投标人以联合体身份投标的，由联合体牵头人提交投标保证金；</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②投标保证金收款账号根据不同工程（标段）由系统随机生成，此账号只在本工程（标段）中使用有效，请注意核对；</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③因各银行系统到账时间不同，采用现金方式缴纳投标保证金的，请尽量提前缴纳，以实际到帐时间为准；</w:t>
            </w:r>
          </w:p>
          <w:p>
            <w:pPr>
              <w:spacing w:line="400" w:lineRule="exact"/>
              <w:ind w:firstLine="422" w:firstLineChars="200"/>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④以现金形式提交的投标保证金应当从投标人基本账户转出</w:t>
            </w:r>
            <w:r>
              <w:rPr>
                <w:rFonts w:hint="eastAsia" w:asciiTheme="minorEastAsia" w:hAnsiTheme="minorEastAsia" w:eastAsiaTheme="minorEastAsia" w:cstheme="minorEastAsia"/>
                <w:snapToGrid w:val="0"/>
                <w:sz w:val="21"/>
                <w:szCs w:val="21"/>
              </w:rPr>
              <w:t>；</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⑤若有疑问，请咨询技术服务热线：13968512856。</w:t>
            </w:r>
          </w:p>
          <w:p>
            <w:pPr>
              <w:spacing w:line="400" w:lineRule="exact"/>
              <w:ind w:firstLine="422"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b/>
                <w:bCs/>
                <w:snapToGrid w:val="0"/>
                <w:sz w:val="21"/>
                <w:szCs w:val="21"/>
              </w:rPr>
              <w:t>⑥以上未按要求提供或提供不清晰的，评标委员会可能做出不利于投标人的评审结果，由此造成的风险由投标人自行承担</w:t>
            </w:r>
            <w:r>
              <w:rPr>
                <w:rFonts w:hint="eastAsia" w:asciiTheme="minorEastAsia" w:hAnsiTheme="minorEastAsia" w:eastAsiaTheme="minorEastAsia" w:cstheme="minorEastAsia"/>
                <w:snapToGrid w:val="0"/>
                <w:sz w:val="21"/>
                <w:szCs w:val="21"/>
              </w:rPr>
              <w:t>。</w:t>
            </w:r>
          </w:p>
        </w:tc>
      </w:tr>
      <w:tr>
        <w:tblPrEx>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3.5</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ind w:left="141" w:right="137"/>
              <w:jc w:val="center"/>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snapToGrid w:val="0"/>
                <w:sz w:val="21"/>
                <w:szCs w:val="21"/>
              </w:rPr>
              <w:t>是否允许递交备选投标方案</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0"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snapToGrid w:val="0"/>
                <w:sz w:val="21"/>
                <w:szCs w:val="21"/>
              </w:rPr>
              <w:t>不允许</w:t>
            </w:r>
          </w:p>
        </w:tc>
      </w:tr>
      <w:tr>
        <w:tblPrEx>
          <w:tblCellMar>
            <w:top w:w="0" w:type="dxa"/>
            <w:left w:w="108" w:type="dxa"/>
            <w:bottom w:w="0" w:type="dxa"/>
            <w:right w:w="108" w:type="dxa"/>
          </w:tblCellMar>
        </w:tblPrEx>
        <w:trPr>
          <w:trHeight w:val="9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3.6.1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79" w:line="244" w:lineRule="auto"/>
              <w:ind w:right="153"/>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投标文件其它格式要求</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1、投标人应使用招标文件中提供的附件格式。表格如不够用时，可以按同样格式扩展。</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2、投标人投标文件建议采用A4型纸，图表可根据需要作适当扩展。</w:t>
            </w:r>
          </w:p>
          <w:p>
            <w:pPr>
              <w:spacing w:line="400" w:lineRule="exact"/>
              <w:ind w:firstLine="422" w:firstLineChars="200"/>
              <w:rPr>
                <w:rFonts w:hint="eastAsia" w:asciiTheme="minorEastAsia" w:hAnsiTheme="minorEastAsia" w:eastAsiaTheme="minorEastAsia" w:cstheme="minorEastAsia"/>
                <w:b/>
                <w:bCs/>
                <w:snapToGrid w:val="0"/>
                <w:color w:val="auto"/>
                <w:sz w:val="21"/>
                <w:szCs w:val="21"/>
              </w:rPr>
            </w:pPr>
            <w:r>
              <w:rPr>
                <w:rFonts w:hint="eastAsia" w:asciiTheme="minorEastAsia" w:hAnsiTheme="minorEastAsia" w:eastAsiaTheme="minorEastAsia" w:cstheme="minorEastAsia"/>
                <w:b/>
                <w:bCs/>
                <w:snapToGrid w:val="0"/>
                <w:color w:val="auto"/>
                <w:sz w:val="21"/>
                <w:szCs w:val="21"/>
              </w:rPr>
              <w:t>3、技术标为暗标，应按以下要求编制，否则以无效标处理：</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（1）监理大纲不得出现投标人名称、投标人的人员姓名及其他任何能影射或能推断出投标人的标记、文字描述及图案。</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（2）页数（封面、封底、目录除外）不得超过60页。</w:t>
            </w:r>
          </w:p>
          <w:p>
            <w:pPr>
              <w:spacing w:line="4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t>（3）监理大纲建议采用宋体，正文四号字体，行距1.5倍（图表除外）。</w:t>
            </w:r>
          </w:p>
        </w:tc>
      </w:tr>
      <w:tr>
        <w:tblPrEx>
          <w:tblCellMar>
            <w:top w:w="0" w:type="dxa"/>
            <w:left w:w="108" w:type="dxa"/>
            <w:bottom w:w="0" w:type="dxa"/>
            <w:right w:w="108" w:type="dxa"/>
          </w:tblCellMar>
        </w:tblPrEx>
        <w:trPr>
          <w:trHeight w:val="2693"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4.1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line="242" w:lineRule="auto"/>
              <w:ind w:right="10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投标文件递交要求</w:t>
            </w:r>
          </w:p>
        </w:tc>
        <w:tc>
          <w:tcPr>
            <w:tcW w:w="69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2"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b/>
                <w:bCs/>
                <w:snapToGrid w:val="0"/>
                <w:sz w:val="21"/>
                <w:szCs w:val="21"/>
              </w:rPr>
              <w:t>1、本项目采用不见面开标形式，</w:t>
            </w:r>
            <w:r>
              <w:rPr>
                <w:rFonts w:hint="eastAsia" w:asciiTheme="minorEastAsia" w:hAnsiTheme="minorEastAsia" w:eastAsiaTheme="minorEastAsia" w:cstheme="minorEastAsia"/>
                <w:snapToGrid w:val="0"/>
                <w:sz w:val="21"/>
                <w:szCs w:val="21"/>
              </w:rPr>
              <w:t>投标人无需到开标现场，电子投标文件上传至三门县工程建设电子交易平台（步骤如下），投标截止时间后对加密的投标文件进行远程解密，如远程解密遇有问题的请联系章宏涛 13968512856。</w:t>
            </w:r>
          </w:p>
          <w:p>
            <w:pPr>
              <w:spacing w:line="400" w:lineRule="exact"/>
              <w:ind w:firstLine="422"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b/>
                <w:bCs/>
                <w:snapToGrid w:val="0"/>
                <w:sz w:val="21"/>
                <w:szCs w:val="21"/>
              </w:rPr>
              <w:t>2、电子投标文件上传步骤：</w:t>
            </w:r>
            <w:r>
              <w:rPr>
                <w:rFonts w:hint="eastAsia" w:asciiTheme="minorEastAsia" w:hAnsiTheme="minorEastAsia" w:eastAsiaTheme="minorEastAsia" w:cstheme="minorEastAsia"/>
                <w:snapToGrid w:val="0"/>
                <w:sz w:val="21"/>
                <w:szCs w:val="21"/>
              </w:rPr>
              <w:t xml:space="preserve"> 1) 登录三门县工程建设电子交易平台（网址：gcjs.jyzx.sanmen.gov.cn）； 2) 须先在电子交易系统中下载投标项目招标文件，后在 “我的待办”，选择投标项目，点击“上传标书（后缀名.已加密投标文件）” 并保存。 投标人应在投标截止时间前上传完成电子投标文件。</w:t>
            </w:r>
          </w:p>
        </w:tc>
      </w:tr>
      <w:tr>
        <w:tblPrEx>
          <w:tblCellMar>
            <w:top w:w="0" w:type="dxa"/>
            <w:left w:w="108" w:type="dxa"/>
            <w:bottom w:w="0" w:type="dxa"/>
            <w:right w:w="108" w:type="dxa"/>
          </w:tblCellMar>
        </w:tblPrEx>
        <w:trPr>
          <w:trHeight w:val="47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4.1.2</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2" w:line="270" w:lineRule="atLeast"/>
              <w:ind w:right="153"/>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递交投标文件地点</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2"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b/>
                <w:snapToGrid w:val="0"/>
                <w:sz w:val="21"/>
                <w:szCs w:val="21"/>
              </w:rPr>
              <w:t>详见本工程招标公告</w:t>
            </w:r>
          </w:p>
        </w:tc>
      </w:tr>
      <w:tr>
        <w:tblPrEx>
          <w:tblCellMar>
            <w:top w:w="0" w:type="dxa"/>
            <w:left w:w="108" w:type="dxa"/>
            <w:bottom w:w="0" w:type="dxa"/>
            <w:right w:w="108" w:type="dxa"/>
          </w:tblCellMar>
        </w:tblPrEx>
        <w:trPr>
          <w:trHeight w:val="470"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4.1.3</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2" w:line="270" w:lineRule="atLeast"/>
              <w:ind w:right="153"/>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是否退还投标文件</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0"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snapToGrid w:val="0"/>
                <w:sz w:val="21"/>
                <w:szCs w:val="21"/>
              </w:rPr>
              <w:t>否</w:t>
            </w:r>
          </w:p>
        </w:tc>
      </w:tr>
      <w:tr>
        <w:tblPrEx>
          <w:tblCellMar>
            <w:top w:w="0" w:type="dxa"/>
            <w:left w:w="108" w:type="dxa"/>
            <w:bottom w:w="0" w:type="dxa"/>
            <w:right w:w="108" w:type="dxa"/>
          </w:tblCellMar>
        </w:tblPrEx>
        <w:trPr>
          <w:trHeight w:val="57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5.1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开标时间和地点</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 xml:space="preserve">详见本工程招标公告 </w:t>
            </w:r>
          </w:p>
        </w:tc>
      </w:tr>
      <w:tr>
        <w:tblPrEx>
          <w:tblCellMar>
            <w:top w:w="0" w:type="dxa"/>
            <w:left w:w="108" w:type="dxa"/>
            <w:bottom w:w="0" w:type="dxa"/>
            <w:right w:w="108" w:type="dxa"/>
          </w:tblCellMar>
        </w:tblPrEx>
        <w:trPr>
          <w:trHeight w:val="44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5.2</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71"/>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开标程序</w:t>
            </w:r>
          </w:p>
        </w:tc>
        <w:tc>
          <w:tcPr>
            <w:tcW w:w="6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1、本项目采用不见面开标形式，所有投标人的法定代表人或委托代理人在开标当日（投标截止时间前）登录三门县公共资源交易不见面开标大厅并签到，</w:t>
            </w:r>
            <w:r>
              <w:rPr>
                <w:rFonts w:hint="eastAsia" w:asciiTheme="minorEastAsia" w:hAnsiTheme="minorEastAsia" w:eastAsiaTheme="minorEastAsia" w:cstheme="minorEastAsia"/>
                <w:b/>
                <w:snapToGrid w:val="0"/>
                <w:sz w:val="21"/>
                <w:szCs w:val="21"/>
              </w:rPr>
              <w:t>未完成签到的，将无法解密投标文件，并视为放弃投标</w:t>
            </w:r>
            <w:r>
              <w:rPr>
                <w:rFonts w:hint="eastAsia" w:asciiTheme="minorEastAsia" w:hAnsiTheme="minorEastAsia" w:eastAsiaTheme="minorEastAsia" w:cstheme="minorEastAsia"/>
                <w:snapToGrid w:val="0"/>
                <w:sz w:val="21"/>
                <w:szCs w:val="21"/>
              </w:rPr>
              <w:t>。不见面开标大厅系统登录：插入CA锁并登录交易系统—业务办理—开评标—进入不见面开标系统。</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2、招标代理开启不见面开标系统视频直播，开标全过程录像由三门县公共资源交易中心录制保存备查。</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3、投标截止时间到达后，各投标人自行在不见面开标系统对电子投标文件进行解密，投标文件解密时间为</w:t>
            </w:r>
            <w:r>
              <w:rPr>
                <w:rFonts w:hint="eastAsia" w:asciiTheme="minorEastAsia" w:hAnsiTheme="minorEastAsia" w:eastAsiaTheme="minorEastAsia" w:cstheme="minorEastAsia"/>
                <w:b/>
                <w:bCs/>
                <w:snapToGrid w:val="0"/>
                <w:sz w:val="21"/>
                <w:szCs w:val="21"/>
              </w:rPr>
              <w:t>40分钟</w:t>
            </w:r>
            <w:r>
              <w:rPr>
                <w:rFonts w:hint="eastAsia" w:asciiTheme="minorEastAsia" w:hAnsiTheme="minorEastAsia" w:eastAsiaTheme="minorEastAsia" w:cstheme="minorEastAsia"/>
                <w:snapToGrid w:val="0"/>
                <w:sz w:val="21"/>
                <w:szCs w:val="21"/>
              </w:rPr>
              <w:t>（时间以招标人或招标代理机构确定“开始解密”时开始计算），逾期未解密的视为投标人放弃投标。</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4、招标代理现场公布解密投标人投标文件情况。</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5、评标委员会根据招标文件规定的程序及方法对投标文件进行评审。每个环节评审结果招标代理均在不见面开标大厅宣布。</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6、招标人代表现场抽取调整系数，抽取过程在不见面开标系统同步直播，接受招标监管机构人员监管。</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注：若有异常情况或疑问的，可通过不见面开标系统音视频交互跟开标人联系，或及时咨询品茗公司，技术服务电话：章宏涛，13968512856，也可加入QQ“三门交易平台交流群”（群号：146117595）进行业务咨询。</w:t>
            </w:r>
          </w:p>
        </w:tc>
      </w:tr>
      <w:tr>
        <w:tblPrEx>
          <w:tblCellMar>
            <w:top w:w="0" w:type="dxa"/>
            <w:left w:w="108" w:type="dxa"/>
            <w:bottom w:w="0" w:type="dxa"/>
            <w:right w:w="108" w:type="dxa"/>
          </w:tblCellMar>
        </w:tblPrEx>
        <w:trPr>
          <w:trHeight w:val="44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pStyle w:val="104"/>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7.4</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lang w:val="zh-CN" w:eastAsia="zh-CN" w:bidi="zh-CN"/>
              </w:rPr>
              <w:t>履约保证金</w:t>
            </w:r>
          </w:p>
        </w:tc>
        <w:tc>
          <w:tcPr>
            <w:tcW w:w="6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履约担保的方式、金额及期限: 工程履约担保金额为合同总价的2%；签订工程合同时提供。工程履约担保采用现金或工程保函（仅指银行保函、保险机构保证保险保单、</w:t>
            </w:r>
            <w:r>
              <w:rPr>
                <w:rFonts w:hint="eastAsia" w:asciiTheme="minorEastAsia" w:hAnsiTheme="minorEastAsia" w:eastAsiaTheme="minorEastAsia" w:cstheme="minorEastAsia"/>
                <w:b/>
                <w:bCs/>
                <w:snapToGrid w:val="0"/>
                <w:sz w:val="21"/>
                <w:szCs w:val="21"/>
                <w:u w:val="single"/>
              </w:rPr>
              <w:t>国企融资担保公司</w:t>
            </w:r>
            <w:r>
              <w:rPr>
                <w:rFonts w:hint="eastAsia" w:asciiTheme="minorEastAsia" w:hAnsiTheme="minorEastAsia" w:eastAsiaTheme="minorEastAsia" w:cstheme="minorEastAsia"/>
                <w:b/>
                <w:bCs/>
                <w:snapToGrid w:val="0"/>
                <w:sz w:val="21"/>
                <w:szCs w:val="21"/>
                <w:u w:val="single"/>
                <w:lang w:eastAsia="zh-CN"/>
              </w:rPr>
              <w:t>保函</w:t>
            </w:r>
            <w:r>
              <w:rPr>
                <w:rFonts w:hint="eastAsia" w:asciiTheme="minorEastAsia" w:hAnsiTheme="minorEastAsia" w:eastAsiaTheme="minorEastAsia" w:cstheme="minorEastAsia"/>
                <w:snapToGrid w:val="0"/>
                <w:sz w:val="21"/>
                <w:szCs w:val="21"/>
              </w:rPr>
              <w:t>）。如采用现金的，承包人必须通过其基本账户转出的转帐、电汇或银行汇票方式解入发包人指定帐户。采用银行保函、保险机构保证保险保单、</w:t>
            </w:r>
            <w:r>
              <w:rPr>
                <w:rFonts w:hint="eastAsia" w:asciiTheme="minorEastAsia" w:hAnsiTheme="minorEastAsia" w:eastAsiaTheme="minorEastAsia" w:cstheme="minorEastAsia"/>
                <w:b/>
                <w:bCs/>
                <w:snapToGrid w:val="0"/>
                <w:sz w:val="21"/>
                <w:szCs w:val="21"/>
                <w:u w:val="single"/>
              </w:rPr>
              <w:t>国企融资担保公司</w:t>
            </w:r>
            <w:r>
              <w:rPr>
                <w:rFonts w:hint="eastAsia" w:asciiTheme="minorEastAsia" w:hAnsiTheme="minorEastAsia" w:eastAsiaTheme="minorEastAsia" w:cstheme="minorEastAsia"/>
                <w:b/>
                <w:bCs/>
                <w:snapToGrid w:val="0"/>
                <w:sz w:val="21"/>
                <w:szCs w:val="21"/>
                <w:u w:val="single"/>
                <w:lang w:eastAsia="zh-CN"/>
              </w:rPr>
              <w:t>保函</w:t>
            </w:r>
            <w:r>
              <w:rPr>
                <w:rFonts w:hint="eastAsia" w:asciiTheme="minorEastAsia" w:hAnsiTheme="minorEastAsia" w:eastAsiaTheme="minorEastAsia" w:cstheme="minorEastAsia"/>
                <w:snapToGrid w:val="0"/>
                <w:sz w:val="21"/>
                <w:szCs w:val="21"/>
              </w:rPr>
              <w:t>（以下合称“履约保函”）的，要符合以下条件：（1）履约保函的受益人：</w:t>
            </w:r>
            <w:r>
              <w:rPr>
                <w:rFonts w:hint="eastAsia" w:asciiTheme="minorEastAsia" w:hAnsiTheme="minorEastAsia" w:eastAsiaTheme="minorEastAsia" w:cstheme="minorEastAsia"/>
                <w:snapToGrid w:val="0"/>
                <w:sz w:val="21"/>
                <w:szCs w:val="21"/>
                <w:lang w:eastAsia="zh-CN"/>
              </w:rPr>
              <w:t>三门县资源和能源集团有限公司</w:t>
            </w:r>
            <w:r>
              <w:rPr>
                <w:rFonts w:hint="eastAsia" w:asciiTheme="minorEastAsia" w:hAnsiTheme="minorEastAsia" w:eastAsiaTheme="minorEastAsia" w:cstheme="minorEastAsia"/>
                <w:snapToGrid w:val="0"/>
                <w:sz w:val="21"/>
                <w:szCs w:val="21"/>
              </w:rPr>
              <w:t>；（2）履约保函提交人为承包人；（3）履约保函的有效期为1年及以上，但是承包人必须承担费用并保证使履约保函按年出具并始终使其有效并足额相互衔接至至本工程竣工验收通过；（4）履约保函可以是独立保函或者非独立保函；非独立保函的保证方式：连带保证责任；（5）履约保函纠纷处理法院为三门县人民法院。</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特别约定：履约保函的合同性质为担保合同，承包人不得提交保险合同代替担保合同。承包人未按照本合同约定履行义务，需要用履约保证金赔偿损失时，由保函的开立人承担独立保函责任或者承担连带担保责任（非独立保函）；格式由出具单位自拟，但可以参照招标文件第四章附件</w:t>
            </w:r>
            <w:r>
              <w:rPr>
                <w:rFonts w:hint="eastAsia" w:asciiTheme="minorEastAsia" w:hAnsiTheme="minorEastAsia" w:eastAsiaTheme="minorEastAsia" w:cstheme="minorEastAsia"/>
                <w:snapToGrid w:val="0"/>
                <w:sz w:val="21"/>
                <w:szCs w:val="21"/>
                <w:lang w:val="en-US" w:eastAsia="zh-CN"/>
              </w:rPr>
              <w:t>1</w:t>
            </w:r>
            <w:r>
              <w:rPr>
                <w:rFonts w:hint="eastAsia" w:asciiTheme="minorEastAsia" w:hAnsiTheme="minorEastAsia" w:eastAsiaTheme="minorEastAsia" w:cstheme="minorEastAsia"/>
                <w:snapToGrid w:val="0"/>
                <w:sz w:val="21"/>
                <w:szCs w:val="21"/>
              </w:rPr>
              <w:t>格式，由发包人审核同意后采用。</w:t>
            </w:r>
          </w:p>
          <w:p>
            <w:pPr>
              <w:spacing w:line="400" w:lineRule="exact"/>
              <w:ind w:firstLine="420" w:firstLineChars="200"/>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民工工资支付担保的相关约定：按三人社[2019]41 号关于印发三门县建设领域民工工资管理办法（试行）的实施意见及浙建 [2020]7 号关于在全省工程建设领域改革保证金制度的通知等相关文件执行。</w:t>
            </w:r>
          </w:p>
        </w:tc>
      </w:tr>
      <w:tr>
        <w:tblPrEx>
          <w:tblCellMar>
            <w:top w:w="0" w:type="dxa"/>
            <w:left w:w="108" w:type="dxa"/>
            <w:bottom w:w="0" w:type="dxa"/>
            <w:right w:w="108" w:type="dxa"/>
          </w:tblCellMar>
        </w:tblPrEx>
        <w:trPr>
          <w:trHeight w:val="44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pStyle w:val="104"/>
              <w:spacing w:before="8"/>
              <w:ind w:left="268" w:right="262"/>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10</w:t>
            </w:r>
          </w:p>
        </w:tc>
        <w:tc>
          <w:tcPr>
            <w:tcW w:w="831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400" w:lineRule="exact"/>
              <w:ind w:firstLine="420" w:firstLineChars="200"/>
              <w:jc w:val="center"/>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需要补充的其他内容</w:t>
            </w:r>
          </w:p>
        </w:tc>
      </w:tr>
      <w:tr>
        <w:tblPrEx>
          <w:tblCellMar>
            <w:top w:w="0" w:type="dxa"/>
            <w:left w:w="108" w:type="dxa"/>
            <w:bottom w:w="0" w:type="dxa"/>
            <w:right w:w="108" w:type="dxa"/>
          </w:tblCellMar>
        </w:tblPrEx>
        <w:trPr>
          <w:trHeight w:val="686"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10.1</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line="242" w:lineRule="auto"/>
              <w:ind w:right="150"/>
              <w:jc w:val="center"/>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snapToGrid w:val="0"/>
                <w:sz w:val="21"/>
                <w:szCs w:val="21"/>
              </w:rPr>
              <w:t>电子投标文件编制</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422" w:firstLineChars="2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本工程的投标文件必须使用投标工具安装程序（三门投标编制4.0.2.8 版本）编制，下载地址及”建设工程电子投标编制操作手册”见  三门县公共资源交易网（网址：jyzx.sanmen.gov.cn）——下载中心 。电子投标文件的编制和递交，应依照 招标文件的规定进行。如未按招标文件要求编制、递交电子投标文件，将可能导致无效标， 其后果由投标人自负。投标工具的开发商可根据投标人的要求，提供必要的培训和技术指导。</w:t>
            </w:r>
          </w:p>
          <w:p>
            <w:pPr>
              <w:pStyle w:val="104"/>
              <w:spacing w:line="400" w:lineRule="exact"/>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snapToGrid w:val="0"/>
                <w:sz w:val="21"/>
                <w:szCs w:val="21"/>
              </w:rPr>
              <w:t>投标工具开发商：杭州品茗信息技术有限公司联系电话：章宏涛13968512856</w:t>
            </w:r>
          </w:p>
        </w:tc>
      </w:tr>
      <w:tr>
        <w:tblPrEx>
          <w:tblCellMar>
            <w:top w:w="0" w:type="dxa"/>
            <w:left w:w="108" w:type="dxa"/>
            <w:bottom w:w="0" w:type="dxa"/>
            <w:right w:w="108" w:type="dxa"/>
          </w:tblCellMar>
        </w:tblPrEx>
        <w:trPr>
          <w:trHeight w:val="698"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10.2</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line="242" w:lineRule="auto"/>
              <w:ind w:right="100"/>
              <w:jc w:val="center"/>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snapToGrid w:val="0"/>
                <w:sz w:val="21"/>
                <w:szCs w:val="21"/>
              </w:rPr>
              <w:t>中标后提交投标文件份数</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211" w:firstLineChars="1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中标候选人在领取中标通知书前，需向招标人提供纸质投标文件</w:t>
            </w:r>
            <w:r>
              <w:rPr>
                <w:rFonts w:hint="eastAsia" w:asciiTheme="minorEastAsia" w:hAnsiTheme="minorEastAsia" w:eastAsiaTheme="minorEastAsia" w:cstheme="minorEastAsia"/>
                <w:b/>
                <w:snapToGrid w:val="0"/>
                <w:sz w:val="21"/>
                <w:szCs w:val="21"/>
                <w:lang w:val="en-US"/>
              </w:rPr>
              <w:t>5份</w:t>
            </w:r>
            <w:r>
              <w:rPr>
                <w:rFonts w:hint="eastAsia" w:asciiTheme="minorEastAsia" w:hAnsiTheme="minorEastAsia" w:eastAsiaTheme="minorEastAsia" w:cstheme="minorEastAsia"/>
                <w:b/>
                <w:snapToGrid w:val="0"/>
                <w:sz w:val="21"/>
                <w:szCs w:val="21"/>
              </w:rPr>
              <w:t>（投标工具中所有内容打印成纸质文件，纸质文件上的水印码须与上传至“电子交易平台”上的投标文件的水印码一致）。</w:t>
            </w:r>
          </w:p>
        </w:tc>
      </w:tr>
      <w:tr>
        <w:tblPrEx>
          <w:tblCellMar>
            <w:top w:w="0" w:type="dxa"/>
            <w:left w:w="108" w:type="dxa"/>
            <w:bottom w:w="0" w:type="dxa"/>
            <w:right w:w="108" w:type="dxa"/>
          </w:tblCellMar>
        </w:tblPrEx>
        <w:trPr>
          <w:trHeight w:val="69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bCs/>
                <w:snapToGrid w:val="0"/>
                <w:sz w:val="21"/>
                <w:szCs w:val="21"/>
              </w:rPr>
              <w:t>10.3</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jc w:val="center"/>
              <w:rPr>
                <w:rFonts w:hint="eastAsia" w:asciiTheme="minorEastAsia" w:hAnsiTheme="minorEastAsia" w:eastAsiaTheme="minorEastAsia" w:cstheme="minorEastAsia"/>
                <w:b/>
                <w:bCs/>
                <w:snapToGrid w:val="0"/>
                <w:sz w:val="21"/>
                <w:szCs w:val="21"/>
              </w:rPr>
            </w:pPr>
            <w:r>
              <w:rPr>
                <w:rFonts w:hint="eastAsia" w:asciiTheme="minorEastAsia" w:hAnsiTheme="minorEastAsia" w:eastAsiaTheme="minorEastAsia" w:cstheme="minorEastAsia"/>
                <w:b/>
                <w:snapToGrid w:val="0"/>
                <w:sz w:val="21"/>
                <w:szCs w:val="21"/>
              </w:rPr>
              <w:t>温馨提示</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211" w:firstLineChars="1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投标人须在递交投标保证金前在三门县工程建设电子交易平台中注册并核验通过。</w:t>
            </w:r>
          </w:p>
        </w:tc>
      </w:tr>
      <w:tr>
        <w:tblPrEx>
          <w:tblCellMar>
            <w:top w:w="0" w:type="dxa"/>
            <w:left w:w="108" w:type="dxa"/>
            <w:bottom w:w="0" w:type="dxa"/>
            <w:right w:w="108" w:type="dxa"/>
          </w:tblCellMar>
        </w:tblPrEx>
        <w:trPr>
          <w:trHeight w:val="691" w:hRule="atLeast"/>
          <w:jc w:val="center"/>
        </w:trPr>
        <w:tc>
          <w:tcPr>
            <w:tcW w:w="10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napToGrid w:val="0"/>
                <w:sz w:val="21"/>
                <w:szCs w:val="21"/>
                <w:lang w:val="en-US" w:eastAsia="zh-CN"/>
              </w:rPr>
            </w:pPr>
            <w:bookmarkStart w:id="47" w:name="_Toc152045529"/>
            <w:bookmarkStart w:id="48" w:name="_Toc144974497"/>
            <w:bookmarkStart w:id="49" w:name="_Toc152042305"/>
            <w:r>
              <w:rPr>
                <w:rFonts w:hint="eastAsia" w:asciiTheme="minorEastAsia" w:hAnsiTheme="minorEastAsia" w:eastAsiaTheme="minorEastAsia" w:cstheme="minorEastAsia"/>
                <w:b/>
                <w:bCs/>
                <w:snapToGrid w:val="0"/>
                <w:sz w:val="21"/>
                <w:szCs w:val="21"/>
                <w:lang w:val="en-US" w:eastAsia="zh-CN"/>
              </w:rPr>
              <w:t>10.4</w:t>
            </w:r>
          </w:p>
        </w:tc>
        <w:tc>
          <w:tcPr>
            <w:tcW w:w="1400" w:type="dxa"/>
            <w:tcBorders>
              <w:top w:val="single" w:color="auto" w:sz="4" w:space="0"/>
              <w:left w:val="single" w:color="auto" w:sz="4" w:space="0"/>
              <w:bottom w:val="single" w:color="auto" w:sz="4" w:space="0"/>
              <w:right w:val="single" w:color="auto" w:sz="4" w:space="0"/>
            </w:tcBorders>
            <w:vAlign w:val="center"/>
          </w:tcPr>
          <w:p>
            <w:pPr>
              <w:pStyle w:val="104"/>
              <w:spacing w:before="1"/>
              <w:jc w:val="center"/>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color w:val="auto"/>
                <w:sz w:val="21"/>
                <w:szCs w:val="21"/>
              </w:rPr>
              <w:t>其他</w:t>
            </w:r>
          </w:p>
        </w:tc>
        <w:tc>
          <w:tcPr>
            <w:tcW w:w="6913" w:type="dxa"/>
            <w:tcBorders>
              <w:top w:val="single" w:color="auto" w:sz="4" w:space="0"/>
              <w:left w:val="single" w:color="auto" w:sz="4" w:space="0"/>
              <w:bottom w:val="single" w:color="auto" w:sz="4" w:space="0"/>
              <w:right w:val="single" w:color="auto" w:sz="4" w:space="0"/>
            </w:tcBorders>
            <w:vAlign w:val="center"/>
          </w:tcPr>
          <w:p>
            <w:pPr>
              <w:pStyle w:val="104"/>
              <w:spacing w:line="400" w:lineRule="exact"/>
              <w:ind w:firstLine="210" w:firstLineChars="100"/>
              <w:rPr>
                <w:rFonts w:hint="eastAsia"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color w:val="auto"/>
                <w:sz w:val="21"/>
                <w:szCs w:val="21"/>
              </w:rPr>
              <w:t>本次招标代理服务费为人民币</w:t>
            </w:r>
            <w:r>
              <w:rPr>
                <w:rFonts w:hint="eastAsia" w:asciiTheme="minorEastAsia" w:hAnsiTheme="minorEastAsia" w:eastAsiaTheme="minorEastAsia" w:cstheme="minorEastAsia"/>
                <w:color w:val="auto"/>
                <w:sz w:val="21"/>
                <w:szCs w:val="21"/>
                <w:u w:val="single"/>
                <w:lang w:val="en-US" w:eastAsia="zh-CN"/>
              </w:rPr>
              <w:t>48000</w:t>
            </w:r>
            <w:r>
              <w:rPr>
                <w:rFonts w:hint="eastAsia" w:asciiTheme="minorEastAsia" w:hAnsiTheme="minorEastAsia" w:eastAsiaTheme="minorEastAsia" w:cstheme="minorEastAsia"/>
                <w:color w:val="auto"/>
                <w:sz w:val="21"/>
                <w:szCs w:val="21"/>
              </w:rPr>
              <w:t>元，由中标</w:t>
            </w:r>
            <w:r>
              <w:rPr>
                <w:rFonts w:hint="eastAsia" w:asciiTheme="minorEastAsia" w:hAnsiTheme="minorEastAsia" w:eastAsiaTheme="minorEastAsia" w:cstheme="minorEastAsia"/>
                <w:color w:val="auto"/>
                <w:sz w:val="21"/>
                <w:szCs w:val="21"/>
                <w:lang w:eastAsia="zh-CN"/>
              </w:rPr>
              <w:t>单位</w:t>
            </w:r>
            <w:r>
              <w:rPr>
                <w:rFonts w:hint="eastAsia" w:asciiTheme="minorEastAsia" w:hAnsiTheme="minorEastAsia" w:eastAsiaTheme="minorEastAsia" w:cstheme="minorEastAsia"/>
                <w:color w:val="auto"/>
                <w:sz w:val="21"/>
                <w:szCs w:val="21"/>
              </w:rPr>
              <w:t>承担，在领取中标通知书时一次性付清。</w:t>
            </w:r>
          </w:p>
        </w:tc>
      </w:tr>
    </w:tbl>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bookmarkStart w:id="50" w:name="_TOC_250024"/>
      <w:bookmarkEnd w:id="50"/>
    </w:p>
    <w:p>
      <w:pPr>
        <w:pStyle w:val="3"/>
        <w:ind w:firstLine="210"/>
        <w:rPr>
          <w:snapToGrid w:val="0"/>
        </w:rPr>
      </w:pPr>
      <w:r>
        <w:rPr>
          <w:snapToGrid w:val="0"/>
        </w:rPr>
        <w:br w:type="page"/>
      </w:r>
    </w:p>
    <w:p>
      <w:pPr>
        <w:pStyle w:val="6"/>
        <w:spacing w:before="120" w:beforeLines="50" w:line="360" w:lineRule="auto"/>
        <w:ind w:left="0" w:right="0" w:firstLine="422" w:firstLineChars="200"/>
        <w:jc w:val="both"/>
        <w:rPr>
          <w:rFonts w:ascii="Times New Roman" w:hAnsi="Times New Roman" w:cs="Times New Roman" w:eastAsiaTheme="minorEastAsia"/>
          <w:snapToGrid w:val="0"/>
          <w:sz w:val="21"/>
          <w:szCs w:val="21"/>
        </w:rPr>
      </w:pPr>
      <w:bookmarkStart w:id="51" w:name="_Toc28549"/>
      <w:r>
        <w:rPr>
          <w:rFonts w:ascii="Times New Roman" w:hAnsi="Times New Roman" w:cs="Times New Roman" w:eastAsiaTheme="minorEastAsia"/>
          <w:snapToGrid w:val="0"/>
          <w:sz w:val="21"/>
          <w:szCs w:val="21"/>
        </w:rPr>
        <w:t>1. 总则</w:t>
      </w:r>
      <w:bookmarkEnd w:id="47"/>
      <w:bookmarkEnd w:id="48"/>
      <w:bookmarkEnd w:id="49"/>
      <w:bookmarkEnd w:id="51"/>
    </w:p>
    <w:p>
      <w:pPr>
        <w:snapToGrid w:val="0"/>
        <w:spacing w:line="360" w:lineRule="auto"/>
        <w:ind w:firstLine="420" w:firstLineChars="200"/>
        <w:rPr>
          <w:rFonts w:ascii="Times New Roman" w:hAnsi="Times New Roman" w:cs="Times New Roman" w:eastAsiaTheme="minorEastAsia"/>
          <w:snapToGrid w:val="0"/>
          <w:sz w:val="21"/>
          <w:szCs w:val="21"/>
        </w:rPr>
      </w:pPr>
      <w:bookmarkStart w:id="52" w:name="_Toc8305320"/>
      <w:bookmarkStart w:id="53" w:name="_Toc16521918"/>
      <w:bookmarkStart w:id="54" w:name="_Toc29309"/>
      <w:bookmarkStart w:id="55" w:name="_Toc152045530"/>
      <w:bookmarkStart w:id="56" w:name="_Toc179632547"/>
      <w:bookmarkStart w:id="57" w:name="_Toc237769243"/>
      <w:bookmarkStart w:id="58" w:name="_Toc372899812"/>
      <w:bookmarkStart w:id="59" w:name="_Toc321925372"/>
      <w:bookmarkStart w:id="60" w:name="_Toc18301"/>
      <w:bookmarkStart w:id="61" w:name="_Toc288556237"/>
      <w:bookmarkStart w:id="62" w:name="_Toc394573883"/>
      <w:bookmarkStart w:id="63" w:name="_Toc237768779"/>
      <w:bookmarkStart w:id="64" w:name="_Toc282596250"/>
      <w:bookmarkStart w:id="65" w:name="_Toc144974498"/>
      <w:bookmarkStart w:id="66" w:name="_Toc283976486"/>
      <w:bookmarkStart w:id="67" w:name="_Toc152042306"/>
      <w:bookmarkStart w:id="68" w:name="_Toc283886195"/>
      <w:bookmarkStart w:id="69" w:name="_Toc372899689"/>
      <w:bookmarkStart w:id="70" w:name="_Toc26533"/>
      <w:r>
        <w:rPr>
          <w:rFonts w:ascii="Times New Roman" w:hAnsi="Times New Roman" w:cs="Times New Roman" w:eastAsiaTheme="minorEastAsia"/>
          <w:snapToGrid w:val="0"/>
          <w:sz w:val="21"/>
          <w:szCs w:val="21"/>
        </w:rPr>
        <w:t>1.1 工程概况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1.1.1根据《中华人民共和国招标投标法》等有关法律、法规和规章的规定，本招标工程已具备招标条件，现对本招标工程进行招标。</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1.1.2 本招标工程招标人：见投标人须知前附表。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1.1.3 本招标工程招标代理机构：见投标人须知前附表。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1.1.4 本招标工程名称：见投标人须知前附表。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1.1.5 本招标工程建设地点：见投标人须知前附表。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1.1.6 本招标工程工程规模：见投标人须知前附表。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1.1.7本招标工程工程概算投资额：见投标人须知前附表。</w:t>
      </w:r>
    </w:p>
    <w:p>
      <w:pPr>
        <w:snapToGrid w:val="0"/>
        <w:spacing w:line="360" w:lineRule="auto"/>
        <w:ind w:firstLine="420" w:firstLineChars="200"/>
        <w:rPr>
          <w:rFonts w:ascii="Times New Roman" w:hAnsi="Times New Roman" w:cs="Times New Roman" w:eastAsiaTheme="minorEastAsia"/>
          <w:snapToGrid w:val="0"/>
          <w:sz w:val="21"/>
          <w:szCs w:val="21"/>
        </w:rPr>
      </w:pPr>
      <w:bookmarkStart w:id="71" w:name="_Toc237768780"/>
      <w:bookmarkStart w:id="72" w:name="_Toc152045531"/>
      <w:bookmarkStart w:id="73" w:name="_Toc283886196"/>
      <w:bookmarkStart w:id="74" w:name="_Toc8009"/>
      <w:bookmarkStart w:id="75" w:name="_Toc237769244"/>
      <w:bookmarkStart w:id="76" w:name="_Toc9969"/>
      <w:bookmarkStart w:id="77" w:name="_Toc283976487"/>
      <w:bookmarkStart w:id="78" w:name="_Toc372899813"/>
      <w:bookmarkStart w:id="79" w:name="_Toc152042307"/>
      <w:bookmarkStart w:id="80" w:name="_Toc3723"/>
      <w:bookmarkStart w:id="81" w:name="_Toc179632548"/>
      <w:bookmarkStart w:id="82" w:name="_Toc282596251"/>
      <w:bookmarkStart w:id="83" w:name="_Toc144974499"/>
      <w:bookmarkStart w:id="84" w:name="_Toc372899690"/>
      <w:bookmarkStart w:id="85" w:name="_Toc16521919"/>
      <w:bookmarkStart w:id="86" w:name="_Toc394573884"/>
      <w:bookmarkStart w:id="87" w:name="_Toc321925373"/>
      <w:bookmarkStart w:id="88" w:name="_Toc8305321"/>
      <w:bookmarkStart w:id="89" w:name="_Toc288556238"/>
      <w:r>
        <w:rPr>
          <w:rFonts w:ascii="Times New Roman" w:hAnsi="Times New Roman" w:cs="Times New Roman" w:eastAsiaTheme="minorEastAsia"/>
          <w:snapToGrid w:val="0"/>
          <w:sz w:val="21"/>
          <w:szCs w:val="21"/>
        </w:rPr>
        <w:t>1.2 资金来源和落实情况</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1.2.1 本招标工程的资金来源及出资比例：见投标人须知前附表。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1.2.2 本招标工程的资金落实情况：见投标人须知前附表。</w:t>
      </w:r>
    </w:p>
    <w:p>
      <w:pPr>
        <w:snapToGrid w:val="0"/>
        <w:spacing w:line="360" w:lineRule="auto"/>
        <w:ind w:firstLine="420" w:firstLineChars="200"/>
        <w:rPr>
          <w:rFonts w:ascii="Times New Roman" w:hAnsi="Times New Roman" w:cs="Times New Roman" w:eastAsiaTheme="minorEastAsia"/>
          <w:snapToGrid w:val="0"/>
          <w:sz w:val="21"/>
          <w:szCs w:val="21"/>
        </w:rPr>
      </w:pPr>
      <w:bookmarkStart w:id="90" w:name="_Toc152045532"/>
      <w:bookmarkStart w:id="91" w:name="_Toc283976488"/>
      <w:bookmarkStart w:id="92" w:name="_Toc13521"/>
      <w:bookmarkStart w:id="93" w:name="_Toc282596252"/>
      <w:bookmarkStart w:id="94" w:name="_Toc372899814"/>
      <w:bookmarkStart w:id="95" w:name="_Toc283886197"/>
      <w:bookmarkStart w:id="96" w:name="_Toc8305322"/>
      <w:bookmarkStart w:id="97" w:name="_Toc179632549"/>
      <w:bookmarkStart w:id="98" w:name="_Toc237769245"/>
      <w:bookmarkStart w:id="99" w:name="_Toc321925374"/>
      <w:bookmarkStart w:id="100" w:name="_Toc144974500"/>
      <w:bookmarkStart w:id="101" w:name="_Toc3712"/>
      <w:bookmarkStart w:id="102" w:name="_Toc237768781"/>
      <w:bookmarkStart w:id="103" w:name="_Toc372899691"/>
      <w:bookmarkStart w:id="104" w:name="_Toc152042308"/>
      <w:bookmarkStart w:id="105" w:name="_Toc394573885"/>
      <w:bookmarkStart w:id="106" w:name="_Toc16521920"/>
      <w:bookmarkStart w:id="107" w:name="_Toc11986"/>
      <w:bookmarkStart w:id="108" w:name="_Toc288556239"/>
      <w:r>
        <w:rPr>
          <w:rFonts w:ascii="Times New Roman" w:hAnsi="Times New Roman" w:cs="Times New Roman" w:eastAsiaTheme="minorEastAsia"/>
          <w:snapToGrid w:val="0"/>
          <w:sz w:val="21"/>
          <w:szCs w:val="21"/>
        </w:rPr>
        <w:t>1.3 招标范围、计划工期和质量要求</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1.3.1 本招标工程的招标范围：见投标人须知前附表。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1.3.2 本招标工程的监理期限要求：见投标人须知前附表。</w:t>
      </w:r>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1.3.3 本招标工程的质量等级要求：见投标人须知前附表。</w:t>
      </w:r>
    </w:p>
    <w:p>
      <w:pPr>
        <w:snapToGrid w:val="0"/>
        <w:spacing w:line="360" w:lineRule="auto"/>
        <w:ind w:firstLine="420" w:firstLineChars="200"/>
        <w:rPr>
          <w:rFonts w:ascii="Times New Roman" w:hAnsi="Times New Roman" w:cs="Times New Roman" w:eastAsiaTheme="minorEastAsia"/>
          <w:snapToGrid w:val="0"/>
          <w:sz w:val="21"/>
          <w:szCs w:val="21"/>
        </w:rPr>
      </w:pPr>
      <w:bookmarkStart w:id="109" w:name="_Toc372899815"/>
      <w:bookmarkStart w:id="110" w:name="_Toc144974501"/>
      <w:bookmarkStart w:id="111" w:name="_Toc372899692"/>
      <w:bookmarkStart w:id="112" w:name="_Toc237768782"/>
      <w:bookmarkStart w:id="113" w:name="_Toc152045533"/>
      <w:bookmarkStart w:id="114" w:name="_Toc283976489"/>
      <w:bookmarkStart w:id="115" w:name="_Toc288556240"/>
      <w:bookmarkStart w:id="116" w:name="_Toc394573886"/>
      <w:bookmarkStart w:id="117" w:name="_Toc19705"/>
      <w:bookmarkStart w:id="118" w:name="_Toc276"/>
      <w:bookmarkStart w:id="119" w:name="_Toc283886198"/>
      <w:bookmarkStart w:id="120" w:name="_Toc16521921"/>
      <w:bookmarkStart w:id="121" w:name="_Toc321925375"/>
      <w:bookmarkStart w:id="122" w:name="_Toc8305323"/>
      <w:bookmarkStart w:id="123" w:name="_Toc237769246"/>
      <w:bookmarkStart w:id="124" w:name="_Toc25878"/>
      <w:bookmarkStart w:id="125" w:name="_Toc152042309"/>
      <w:bookmarkStart w:id="126" w:name="_Toc282596253"/>
      <w:bookmarkStart w:id="127" w:name="_Toc179632550"/>
      <w:r>
        <w:rPr>
          <w:rFonts w:ascii="Times New Roman" w:hAnsi="Times New Roman" w:cs="Times New Roman" w:eastAsiaTheme="minorEastAsia"/>
          <w:snapToGrid w:val="0"/>
          <w:sz w:val="21"/>
          <w:szCs w:val="21"/>
        </w:rPr>
        <w:t>1.4 投标人资格要求</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1.4.1投标人应具备承担本监理招标工程的资质、资格和其他要求。</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（1）投标人资质条件：见投标人须知前附表；</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（2）总监理工程师资格：见投标人须知前附表；</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（3）其他要求：</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1）总监理工程师在本工程投标文件提交截止日前在监项目要求：</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（1）在三门县范围内不得有超过 2 个在监项目中担任总监理工程师。</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（2）在三门县外无在监项目【项目竣工（交工）验收以后不作在监项目，以竣工（交工）验收记录为准】担任总监理工程师。</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（3）总监理工程师在原承接项目的中标候选人公示、中标公示、中标通知书、合同、施工许可证、现场公告牌、管理部门的网站或文件中载明担任总监理工程师岗位的，均视为已承接该项目。</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（4）总监理工程师在原承接项目中发生变更的，在原承接项目未通过竣工（交工）验收前，原承接项目均视作总监理工程师的在建项目。</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（5）有下列情形之一，且经原项目建设单位书面同意可承接其他项目的，视为总监理工程师该项目不在监： </w:t>
      </w:r>
    </w:p>
    <w:p>
      <w:pPr>
        <w:snapToGrid w:val="0"/>
        <w:spacing w:line="360" w:lineRule="auto"/>
        <w:ind w:firstLine="420" w:firstLineChars="200"/>
        <w:rPr>
          <w:rFonts w:ascii="Times New Roman" w:hAnsi="Times New Roman" w:cs="Times New Roman" w:eastAsiaTheme="minorEastAsia"/>
          <w:snapToGrid w:val="0"/>
          <w:sz w:val="21"/>
          <w:szCs w:val="21"/>
        </w:rPr>
      </w:pPr>
      <w:r>
        <w:rPr>
          <w:rFonts w:hint="eastAsia"/>
          <w:snapToGrid w:val="0"/>
          <w:sz w:val="21"/>
          <w:szCs w:val="21"/>
        </w:rPr>
        <w:t>①</w:t>
      </w:r>
      <w:r>
        <w:rPr>
          <w:rFonts w:ascii="Times New Roman" w:hAnsi="Times New Roman" w:cs="Times New Roman" w:eastAsiaTheme="minorEastAsia"/>
          <w:snapToGrid w:val="0"/>
          <w:sz w:val="21"/>
          <w:szCs w:val="21"/>
        </w:rPr>
        <w:t xml:space="preserve">合同约定的工程已完工，承包方向建设单位提交竣工（交工）报告时间已超过 90 天（含）（须提供经工程所在地建设行政主管部门书面证明原件和竣工（交工）报告原件） </w:t>
      </w:r>
    </w:p>
    <w:p>
      <w:pPr>
        <w:snapToGrid w:val="0"/>
        <w:spacing w:line="360" w:lineRule="auto"/>
        <w:ind w:firstLine="420" w:firstLineChars="200"/>
        <w:rPr>
          <w:rFonts w:ascii="Times New Roman" w:hAnsi="Times New Roman" w:cs="Times New Roman" w:eastAsiaTheme="minorEastAsia"/>
          <w:snapToGrid w:val="0"/>
          <w:sz w:val="21"/>
          <w:szCs w:val="21"/>
        </w:rPr>
      </w:pPr>
      <w:r>
        <w:rPr>
          <w:rFonts w:hint="eastAsia"/>
          <w:snapToGrid w:val="0"/>
          <w:sz w:val="21"/>
          <w:szCs w:val="21"/>
        </w:rPr>
        <w:t>②</w:t>
      </w:r>
      <w:r>
        <w:rPr>
          <w:rFonts w:ascii="Times New Roman" w:hAnsi="Times New Roman" w:cs="Times New Roman" w:eastAsiaTheme="minorEastAsia"/>
          <w:snapToGrid w:val="0"/>
          <w:sz w:val="21"/>
          <w:szCs w:val="21"/>
        </w:rPr>
        <w:t xml:space="preserve">工程因故停止（或者暂停）建设达 3 个月以上的（须提供经工程所在地建设行政主管部门书面证明原件）； </w:t>
      </w:r>
    </w:p>
    <w:p>
      <w:pPr>
        <w:snapToGrid w:val="0"/>
        <w:spacing w:line="360" w:lineRule="auto"/>
        <w:ind w:firstLine="420" w:firstLineChars="200"/>
        <w:rPr>
          <w:rFonts w:ascii="Times New Roman" w:hAnsi="Times New Roman" w:cs="Times New Roman" w:eastAsiaTheme="minorEastAsia"/>
          <w:snapToGrid w:val="0"/>
          <w:sz w:val="21"/>
          <w:szCs w:val="21"/>
        </w:rPr>
      </w:pPr>
      <w:r>
        <w:rPr>
          <w:rFonts w:hint="eastAsia"/>
          <w:snapToGrid w:val="0"/>
          <w:sz w:val="21"/>
          <w:szCs w:val="21"/>
        </w:rPr>
        <w:t>③</w:t>
      </w:r>
      <w:r>
        <w:rPr>
          <w:rFonts w:ascii="Times New Roman" w:hAnsi="Times New Roman" w:cs="Times New Roman" w:eastAsiaTheme="minorEastAsia"/>
          <w:snapToGrid w:val="0"/>
          <w:sz w:val="21"/>
          <w:szCs w:val="21"/>
        </w:rPr>
        <w:t>工程申领《工程施工许可证》后未开工达 3 个月以上的（须提供经工程所在地建设行政主管部门书面证明原件）。</w:t>
      </w:r>
    </w:p>
    <w:p>
      <w:pPr>
        <w:snapToGrid w:val="0"/>
        <w:spacing w:line="360" w:lineRule="auto"/>
        <w:ind w:firstLine="422" w:firstLineChars="200"/>
        <w:rPr>
          <w:rFonts w:ascii="Times New Roman" w:hAnsi="Times New Roman" w:cs="Times New Roman" w:eastAsiaTheme="minorEastAsia"/>
          <w:b/>
          <w:bCs/>
          <w:snapToGrid w:val="0"/>
          <w:sz w:val="21"/>
          <w:szCs w:val="21"/>
          <w:lang w:val="en-US" w:bidi="ar-SA"/>
        </w:rPr>
      </w:pPr>
      <w:r>
        <w:rPr>
          <w:rFonts w:ascii="Times New Roman" w:hAnsi="Times New Roman" w:cs="Times New Roman" w:eastAsiaTheme="minorEastAsia"/>
          <w:b/>
          <w:bCs/>
          <w:snapToGrid w:val="0"/>
          <w:sz w:val="21"/>
          <w:szCs w:val="21"/>
          <w:lang w:val="en-US" w:bidi="ar-SA"/>
        </w:rPr>
        <w:t>如发生以上情形的，投标人应在投标文件中提交有关书面证明材料（以电子文档形式随资信标上传，招标文件提供证明格式的须按照该格式提交），投标截止时间后提供的证明材料视为瞒报、漏报，将不予认可。</w:t>
      </w:r>
    </w:p>
    <w:p>
      <w:pPr>
        <w:snapToGrid w:val="0"/>
        <w:spacing w:line="360" w:lineRule="auto"/>
        <w:ind w:firstLine="420"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snapToGrid w:val="0"/>
          <w:sz w:val="21"/>
          <w:szCs w:val="21"/>
        </w:rPr>
        <w:t>2）</w:t>
      </w:r>
      <w:r>
        <w:rPr>
          <w:rFonts w:ascii="Times New Roman" w:hAnsi="Times New Roman" w:cs="Times New Roman" w:eastAsiaTheme="minorEastAsia"/>
          <w:b/>
          <w:snapToGrid w:val="0"/>
          <w:sz w:val="21"/>
          <w:szCs w:val="21"/>
        </w:rPr>
        <w:t>总监不得同时在两个或者两个以上单位受聘或者执业（仅指总监不得同时是其他单位的公务员或者事业单位在编人员，涉及到其他情形的，投标资格不受影响）。</w:t>
      </w:r>
    </w:p>
    <w:p>
      <w:pPr>
        <w:snapToGrid w:val="0"/>
        <w:spacing w:line="360" w:lineRule="auto"/>
        <w:ind w:firstLine="440" w:firstLineChars="200"/>
        <w:rPr>
          <w:rFonts w:ascii="Times New Roman" w:hAnsi="Times New Roman" w:cs="Times New Roman" w:eastAsiaTheme="minorEastAsia"/>
          <w:b/>
          <w:snapToGrid w:val="0"/>
        </w:rPr>
      </w:pPr>
      <w:r>
        <w:rPr>
          <w:rFonts w:ascii="Times New Roman" w:hAnsi="Times New Roman" w:cs="Times New Roman" w:eastAsiaTheme="minorEastAsia"/>
          <w:snapToGrid w:val="0"/>
        </w:rPr>
        <w:t>1.4.2</w:t>
      </w:r>
      <w:r>
        <w:rPr>
          <w:rFonts w:hint="eastAsia" w:ascii="Times New Roman" w:hAnsi="Times New Roman" w:cs="Times New Roman" w:eastAsiaTheme="minorEastAsia"/>
          <w:snapToGrid w:val="0"/>
        </w:rPr>
        <w:t>投标人</w:t>
      </w:r>
      <w:r>
        <w:rPr>
          <w:rFonts w:hint="eastAsia" w:ascii="Times New Roman" w:hAnsi="Times New Roman" w:cs="Times New Roman" w:eastAsiaTheme="minorEastAsia"/>
          <w:b/>
          <w:bCs/>
          <w:snapToGrid w:val="0"/>
        </w:rPr>
        <w:t>（联合体投标的，指联合体各方）</w:t>
      </w:r>
      <w:r>
        <w:rPr>
          <w:rFonts w:hint="eastAsia" w:ascii="Times New Roman" w:hAnsi="Times New Roman" w:cs="Times New Roman" w:eastAsiaTheme="minorEastAsia"/>
          <w:snapToGrid w:val="0"/>
        </w:rPr>
        <w:t>不得存在下列情形之一：</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（1）为招标人不具有独立法人资格的附属机构（单位）； </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（2）为本招标项目提供招标代理服务的；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（3）为本工程的代建人；</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（4）为本工程的施工承包人；</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（5）与本工程的代建人或招标代理机构同为一个法定代表人的；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（6）与本工程的代建人或招标代理机构相互任职或工作的；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（7）与本工程的代建人或招标代理机构相互控股或参股的；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（8）被责令停业的；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（9）被暂停或取消投标资格的（包括总监理工程师）；</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（10）</w:t>
      </w:r>
      <w:r>
        <w:rPr>
          <w:rFonts w:ascii="Times New Roman" w:hAnsi="Times New Roman" w:cs="Times New Roman" w:eastAsiaTheme="minorEastAsia"/>
          <w:iCs/>
          <w:snapToGrid w:val="0"/>
          <w:sz w:val="21"/>
          <w:szCs w:val="21"/>
        </w:rPr>
        <w:t>根据《关于在国有投资建设工程项目招投标活动中实行行贿犯罪档案查询制度的通知》（台建规[2010]219号）规定，投标人（包括法定代表人）和项目总监理工程师其一有行贿犯罪记录的（由投标文件提交截止之日上溯3年，行贿犯罪记录日期以法院判决生效日期为准）；</w:t>
      </w:r>
      <w:r>
        <w:rPr>
          <w:rFonts w:hint="eastAsia"/>
          <w:b/>
          <w:bCs/>
          <w:sz w:val="21"/>
          <w:szCs w:val="21"/>
        </w:rPr>
        <w:t>（联合体投标的，指联合体各方）</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（11）浙江省外企业《省外企业进浙承接业务备案证明》超出有效期或未能在“浙江省建筑市场监管公共服务系统”对外发布形成的备案信息中显示的或已注销的；</w:t>
      </w:r>
      <w:r>
        <w:rPr>
          <w:rFonts w:hint="eastAsia"/>
          <w:b/>
          <w:bCs/>
          <w:sz w:val="21"/>
          <w:szCs w:val="21"/>
        </w:rPr>
        <w:t>（联合体投标的，指联合体各方）</w:t>
      </w:r>
    </w:p>
    <w:p>
      <w:pPr>
        <w:snapToGrid w:val="0"/>
        <w:spacing w:line="360" w:lineRule="auto"/>
        <w:ind w:firstLine="420" w:firstLineChars="200"/>
        <w:rPr>
          <w:rFonts w:ascii="Times New Roman" w:hAnsi="Times New Roman" w:cs="Times New Roman" w:eastAsiaTheme="minorEastAsia"/>
          <w:snapToGrid w:val="0"/>
          <w:sz w:val="21"/>
          <w:szCs w:val="21"/>
          <w:lang w:val="en-US"/>
        </w:rPr>
      </w:pPr>
      <w:r>
        <w:rPr>
          <w:rFonts w:ascii="Times New Roman" w:hAnsi="Times New Roman" w:cs="Times New Roman" w:eastAsiaTheme="minorEastAsia"/>
          <w:snapToGrid w:val="0"/>
          <w:sz w:val="21"/>
          <w:szCs w:val="21"/>
        </w:rPr>
        <w:t>（</w:t>
      </w:r>
      <w:r>
        <w:rPr>
          <w:rFonts w:ascii="Times New Roman" w:hAnsi="Times New Roman" w:cs="Times New Roman" w:eastAsiaTheme="minorEastAsia"/>
          <w:snapToGrid w:val="0"/>
          <w:sz w:val="21"/>
          <w:szCs w:val="21"/>
          <w:lang w:val="en-US"/>
        </w:rPr>
        <w:t>12</w:t>
      </w:r>
      <w:r>
        <w:rPr>
          <w:rFonts w:ascii="Times New Roman" w:hAnsi="Times New Roman" w:cs="Times New Roman" w:eastAsiaTheme="minorEastAsia"/>
          <w:snapToGrid w:val="0"/>
          <w:sz w:val="21"/>
          <w:szCs w:val="21"/>
        </w:rPr>
        <w:t>）</w:t>
      </w:r>
      <w:r>
        <w:rPr>
          <w:rFonts w:ascii="Times New Roman" w:hAnsi="Times New Roman" w:cs="Times New Roman" w:eastAsiaTheme="minorEastAsia"/>
          <w:snapToGrid w:val="0"/>
          <w:sz w:val="21"/>
          <w:szCs w:val="21"/>
          <w:lang w:val="en-US"/>
        </w:rPr>
        <w:t>投标人及其人员有关证书有下列情况之一的：总监理工程师、主导专业监理工程师、监理员、造价人员证书上的企业名称与投标人不一致的。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1.4.3投标人须知前附表规定接受联合体投标的，除应符合本章第1.4.1项、第1.4.2项和投标人须知前附表的要求外，还应遵守以下规定： </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（1）联合体各方应按招标文件提供的格式签订联合体协议书，明确联合体牵头人和各方权利义务；</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（2）由同一专业的单位组成的联合体，按照资质等级较低的单位确定资质等级； </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（3）联合体各方不得再以自己名义单独或参加其他联合体在同一标段中投标。</w:t>
      </w:r>
    </w:p>
    <w:p>
      <w:pPr>
        <w:snapToGrid w:val="0"/>
        <w:spacing w:line="360" w:lineRule="auto"/>
        <w:ind w:firstLine="420" w:firstLineChars="200"/>
        <w:rPr>
          <w:rFonts w:ascii="Times New Roman" w:hAnsi="Times New Roman" w:cs="Times New Roman" w:eastAsiaTheme="minorEastAsia"/>
          <w:snapToGrid w:val="0"/>
          <w:sz w:val="21"/>
          <w:szCs w:val="21"/>
        </w:rPr>
      </w:pPr>
      <w:bookmarkStart w:id="128" w:name="_Toc237768783"/>
      <w:bookmarkStart w:id="129" w:name="_Toc28437"/>
      <w:bookmarkStart w:id="130" w:name="_Toc283976490"/>
      <w:bookmarkStart w:id="131" w:name="_Toc152045535"/>
      <w:bookmarkStart w:id="132" w:name="_Toc16521922"/>
      <w:bookmarkStart w:id="133" w:name="_Toc179632552"/>
      <w:bookmarkStart w:id="134" w:name="_Toc372899816"/>
      <w:bookmarkStart w:id="135" w:name="_Toc283886199"/>
      <w:bookmarkStart w:id="136" w:name="_Toc288556241"/>
      <w:bookmarkStart w:id="137" w:name="_Toc23906"/>
      <w:bookmarkStart w:id="138" w:name="_Toc282596254"/>
      <w:bookmarkStart w:id="139" w:name="_Toc144974503"/>
      <w:bookmarkStart w:id="140" w:name="_Toc152042311"/>
      <w:bookmarkStart w:id="141" w:name="_Toc321925376"/>
      <w:bookmarkStart w:id="142" w:name="_Toc372899693"/>
      <w:bookmarkStart w:id="143" w:name="_Toc394573887"/>
      <w:bookmarkStart w:id="144" w:name="_Toc24497"/>
      <w:bookmarkStart w:id="145" w:name="_Toc8305324"/>
      <w:bookmarkStart w:id="146" w:name="_Toc237769247"/>
      <w:r>
        <w:rPr>
          <w:rFonts w:ascii="Times New Roman" w:hAnsi="Times New Roman" w:cs="Times New Roman" w:eastAsiaTheme="minorEastAsia"/>
          <w:snapToGrid w:val="0"/>
          <w:sz w:val="21"/>
          <w:szCs w:val="21"/>
        </w:rPr>
        <w:t>1.5 费用承担</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投标人准备和参加投标活动发生的费用自理。投标人网上免费下载招标文件，不收取任何工本费。</w:t>
      </w:r>
    </w:p>
    <w:p>
      <w:pPr>
        <w:snapToGrid w:val="0"/>
        <w:spacing w:line="360" w:lineRule="auto"/>
        <w:ind w:firstLine="420" w:firstLineChars="200"/>
        <w:rPr>
          <w:rFonts w:ascii="Times New Roman" w:hAnsi="Times New Roman" w:cs="Times New Roman" w:eastAsiaTheme="minorEastAsia"/>
          <w:snapToGrid w:val="0"/>
          <w:sz w:val="21"/>
          <w:szCs w:val="21"/>
        </w:rPr>
      </w:pPr>
      <w:bookmarkStart w:id="147" w:name="_Toc16521923"/>
      <w:bookmarkStart w:id="148" w:name="_Toc179632553"/>
      <w:bookmarkStart w:id="149" w:name="_Toc288556242"/>
      <w:bookmarkStart w:id="150" w:name="_Toc14360"/>
      <w:bookmarkStart w:id="151" w:name="_Toc20325"/>
      <w:bookmarkStart w:id="152" w:name="_Toc152045536"/>
      <w:bookmarkStart w:id="153" w:name="_Toc282596255"/>
      <w:bookmarkStart w:id="154" w:name="_Toc8305325"/>
      <w:bookmarkStart w:id="155" w:name="_Toc144974504"/>
      <w:bookmarkStart w:id="156" w:name="_Toc152042312"/>
      <w:bookmarkStart w:id="157" w:name="_Toc12191"/>
      <w:bookmarkStart w:id="158" w:name="_Toc237768784"/>
      <w:bookmarkStart w:id="159" w:name="_Toc394573888"/>
      <w:bookmarkStart w:id="160" w:name="_Toc321925377"/>
      <w:bookmarkStart w:id="161" w:name="_Toc237769248"/>
      <w:bookmarkStart w:id="162" w:name="_Toc372899817"/>
      <w:bookmarkStart w:id="163" w:name="_Toc283886200"/>
      <w:bookmarkStart w:id="164" w:name="_Toc372899694"/>
      <w:bookmarkStart w:id="165" w:name="_Toc283976491"/>
      <w:r>
        <w:rPr>
          <w:rFonts w:ascii="Times New Roman" w:hAnsi="Times New Roman" w:cs="Times New Roman" w:eastAsiaTheme="minorEastAsia"/>
          <w:snapToGrid w:val="0"/>
          <w:sz w:val="21"/>
          <w:szCs w:val="21"/>
        </w:rPr>
        <w:t>1.6 保密</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参与招标投标活动的各方应对招标文件和投标文件中的商业和技术等秘密保密，违者应对由此造成的后果承担法律责任。 </w:t>
      </w:r>
    </w:p>
    <w:p>
      <w:pPr>
        <w:snapToGrid w:val="0"/>
        <w:spacing w:line="360" w:lineRule="auto"/>
        <w:ind w:firstLine="420" w:firstLineChars="200"/>
        <w:rPr>
          <w:rFonts w:ascii="Times New Roman" w:hAnsi="Times New Roman" w:cs="Times New Roman" w:eastAsiaTheme="minorEastAsia"/>
          <w:snapToGrid w:val="0"/>
          <w:sz w:val="21"/>
          <w:szCs w:val="21"/>
        </w:rPr>
      </w:pPr>
      <w:bookmarkStart w:id="166" w:name="_Toc144974505"/>
      <w:bookmarkStart w:id="167" w:name="_Toc394573889"/>
      <w:bookmarkStart w:id="168" w:name="_Toc283976492"/>
      <w:bookmarkStart w:id="169" w:name="_Toc179632554"/>
      <w:bookmarkStart w:id="170" w:name="_Toc152045537"/>
      <w:bookmarkStart w:id="171" w:name="_Toc152042313"/>
      <w:bookmarkStart w:id="172" w:name="_Toc16521924"/>
      <w:bookmarkStart w:id="173" w:name="_Toc1894"/>
      <w:bookmarkStart w:id="174" w:name="_Toc372899695"/>
      <w:bookmarkStart w:id="175" w:name="_Toc283886201"/>
      <w:bookmarkStart w:id="176" w:name="_Toc30916"/>
      <w:bookmarkStart w:id="177" w:name="_Toc237769249"/>
      <w:bookmarkStart w:id="178" w:name="_Toc237768785"/>
      <w:bookmarkStart w:id="179" w:name="_Toc372899818"/>
      <w:bookmarkStart w:id="180" w:name="_Toc282596256"/>
      <w:bookmarkStart w:id="181" w:name="_Toc8305326"/>
      <w:bookmarkStart w:id="182" w:name="_Toc321925378"/>
      <w:bookmarkStart w:id="183" w:name="_Toc30165"/>
      <w:bookmarkStart w:id="184" w:name="_Toc288556243"/>
      <w:r>
        <w:rPr>
          <w:rFonts w:ascii="Times New Roman" w:hAnsi="Times New Roman" w:cs="Times New Roman" w:eastAsiaTheme="minorEastAsia"/>
          <w:snapToGrid w:val="0"/>
          <w:sz w:val="21"/>
          <w:szCs w:val="21"/>
        </w:rPr>
        <w:t>1.7 语言</w:t>
      </w:r>
      <w:bookmarkEnd w:id="166"/>
      <w:r>
        <w:rPr>
          <w:rFonts w:ascii="Times New Roman" w:hAnsi="Times New Roman" w:cs="Times New Roman" w:eastAsiaTheme="minorEastAsia"/>
          <w:snapToGrid w:val="0"/>
          <w:sz w:val="21"/>
          <w:szCs w:val="21"/>
        </w:rPr>
        <w:t>文字</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除专用术语外，与招标投标有关的语言均使用中文。必要时专用术语应附有中文注释。</w:t>
      </w:r>
    </w:p>
    <w:p>
      <w:pPr>
        <w:snapToGrid w:val="0"/>
        <w:spacing w:line="360" w:lineRule="auto"/>
        <w:ind w:firstLine="420" w:firstLineChars="200"/>
        <w:rPr>
          <w:rFonts w:ascii="Times New Roman" w:hAnsi="Times New Roman" w:cs="Times New Roman" w:eastAsiaTheme="minorEastAsia"/>
          <w:snapToGrid w:val="0"/>
          <w:sz w:val="21"/>
          <w:szCs w:val="21"/>
        </w:rPr>
      </w:pPr>
      <w:bookmarkStart w:id="185" w:name="_Toc179632555"/>
      <w:bookmarkStart w:id="186" w:name="_Toc3268"/>
      <w:bookmarkStart w:id="187" w:name="_Toc283976493"/>
      <w:bookmarkStart w:id="188" w:name="_Toc321925379"/>
      <w:bookmarkStart w:id="189" w:name="_Toc237769250"/>
      <w:bookmarkStart w:id="190" w:name="_Toc8305327"/>
      <w:bookmarkStart w:id="191" w:name="_Toc18934"/>
      <w:bookmarkStart w:id="192" w:name="_Toc152045538"/>
      <w:bookmarkStart w:id="193" w:name="_Toc152042314"/>
      <w:bookmarkStart w:id="194" w:name="_Toc144974506"/>
      <w:bookmarkStart w:id="195" w:name="_Toc282596257"/>
      <w:bookmarkStart w:id="196" w:name="_Toc372899819"/>
      <w:bookmarkStart w:id="197" w:name="_Toc283886202"/>
      <w:bookmarkStart w:id="198" w:name="_Toc15859"/>
      <w:bookmarkStart w:id="199" w:name="_Toc394573890"/>
      <w:bookmarkStart w:id="200" w:name="_Toc16521925"/>
      <w:bookmarkStart w:id="201" w:name="_Toc288556244"/>
      <w:bookmarkStart w:id="202" w:name="_Toc237768786"/>
      <w:bookmarkStart w:id="203" w:name="_Toc372899696"/>
      <w:r>
        <w:rPr>
          <w:rFonts w:ascii="Times New Roman" w:hAnsi="Times New Roman" w:cs="Times New Roman" w:eastAsiaTheme="minorEastAsia"/>
          <w:snapToGrid w:val="0"/>
          <w:sz w:val="21"/>
          <w:szCs w:val="21"/>
        </w:rPr>
        <w:t>1.8 计量单位</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所有计量均采用中华人民共和国法定计量单位。</w:t>
      </w:r>
    </w:p>
    <w:p>
      <w:pPr>
        <w:snapToGrid w:val="0"/>
        <w:spacing w:line="360" w:lineRule="auto"/>
        <w:ind w:firstLine="420" w:firstLineChars="200"/>
        <w:rPr>
          <w:rFonts w:ascii="Times New Roman" w:hAnsi="Times New Roman" w:cs="Times New Roman" w:eastAsiaTheme="minorEastAsia"/>
          <w:snapToGrid w:val="0"/>
          <w:sz w:val="21"/>
          <w:szCs w:val="21"/>
        </w:rPr>
      </w:pPr>
      <w:bookmarkStart w:id="204" w:name="_Toc24775"/>
      <w:bookmarkStart w:id="205" w:name="_Toc152045539"/>
      <w:bookmarkStart w:id="206" w:name="_Toc144974507"/>
      <w:bookmarkStart w:id="207" w:name="_Toc372899820"/>
      <w:bookmarkStart w:id="208" w:name="_Toc283886203"/>
      <w:bookmarkStart w:id="209" w:name="_Toc283976494"/>
      <w:bookmarkStart w:id="210" w:name="_Toc372899697"/>
      <w:bookmarkStart w:id="211" w:name="_Toc3067"/>
      <w:bookmarkStart w:id="212" w:name="_Toc288556245"/>
      <w:bookmarkStart w:id="213" w:name="_Toc8305328"/>
      <w:bookmarkStart w:id="214" w:name="_Toc237769251"/>
      <w:bookmarkStart w:id="215" w:name="_Toc179632556"/>
      <w:bookmarkStart w:id="216" w:name="_Toc394573891"/>
      <w:bookmarkStart w:id="217" w:name="_Toc321925380"/>
      <w:bookmarkStart w:id="218" w:name="_Toc152042315"/>
      <w:bookmarkStart w:id="219" w:name="_Toc237768787"/>
      <w:bookmarkStart w:id="220" w:name="_Toc282596258"/>
      <w:bookmarkStart w:id="221" w:name="_Toc16521926"/>
      <w:bookmarkStart w:id="222" w:name="_Toc2600"/>
      <w:r>
        <w:rPr>
          <w:rFonts w:ascii="Times New Roman" w:hAnsi="Times New Roman" w:cs="Times New Roman" w:eastAsiaTheme="minorEastAsia"/>
          <w:snapToGrid w:val="0"/>
          <w:sz w:val="21"/>
          <w:szCs w:val="21"/>
        </w:rPr>
        <w:t>1.9 踏勘现场</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1.9.1 投标人须知前附表规定组织踏勘现场的，招标人按投标人须知前附表规定的时间、地点组织投标人踏勘工程现场。 </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1.9.2 投标人踏勘现场发生的费用自理。</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1.9.3 除招标人的原因外，投标人自行负责在踏勘现场中所发生的人员伤亡和财产损失。</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1.9.4 招标人在踏勘现场中介绍的工程场地和相关的周边环境情况，供投标人在编制投标文件时参考，招标人不对投标人据此作出的判断和决策负责。</w:t>
      </w:r>
    </w:p>
    <w:p>
      <w:pPr>
        <w:snapToGrid w:val="0"/>
        <w:spacing w:line="360" w:lineRule="auto"/>
        <w:ind w:firstLine="420" w:firstLineChars="200"/>
        <w:rPr>
          <w:rFonts w:ascii="Times New Roman" w:hAnsi="Times New Roman" w:cs="Times New Roman" w:eastAsiaTheme="minorEastAsia"/>
          <w:snapToGrid w:val="0"/>
          <w:sz w:val="21"/>
          <w:szCs w:val="21"/>
        </w:rPr>
      </w:pPr>
      <w:bookmarkStart w:id="223" w:name="_Toc372899821"/>
      <w:bookmarkStart w:id="224" w:name="_Toc16521927"/>
      <w:bookmarkStart w:id="225" w:name="_Toc288556246"/>
      <w:bookmarkStart w:id="226" w:name="_Toc18737"/>
      <w:bookmarkStart w:id="227" w:name="_Toc23054"/>
      <w:bookmarkStart w:id="228" w:name="_Toc237768788"/>
      <w:bookmarkStart w:id="229" w:name="_Toc152042316"/>
      <w:bookmarkStart w:id="230" w:name="_Toc394573892"/>
      <w:bookmarkStart w:id="231" w:name="_Toc8305329"/>
      <w:bookmarkStart w:id="232" w:name="_Toc16682"/>
      <w:bookmarkStart w:id="233" w:name="_Toc372899698"/>
      <w:bookmarkStart w:id="234" w:name="_Toc237769252"/>
      <w:bookmarkStart w:id="235" w:name="_Toc283976495"/>
      <w:bookmarkStart w:id="236" w:name="_Toc179632557"/>
      <w:bookmarkStart w:id="237" w:name="_Toc321925381"/>
      <w:bookmarkStart w:id="238" w:name="_Toc282596259"/>
      <w:bookmarkStart w:id="239" w:name="_Toc144974508"/>
      <w:bookmarkStart w:id="240" w:name="_Toc283886204"/>
      <w:bookmarkStart w:id="241" w:name="_Toc152045540"/>
      <w:r>
        <w:rPr>
          <w:rFonts w:ascii="Times New Roman" w:hAnsi="Times New Roman" w:cs="Times New Roman" w:eastAsiaTheme="minorEastAsia"/>
          <w:snapToGrid w:val="0"/>
          <w:sz w:val="21"/>
          <w:szCs w:val="21"/>
        </w:rPr>
        <w:t>1.10 投标预备会</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投标人须知前附表规定召开投标预备会的，招标人按投标人须知前附表规定的时间和地点召开投标预备会，澄清投标人提出的问题。</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242" w:name="_Toc24479"/>
      <w:bookmarkStart w:id="243" w:name="_Toc5617"/>
      <w:bookmarkStart w:id="244" w:name="_Toc152045542"/>
      <w:bookmarkStart w:id="245" w:name="_Toc16521930"/>
      <w:bookmarkStart w:id="246" w:name="_Toc144974510"/>
      <w:bookmarkStart w:id="247" w:name="_Toc8305332"/>
      <w:bookmarkStart w:id="248" w:name="_Toc152042318"/>
      <w:bookmarkStart w:id="249" w:name="_Toc29552"/>
      <w:bookmarkStart w:id="250" w:name="_Toc12386"/>
      <w:r>
        <w:rPr>
          <w:rFonts w:ascii="Times New Roman" w:hAnsi="Times New Roman" w:cs="Times New Roman" w:eastAsiaTheme="minorEastAsia"/>
          <w:snapToGrid w:val="0"/>
          <w:sz w:val="21"/>
          <w:szCs w:val="21"/>
        </w:rPr>
        <w:t>2. 招标文件</w:t>
      </w:r>
      <w:bookmarkEnd w:id="242"/>
      <w:bookmarkEnd w:id="243"/>
      <w:bookmarkEnd w:id="244"/>
      <w:bookmarkEnd w:id="245"/>
      <w:bookmarkEnd w:id="246"/>
      <w:bookmarkEnd w:id="247"/>
      <w:bookmarkEnd w:id="248"/>
      <w:bookmarkEnd w:id="249"/>
      <w:bookmarkEnd w:id="250"/>
    </w:p>
    <w:p>
      <w:pPr>
        <w:snapToGrid w:val="0"/>
        <w:spacing w:line="360" w:lineRule="auto"/>
        <w:ind w:firstLine="420" w:firstLineChars="200"/>
        <w:rPr>
          <w:rFonts w:ascii="Times New Roman" w:hAnsi="Times New Roman" w:cs="Times New Roman" w:eastAsiaTheme="minorEastAsia"/>
          <w:snapToGrid w:val="0"/>
          <w:sz w:val="21"/>
          <w:szCs w:val="21"/>
        </w:rPr>
      </w:pPr>
      <w:bookmarkStart w:id="251" w:name="_Toc394573896"/>
      <w:bookmarkStart w:id="252" w:name="_Toc283976499"/>
      <w:bookmarkStart w:id="253" w:name="_Toc237769256"/>
      <w:bookmarkStart w:id="254" w:name="_Toc179632561"/>
      <w:bookmarkStart w:id="255" w:name="_Toc152042319"/>
      <w:bookmarkStart w:id="256" w:name="_Toc152045543"/>
      <w:bookmarkStart w:id="257" w:name="_Toc282596263"/>
      <w:bookmarkStart w:id="258" w:name="_Toc29610"/>
      <w:bookmarkStart w:id="259" w:name="_Toc372899702"/>
      <w:bookmarkStart w:id="260" w:name="_Toc372899825"/>
      <w:bookmarkStart w:id="261" w:name="_Toc8919"/>
      <w:bookmarkStart w:id="262" w:name="_Toc321925385"/>
      <w:bookmarkStart w:id="263" w:name="_Toc8305333"/>
      <w:bookmarkStart w:id="264" w:name="_Toc16521931"/>
      <w:bookmarkStart w:id="265" w:name="_Toc18116"/>
      <w:bookmarkStart w:id="266" w:name="_Toc288556250"/>
      <w:bookmarkStart w:id="267" w:name="_Toc144974511"/>
      <w:bookmarkStart w:id="268" w:name="_Toc237768792"/>
      <w:bookmarkStart w:id="269" w:name="_Toc283886208"/>
      <w:r>
        <w:rPr>
          <w:rFonts w:ascii="Times New Roman" w:hAnsi="Times New Roman" w:cs="Times New Roman" w:eastAsiaTheme="minorEastAsia"/>
          <w:snapToGrid w:val="0"/>
          <w:sz w:val="21"/>
          <w:szCs w:val="21"/>
        </w:rPr>
        <w:t>2.1 招标文件的组成</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（1）招标公告；</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（2）投标人须知前附表；</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（3）评标办法；</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（4）合同条款及格式；</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（5）投标文件格式；</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（6）有关图纸及资料。</w:t>
      </w:r>
    </w:p>
    <w:p>
      <w:pPr>
        <w:snapToGrid w:val="0"/>
        <w:spacing w:line="360" w:lineRule="auto"/>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snapToGrid w:val="0"/>
        <w:spacing w:line="360" w:lineRule="auto"/>
        <w:ind w:firstLine="420" w:firstLineChars="200"/>
        <w:rPr>
          <w:rFonts w:ascii="Times New Roman" w:hAnsi="Times New Roman" w:cs="Times New Roman" w:eastAsiaTheme="minorEastAsia"/>
          <w:snapToGrid w:val="0"/>
          <w:sz w:val="21"/>
          <w:szCs w:val="21"/>
        </w:rPr>
      </w:pPr>
      <w:bookmarkStart w:id="270" w:name="_Toc283886209"/>
      <w:bookmarkStart w:id="271" w:name="_Toc283976500"/>
      <w:bookmarkStart w:id="272" w:name="_Toc394573897"/>
      <w:bookmarkStart w:id="273" w:name="_Toc179632562"/>
      <w:bookmarkStart w:id="274" w:name="_Toc5181"/>
      <w:bookmarkStart w:id="275" w:name="_Toc144974512"/>
      <w:bookmarkStart w:id="276" w:name="_Toc19649"/>
      <w:bookmarkStart w:id="277" w:name="_Toc321925386"/>
      <w:bookmarkStart w:id="278" w:name="_Toc152045544"/>
      <w:bookmarkStart w:id="279" w:name="_Toc16521932"/>
      <w:bookmarkStart w:id="280" w:name="_Toc28222"/>
      <w:bookmarkStart w:id="281" w:name="_Toc152042320"/>
      <w:bookmarkStart w:id="282" w:name="_Toc237768793"/>
      <w:bookmarkStart w:id="283" w:name="_Toc372899826"/>
      <w:bookmarkStart w:id="284" w:name="_Toc8305334"/>
      <w:bookmarkStart w:id="285" w:name="_Toc288556251"/>
      <w:bookmarkStart w:id="286" w:name="_Toc282596264"/>
      <w:bookmarkStart w:id="287" w:name="_Toc237769257"/>
      <w:bookmarkStart w:id="288" w:name="_Toc372899703"/>
      <w:r>
        <w:rPr>
          <w:rFonts w:ascii="Times New Roman" w:hAnsi="Times New Roman" w:cs="Times New Roman" w:eastAsiaTheme="minorEastAsia"/>
          <w:snapToGrid w:val="0"/>
          <w:sz w:val="21"/>
          <w:szCs w:val="21"/>
        </w:rPr>
        <w:t>2.2 招标文件的澄清</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2.2.1投标人从交易场所（发布招标公告的媒体上）自行下载的方式获取招标文件及相关附件。投标人在获取招标文件后，应仔细检查招标文件的所有内容，如有内容不全、对内容有疑问等问题应自招标文件发布在交易场所（发布招标公告的媒体上）10日内向招标人提出，要求招标人对招标文件予以澄清。</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2.2.2招标人的澄清将在交易场所（发布招标公告的媒体上）发布，所有获取招标文件的潜在投标人自行下载。澄清内容可能影响投标文件编制的，招标人应当在投标截止时间（投标截止时间详见投标人须知前附表2.1款规定）至少15日前，将澄清的内容在交易场所（发布招标公告的媒体上）发布；不足15日的，招标人应当顺延投标文件的截止时间。</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2.2.3招标人及招标代理机构的任何工作人员对投标人所作的任何口头解释、介绍、答复，只能供投标人参考，对招标人无任何约束力。</w:t>
      </w:r>
    </w:p>
    <w:p>
      <w:pPr>
        <w:snapToGrid w:val="0"/>
        <w:spacing w:line="360" w:lineRule="auto"/>
        <w:ind w:firstLine="420" w:firstLineChars="200"/>
        <w:rPr>
          <w:rFonts w:ascii="Times New Roman" w:hAnsi="Times New Roman" w:cs="Times New Roman" w:eastAsiaTheme="minorEastAsia"/>
          <w:snapToGrid w:val="0"/>
          <w:sz w:val="21"/>
          <w:szCs w:val="21"/>
        </w:rPr>
      </w:pPr>
      <w:bookmarkStart w:id="289" w:name="_Toc144974513"/>
      <w:bookmarkStart w:id="290" w:name="_Toc16521933"/>
      <w:bookmarkStart w:id="291" w:name="_Toc27811"/>
      <w:bookmarkStart w:id="292" w:name="_Toc288556252"/>
      <w:bookmarkStart w:id="293" w:name="_Toc9159"/>
      <w:bookmarkStart w:id="294" w:name="_Toc282596265"/>
      <w:bookmarkStart w:id="295" w:name="_Toc237769258"/>
      <w:bookmarkStart w:id="296" w:name="_Toc321925387"/>
      <w:bookmarkStart w:id="297" w:name="_Toc179632563"/>
      <w:bookmarkStart w:id="298" w:name="_Toc283886210"/>
      <w:bookmarkStart w:id="299" w:name="_Toc237768794"/>
      <w:bookmarkStart w:id="300" w:name="_Toc152042321"/>
      <w:bookmarkStart w:id="301" w:name="_Toc28708"/>
      <w:bookmarkStart w:id="302" w:name="_Toc394573898"/>
      <w:bookmarkStart w:id="303" w:name="_Toc372899827"/>
      <w:bookmarkStart w:id="304" w:name="_Toc283976501"/>
      <w:bookmarkStart w:id="305" w:name="_Toc8305335"/>
      <w:bookmarkStart w:id="306" w:name="_Toc152045545"/>
      <w:bookmarkStart w:id="307" w:name="_Toc372899704"/>
      <w:r>
        <w:rPr>
          <w:rFonts w:ascii="Times New Roman" w:hAnsi="Times New Roman" w:cs="Times New Roman" w:eastAsiaTheme="minorEastAsia"/>
          <w:snapToGrid w:val="0"/>
          <w:sz w:val="21"/>
          <w:szCs w:val="21"/>
        </w:rPr>
        <w:t>2.3 招标文件的修改</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15日前，将修改的内容在交易场所（发布招标公告的媒体上）发布；不足15日的，招标人应当顺延提交投标文件的截止时间。</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308" w:name="_Toc19254"/>
      <w:bookmarkStart w:id="309" w:name="_Toc16521934"/>
      <w:bookmarkStart w:id="310" w:name="_Toc10677"/>
      <w:bookmarkStart w:id="311" w:name="_Toc18262"/>
      <w:bookmarkStart w:id="312" w:name="_Toc152042322"/>
      <w:bookmarkStart w:id="313" w:name="_Toc152045546"/>
      <w:bookmarkStart w:id="314" w:name="_Toc8305336"/>
      <w:bookmarkStart w:id="315" w:name="_Toc144974514"/>
      <w:bookmarkStart w:id="316" w:name="_Toc5967"/>
      <w:r>
        <w:rPr>
          <w:rFonts w:ascii="Times New Roman" w:hAnsi="Times New Roman" w:cs="Times New Roman" w:eastAsiaTheme="minorEastAsia"/>
          <w:snapToGrid w:val="0"/>
          <w:sz w:val="21"/>
          <w:szCs w:val="21"/>
        </w:rPr>
        <w:t>3. 投标文件</w:t>
      </w:r>
      <w:bookmarkEnd w:id="308"/>
      <w:bookmarkEnd w:id="309"/>
      <w:bookmarkEnd w:id="310"/>
      <w:bookmarkEnd w:id="311"/>
      <w:bookmarkEnd w:id="312"/>
      <w:bookmarkEnd w:id="313"/>
      <w:bookmarkEnd w:id="314"/>
      <w:bookmarkEnd w:id="315"/>
      <w:bookmarkEnd w:id="316"/>
    </w:p>
    <w:p>
      <w:pPr>
        <w:rPr>
          <w:rFonts w:ascii="Times New Roman" w:hAnsi="Times New Roman" w:cs="Times New Roman" w:eastAsiaTheme="minorEastAsia"/>
          <w:snapToGrid w:val="0"/>
          <w:sz w:val="21"/>
          <w:szCs w:val="21"/>
        </w:rPr>
      </w:pPr>
      <w:bookmarkStart w:id="317" w:name="_Toc372899829"/>
      <w:bookmarkStart w:id="318" w:name="_Toc22774"/>
      <w:bookmarkStart w:id="319" w:name="_Toc152042323"/>
      <w:bookmarkStart w:id="320" w:name="_Toc372899706"/>
      <w:bookmarkStart w:id="321" w:name="_Toc237769260"/>
      <w:bookmarkStart w:id="322" w:name="_Toc144974515"/>
      <w:bookmarkStart w:id="323" w:name="_Toc288556254"/>
      <w:bookmarkStart w:id="324" w:name="_Toc8305337"/>
      <w:bookmarkStart w:id="325" w:name="_Toc283886212"/>
      <w:bookmarkStart w:id="326" w:name="_Toc17099"/>
      <w:bookmarkStart w:id="327" w:name="_Toc16521935"/>
      <w:bookmarkStart w:id="328" w:name="_Toc283976503"/>
      <w:bookmarkStart w:id="329" w:name="_Toc179632565"/>
      <w:bookmarkStart w:id="330" w:name="_Toc282596267"/>
      <w:bookmarkStart w:id="331" w:name="_Toc152045547"/>
      <w:bookmarkStart w:id="332" w:name="_Toc3720"/>
      <w:bookmarkStart w:id="333" w:name="_Toc237768796"/>
      <w:bookmarkStart w:id="334" w:name="_Toc321925389"/>
      <w:bookmarkStart w:id="335" w:name="_Toc394573900"/>
      <w:r>
        <w:rPr>
          <w:rFonts w:ascii="Times New Roman" w:hAnsi="Times New Roman" w:cs="Times New Roman" w:eastAsiaTheme="minorEastAsia"/>
          <w:snapToGrid w:val="0"/>
          <w:sz w:val="21"/>
          <w:szCs w:val="21"/>
        </w:rPr>
        <w:t>3.1 投标文件的组成</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投标文件的组成：见投标人须知前附表。 </w:t>
      </w:r>
    </w:p>
    <w:p>
      <w:pPr>
        <w:snapToGrid w:val="0"/>
        <w:spacing w:line="360" w:lineRule="auto"/>
        <w:ind w:firstLine="420" w:firstLineChars="200"/>
        <w:rPr>
          <w:rFonts w:ascii="Times New Roman" w:hAnsi="Times New Roman" w:cs="Times New Roman" w:eastAsiaTheme="minorEastAsia"/>
          <w:snapToGrid w:val="0"/>
          <w:sz w:val="21"/>
          <w:szCs w:val="21"/>
        </w:rPr>
      </w:pPr>
      <w:bookmarkStart w:id="336" w:name="_Toc20737"/>
      <w:bookmarkStart w:id="337" w:name="_Toc394573901"/>
      <w:bookmarkStart w:id="338" w:name="_Toc372899707"/>
      <w:bookmarkStart w:id="339" w:name="_Toc283976504"/>
      <w:bookmarkStart w:id="340" w:name="_Toc288556255"/>
      <w:bookmarkStart w:id="341" w:name="_Toc237769261"/>
      <w:bookmarkStart w:id="342" w:name="_Toc179632566"/>
      <w:bookmarkStart w:id="343" w:name="_Toc372899830"/>
      <w:bookmarkStart w:id="344" w:name="_Toc144974516"/>
      <w:bookmarkStart w:id="345" w:name="_Toc26689"/>
      <w:bookmarkStart w:id="346" w:name="_Toc282596268"/>
      <w:bookmarkStart w:id="347" w:name="_Toc152045548"/>
      <w:bookmarkStart w:id="348" w:name="_Toc283886213"/>
      <w:bookmarkStart w:id="349" w:name="_Toc21338"/>
      <w:bookmarkStart w:id="350" w:name="_Toc237768797"/>
      <w:bookmarkStart w:id="351" w:name="_Toc16521936"/>
      <w:bookmarkStart w:id="352" w:name="_Toc8305338"/>
      <w:bookmarkStart w:id="353" w:name="_Toc152042324"/>
      <w:bookmarkStart w:id="354" w:name="_Toc321925390"/>
      <w:r>
        <w:rPr>
          <w:rFonts w:ascii="Times New Roman" w:hAnsi="Times New Roman" w:cs="Times New Roman" w:eastAsiaTheme="minorEastAsia"/>
          <w:snapToGrid w:val="0"/>
          <w:sz w:val="21"/>
          <w:szCs w:val="21"/>
        </w:rPr>
        <w:t>3.2 投标报价</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snapToGrid w:val="0"/>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3.2.1投标人以总报价的形式报价，该投标报价应是招标文件所确定的招标范围内全部工作内容的价格表现。各投标人可根据监理期限和工作内容，结合自身技术与管理水平、经济实力、市场风险等因素自行报价。</w:t>
      </w:r>
    </w:p>
    <w:p>
      <w:pPr>
        <w:snapToGrid w:val="0"/>
        <w:spacing w:line="360" w:lineRule="auto"/>
        <w:ind w:firstLine="442" w:firstLineChars="200"/>
        <w:rPr>
          <w:rFonts w:ascii="Times New Roman" w:hAnsi="Times New Roman" w:cs="Times New Roman" w:eastAsiaTheme="minorEastAsia"/>
          <w:snapToGrid w:val="0"/>
        </w:rPr>
      </w:pPr>
      <w:r>
        <w:rPr>
          <w:rFonts w:ascii="Times New Roman" w:hAnsi="Times New Roman" w:cs="Times New Roman" w:eastAsiaTheme="minorEastAsia"/>
          <w:b/>
          <w:bCs/>
          <w:snapToGrid w:val="0"/>
        </w:rPr>
        <w:t>3.2.2最高投标限价：见投标人须知前附表。投标人的报价不得超过最高投标限价，否则作无效标处理。</w:t>
      </w:r>
    </w:p>
    <w:p>
      <w:pPr>
        <w:snapToGrid w:val="0"/>
        <w:spacing w:line="360" w:lineRule="auto"/>
        <w:ind w:firstLine="420" w:firstLineChars="200"/>
        <w:rPr>
          <w:rFonts w:ascii="Times New Roman" w:hAnsi="Times New Roman" w:cs="Times New Roman" w:eastAsiaTheme="minorEastAsia"/>
          <w:snapToGrid w:val="0"/>
          <w:sz w:val="21"/>
          <w:szCs w:val="21"/>
        </w:rPr>
      </w:pPr>
      <w:bookmarkStart w:id="355" w:name="_Toc16521937"/>
      <w:bookmarkStart w:id="356" w:name="_Toc179632567"/>
      <w:bookmarkStart w:id="357" w:name="_Toc394573902"/>
      <w:bookmarkStart w:id="358" w:name="_Toc283976505"/>
      <w:bookmarkStart w:id="359" w:name="_Toc321925391"/>
      <w:bookmarkStart w:id="360" w:name="_Toc144974517"/>
      <w:bookmarkStart w:id="361" w:name="_Toc237768798"/>
      <w:bookmarkStart w:id="362" w:name="_Toc283886214"/>
      <w:bookmarkStart w:id="363" w:name="_Toc8305339"/>
      <w:bookmarkStart w:id="364" w:name="_Toc282596269"/>
      <w:bookmarkStart w:id="365" w:name="_Toc237769262"/>
      <w:bookmarkStart w:id="366" w:name="_Toc152045549"/>
      <w:bookmarkStart w:id="367" w:name="_Toc288556256"/>
      <w:bookmarkStart w:id="368" w:name="_Toc372899708"/>
      <w:bookmarkStart w:id="369" w:name="_Toc372899831"/>
      <w:bookmarkStart w:id="370" w:name="_Toc152042325"/>
      <w:bookmarkStart w:id="371" w:name="_Toc15536"/>
      <w:bookmarkStart w:id="372" w:name="_Toc28061"/>
      <w:bookmarkStart w:id="373" w:name="_Toc18083"/>
      <w:r>
        <w:rPr>
          <w:rFonts w:ascii="Times New Roman" w:hAnsi="Times New Roman" w:cs="Times New Roman" w:eastAsiaTheme="minorEastAsia"/>
          <w:snapToGrid w:val="0"/>
          <w:sz w:val="21"/>
          <w:szCs w:val="21"/>
        </w:rPr>
        <w:t>3.3 投标有效期</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3.3.1 在投标人须知前附表规定的投标有效期内，投标人不得要求撤销或修改其投标文件。</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snapToGrid w:val="0"/>
        <w:spacing w:line="360" w:lineRule="auto"/>
        <w:ind w:firstLine="420" w:firstLineChars="200"/>
        <w:rPr>
          <w:rFonts w:ascii="Times New Roman" w:hAnsi="Times New Roman" w:cs="Times New Roman" w:eastAsiaTheme="minorEastAsia"/>
          <w:snapToGrid w:val="0"/>
          <w:sz w:val="21"/>
          <w:szCs w:val="21"/>
        </w:rPr>
      </w:pPr>
      <w:bookmarkStart w:id="374" w:name="_Toc283976506"/>
      <w:bookmarkStart w:id="375" w:name="_Toc237768799"/>
      <w:bookmarkStart w:id="376" w:name="_Toc152042326"/>
      <w:bookmarkStart w:id="377" w:name="_Toc179632568"/>
      <w:bookmarkStart w:id="378" w:name="_Toc152045550"/>
      <w:bookmarkStart w:id="379" w:name="_Toc237769263"/>
      <w:bookmarkStart w:id="380" w:name="_Toc283886215"/>
      <w:bookmarkStart w:id="381" w:name="_Toc282596270"/>
      <w:bookmarkStart w:id="382" w:name="_Toc144974518"/>
      <w:bookmarkStart w:id="383" w:name="_Toc394573903"/>
      <w:bookmarkStart w:id="384" w:name="_Toc16521938"/>
      <w:bookmarkStart w:id="385" w:name="_Toc5271"/>
      <w:bookmarkStart w:id="386" w:name="_Toc5918"/>
      <w:bookmarkStart w:id="387" w:name="_Toc1185"/>
      <w:bookmarkStart w:id="388" w:name="_Toc288556257"/>
      <w:bookmarkStart w:id="389" w:name="_Toc8305340"/>
      <w:bookmarkStart w:id="390" w:name="_Toc372899832"/>
      <w:bookmarkStart w:id="391" w:name="_Toc372899709"/>
      <w:bookmarkStart w:id="392" w:name="_Toc321925392"/>
      <w:r>
        <w:rPr>
          <w:rFonts w:ascii="Times New Roman" w:hAnsi="Times New Roman" w:cs="Times New Roman" w:eastAsiaTheme="minorEastAsia"/>
          <w:snapToGrid w:val="0"/>
          <w:sz w:val="21"/>
          <w:szCs w:val="21"/>
        </w:rPr>
        <w:t>3.4 投标</w:t>
      </w:r>
      <w:bookmarkEnd w:id="374"/>
      <w:bookmarkEnd w:id="375"/>
      <w:bookmarkEnd w:id="376"/>
      <w:bookmarkEnd w:id="377"/>
      <w:bookmarkEnd w:id="378"/>
      <w:bookmarkEnd w:id="379"/>
      <w:bookmarkEnd w:id="380"/>
      <w:bookmarkEnd w:id="381"/>
      <w:bookmarkEnd w:id="382"/>
      <w:r>
        <w:rPr>
          <w:rFonts w:ascii="Times New Roman" w:hAnsi="Times New Roman" w:cs="Times New Roman" w:eastAsiaTheme="minorEastAsia"/>
          <w:snapToGrid w:val="0"/>
          <w:sz w:val="21"/>
          <w:szCs w:val="21"/>
        </w:rPr>
        <w:t>担保</w:t>
      </w:r>
      <w:bookmarkEnd w:id="383"/>
      <w:bookmarkEnd w:id="384"/>
      <w:bookmarkEnd w:id="385"/>
      <w:bookmarkEnd w:id="386"/>
      <w:bookmarkEnd w:id="387"/>
      <w:bookmarkEnd w:id="388"/>
      <w:bookmarkEnd w:id="389"/>
      <w:bookmarkEnd w:id="390"/>
      <w:bookmarkEnd w:id="391"/>
      <w:bookmarkEnd w:id="392"/>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3.4.1 投标人在递交投标文件的同时，应按投标人须知前附表规定递交投标担保。</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3.4.2 投标人不按本章第3.4.1项要求提交投标担保的，招标人将视为不响应投标而予以拒绝。</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3.4.3投标担保按以下方式退还（保函不退还、电汇转账退还）：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（1）中标人在合同签订后退还；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（2）未中标的候选人凭《建设工程中标结果通知书》退还；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（3）其余投标人（含无效标的）在中标候选人公示结束后凭招标人（招标代理机构）出具的《投标保证金退还告知单》退还。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3.4.4投标人有下列情形的，招标人对投标人的投标担保按下列相应规定进行处理：</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1）投标人违反《台州市建设工程诚信投标承诺书》第一、二、三条承诺内容，在评标过程中经评标委员会发现并以无效标处理的，对其投标担保总金额的10%～20%不予退还；在评标结束后被查实的，对其投标担保总金额的30%～40%不予退还；涉及中标候选人的，对其投标担保总金额的50%～60%不予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2）投标人违反《台州市建设工程诚信投标承诺书》第四、五、六条承诺内容，在评标过程中经评标委员会发现并以无效标处理的，对其投标担保总金额的70%～80%不予退还；在评标结束后发现并被查实的，对其投标担保全部不予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3）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（4）投标人在投标有效期内撤销其投标文件的，对其投标担保全部不予退还；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（5）投标人拟投入的项目负责人，被查实属于在建的，对其投标担保全部不予退还；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（6）投标人因同一行为涉及上述多种情形的，招标人按投标担保不予退还金额高的进行处理。投标人因不同行为涉及上述多种情形的，招标人累计不予退还最高额以投标人提交的本次投标担保最高额为限。3.4.5 投标人涉嫌违法违规或被投诉的，在调查处理期间，其投标担保暂不退还，待调查处理结果明确后，按有关规定办理。</w:t>
      </w:r>
    </w:p>
    <w:p>
      <w:pPr>
        <w:snapToGrid w:val="0"/>
        <w:spacing w:line="360" w:lineRule="auto"/>
        <w:ind w:firstLine="420" w:firstLineChars="200"/>
        <w:rPr>
          <w:rFonts w:ascii="Times New Roman" w:hAnsi="Times New Roman" w:cs="Times New Roman" w:eastAsiaTheme="minorEastAsia"/>
          <w:snapToGrid w:val="0"/>
          <w:sz w:val="21"/>
          <w:szCs w:val="21"/>
        </w:rPr>
      </w:pPr>
      <w:bookmarkStart w:id="393" w:name="_Toc282596271"/>
      <w:bookmarkStart w:id="394" w:name="_Toc372899833"/>
      <w:bookmarkStart w:id="395" w:name="_Toc283886216"/>
      <w:bookmarkStart w:id="396" w:name="_Toc16521939"/>
      <w:bookmarkStart w:id="397" w:name="_Toc152045553"/>
      <w:bookmarkStart w:id="398" w:name="_Toc288556258"/>
      <w:bookmarkStart w:id="399" w:name="_Toc152042329"/>
      <w:bookmarkStart w:id="400" w:name="_Toc144974521"/>
      <w:bookmarkStart w:id="401" w:name="_Toc28220"/>
      <w:bookmarkStart w:id="402" w:name="_Toc237769265"/>
      <w:bookmarkStart w:id="403" w:name="_Toc372899710"/>
      <w:bookmarkStart w:id="404" w:name="_Toc12097"/>
      <w:bookmarkStart w:id="405" w:name="_Toc394573904"/>
      <w:bookmarkStart w:id="406" w:name="_Toc9362"/>
      <w:bookmarkStart w:id="407" w:name="_Toc179632571"/>
      <w:bookmarkStart w:id="408" w:name="_Toc8305341"/>
      <w:bookmarkStart w:id="409" w:name="_Toc237768801"/>
      <w:bookmarkStart w:id="410" w:name="_Toc321925393"/>
      <w:bookmarkStart w:id="411" w:name="_Toc283976507"/>
      <w:r>
        <w:rPr>
          <w:rFonts w:ascii="Times New Roman" w:hAnsi="Times New Roman" w:cs="Times New Roman" w:eastAsiaTheme="minorEastAsia"/>
          <w:snapToGrid w:val="0"/>
          <w:sz w:val="21"/>
          <w:szCs w:val="21"/>
        </w:rPr>
        <w:t>3.5 备选投标方案</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snapToGrid w:val="0"/>
        <w:spacing w:line="360" w:lineRule="auto"/>
        <w:ind w:firstLine="420" w:firstLineChars="200"/>
        <w:rPr>
          <w:rFonts w:ascii="Times New Roman" w:hAnsi="Times New Roman" w:cs="Times New Roman" w:eastAsiaTheme="minorEastAsia"/>
          <w:snapToGrid w:val="0"/>
          <w:sz w:val="21"/>
          <w:szCs w:val="21"/>
        </w:rPr>
      </w:pPr>
      <w:bookmarkStart w:id="412" w:name="_Toc7652"/>
      <w:bookmarkStart w:id="413" w:name="_Toc8305342"/>
      <w:bookmarkStart w:id="414" w:name="_Toc321925394"/>
      <w:bookmarkStart w:id="415" w:name="_Toc152042330"/>
      <w:bookmarkStart w:id="416" w:name="_Toc237769266"/>
      <w:bookmarkStart w:id="417" w:name="_Toc372899711"/>
      <w:bookmarkStart w:id="418" w:name="_Toc31141"/>
      <w:bookmarkStart w:id="419" w:name="_Toc16521940"/>
      <w:bookmarkStart w:id="420" w:name="_Toc394573905"/>
      <w:bookmarkStart w:id="421" w:name="_Toc237768802"/>
      <w:bookmarkStart w:id="422" w:name="_Toc152045554"/>
      <w:bookmarkStart w:id="423" w:name="_Toc283976508"/>
      <w:bookmarkStart w:id="424" w:name="_Toc179632572"/>
      <w:bookmarkStart w:id="425" w:name="_Toc372899834"/>
      <w:bookmarkStart w:id="426" w:name="_Toc1647"/>
      <w:bookmarkStart w:id="427" w:name="_Toc144974522"/>
      <w:bookmarkStart w:id="428" w:name="_Toc282596272"/>
      <w:bookmarkStart w:id="429" w:name="_Toc288556259"/>
      <w:bookmarkStart w:id="430" w:name="_Toc283886217"/>
      <w:r>
        <w:rPr>
          <w:rFonts w:ascii="Times New Roman" w:hAnsi="Times New Roman" w:cs="Times New Roman" w:eastAsiaTheme="minorEastAsia"/>
          <w:snapToGrid w:val="0"/>
          <w:sz w:val="21"/>
          <w:szCs w:val="21"/>
        </w:rPr>
        <w:t>3.6 投标文件的编制</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3.6.1投标文件应按招标文件提供的格式进行编写。投标文件其它格式要求见投标人须知前附表。</w:t>
      </w:r>
    </w:p>
    <w:p>
      <w:pPr>
        <w:keepNext w:val="0"/>
        <w:keepLines w:val="0"/>
        <w:widowControl/>
        <w:suppressLineNumbers w:val="0"/>
        <w:ind w:firstLine="422" w:firstLineChars="200"/>
        <w:jc w:val="left"/>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3.6.2由三门投标编制 4.0.2.8版本打印生成的投标文件中注明签署或盖章的，投标人</w:t>
      </w:r>
      <w:r>
        <w:rPr>
          <w:rFonts w:hint="eastAsia" w:ascii="Times New Roman" w:hAnsi="Times New Roman" w:cs="Times New Roman" w:eastAsiaTheme="minorEastAsia"/>
          <w:b/>
          <w:snapToGrid w:val="0"/>
          <w:sz w:val="21"/>
          <w:szCs w:val="21"/>
          <w:lang w:eastAsia="zh-CN"/>
        </w:rPr>
        <w:t>（</w:t>
      </w:r>
      <w:r>
        <w:rPr>
          <w:rFonts w:ascii="Times New Roman" w:hAnsi="Times New Roman" w:cs="Times New Roman" w:eastAsiaTheme="minorEastAsia"/>
          <w:b/>
          <w:snapToGrid w:val="0"/>
          <w:sz w:val="21"/>
          <w:szCs w:val="21"/>
          <w:lang w:val="en-US" w:eastAsia="zh-CN"/>
        </w:rPr>
        <w:t>（如为联合体投标，则联合体牵头人</w:t>
      </w:r>
      <w:r>
        <w:rPr>
          <w:rFonts w:hint="eastAsia" w:ascii="Times New Roman" w:hAnsi="Times New Roman" w:cs="Times New Roman" w:eastAsiaTheme="minorEastAsia"/>
          <w:b/>
          <w:snapToGrid w:val="0"/>
          <w:sz w:val="21"/>
          <w:szCs w:val="21"/>
          <w:lang w:val="en-US" w:eastAsia="zh-CN"/>
        </w:rPr>
        <w:t>）</w:t>
      </w:r>
      <w:r>
        <w:rPr>
          <w:rFonts w:ascii="Times New Roman" w:hAnsi="Times New Roman" w:cs="Times New Roman" w:eastAsiaTheme="minorEastAsia"/>
          <w:b/>
          <w:snapToGrid w:val="0"/>
          <w:sz w:val="21"/>
          <w:szCs w:val="21"/>
        </w:rPr>
        <w:t>均应按要求进行电子签署或盖章。</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431" w:name="_Toc29065"/>
      <w:bookmarkStart w:id="432" w:name="_Toc24799"/>
      <w:bookmarkStart w:id="433" w:name="_Toc152045555"/>
      <w:bookmarkStart w:id="434" w:name="_Toc16941"/>
      <w:bookmarkStart w:id="435" w:name="_Toc144974523"/>
      <w:bookmarkStart w:id="436" w:name="_Toc8305343"/>
      <w:bookmarkStart w:id="437" w:name="_Toc152042331"/>
      <w:bookmarkStart w:id="438" w:name="_Toc16521941"/>
      <w:bookmarkStart w:id="439" w:name="_Toc14128"/>
      <w:r>
        <w:rPr>
          <w:rFonts w:ascii="Times New Roman" w:hAnsi="Times New Roman" w:cs="Times New Roman" w:eastAsiaTheme="minorEastAsia"/>
          <w:snapToGrid w:val="0"/>
          <w:sz w:val="21"/>
          <w:szCs w:val="21"/>
        </w:rPr>
        <w:t>4. 投标</w:t>
      </w:r>
      <w:bookmarkEnd w:id="431"/>
      <w:bookmarkEnd w:id="432"/>
      <w:bookmarkEnd w:id="433"/>
      <w:bookmarkEnd w:id="434"/>
      <w:bookmarkEnd w:id="435"/>
      <w:bookmarkEnd w:id="436"/>
      <w:bookmarkEnd w:id="437"/>
      <w:bookmarkEnd w:id="438"/>
      <w:bookmarkEnd w:id="439"/>
    </w:p>
    <w:p>
      <w:pPr>
        <w:snapToGrid w:val="0"/>
        <w:spacing w:line="360" w:lineRule="auto"/>
        <w:ind w:firstLine="420" w:firstLineChars="200"/>
        <w:rPr>
          <w:rFonts w:ascii="Times New Roman" w:hAnsi="Times New Roman" w:cs="Times New Roman" w:eastAsiaTheme="minorEastAsia"/>
          <w:snapToGrid w:val="0"/>
          <w:sz w:val="21"/>
          <w:szCs w:val="21"/>
        </w:rPr>
      </w:pPr>
      <w:bookmarkStart w:id="440" w:name="_Toc283886219"/>
      <w:bookmarkStart w:id="441" w:name="_Toc372899713"/>
      <w:bookmarkStart w:id="442" w:name="_Toc283976510"/>
      <w:bookmarkStart w:id="443" w:name="_Toc237769268"/>
      <w:bookmarkStart w:id="444" w:name="_Toc237768804"/>
      <w:bookmarkStart w:id="445" w:name="_Toc282596274"/>
      <w:bookmarkStart w:id="446" w:name="_Toc372899836"/>
      <w:bookmarkStart w:id="447" w:name="_Toc288556261"/>
      <w:bookmarkStart w:id="448" w:name="_Toc394573907"/>
      <w:bookmarkStart w:id="449" w:name="_Toc179632574"/>
      <w:bookmarkStart w:id="450" w:name="_Toc152042332"/>
      <w:bookmarkStart w:id="451" w:name="_Toc144974524"/>
      <w:bookmarkStart w:id="452" w:name="_Toc321925396"/>
      <w:bookmarkStart w:id="453" w:name="_Toc152045556"/>
      <w:bookmarkStart w:id="454" w:name="_Toc7680"/>
      <w:bookmarkStart w:id="455" w:name="_Toc17818"/>
      <w:bookmarkStart w:id="456" w:name="_Toc13671"/>
      <w:bookmarkStart w:id="457" w:name="_Toc16521942"/>
      <w:bookmarkStart w:id="458" w:name="_Toc8305344"/>
      <w:r>
        <w:rPr>
          <w:rFonts w:ascii="Times New Roman" w:hAnsi="Times New Roman" w:cs="Times New Roman" w:eastAsiaTheme="minorEastAsia"/>
          <w:snapToGrid w:val="0"/>
          <w:sz w:val="21"/>
          <w:szCs w:val="21"/>
        </w:rPr>
        <w:t>4.1 投标文件的</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ascii="Times New Roman" w:hAnsi="Times New Roman" w:cs="Times New Roman" w:eastAsiaTheme="minorEastAsia"/>
          <w:snapToGrid w:val="0"/>
          <w:sz w:val="21"/>
          <w:szCs w:val="21"/>
        </w:rPr>
        <w:t>递交</w:t>
      </w:r>
      <w:bookmarkEnd w:id="454"/>
      <w:bookmarkEnd w:id="455"/>
      <w:bookmarkEnd w:id="456"/>
      <w:bookmarkEnd w:id="457"/>
      <w:bookmarkEnd w:id="458"/>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4.1.1 投标人</w:t>
      </w:r>
      <w:r>
        <w:rPr>
          <w:rFonts w:hint="eastAsia" w:ascii="Times New Roman" w:hAnsi="Times New Roman" w:cs="Times New Roman" w:eastAsiaTheme="minorEastAsia"/>
          <w:b/>
          <w:bCs/>
          <w:snapToGrid w:val="0"/>
          <w:sz w:val="21"/>
          <w:szCs w:val="21"/>
          <w:lang w:val="en-US" w:eastAsia="zh-CN"/>
        </w:rPr>
        <w:t>（如为联合体投标，指联合体牵头人）</w:t>
      </w:r>
      <w:r>
        <w:rPr>
          <w:rFonts w:ascii="Times New Roman" w:hAnsi="Times New Roman" w:cs="Times New Roman" w:eastAsiaTheme="minorEastAsia"/>
          <w:snapToGrid w:val="0"/>
          <w:sz w:val="21"/>
          <w:szCs w:val="21"/>
        </w:rPr>
        <w:t>应在投标人须知前附表第2.1项规定的投标截止时间前上传投标文件。</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4.1.2 投标人</w:t>
      </w:r>
      <w:r>
        <w:rPr>
          <w:rFonts w:hint="eastAsia" w:ascii="Times New Roman" w:hAnsi="Times New Roman" w:cs="Times New Roman" w:eastAsiaTheme="minorEastAsia"/>
          <w:b/>
          <w:bCs/>
          <w:snapToGrid w:val="0"/>
          <w:sz w:val="21"/>
          <w:szCs w:val="21"/>
          <w:lang w:val="en-US" w:eastAsia="zh-CN"/>
        </w:rPr>
        <w:t>（如为联合体投标，指联合体牵头人）</w:t>
      </w:r>
      <w:r>
        <w:rPr>
          <w:rFonts w:ascii="Times New Roman" w:hAnsi="Times New Roman" w:cs="Times New Roman" w:eastAsiaTheme="minorEastAsia"/>
          <w:snapToGrid w:val="0"/>
          <w:sz w:val="21"/>
          <w:szCs w:val="21"/>
        </w:rPr>
        <w:t>递交投标文件的地点：见投标人须知前附表。</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4.1.3 除投标人须知前附表另有规定外，投标人</w:t>
      </w:r>
      <w:r>
        <w:rPr>
          <w:rFonts w:hint="eastAsia" w:ascii="Times New Roman" w:hAnsi="Times New Roman" w:cs="Times New Roman" w:eastAsiaTheme="minorEastAsia"/>
          <w:b/>
          <w:bCs/>
          <w:snapToGrid w:val="0"/>
          <w:sz w:val="21"/>
          <w:szCs w:val="21"/>
          <w:lang w:val="en-US" w:eastAsia="zh-CN"/>
        </w:rPr>
        <w:t>（如为联合体投标，指联合体牵头人）</w:t>
      </w:r>
      <w:r>
        <w:rPr>
          <w:rFonts w:ascii="Times New Roman" w:hAnsi="Times New Roman" w:cs="Times New Roman" w:eastAsiaTheme="minorEastAsia"/>
          <w:snapToGrid w:val="0"/>
          <w:sz w:val="21"/>
          <w:szCs w:val="21"/>
        </w:rPr>
        <w:t>所递交的投标文件不予退还。</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4.1.4 招标人（三门县工程建设电子交易平台）收到投标文件后，向投标人发出确认投标成功的提示。</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4.1.5逾期送达的或者未上传指定系统的，视为投标文件未上传。</w:t>
      </w:r>
    </w:p>
    <w:p>
      <w:pPr>
        <w:snapToGrid w:val="0"/>
        <w:spacing w:line="360" w:lineRule="auto"/>
        <w:ind w:firstLine="420" w:firstLineChars="200"/>
        <w:rPr>
          <w:rFonts w:ascii="Times New Roman" w:hAnsi="Times New Roman" w:cs="Times New Roman" w:eastAsiaTheme="minorEastAsia"/>
          <w:snapToGrid w:val="0"/>
          <w:sz w:val="21"/>
          <w:szCs w:val="21"/>
        </w:rPr>
      </w:pPr>
      <w:bookmarkStart w:id="459" w:name="_Toc179632575"/>
      <w:bookmarkStart w:id="460" w:name="_Toc321925397"/>
      <w:bookmarkStart w:id="461" w:name="_Toc237768805"/>
      <w:bookmarkStart w:id="462" w:name="_Toc283886220"/>
      <w:bookmarkStart w:id="463" w:name="_Toc144974525"/>
      <w:bookmarkStart w:id="464" w:name="_Toc237769269"/>
      <w:bookmarkStart w:id="465" w:name="_Toc283976511"/>
      <w:bookmarkStart w:id="466" w:name="_Toc394573908"/>
      <w:bookmarkStart w:id="467" w:name="_Toc288556262"/>
      <w:bookmarkStart w:id="468" w:name="_Toc152045557"/>
      <w:bookmarkStart w:id="469" w:name="_Toc372899714"/>
      <w:bookmarkStart w:id="470" w:name="_Toc152042333"/>
      <w:bookmarkStart w:id="471" w:name="_Toc372899837"/>
      <w:bookmarkStart w:id="472" w:name="_Toc282596275"/>
      <w:bookmarkStart w:id="473" w:name="_Toc26509"/>
      <w:bookmarkStart w:id="474" w:name="_Toc8305345"/>
      <w:bookmarkStart w:id="475" w:name="_Toc18742"/>
      <w:bookmarkStart w:id="476" w:name="_Toc8312"/>
      <w:bookmarkStart w:id="477" w:name="_Toc16521943"/>
      <w:r>
        <w:rPr>
          <w:rFonts w:ascii="Times New Roman" w:hAnsi="Times New Roman" w:cs="Times New Roman" w:eastAsiaTheme="minorEastAsia"/>
          <w:snapToGrid w:val="0"/>
          <w:sz w:val="21"/>
          <w:szCs w:val="21"/>
        </w:rPr>
        <w:t>4.2 投标文件的</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Fonts w:ascii="Times New Roman" w:hAnsi="Times New Roman" w:cs="Times New Roman" w:eastAsiaTheme="minorEastAsia"/>
          <w:snapToGrid w:val="0"/>
          <w:sz w:val="21"/>
          <w:szCs w:val="21"/>
        </w:rPr>
        <w:t>修改与撤回</w:t>
      </w:r>
      <w:bookmarkEnd w:id="473"/>
      <w:bookmarkEnd w:id="474"/>
      <w:bookmarkEnd w:id="475"/>
      <w:bookmarkEnd w:id="476"/>
      <w:bookmarkEnd w:id="477"/>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4.2.1 在投标人须知前附表第2.1项规定的投标截止时间前，投标人</w:t>
      </w:r>
      <w:r>
        <w:rPr>
          <w:rFonts w:hint="eastAsia" w:ascii="Times New Roman" w:hAnsi="Times New Roman" w:cs="Times New Roman" w:eastAsiaTheme="minorEastAsia"/>
          <w:b/>
          <w:bCs/>
          <w:snapToGrid w:val="0"/>
          <w:sz w:val="21"/>
          <w:szCs w:val="21"/>
          <w:lang w:val="en-US" w:eastAsia="zh-CN"/>
        </w:rPr>
        <w:t>（如为联合体投标，指联合体牵头人）</w:t>
      </w:r>
      <w:r>
        <w:rPr>
          <w:rFonts w:ascii="Times New Roman" w:hAnsi="Times New Roman" w:cs="Times New Roman" w:eastAsiaTheme="minorEastAsia"/>
          <w:snapToGrid w:val="0"/>
          <w:sz w:val="21"/>
          <w:szCs w:val="21"/>
        </w:rPr>
        <w:t>可以修改或撤回已递交的电子投标文件。</w:t>
      </w:r>
    </w:p>
    <w:p>
      <w:pPr>
        <w:snapToGrid w:val="0"/>
        <w:spacing w:line="360" w:lineRule="auto"/>
        <w:ind w:firstLine="420" w:firstLineChars="200"/>
        <w:rPr>
          <w:rFonts w:ascii="Times New Roman" w:hAnsi="Times New Roman" w:cs="Times New Roman" w:eastAsiaTheme="minorEastAsia"/>
          <w:snapToGrid w:val="0"/>
          <w:sz w:val="21"/>
          <w:szCs w:val="21"/>
        </w:rPr>
      </w:pPr>
      <w:bookmarkStart w:id="478" w:name="_Toc8305346"/>
      <w:bookmarkStart w:id="479" w:name="_Toc144974527"/>
      <w:bookmarkStart w:id="480" w:name="_Toc16521944"/>
      <w:bookmarkStart w:id="481" w:name="_Toc152045559"/>
      <w:bookmarkStart w:id="482" w:name="_Toc152042335"/>
      <w:bookmarkStart w:id="483" w:name="_Toc11958"/>
      <w:r>
        <w:rPr>
          <w:rFonts w:ascii="Times New Roman" w:hAnsi="Times New Roman" w:cs="Times New Roman" w:eastAsiaTheme="minorEastAsia"/>
          <w:snapToGrid w:val="0"/>
          <w:sz w:val="21"/>
          <w:szCs w:val="21"/>
        </w:rPr>
        <w:t>4.2.2 投标人</w:t>
      </w:r>
      <w:r>
        <w:rPr>
          <w:rFonts w:hint="eastAsia" w:ascii="Times New Roman" w:hAnsi="Times New Roman" w:cs="Times New Roman" w:eastAsiaTheme="minorEastAsia"/>
          <w:b/>
          <w:bCs/>
          <w:snapToGrid w:val="0"/>
          <w:sz w:val="21"/>
          <w:szCs w:val="21"/>
          <w:lang w:val="en-US" w:eastAsia="zh-CN"/>
        </w:rPr>
        <w:t>（如为联合体投标，指联合体牵头人）</w:t>
      </w:r>
      <w:r>
        <w:rPr>
          <w:rFonts w:ascii="Times New Roman" w:hAnsi="Times New Roman" w:cs="Times New Roman" w:eastAsiaTheme="minorEastAsia"/>
          <w:snapToGrid w:val="0"/>
          <w:sz w:val="21"/>
          <w:szCs w:val="21"/>
        </w:rPr>
        <w:t>上传修改后的投标文件应在投标截止时间前进行。投标人</w:t>
      </w:r>
      <w:r>
        <w:rPr>
          <w:rFonts w:hint="eastAsia" w:ascii="Times New Roman" w:hAnsi="Times New Roman" w:cs="Times New Roman" w:eastAsiaTheme="minorEastAsia"/>
          <w:b/>
          <w:bCs/>
          <w:snapToGrid w:val="0"/>
          <w:sz w:val="21"/>
          <w:szCs w:val="21"/>
          <w:lang w:val="en-US" w:eastAsia="zh-CN"/>
        </w:rPr>
        <w:t>（如为联合体投标，指联合体牵头人）</w:t>
      </w:r>
      <w:r>
        <w:rPr>
          <w:rFonts w:ascii="Times New Roman" w:hAnsi="Times New Roman" w:cs="Times New Roman" w:eastAsiaTheme="minorEastAsia"/>
          <w:snapToGrid w:val="0"/>
          <w:sz w:val="21"/>
          <w:szCs w:val="21"/>
        </w:rPr>
        <w:t>应先撤回已上传的电子投标文件，再上传修改后重新生成后缀名为“.已加密投标文件”的电子投标文件，并保证在投标截止时间前完成上传。</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484" w:name="_Toc8476"/>
      <w:bookmarkStart w:id="485" w:name="_Toc10424"/>
      <w:bookmarkStart w:id="486" w:name="_Toc9731"/>
      <w:r>
        <w:rPr>
          <w:rFonts w:ascii="Times New Roman" w:hAnsi="Times New Roman" w:cs="Times New Roman" w:eastAsiaTheme="minorEastAsia"/>
          <w:snapToGrid w:val="0"/>
          <w:sz w:val="21"/>
          <w:szCs w:val="21"/>
        </w:rPr>
        <w:t>5. 开标</w:t>
      </w:r>
      <w:bookmarkEnd w:id="478"/>
      <w:bookmarkEnd w:id="479"/>
      <w:bookmarkEnd w:id="480"/>
      <w:bookmarkEnd w:id="481"/>
      <w:bookmarkEnd w:id="482"/>
      <w:bookmarkEnd w:id="483"/>
      <w:bookmarkEnd w:id="484"/>
      <w:bookmarkEnd w:id="485"/>
      <w:bookmarkEnd w:id="486"/>
    </w:p>
    <w:p>
      <w:pPr>
        <w:snapToGrid w:val="0"/>
        <w:spacing w:line="360" w:lineRule="auto"/>
        <w:ind w:firstLine="420" w:firstLineChars="200"/>
        <w:rPr>
          <w:rFonts w:ascii="Times New Roman" w:hAnsi="Times New Roman" w:cs="Times New Roman" w:eastAsiaTheme="minorEastAsia"/>
          <w:snapToGrid w:val="0"/>
          <w:sz w:val="21"/>
          <w:szCs w:val="21"/>
        </w:rPr>
      </w:pPr>
      <w:bookmarkStart w:id="487" w:name="_Toc144974528"/>
      <w:bookmarkStart w:id="488" w:name="_Toc394573911"/>
      <w:bookmarkStart w:id="489" w:name="_Toc372899840"/>
      <w:bookmarkStart w:id="490" w:name="_Toc237769272"/>
      <w:bookmarkStart w:id="491" w:name="_Toc8305347"/>
      <w:bookmarkStart w:id="492" w:name="_Toc372899717"/>
      <w:bookmarkStart w:id="493" w:name="_Toc282596278"/>
      <w:bookmarkStart w:id="494" w:name="_Toc237768808"/>
      <w:bookmarkStart w:id="495" w:name="_Toc283976514"/>
      <w:bookmarkStart w:id="496" w:name="_Toc152042336"/>
      <w:bookmarkStart w:id="497" w:name="_Toc16521945"/>
      <w:bookmarkStart w:id="498" w:name="_Toc152045560"/>
      <w:bookmarkStart w:id="499" w:name="_Toc26962"/>
      <w:bookmarkStart w:id="500" w:name="_Toc321925400"/>
      <w:bookmarkStart w:id="501" w:name="_Toc18046"/>
      <w:bookmarkStart w:id="502" w:name="_Toc7998"/>
      <w:bookmarkStart w:id="503" w:name="_Toc283886223"/>
      <w:bookmarkStart w:id="504" w:name="_Toc179632578"/>
      <w:bookmarkStart w:id="505" w:name="_Toc288556265"/>
      <w:r>
        <w:rPr>
          <w:rFonts w:ascii="Times New Roman" w:hAnsi="Times New Roman" w:cs="Times New Roman" w:eastAsiaTheme="minorEastAsia"/>
          <w:snapToGrid w:val="0"/>
          <w:sz w:val="21"/>
          <w:szCs w:val="21"/>
        </w:rPr>
        <w:t>5.1 开标时间和地点</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招标人在投标人须知前附表第2.1项规定的投标截止时间（开标时间）和投标人</w:t>
      </w:r>
      <w:r>
        <w:rPr>
          <w:rFonts w:hint="eastAsia" w:ascii="Times New Roman" w:hAnsi="Times New Roman" w:cs="Times New Roman" w:eastAsiaTheme="minorEastAsia"/>
          <w:b/>
          <w:bCs/>
          <w:snapToGrid w:val="0"/>
          <w:sz w:val="21"/>
          <w:szCs w:val="21"/>
          <w:lang w:val="en-US" w:eastAsia="zh-CN"/>
        </w:rPr>
        <w:t>（如为联合体投标，指联合体牵头人）</w:t>
      </w:r>
      <w:r>
        <w:rPr>
          <w:rFonts w:ascii="Times New Roman" w:hAnsi="Times New Roman" w:cs="Times New Roman" w:eastAsiaTheme="minorEastAsia"/>
          <w:snapToGrid w:val="0"/>
          <w:sz w:val="21"/>
          <w:szCs w:val="21"/>
        </w:rPr>
        <w:t>须知前附表规定的地点公开开标，</w:t>
      </w:r>
      <w:r>
        <w:rPr>
          <w:rFonts w:ascii="Times New Roman" w:hAnsi="Times New Roman" w:cs="Times New Roman" w:eastAsiaTheme="minorEastAsia"/>
          <w:snapToGrid w:val="0"/>
          <w:sz w:val="21"/>
          <w:szCs w:val="21"/>
          <w:lang w:val="en-US"/>
        </w:rPr>
        <w:t>投标人无需到场。</w:t>
      </w:r>
    </w:p>
    <w:p>
      <w:pPr>
        <w:snapToGrid w:val="0"/>
        <w:spacing w:line="360" w:lineRule="auto"/>
        <w:ind w:firstLine="420" w:firstLineChars="200"/>
        <w:rPr>
          <w:rFonts w:ascii="Times New Roman" w:hAnsi="Times New Roman" w:cs="Times New Roman" w:eastAsiaTheme="minorEastAsia"/>
          <w:snapToGrid w:val="0"/>
          <w:sz w:val="21"/>
          <w:szCs w:val="21"/>
        </w:rPr>
      </w:pPr>
      <w:bookmarkStart w:id="506" w:name="_Toc152045561"/>
      <w:bookmarkStart w:id="507" w:name="_Toc283886224"/>
      <w:bookmarkStart w:id="508" w:name="_Toc283976515"/>
      <w:bookmarkStart w:id="509" w:name="_Toc144974529"/>
      <w:bookmarkStart w:id="510" w:name="_Toc8305348"/>
      <w:bookmarkStart w:id="511" w:name="_Toc282596279"/>
      <w:bookmarkStart w:id="512" w:name="_Toc321925401"/>
      <w:bookmarkStart w:id="513" w:name="_Toc372899841"/>
      <w:bookmarkStart w:id="514" w:name="_Toc16521946"/>
      <w:bookmarkStart w:id="515" w:name="_Toc394573912"/>
      <w:bookmarkStart w:id="516" w:name="_Toc237768809"/>
      <w:bookmarkStart w:id="517" w:name="_Toc288556266"/>
      <w:bookmarkStart w:id="518" w:name="_Toc372899718"/>
      <w:bookmarkStart w:id="519" w:name="_Toc10048"/>
      <w:bookmarkStart w:id="520" w:name="_Toc179632579"/>
      <w:bookmarkStart w:id="521" w:name="_Toc152042337"/>
      <w:bookmarkStart w:id="522" w:name="_Toc237769273"/>
      <w:bookmarkStart w:id="523" w:name="_Toc16922"/>
      <w:bookmarkStart w:id="524" w:name="_Toc14947"/>
      <w:r>
        <w:rPr>
          <w:rFonts w:ascii="Times New Roman" w:hAnsi="Times New Roman" w:cs="Times New Roman" w:eastAsiaTheme="minorEastAsia"/>
          <w:snapToGrid w:val="0"/>
          <w:sz w:val="21"/>
          <w:szCs w:val="21"/>
        </w:rPr>
        <w:t>5.2 开标程序</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招标人按投标人须知前附表要求开标。</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525" w:name="_Toc8305349"/>
      <w:bookmarkStart w:id="526" w:name="_Toc3164"/>
      <w:bookmarkStart w:id="527" w:name="_Toc29124"/>
      <w:bookmarkStart w:id="528" w:name="_Toc144974530"/>
      <w:bookmarkStart w:id="529" w:name="_Toc9779"/>
      <w:bookmarkStart w:id="530" w:name="_Toc16521947"/>
      <w:bookmarkStart w:id="531" w:name="_Toc152045562"/>
      <w:bookmarkStart w:id="532" w:name="_Toc152042338"/>
      <w:bookmarkStart w:id="533" w:name="_Toc18646"/>
      <w:r>
        <w:rPr>
          <w:rFonts w:ascii="Times New Roman" w:hAnsi="Times New Roman" w:cs="Times New Roman" w:eastAsiaTheme="minorEastAsia"/>
          <w:snapToGrid w:val="0"/>
          <w:sz w:val="21"/>
          <w:szCs w:val="21"/>
        </w:rPr>
        <w:t>6. 评标</w:t>
      </w:r>
      <w:bookmarkEnd w:id="525"/>
      <w:bookmarkEnd w:id="526"/>
      <w:bookmarkEnd w:id="527"/>
      <w:bookmarkEnd w:id="528"/>
      <w:bookmarkEnd w:id="529"/>
      <w:bookmarkEnd w:id="530"/>
      <w:bookmarkEnd w:id="531"/>
      <w:bookmarkEnd w:id="532"/>
      <w:bookmarkEnd w:id="533"/>
    </w:p>
    <w:p>
      <w:pPr>
        <w:snapToGrid w:val="0"/>
        <w:spacing w:line="360" w:lineRule="auto"/>
        <w:ind w:firstLine="420" w:firstLineChars="200"/>
        <w:rPr>
          <w:rFonts w:ascii="Times New Roman" w:hAnsi="Times New Roman" w:cs="Times New Roman" w:eastAsiaTheme="minorEastAsia"/>
          <w:snapToGrid w:val="0"/>
          <w:sz w:val="21"/>
          <w:szCs w:val="21"/>
        </w:rPr>
      </w:pPr>
      <w:bookmarkStart w:id="534" w:name="_Toc26255"/>
      <w:bookmarkStart w:id="535" w:name="_Toc25175"/>
      <w:bookmarkStart w:id="536" w:name="_Toc179632581"/>
      <w:bookmarkStart w:id="537" w:name="_Toc321925403"/>
      <w:bookmarkStart w:id="538" w:name="_Toc283976517"/>
      <w:bookmarkStart w:id="539" w:name="_Toc288556268"/>
      <w:bookmarkStart w:id="540" w:name="_Toc8305350"/>
      <w:bookmarkStart w:id="541" w:name="_Toc237769275"/>
      <w:bookmarkStart w:id="542" w:name="_Toc282596281"/>
      <w:bookmarkStart w:id="543" w:name="_Toc144974531"/>
      <w:bookmarkStart w:id="544" w:name="_Toc372899720"/>
      <w:bookmarkStart w:id="545" w:name="_Toc372899843"/>
      <w:bookmarkStart w:id="546" w:name="_Toc152042339"/>
      <w:bookmarkStart w:id="547" w:name="_Toc394573914"/>
      <w:bookmarkStart w:id="548" w:name="_Toc2001"/>
      <w:bookmarkStart w:id="549" w:name="_Toc237768811"/>
      <w:bookmarkStart w:id="550" w:name="_Toc16521948"/>
      <w:bookmarkStart w:id="551" w:name="_Toc283886226"/>
      <w:bookmarkStart w:id="552" w:name="_Toc152045563"/>
      <w:r>
        <w:rPr>
          <w:rFonts w:ascii="Times New Roman" w:hAnsi="Times New Roman" w:cs="Times New Roman" w:eastAsiaTheme="minorEastAsia"/>
          <w:snapToGrid w:val="0"/>
          <w:sz w:val="21"/>
          <w:szCs w:val="21"/>
        </w:rPr>
        <w:t>6.1 评标委员会</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snapToGrid w:val="0"/>
        <w:spacing w:line="360" w:lineRule="auto"/>
        <w:ind w:firstLine="420" w:firstLineChars="200"/>
        <w:rPr>
          <w:rFonts w:ascii="Times New Roman" w:hAnsi="Times New Roman" w:cs="Times New Roman" w:eastAsiaTheme="minorEastAsia"/>
          <w:snapToGrid w:val="0"/>
          <w:sz w:val="21"/>
          <w:szCs w:val="21"/>
        </w:rPr>
      </w:pPr>
      <w:bookmarkStart w:id="553" w:name="_Toc152045564"/>
      <w:bookmarkStart w:id="554" w:name="_Toc144974532"/>
      <w:bookmarkStart w:id="555" w:name="_Toc179632582"/>
      <w:bookmarkStart w:id="556" w:name="_Toc152042340"/>
      <w:r>
        <w:rPr>
          <w:rFonts w:ascii="Times New Roman" w:hAnsi="Times New Roman" w:cs="Times New Roman" w:eastAsiaTheme="minorEastAsia"/>
          <w:snapToGrid w:val="0"/>
          <w:sz w:val="21"/>
          <w:szCs w:val="21"/>
        </w:rPr>
        <w:t>6.1.1评标由招标人依法组建的评标委员会负责。评标委员会由招标人代表，以及有关技术、经济等方面的专家组成。</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6.1.2评标委员会成员在评标前须签订《台州市建设工程公正评标承诺书》。</w:t>
      </w:r>
    </w:p>
    <w:p>
      <w:pPr>
        <w:snapToGrid w:val="0"/>
        <w:spacing w:line="360" w:lineRule="auto"/>
        <w:ind w:firstLine="420" w:firstLineChars="200"/>
        <w:rPr>
          <w:rFonts w:ascii="Times New Roman" w:hAnsi="Times New Roman" w:cs="Times New Roman" w:eastAsiaTheme="minorEastAsia"/>
          <w:snapToGrid w:val="0"/>
          <w:sz w:val="21"/>
          <w:szCs w:val="21"/>
        </w:rPr>
      </w:pPr>
      <w:bookmarkStart w:id="557" w:name="_Toc283976518"/>
      <w:bookmarkStart w:id="558" w:name="_Toc321925404"/>
      <w:bookmarkStart w:id="559" w:name="_Toc8305351"/>
      <w:bookmarkStart w:id="560" w:name="_Toc282596282"/>
      <w:bookmarkStart w:id="561" w:name="_Toc16521949"/>
      <w:bookmarkStart w:id="562" w:name="_Toc237769276"/>
      <w:bookmarkStart w:id="563" w:name="_Toc237768812"/>
      <w:bookmarkStart w:id="564" w:name="_Toc372899844"/>
      <w:bookmarkStart w:id="565" w:name="_Toc372899721"/>
      <w:bookmarkStart w:id="566" w:name="_Toc19251"/>
      <w:bookmarkStart w:id="567" w:name="_Toc288556269"/>
      <w:bookmarkStart w:id="568" w:name="_Toc18728"/>
      <w:bookmarkStart w:id="569" w:name="_Toc28298"/>
      <w:bookmarkStart w:id="570" w:name="_Toc283886227"/>
      <w:bookmarkStart w:id="571" w:name="_Toc394573915"/>
      <w:r>
        <w:rPr>
          <w:rFonts w:ascii="Times New Roman" w:hAnsi="Times New Roman" w:cs="Times New Roman" w:eastAsiaTheme="minorEastAsia"/>
          <w:snapToGrid w:val="0"/>
          <w:sz w:val="21"/>
          <w:szCs w:val="21"/>
        </w:rPr>
        <w:t>6.2 评标原则</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Fonts w:ascii="Times New Roman" w:hAnsi="Times New Roman" w:cs="Times New Roman" w:eastAsiaTheme="minorEastAsia"/>
          <w:snapToGrid w:val="0"/>
          <w:sz w:val="21"/>
          <w:szCs w:val="21"/>
        </w:rPr>
        <w:tab/>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评标活动遵循公平、公正、科学和择优的原则。</w:t>
      </w:r>
    </w:p>
    <w:p>
      <w:pPr>
        <w:snapToGrid w:val="0"/>
        <w:spacing w:line="360" w:lineRule="auto"/>
        <w:ind w:firstLine="420" w:firstLineChars="200"/>
        <w:rPr>
          <w:rFonts w:ascii="Times New Roman" w:hAnsi="Times New Roman" w:cs="Times New Roman" w:eastAsiaTheme="minorEastAsia"/>
          <w:snapToGrid w:val="0"/>
          <w:sz w:val="21"/>
          <w:szCs w:val="21"/>
        </w:rPr>
      </w:pPr>
      <w:bookmarkStart w:id="572" w:name="_Toc394573916"/>
      <w:bookmarkStart w:id="573" w:name="_Toc372899722"/>
      <w:bookmarkStart w:id="574" w:name="_Toc8305352"/>
      <w:bookmarkStart w:id="575" w:name="_Toc283886228"/>
      <w:bookmarkStart w:id="576" w:name="_Toc288556270"/>
      <w:bookmarkStart w:id="577" w:name="_Toc237768813"/>
      <w:bookmarkStart w:id="578" w:name="_Toc152045565"/>
      <w:bookmarkStart w:id="579" w:name="_Toc144974533"/>
      <w:bookmarkStart w:id="580" w:name="_Toc237769277"/>
      <w:bookmarkStart w:id="581" w:name="_Toc152042341"/>
      <w:bookmarkStart w:id="582" w:name="_Toc283976519"/>
      <w:bookmarkStart w:id="583" w:name="_Toc372899845"/>
      <w:bookmarkStart w:id="584" w:name="_Toc10504"/>
      <w:bookmarkStart w:id="585" w:name="_Toc13575"/>
      <w:bookmarkStart w:id="586" w:name="_Toc282596283"/>
      <w:bookmarkStart w:id="587" w:name="_Toc179632583"/>
      <w:bookmarkStart w:id="588" w:name="_Toc16521950"/>
      <w:bookmarkStart w:id="589" w:name="_Toc25282"/>
      <w:bookmarkStart w:id="590" w:name="_Toc321925405"/>
      <w:r>
        <w:rPr>
          <w:rFonts w:ascii="Times New Roman" w:hAnsi="Times New Roman" w:cs="Times New Roman" w:eastAsiaTheme="minorEastAsia"/>
          <w:snapToGrid w:val="0"/>
          <w:sz w:val="21"/>
          <w:szCs w:val="21"/>
        </w:rPr>
        <w:t>6.3 评标</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评标委员会按照第三章“评标办法”规定的方法、评审因素、标准和程序对投标文件进行评审，推荐前附表规定名数的中标候选人。第三章“评标办法”没有规定的方法、评审因素和标准，不作为评标依据。</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591" w:name="_Toc16521951"/>
      <w:bookmarkStart w:id="592" w:name="_Toc29347"/>
      <w:bookmarkStart w:id="593" w:name="_Toc144974534"/>
      <w:bookmarkStart w:id="594" w:name="_Toc13689"/>
      <w:bookmarkStart w:id="595" w:name="_Toc12765"/>
      <w:bookmarkStart w:id="596" w:name="_Toc152042342"/>
      <w:bookmarkStart w:id="597" w:name="_Toc152045566"/>
      <w:bookmarkStart w:id="598" w:name="_Toc8305353"/>
      <w:bookmarkStart w:id="599" w:name="_Toc17001"/>
      <w:r>
        <w:rPr>
          <w:rFonts w:ascii="Times New Roman" w:hAnsi="Times New Roman" w:cs="Times New Roman" w:eastAsiaTheme="minorEastAsia"/>
          <w:snapToGrid w:val="0"/>
          <w:sz w:val="21"/>
          <w:szCs w:val="21"/>
        </w:rPr>
        <w:t>7. 合同授予</w:t>
      </w:r>
      <w:bookmarkEnd w:id="591"/>
      <w:bookmarkEnd w:id="592"/>
      <w:bookmarkEnd w:id="593"/>
      <w:bookmarkEnd w:id="594"/>
      <w:bookmarkEnd w:id="595"/>
      <w:bookmarkEnd w:id="596"/>
      <w:bookmarkEnd w:id="597"/>
      <w:bookmarkEnd w:id="598"/>
      <w:bookmarkEnd w:id="599"/>
    </w:p>
    <w:p>
      <w:pPr>
        <w:snapToGrid w:val="0"/>
        <w:spacing w:line="360" w:lineRule="auto"/>
        <w:ind w:firstLine="420" w:firstLineChars="200"/>
        <w:rPr>
          <w:rFonts w:ascii="Times New Roman" w:hAnsi="Times New Roman" w:cs="Times New Roman" w:eastAsiaTheme="minorEastAsia"/>
          <w:snapToGrid w:val="0"/>
          <w:sz w:val="21"/>
          <w:szCs w:val="21"/>
        </w:rPr>
      </w:pPr>
      <w:bookmarkStart w:id="600" w:name="_Toc20375"/>
      <w:bookmarkStart w:id="601" w:name="_Toc716"/>
      <w:bookmarkStart w:id="602" w:name="_Toc372899847"/>
      <w:bookmarkStart w:id="603" w:name="_Toc394573918"/>
      <w:bookmarkStart w:id="604" w:name="_Toc237769279"/>
      <w:bookmarkStart w:id="605" w:name="_Toc288556272"/>
      <w:bookmarkStart w:id="606" w:name="_Toc372899724"/>
      <w:bookmarkStart w:id="607" w:name="_Toc282596285"/>
      <w:bookmarkStart w:id="608" w:name="_Toc16521952"/>
      <w:bookmarkStart w:id="609" w:name="_Toc4726"/>
      <w:bookmarkStart w:id="610" w:name="_Toc283886230"/>
      <w:bookmarkStart w:id="611" w:name="_Toc8305354"/>
      <w:bookmarkStart w:id="612" w:name="_Toc283976521"/>
      <w:bookmarkStart w:id="613" w:name="_Toc321925407"/>
      <w:bookmarkStart w:id="614" w:name="_Toc237768815"/>
      <w:bookmarkStart w:id="615" w:name="_Toc152045567"/>
      <w:bookmarkStart w:id="616" w:name="_Toc179632585"/>
      <w:bookmarkStart w:id="617" w:name="_Toc152042343"/>
      <w:bookmarkStart w:id="618" w:name="_Toc144974535"/>
      <w:r>
        <w:rPr>
          <w:rFonts w:ascii="Times New Roman" w:hAnsi="Times New Roman" w:cs="Times New Roman" w:eastAsiaTheme="minorEastAsia"/>
          <w:snapToGrid w:val="0"/>
          <w:sz w:val="21"/>
          <w:szCs w:val="21"/>
        </w:rPr>
        <w:t>7.1</w:t>
      </w:r>
      <w:bookmarkStart w:id="619" w:name="_Toc155342567"/>
      <w:bookmarkStart w:id="620" w:name="_Toc169487814"/>
      <w:r>
        <w:rPr>
          <w:rFonts w:ascii="Times New Roman" w:hAnsi="Times New Roman" w:cs="Times New Roman" w:eastAsiaTheme="minorEastAsia"/>
          <w:snapToGrid w:val="0"/>
          <w:sz w:val="21"/>
          <w:szCs w:val="21"/>
        </w:rPr>
        <w:t>中标候选人公示</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9"/>
      <w:bookmarkEnd w:id="620"/>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7.1.1招标人应当将评标委员会推荐的中标候选人在交易场所（发布招标公告的媒体上）进行公示，公示内容还应包括被否决的投标及否决原因，各投标人资信标等内容的评分情况，中标候选人的资信标得分依据（包括业绩、奖项等材料），公示期不得少于3日（最后一日为工作日）。公示期间，招标人（招标代理机构）应按照《关于在国有投资建设工程项目招投标活动中实行行贿犯罪档案查询制度的通知》（台建规[2010]219号）规定，对中标候选人有无行贿犯罪记录进行查询。公示期间招标人（招标代理）应当对中标候选人项目负责人的在建项目情况进行核查，在公示结束后向招标监管机构提交书面核查意见。</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7.1.2涉及中标候选人投标资格、总监理工程师在建等情形的，招标人（招标代理机构）可以书面形式要求其进行澄清或说明。中标候选人应自收到书面通知之日起3日内进行澄清或说明。</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7.1.</w:t>
      </w:r>
      <w:r>
        <w:rPr>
          <w:rFonts w:ascii="Times New Roman" w:hAnsi="Times New Roman" w:cs="Times New Roman" w:eastAsiaTheme="minorEastAsia"/>
          <w:snapToGrid w:val="0"/>
          <w:sz w:val="21"/>
          <w:szCs w:val="21"/>
          <w:lang w:val="en-US"/>
        </w:rPr>
        <w:t>3</w:t>
      </w:r>
      <w:r>
        <w:rPr>
          <w:rFonts w:ascii="Times New Roman" w:hAnsi="Times New Roman" w:cs="Times New Roman" w:eastAsiaTheme="minorEastAsia"/>
          <w:snapToGrid w:val="0"/>
          <w:sz w:val="21"/>
          <w:szCs w:val="21"/>
        </w:rPr>
        <w:t>中标候选人有以下情形之一的，其资格无效：</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（1）投标资格不符合本章第1.4项规定的；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（2）投标人提供虚假材料骗取投标资格的；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（3）按第三章“评标办法”规定应作无效标处理的；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（4）拒绝按本章第7.1.</w:t>
      </w:r>
      <w:r>
        <w:rPr>
          <w:rFonts w:ascii="Times New Roman" w:hAnsi="Times New Roman" w:cs="Times New Roman" w:eastAsiaTheme="minorEastAsia"/>
          <w:snapToGrid w:val="0"/>
          <w:sz w:val="21"/>
          <w:szCs w:val="21"/>
          <w:lang w:val="en-US"/>
        </w:rPr>
        <w:t>2</w:t>
      </w:r>
      <w:r>
        <w:rPr>
          <w:rFonts w:ascii="Times New Roman" w:hAnsi="Times New Roman" w:cs="Times New Roman" w:eastAsiaTheme="minorEastAsia"/>
          <w:snapToGrid w:val="0"/>
          <w:sz w:val="21"/>
          <w:szCs w:val="21"/>
        </w:rPr>
        <w:t>款规定进行说明或不能合理说明理由的；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（5）法律法规规定作无效标处理的其它情形。</w:t>
      </w:r>
    </w:p>
    <w:p>
      <w:pPr>
        <w:snapToGrid w:val="0"/>
        <w:spacing w:line="360" w:lineRule="auto"/>
        <w:ind w:firstLine="420" w:firstLineChars="200"/>
        <w:rPr>
          <w:rFonts w:ascii="Times New Roman" w:hAnsi="Times New Roman" w:cs="Times New Roman" w:eastAsiaTheme="minorEastAsia"/>
          <w:snapToGrid w:val="0"/>
          <w:sz w:val="21"/>
          <w:szCs w:val="21"/>
        </w:rPr>
      </w:pPr>
      <w:bookmarkStart w:id="621" w:name="_Toc394573920"/>
      <w:bookmarkStart w:id="622" w:name="_Toc321925409"/>
      <w:bookmarkStart w:id="623" w:name="_Toc237769281"/>
      <w:bookmarkStart w:id="624" w:name="_Toc282596287"/>
      <w:bookmarkStart w:id="625" w:name="_Toc21908"/>
      <w:bookmarkStart w:id="626" w:name="_Toc283976523"/>
      <w:bookmarkStart w:id="627" w:name="_Toc288556274"/>
      <w:bookmarkStart w:id="628" w:name="_Toc283886232"/>
      <w:bookmarkStart w:id="629" w:name="_Toc27409"/>
      <w:bookmarkStart w:id="630" w:name="_Toc237768817"/>
      <w:bookmarkStart w:id="631" w:name="_Toc372899726"/>
      <w:bookmarkStart w:id="632" w:name="_Toc16521953"/>
      <w:bookmarkStart w:id="633" w:name="_Toc372899849"/>
      <w:bookmarkStart w:id="634" w:name="_Toc8305355"/>
      <w:bookmarkStart w:id="635" w:name="_Toc21344"/>
      <w:r>
        <w:rPr>
          <w:rFonts w:ascii="Times New Roman" w:hAnsi="Times New Roman" w:cs="Times New Roman" w:eastAsiaTheme="minorEastAsia"/>
          <w:snapToGrid w:val="0"/>
          <w:sz w:val="21"/>
          <w:szCs w:val="21"/>
        </w:rPr>
        <w:t>7.2中标通知书</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7.2.1招标人应当确定中标候选人为中标人。如涉及其他投标人资格无效的，评标结果不作调整。</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中标候选人放弃中标，或者因不可抗力提出不能履行合同，或者因违反本章第7.1.</w:t>
      </w:r>
      <w:r>
        <w:rPr>
          <w:rFonts w:ascii="Times New Roman" w:hAnsi="Times New Roman" w:cs="Times New Roman" w:eastAsiaTheme="minorEastAsia"/>
          <w:snapToGrid w:val="0"/>
          <w:sz w:val="21"/>
          <w:szCs w:val="21"/>
          <w:lang w:val="en-US"/>
        </w:rPr>
        <w:t>3</w:t>
      </w:r>
      <w:r>
        <w:rPr>
          <w:rFonts w:ascii="Times New Roman" w:hAnsi="Times New Roman" w:cs="Times New Roman" w:eastAsiaTheme="minorEastAsia"/>
          <w:snapToGrid w:val="0"/>
          <w:sz w:val="21"/>
          <w:szCs w:val="21"/>
        </w:rPr>
        <w:t>项规定造成其资格无效的，本次招标失败，重新组织招标。</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7.2.2中标人确定后，招标人应当向中标人发出《建设工程中标通知书》。</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7.2.3招标人在发出《建设工程中标通知书》的同时，应当将中标结果以书面形式通知所有未中标的投标人。</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7.2.4《建设工程中标通知书》对招标人和中标人具有法律约束力。《建设工程中标通知书》发出后，如中标人违反法律法规规定而中标无效的，应承担相应的法律责任，本次招标失败，应重新组织招标。</w:t>
      </w:r>
    </w:p>
    <w:p>
      <w:pPr>
        <w:snapToGrid w:val="0"/>
        <w:spacing w:line="360" w:lineRule="auto"/>
        <w:ind w:firstLine="420" w:firstLineChars="200"/>
        <w:rPr>
          <w:rFonts w:ascii="Times New Roman" w:hAnsi="Times New Roman" w:cs="Times New Roman" w:eastAsiaTheme="minorEastAsia"/>
          <w:snapToGrid w:val="0"/>
          <w:sz w:val="21"/>
          <w:szCs w:val="21"/>
        </w:rPr>
      </w:pPr>
      <w:bookmarkStart w:id="636" w:name="_Toc237768818"/>
      <w:bookmarkStart w:id="637" w:name="_Toc283976524"/>
      <w:bookmarkStart w:id="638" w:name="_Toc394573921"/>
      <w:bookmarkStart w:id="639" w:name="_Toc288556275"/>
      <w:bookmarkStart w:id="640" w:name="_Toc26259"/>
      <w:bookmarkStart w:id="641" w:name="_Toc13543"/>
      <w:bookmarkStart w:id="642" w:name="_Toc372899727"/>
      <w:bookmarkStart w:id="643" w:name="_Toc17197"/>
      <w:bookmarkStart w:id="644" w:name="_Toc8305356"/>
      <w:bookmarkStart w:id="645" w:name="_Toc16521954"/>
      <w:bookmarkStart w:id="646" w:name="_Toc282596288"/>
      <w:bookmarkStart w:id="647" w:name="_Toc237769282"/>
      <w:bookmarkStart w:id="648" w:name="_Toc321925410"/>
      <w:bookmarkStart w:id="649" w:name="_Toc283886233"/>
      <w:bookmarkStart w:id="650" w:name="_Toc372899850"/>
      <w:r>
        <w:rPr>
          <w:rFonts w:ascii="Times New Roman" w:hAnsi="Times New Roman" w:cs="Times New Roman" w:eastAsiaTheme="minorEastAsia"/>
          <w:snapToGrid w:val="0"/>
          <w:sz w:val="21"/>
          <w:szCs w:val="21"/>
        </w:rPr>
        <w:t>7.3合同签订</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7.3.1中标人应在签订合同前向招标人提交履约担保，未提交履约担保的，不授予合同。履约担保额度详见投标人须知前附表，履约担保可以采用工程保函（银行保函、保险机构保证保险保单和融资担保公司保函 ） 或现金形式。如不能办理工程保函采用现金的，履约担保必须解入招标文件前附表规定的招标人帐户。中标人的报价低于风险控制价的，</w:t>
      </w:r>
      <w:r>
        <w:rPr>
          <w:rFonts w:ascii="Times New Roman" w:hAnsi="Times New Roman" w:cs="Times New Roman" w:eastAsiaTheme="minorEastAsia"/>
          <w:snapToGrid w:val="0"/>
          <w:sz w:val="21"/>
          <w:szCs w:val="21"/>
          <w:lang w:val="en-US"/>
        </w:rPr>
        <w:t>须</w:t>
      </w:r>
      <w:r>
        <w:rPr>
          <w:rFonts w:ascii="Times New Roman" w:hAnsi="Times New Roman" w:cs="Times New Roman" w:eastAsiaTheme="minorEastAsia"/>
          <w:snapToGrid w:val="0"/>
          <w:sz w:val="21"/>
          <w:szCs w:val="21"/>
        </w:rPr>
        <w:t>追加履约担保金额，其追加额度为风险控制价与中标价的差额，追加部分履约担保必须采用现金形式</w:t>
      </w:r>
      <w:r>
        <w:rPr>
          <w:rFonts w:ascii="Times New Roman" w:hAnsi="Times New Roman" w:cs="Times New Roman" w:eastAsiaTheme="minorEastAsia"/>
          <w:snapToGrid w:val="0"/>
          <w:sz w:val="21"/>
          <w:szCs w:val="21"/>
          <w:lang w:val="en-US"/>
        </w:rPr>
        <w:t>解入招标人指定帐户</w:t>
      </w:r>
      <w:r>
        <w:rPr>
          <w:rFonts w:ascii="Times New Roman" w:hAnsi="Times New Roman" w:cs="Times New Roman" w:eastAsiaTheme="minorEastAsia"/>
          <w:snapToGrid w:val="0"/>
          <w:sz w:val="21"/>
          <w:szCs w:val="21"/>
        </w:rPr>
        <w:t>。</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7.3.</w:t>
      </w:r>
      <w:r>
        <w:rPr>
          <w:rFonts w:ascii="Times New Roman" w:hAnsi="Times New Roman" w:cs="Times New Roman" w:eastAsiaTheme="minorEastAsia"/>
          <w:snapToGrid w:val="0"/>
          <w:sz w:val="21"/>
          <w:szCs w:val="21"/>
          <w:lang w:val="en-US"/>
        </w:rPr>
        <w:t>2</w:t>
      </w:r>
      <w:r>
        <w:rPr>
          <w:rFonts w:ascii="Times New Roman" w:hAnsi="Times New Roman" w:cs="Times New Roman" w:eastAsiaTheme="minorEastAsia"/>
          <w:snapToGrid w:val="0"/>
          <w:sz w:val="21"/>
          <w:szCs w:val="21"/>
        </w:rPr>
        <w:t>自《建设工程中标通知书》发出之日起30日内，招标人和中标人应当按照本招标文件和中标人的投标文件订立书面合同。招标人与中标人不得再行订立背离合同实质性内容的其他协议。</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7.3.</w:t>
      </w:r>
      <w:r>
        <w:rPr>
          <w:rFonts w:ascii="Times New Roman" w:hAnsi="Times New Roman" w:cs="Times New Roman" w:eastAsiaTheme="minorEastAsia"/>
          <w:snapToGrid w:val="0"/>
          <w:sz w:val="21"/>
          <w:szCs w:val="21"/>
          <w:lang w:val="en-US"/>
        </w:rPr>
        <w:t>3</w:t>
      </w:r>
      <w:r>
        <w:rPr>
          <w:rFonts w:ascii="Times New Roman" w:hAnsi="Times New Roman" w:cs="Times New Roman" w:eastAsiaTheme="minorEastAsia"/>
          <w:snapToGrid w:val="0"/>
          <w:sz w:val="21"/>
          <w:szCs w:val="21"/>
        </w:rPr>
        <w:t>招标人与中标人应当按照《关于在我市工程建设领域推行廉政合同的通知》（台纪[2001]19号）的要求签订《廉政合同》。</w:t>
      </w:r>
    </w:p>
    <w:bookmarkEnd w:id="615"/>
    <w:bookmarkEnd w:id="616"/>
    <w:bookmarkEnd w:id="617"/>
    <w:bookmarkEnd w:id="618"/>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651" w:name="_Toc152042347"/>
      <w:bookmarkStart w:id="652" w:name="_Toc3094"/>
      <w:bookmarkStart w:id="653" w:name="_Toc8305357"/>
      <w:bookmarkStart w:id="654" w:name="_Toc152045571"/>
      <w:bookmarkStart w:id="655" w:name="_Toc14362"/>
      <w:bookmarkStart w:id="656" w:name="_Toc144974539"/>
      <w:bookmarkStart w:id="657" w:name="_Toc7014"/>
      <w:bookmarkStart w:id="658" w:name="_Toc16521955"/>
      <w:bookmarkStart w:id="659" w:name="_Toc24501"/>
      <w:r>
        <w:rPr>
          <w:rFonts w:ascii="Times New Roman" w:hAnsi="Times New Roman" w:cs="Times New Roman" w:eastAsiaTheme="minorEastAsia"/>
          <w:snapToGrid w:val="0"/>
          <w:sz w:val="21"/>
          <w:szCs w:val="21"/>
        </w:rPr>
        <w:t>8.重新招标和不再招标</w:t>
      </w:r>
      <w:bookmarkEnd w:id="651"/>
      <w:bookmarkEnd w:id="652"/>
      <w:bookmarkEnd w:id="653"/>
      <w:bookmarkEnd w:id="654"/>
      <w:bookmarkEnd w:id="655"/>
      <w:bookmarkEnd w:id="656"/>
      <w:bookmarkEnd w:id="657"/>
      <w:bookmarkEnd w:id="658"/>
      <w:bookmarkEnd w:id="659"/>
    </w:p>
    <w:p>
      <w:pPr>
        <w:snapToGrid w:val="0"/>
        <w:spacing w:line="360" w:lineRule="auto"/>
        <w:ind w:firstLine="420" w:firstLineChars="200"/>
        <w:rPr>
          <w:rFonts w:ascii="Times New Roman" w:hAnsi="Times New Roman" w:cs="Times New Roman" w:eastAsiaTheme="minorEastAsia"/>
          <w:snapToGrid w:val="0"/>
          <w:sz w:val="21"/>
          <w:szCs w:val="21"/>
        </w:rPr>
      </w:pPr>
      <w:bookmarkStart w:id="660" w:name="_Toc372899729"/>
      <w:bookmarkStart w:id="661" w:name="_Toc394573923"/>
      <w:bookmarkStart w:id="662" w:name="_Toc282596290"/>
      <w:bookmarkStart w:id="663" w:name="_Toc8305358"/>
      <w:bookmarkStart w:id="664" w:name="_Toc179632590"/>
      <w:bookmarkStart w:id="665" w:name="_Toc237769284"/>
      <w:bookmarkStart w:id="666" w:name="_Toc288556277"/>
      <w:bookmarkStart w:id="667" w:name="_Toc372899852"/>
      <w:bookmarkStart w:id="668" w:name="_Toc4949"/>
      <w:bookmarkStart w:id="669" w:name="_Toc283976526"/>
      <w:bookmarkStart w:id="670" w:name="_Toc283886235"/>
      <w:bookmarkStart w:id="671" w:name="_Toc144974540"/>
      <w:bookmarkStart w:id="672" w:name="_Toc16521956"/>
      <w:bookmarkStart w:id="673" w:name="_Toc152042348"/>
      <w:bookmarkStart w:id="674" w:name="_Toc237768820"/>
      <w:bookmarkStart w:id="675" w:name="_Toc4720"/>
      <w:bookmarkStart w:id="676" w:name="_Toc6303"/>
      <w:bookmarkStart w:id="677" w:name="_Toc152045572"/>
      <w:bookmarkStart w:id="678" w:name="_Toc321925412"/>
      <w:r>
        <w:rPr>
          <w:rFonts w:ascii="Times New Roman" w:hAnsi="Times New Roman" w:cs="Times New Roman" w:eastAsiaTheme="minorEastAsia"/>
          <w:snapToGrid w:val="0"/>
          <w:sz w:val="21"/>
          <w:szCs w:val="21"/>
        </w:rPr>
        <w:t>8.1重新招标</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有下列情形之一的，招标人将重新招标：</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（1）投标截止时间止，投标人少于3个的；</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（2）有效投标少于3个，使得投标明显缺乏竞争，经评标委员会评审后否决所有投标的。</w:t>
      </w:r>
    </w:p>
    <w:p>
      <w:pPr>
        <w:snapToGrid w:val="0"/>
        <w:spacing w:line="360" w:lineRule="auto"/>
        <w:ind w:firstLine="420" w:firstLineChars="200"/>
        <w:rPr>
          <w:rFonts w:ascii="Times New Roman" w:hAnsi="Times New Roman" w:cs="Times New Roman" w:eastAsiaTheme="minorEastAsia"/>
          <w:snapToGrid w:val="0"/>
          <w:sz w:val="21"/>
          <w:szCs w:val="21"/>
        </w:rPr>
      </w:pPr>
      <w:bookmarkStart w:id="679" w:name="_Toc16521957"/>
      <w:bookmarkStart w:id="680" w:name="_Toc179632591"/>
      <w:bookmarkStart w:id="681" w:name="_Toc372899853"/>
      <w:bookmarkStart w:id="682" w:name="_Toc152042349"/>
      <w:bookmarkStart w:id="683" w:name="_Toc321925413"/>
      <w:bookmarkStart w:id="684" w:name="_Toc772"/>
      <w:bookmarkStart w:id="685" w:name="_Toc152045573"/>
      <w:bookmarkStart w:id="686" w:name="_Toc283886236"/>
      <w:bookmarkStart w:id="687" w:name="_Toc372899730"/>
      <w:bookmarkStart w:id="688" w:name="_Toc16722"/>
      <w:bookmarkStart w:id="689" w:name="_Toc237768821"/>
      <w:bookmarkStart w:id="690" w:name="_Toc8305359"/>
      <w:bookmarkStart w:id="691" w:name="_Toc237769285"/>
      <w:bookmarkStart w:id="692" w:name="_Toc27813"/>
      <w:bookmarkStart w:id="693" w:name="_Toc288556278"/>
      <w:bookmarkStart w:id="694" w:name="_Toc282596291"/>
      <w:bookmarkStart w:id="695" w:name="_Toc144974541"/>
      <w:bookmarkStart w:id="696" w:name="_Toc283976527"/>
      <w:bookmarkStart w:id="697" w:name="_Toc394573924"/>
      <w:r>
        <w:rPr>
          <w:rFonts w:ascii="Times New Roman" w:hAnsi="Times New Roman" w:cs="Times New Roman" w:eastAsiaTheme="minorEastAsia"/>
          <w:snapToGrid w:val="0"/>
          <w:sz w:val="21"/>
          <w:szCs w:val="21"/>
        </w:rPr>
        <w:t>8.2 不再招标</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重新招标后投标人仍少于3个的，报经有关行政监督部门批准后可以不再进行招标。</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698" w:name="_Toc16521958"/>
      <w:bookmarkStart w:id="699" w:name="_Toc13664"/>
      <w:bookmarkStart w:id="700" w:name="_Toc152042350"/>
      <w:bookmarkStart w:id="701" w:name="_Toc144974542"/>
      <w:bookmarkStart w:id="702" w:name="_Toc8305360"/>
      <w:bookmarkStart w:id="703" w:name="_Toc152045574"/>
      <w:bookmarkStart w:id="704" w:name="_Toc6451"/>
      <w:r>
        <w:rPr>
          <w:rFonts w:ascii="Times New Roman" w:hAnsi="Times New Roman" w:cs="Times New Roman" w:eastAsiaTheme="minorEastAsia"/>
          <w:snapToGrid w:val="0"/>
          <w:sz w:val="21"/>
          <w:szCs w:val="21"/>
        </w:rPr>
        <w:t>9. 纪律和监督</w:t>
      </w:r>
      <w:bookmarkEnd w:id="698"/>
      <w:bookmarkEnd w:id="699"/>
      <w:bookmarkEnd w:id="700"/>
      <w:bookmarkEnd w:id="701"/>
      <w:bookmarkEnd w:id="702"/>
      <w:bookmarkEnd w:id="703"/>
      <w:bookmarkEnd w:id="704"/>
    </w:p>
    <w:p>
      <w:pPr>
        <w:snapToGrid w:val="0"/>
        <w:spacing w:line="360" w:lineRule="auto"/>
        <w:ind w:firstLine="420" w:firstLineChars="200"/>
        <w:rPr>
          <w:rFonts w:ascii="Times New Roman" w:hAnsi="Times New Roman" w:cs="Times New Roman" w:eastAsiaTheme="minorEastAsia"/>
          <w:snapToGrid w:val="0"/>
          <w:sz w:val="21"/>
          <w:szCs w:val="21"/>
        </w:rPr>
      </w:pPr>
      <w:bookmarkStart w:id="705" w:name="_Toc372899855"/>
      <w:bookmarkStart w:id="706" w:name="_Toc14263"/>
      <w:bookmarkStart w:id="707" w:name="_Toc282596293"/>
      <w:bookmarkStart w:id="708" w:name="_Toc152045575"/>
      <w:bookmarkStart w:id="709" w:name="_Toc179632593"/>
      <w:bookmarkStart w:id="710" w:name="_Toc32239"/>
      <w:bookmarkStart w:id="711" w:name="_Toc7542"/>
      <w:bookmarkStart w:id="712" w:name="_Toc237768823"/>
      <w:bookmarkStart w:id="713" w:name="_Toc394573926"/>
      <w:bookmarkStart w:id="714" w:name="_Toc321925415"/>
      <w:bookmarkStart w:id="715" w:name="_Toc283886238"/>
      <w:bookmarkStart w:id="716" w:name="_Toc288556280"/>
      <w:bookmarkStart w:id="717" w:name="_Toc283976529"/>
      <w:bookmarkStart w:id="718" w:name="_Toc144974543"/>
      <w:bookmarkStart w:id="719" w:name="_Toc237769287"/>
      <w:bookmarkStart w:id="720" w:name="_Toc152042351"/>
      <w:bookmarkStart w:id="721" w:name="_Toc16521959"/>
      <w:bookmarkStart w:id="722" w:name="_Toc8305361"/>
      <w:bookmarkStart w:id="723" w:name="_Toc372899732"/>
      <w:r>
        <w:rPr>
          <w:rFonts w:ascii="Times New Roman" w:hAnsi="Times New Roman" w:cs="Times New Roman" w:eastAsiaTheme="minorEastAsia"/>
          <w:snapToGrid w:val="0"/>
          <w:sz w:val="21"/>
          <w:szCs w:val="21"/>
        </w:rPr>
        <w:t>9.1 对招标人的纪律要求</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招标人不得泄漏招标投标活动中应当保密的情况和资料，不得与投标人串通损害国家利益、社会公共利益或者他人合法权益。</w:t>
      </w:r>
    </w:p>
    <w:p>
      <w:pPr>
        <w:snapToGrid w:val="0"/>
        <w:spacing w:line="360" w:lineRule="auto"/>
        <w:ind w:firstLine="420" w:firstLineChars="200"/>
        <w:rPr>
          <w:rFonts w:ascii="Times New Roman" w:hAnsi="Times New Roman" w:cs="Times New Roman" w:eastAsiaTheme="minorEastAsia"/>
          <w:snapToGrid w:val="0"/>
          <w:sz w:val="21"/>
          <w:szCs w:val="21"/>
        </w:rPr>
      </w:pPr>
      <w:bookmarkStart w:id="724" w:name="_Toc237769288"/>
      <w:bookmarkStart w:id="725" w:name="_Toc283976530"/>
      <w:bookmarkStart w:id="726" w:name="_Toc372899733"/>
      <w:bookmarkStart w:id="727" w:name="_Toc23120"/>
      <w:bookmarkStart w:id="728" w:name="_Toc394573927"/>
      <w:bookmarkStart w:id="729" w:name="_Toc372899856"/>
      <w:bookmarkStart w:id="730" w:name="_Toc8305362"/>
      <w:bookmarkStart w:id="731" w:name="_Toc469"/>
      <w:bookmarkStart w:id="732" w:name="_Toc16521960"/>
      <w:bookmarkStart w:id="733" w:name="_Toc283886239"/>
      <w:bookmarkStart w:id="734" w:name="_Toc288556281"/>
      <w:bookmarkStart w:id="735" w:name="_Toc321925416"/>
      <w:bookmarkStart w:id="736" w:name="_Toc237768824"/>
      <w:bookmarkStart w:id="737" w:name="_Toc282596294"/>
      <w:bookmarkStart w:id="738" w:name="_Toc9085"/>
      <w:bookmarkStart w:id="739" w:name="_Toc179632594"/>
      <w:r>
        <w:rPr>
          <w:rFonts w:ascii="Times New Roman" w:hAnsi="Times New Roman" w:cs="Times New Roman" w:eastAsiaTheme="minorEastAsia"/>
          <w:snapToGrid w:val="0"/>
          <w:sz w:val="21"/>
          <w:szCs w:val="21"/>
        </w:rPr>
        <w:t>9.2 对投标人的纪律要求</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napToGrid w:val="0"/>
        <w:spacing w:line="360" w:lineRule="auto"/>
        <w:ind w:firstLine="420" w:firstLineChars="200"/>
        <w:rPr>
          <w:rFonts w:ascii="Times New Roman" w:hAnsi="Times New Roman" w:cs="Times New Roman" w:eastAsiaTheme="minorEastAsia"/>
          <w:snapToGrid w:val="0"/>
          <w:sz w:val="21"/>
          <w:szCs w:val="21"/>
        </w:rPr>
      </w:pPr>
      <w:bookmarkStart w:id="740" w:name="_Toc283976531"/>
      <w:bookmarkStart w:id="741" w:name="_Toc30746"/>
      <w:bookmarkStart w:id="742" w:name="_Toc282596295"/>
      <w:bookmarkStart w:id="743" w:name="_Toc288556282"/>
      <w:bookmarkStart w:id="744" w:name="_Toc237768825"/>
      <w:bookmarkStart w:id="745" w:name="_Toc372899857"/>
      <w:bookmarkStart w:id="746" w:name="_Toc394573928"/>
      <w:bookmarkStart w:id="747" w:name="_Toc237769289"/>
      <w:bookmarkStart w:id="748" w:name="_Toc321925417"/>
      <w:bookmarkStart w:id="749" w:name="_Toc16521961"/>
      <w:bookmarkStart w:id="750" w:name="_Toc152042353"/>
      <w:bookmarkStart w:id="751" w:name="_Toc10503"/>
      <w:bookmarkStart w:id="752" w:name="_Toc15126"/>
      <w:bookmarkStart w:id="753" w:name="_Toc8305363"/>
      <w:bookmarkStart w:id="754" w:name="_Toc144974545"/>
      <w:bookmarkStart w:id="755" w:name="_Toc283886240"/>
      <w:bookmarkStart w:id="756" w:name="_Toc179632595"/>
      <w:bookmarkStart w:id="757" w:name="_Toc152045577"/>
      <w:bookmarkStart w:id="758" w:name="_Toc372899734"/>
      <w:r>
        <w:rPr>
          <w:rFonts w:ascii="Times New Roman" w:hAnsi="Times New Roman" w:cs="Times New Roman" w:eastAsiaTheme="minorEastAsia"/>
          <w:snapToGrid w:val="0"/>
          <w:sz w:val="21"/>
          <w:szCs w:val="21"/>
        </w:rPr>
        <w:t>9.3 对评标委员会成员的纪律要求</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napToGrid w:val="0"/>
        <w:spacing w:line="360" w:lineRule="auto"/>
        <w:ind w:firstLine="420" w:firstLineChars="200"/>
        <w:rPr>
          <w:rFonts w:ascii="Times New Roman" w:hAnsi="Times New Roman" w:cs="Times New Roman" w:eastAsiaTheme="minorEastAsia"/>
          <w:snapToGrid w:val="0"/>
          <w:sz w:val="21"/>
          <w:szCs w:val="21"/>
        </w:rPr>
      </w:pPr>
      <w:bookmarkStart w:id="759" w:name="_Toc19502"/>
      <w:bookmarkStart w:id="760" w:name="_Toc179632596"/>
      <w:bookmarkStart w:id="761" w:name="_Toc152042354"/>
      <w:bookmarkStart w:id="762" w:name="_Toc288556283"/>
      <w:bookmarkStart w:id="763" w:name="_Toc16521962"/>
      <w:bookmarkStart w:id="764" w:name="_Toc321925418"/>
      <w:bookmarkStart w:id="765" w:name="_Toc237768826"/>
      <w:bookmarkStart w:id="766" w:name="_Toc283886241"/>
      <w:bookmarkStart w:id="767" w:name="_Toc394573929"/>
      <w:bookmarkStart w:id="768" w:name="_Toc8305364"/>
      <w:bookmarkStart w:id="769" w:name="_Toc18091"/>
      <w:bookmarkStart w:id="770" w:name="_Toc10288"/>
      <w:bookmarkStart w:id="771" w:name="_Toc372899735"/>
      <w:bookmarkStart w:id="772" w:name="_Toc372899858"/>
      <w:bookmarkStart w:id="773" w:name="_Toc283976532"/>
      <w:bookmarkStart w:id="774" w:name="_Toc237769290"/>
      <w:bookmarkStart w:id="775" w:name="_Toc282596296"/>
      <w:bookmarkStart w:id="776" w:name="_Toc152045578"/>
      <w:bookmarkStart w:id="777" w:name="_Toc144974546"/>
      <w:r>
        <w:rPr>
          <w:rFonts w:ascii="Times New Roman" w:hAnsi="Times New Roman" w:cs="Times New Roman" w:eastAsiaTheme="minorEastAsia"/>
          <w:snapToGrid w:val="0"/>
          <w:sz w:val="21"/>
          <w:szCs w:val="21"/>
        </w:rPr>
        <w:t>9.4 对与评标活动有关的工作人员的纪律要求</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snapToGrid w:val="0"/>
        <w:spacing w:line="360" w:lineRule="auto"/>
        <w:ind w:firstLine="420" w:firstLineChars="200"/>
        <w:rPr>
          <w:rFonts w:ascii="Times New Roman" w:hAnsi="Times New Roman" w:cs="Times New Roman" w:eastAsiaTheme="minorEastAsia"/>
          <w:snapToGrid w:val="0"/>
          <w:sz w:val="21"/>
          <w:szCs w:val="21"/>
        </w:rPr>
      </w:pPr>
      <w:bookmarkStart w:id="778" w:name="_Toc152042355"/>
      <w:r>
        <w:rPr>
          <w:rFonts w:ascii="Times New Roman" w:hAnsi="Times New Roman" w:cs="Times New Roman" w:eastAsiaTheme="minorEastAsia"/>
          <w:snapToGrid w:val="0"/>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778"/>
    </w:p>
    <w:p>
      <w:pPr>
        <w:snapToGrid w:val="0"/>
        <w:spacing w:line="360" w:lineRule="auto"/>
        <w:ind w:firstLine="420" w:firstLineChars="200"/>
        <w:rPr>
          <w:rFonts w:ascii="Times New Roman" w:hAnsi="Times New Roman" w:cs="Times New Roman" w:eastAsiaTheme="minorEastAsia"/>
          <w:snapToGrid w:val="0"/>
          <w:sz w:val="21"/>
          <w:szCs w:val="21"/>
        </w:rPr>
      </w:pPr>
      <w:bookmarkStart w:id="779" w:name="_Toc152045579"/>
      <w:bookmarkStart w:id="780" w:name="_Toc321925419"/>
      <w:bookmarkStart w:id="781" w:name="_Toc8305365"/>
      <w:bookmarkStart w:id="782" w:name="_Toc179632597"/>
      <w:bookmarkStart w:id="783" w:name="_Toc288556284"/>
      <w:bookmarkStart w:id="784" w:name="_Toc152042356"/>
      <w:bookmarkStart w:id="785" w:name="_Toc237769291"/>
      <w:bookmarkStart w:id="786" w:name="_Toc282596297"/>
      <w:bookmarkStart w:id="787" w:name="_Toc283886242"/>
      <w:bookmarkStart w:id="788" w:name="_Toc283976533"/>
      <w:bookmarkStart w:id="789" w:name="_Toc16521963"/>
      <w:bookmarkStart w:id="790" w:name="_Toc237768827"/>
      <w:bookmarkStart w:id="791" w:name="_Toc31009"/>
      <w:bookmarkStart w:id="792" w:name="_Toc394573930"/>
      <w:bookmarkStart w:id="793" w:name="_Toc32557"/>
      <w:bookmarkStart w:id="794" w:name="_Toc372899859"/>
      <w:bookmarkStart w:id="795" w:name="_Toc372899736"/>
      <w:bookmarkStart w:id="796" w:name="_Toc14187"/>
      <w:r>
        <w:rPr>
          <w:rFonts w:ascii="Times New Roman" w:hAnsi="Times New Roman" w:cs="Times New Roman" w:eastAsiaTheme="minorEastAsia"/>
          <w:snapToGrid w:val="0"/>
          <w:sz w:val="21"/>
          <w:szCs w:val="21"/>
        </w:rPr>
        <w:t>9.5 投诉</w:t>
      </w:r>
      <w:bookmarkEnd w:id="777"/>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投标人和其他利害关系人认为本次招标活动违反法律、法规和规章规定的，有权向有关行政监督部门投诉。任何单位和个人发现本次招标活动违反法律、法规和规章规定的，有权向有关行政监督部门举报。</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797" w:name="_Toc152045580"/>
      <w:bookmarkStart w:id="798" w:name="_Toc16521964"/>
      <w:bookmarkStart w:id="799" w:name="_Toc27208"/>
      <w:bookmarkStart w:id="800" w:name="_Toc1392"/>
      <w:bookmarkStart w:id="801" w:name="_Toc8305366"/>
      <w:bookmarkStart w:id="802" w:name="_Toc144974547"/>
      <w:bookmarkStart w:id="803" w:name="_Toc152042357"/>
      <w:r>
        <w:rPr>
          <w:rFonts w:ascii="Times New Roman" w:hAnsi="Times New Roman" w:cs="Times New Roman" w:eastAsiaTheme="minorEastAsia"/>
          <w:snapToGrid w:val="0"/>
          <w:sz w:val="21"/>
          <w:szCs w:val="21"/>
        </w:rPr>
        <w:t>10. 需要补充的其他内容</w:t>
      </w:r>
      <w:bookmarkEnd w:id="797"/>
      <w:bookmarkEnd w:id="798"/>
      <w:bookmarkEnd w:id="799"/>
      <w:bookmarkEnd w:id="800"/>
      <w:bookmarkEnd w:id="801"/>
      <w:bookmarkEnd w:id="802"/>
      <w:bookmarkEnd w:id="803"/>
    </w:p>
    <w:p>
      <w:pPr>
        <w:autoSpaceDE/>
        <w:autoSpaceDN/>
        <w:adjustRightInd w:val="0"/>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需要补充的其他内容：见投标人须知前附表。</w:t>
      </w:r>
    </w:p>
    <w:p>
      <w:pPr>
        <w:pStyle w:val="6"/>
        <w:snapToGrid w:val="0"/>
        <w:spacing w:line="360" w:lineRule="auto"/>
        <w:ind w:left="0" w:right="0" w:firstLine="422" w:firstLineChars="200"/>
        <w:jc w:val="left"/>
        <w:rPr>
          <w:rFonts w:ascii="Times New Roman" w:hAnsi="Times New Roman" w:cs="Times New Roman" w:eastAsiaTheme="minorEastAsia"/>
          <w:snapToGrid w:val="0"/>
          <w:sz w:val="21"/>
          <w:szCs w:val="21"/>
        </w:rPr>
      </w:pPr>
      <w:bookmarkStart w:id="804" w:name="_Toc460843298"/>
      <w:bookmarkStart w:id="805" w:name="_Toc384011594"/>
      <w:bookmarkStart w:id="806" w:name="_Toc518045946"/>
      <w:bookmarkStart w:id="807" w:name="_Toc10634"/>
      <w:bookmarkStart w:id="808" w:name="_Toc25286"/>
      <w:bookmarkStart w:id="809" w:name="_Toc531338756"/>
      <w:bookmarkStart w:id="810" w:name="_Toc27783"/>
      <w:bookmarkStart w:id="811" w:name="_Toc10575"/>
      <w:r>
        <w:rPr>
          <w:rFonts w:ascii="Times New Roman" w:hAnsi="Times New Roman" w:cs="Times New Roman" w:eastAsiaTheme="minorEastAsia"/>
          <w:snapToGrid w:val="0"/>
          <w:sz w:val="21"/>
          <w:szCs w:val="21"/>
        </w:rPr>
        <w:t>11. 其他</w:t>
      </w:r>
      <w:bookmarkEnd w:id="804"/>
      <w:bookmarkEnd w:id="805"/>
      <w:bookmarkEnd w:id="806"/>
      <w:bookmarkEnd w:id="807"/>
      <w:bookmarkEnd w:id="808"/>
      <w:bookmarkEnd w:id="809"/>
      <w:bookmarkEnd w:id="810"/>
      <w:bookmarkEnd w:id="811"/>
    </w:p>
    <w:p>
      <w:pPr>
        <w:snapToGrid w:val="0"/>
        <w:spacing w:line="360" w:lineRule="auto"/>
        <w:ind w:firstLine="420" w:firstLineChars="200"/>
        <w:rPr>
          <w:rFonts w:ascii="Times New Roman" w:hAnsi="Times New Roman" w:cs="Times New Roman" w:eastAsiaTheme="minorEastAsia"/>
          <w:snapToGrid w:val="0"/>
          <w:sz w:val="21"/>
          <w:szCs w:val="21"/>
          <w:lang w:val="en-US"/>
        </w:rPr>
      </w:pPr>
      <w:r>
        <w:rPr>
          <w:rFonts w:ascii="Times New Roman" w:hAnsi="Times New Roman" w:cs="Times New Roman" w:eastAsiaTheme="minorEastAsia"/>
          <w:snapToGrid w:val="0"/>
          <w:sz w:val="21"/>
          <w:szCs w:val="21"/>
        </w:rPr>
        <w:t>11.1投标人存在撤销投标文件和无正当理由放弃中标、不与招标人签订书面合同等情形或被行政部门查实存在违法行为，招标人重新招标的，招标人可以拒绝投标人再次投标该项目</w:t>
      </w:r>
      <w:r>
        <w:rPr>
          <w:rFonts w:ascii="Times New Roman" w:hAnsi="Times New Roman" w:cs="Times New Roman" w:eastAsiaTheme="minorEastAsia"/>
          <w:snapToGrid w:val="0"/>
          <w:sz w:val="21"/>
          <w:szCs w:val="21"/>
          <w:lang w:val="en-US"/>
        </w:rPr>
        <w:t>。</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11.2在评标委员会得出评标结果并经当众宣布后，经查实投标人和投标项目负责人资格不符合招标文件第二章投标须知第1.4款要求的，作以下处理：</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（1）若该投标人为中标候选人时，将取消中标候选人资格，并按有关规定进行处理，招标人有权没收部分或全部投标担保金，但其投标文件仍参加评标标底价计算；</w:t>
      </w:r>
    </w:p>
    <w:p>
      <w:pPr>
        <w:snapToGrid w:val="0"/>
        <w:spacing w:line="360" w:lineRule="auto"/>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（2）若该投标人不是中标候选人时，将按有关规定进行处理，招标人有权没收部分或全部投标担保金，但其投标文件仍参加评标标底价计算。</w:t>
      </w:r>
    </w:p>
    <w:p>
      <w:pPr>
        <w:snapToGrid w:val="0"/>
        <w:rPr>
          <w:rFonts w:ascii="Times New Roman" w:hAnsi="Times New Roman" w:cs="Times New Roman" w:eastAsiaTheme="minorEastAsia"/>
          <w:snapToGrid w:val="0"/>
        </w:rPr>
      </w:pPr>
    </w:p>
    <w:p>
      <w:pPr>
        <w:widowControl/>
        <w:autoSpaceDE/>
        <w:autoSpaceDN/>
        <w:rPr>
          <w:rFonts w:ascii="Times New Roman" w:hAnsi="Times New Roman" w:cs="Times New Roman" w:eastAsiaTheme="minorEastAsia"/>
          <w:snapToGrid w:val="0"/>
          <w:sz w:val="21"/>
        </w:rPr>
      </w:pPr>
      <w:r>
        <w:rPr>
          <w:rFonts w:ascii="Times New Roman" w:hAnsi="Times New Roman" w:cs="Times New Roman" w:eastAsiaTheme="minorEastAsia"/>
          <w:snapToGrid w:val="0"/>
          <w:sz w:val="21"/>
        </w:rPr>
        <w:br w:type="page"/>
      </w:r>
    </w:p>
    <w:p>
      <w:pPr>
        <w:pStyle w:val="5"/>
        <w:rPr>
          <w:rFonts w:ascii="Times New Roman" w:hAnsi="Times New Roman" w:cs="Times New Roman" w:eastAsiaTheme="minorEastAsia"/>
          <w:snapToGrid w:val="0"/>
        </w:rPr>
      </w:pPr>
      <w:bookmarkStart w:id="812" w:name="_TOC_250014"/>
      <w:bookmarkEnd w:id="812"/>
      <w:bookmarkStart w:id="813" w:name="_Toc15068"/>
      <w:bookmarkStart w:id="814" w:name="_Toc8305367"/>
      <w:bookmarkStart w:id="815" w:name="_Toc15832"/>
      <w:bookmarkStart w:id="816" w:name="_Toc23574"/>
      <w:bookmarkStart w:id="817" w:name="_Toc26741"/>
      <w:bookmarkStart w:id="818" w:name="_Toc12192"/>
      <w:bookmarkStart w:id="819" w:name="_Toc82672094"/>
      <w:bookmarkStart w:id="820" w:name="_Toc25047"/>
      <w:bookmarkStart w:id="821" w:name="_Toc89960462"/>
      <w:bookmarkStart w:id="822" w:name="_Toc12268"/>
      <w:r>
        <w:rPr>
          <w:rFonts w:ascii="Times New Roman" w:hAnsi="Times New Roman" w:cs="Times New Roman" w:eastAsiaTheme="minorEastAsia"/>
          <w:snapToGrid w:val="0"/>
        </w:rPr>
        <w:t>第三章 评标办法</w:t>
      </w:r>
      <w:bookmarkEnd w:id="813"/>
      <w:bookmarkEnd w:id="814"/>
      <w:bookmarkEnd w:id="815"/>
      <w:bookmarkEnd w:id="816"/>
    </w:p>
    <w:p>
      <w:pPr>
        <w:spacing w:line="400" w:lineRule="exact"/>
        <w:rPr>
          <w:rFonts w:ascii="Times New Roman" w:hAnsi="Times New Roman" w:cs="Times New Roman" w:eastAsiaTheme="minorEastAsia"/>
          <w:snapToGrid w:val="0"/>
        </w:rPr>
      </w:pPr>
    </w:p>
    <w:p>
      <w:pPr>
        <w:jc w:val="center"/>
        <w:rPr>
          <w:rFonts w:ascii="Times New Roman" w:hAnsi="Times New Roman" w:cs="Times New Roman" w:eastAsiaTheme="minorEastAsia"/>
          <w:snapToGrid w:val="0"/>
          <w:sz w:val="36"/>
          <w:szCs w:val="36"/>
        </w:rPr>
      </w:pPr>
      <w:bookmarkStart w:id="823" w:name="_Toc16521965"/>
      <w:bookmarkStart w:id="824" w:name="_Toc152042365"/>
      <w:bookmarkStart w:id="825" w:name="_Toc144974555"/>
      <w:bookmarkStart w:id="826" w:name="_Toc31550"/>
      <w:bookmarkStart w:id="827" w:name="_Toc152045588"/>
      <w:bookmarkStart w:id="828" w:name="_Toc394573933"/>
      <w:bookmarkStart w:id="829" w:name="_Toc8305368"/>
      <w:r>
        <w:rPr>
          <w:rFonts w:ascii="Times New Roman" w:hAnsi="Times New Roman" w:cs="Times New Roman" w:eastAsiaTheme="minorEastAsia"/>
          <w:snapToGrid w:val="0"/>
          <w:sz w:val="36"/>
          <w:szCs w:val="36"/>
        </w:rPr>
        <w:t>评标办法前附表</w:t>
      </w:r>
      <w:bookmarkEnd w:id="823"/>
      <w:bookmarkEnd w:id="824"/>
      <w:bookmarkEnd w:id="825"/>
      <w:bookmarkEnd w:id="826"/>
      <w:bookmarkEnd w:id="827"/>
      <w:bookmarkEnd w:id="828"/>
      <w:bookmarkEnd w:id="829"/>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 xml:space="preserve">  </w:t>
      </w:r>
    </w:p>
    <w:tbl>
      <w:tblPr>
        <w:tblStyle w:val="90"/>
        <w:tblW w:w="937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5"/>
        <w:gridCol w:w="1245"/>
        <w:gridCol w:w="2300"/>
        <w:gridCol w:w="4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2240" w:type="dxa"/>
            <w:gridSpan w:val="2"/>
            <w:tcBorders>
              <w:top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条款号</w:t>
            </w: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评审因素</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995" w:type="dxa"/>
            <w:vMerge w:val="restart"/>
            <w:tcBorders>
              <w:top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2.1.1</w:t>
            </w:r>
          </w:p>
        </w:tc>
        <w:tc>
          <w:tcPr>
            <w:tcW w:w="1245" w:type="dxa"/>
            <w:vMerge w:val="restart"/>
            <w:tcBorders>
              <w:top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形式评审标准</w:t>
            </w: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投标文件组成</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符合第二章“投标人须知”第3.1项规定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99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124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投标文件签字盖章</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99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124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投标文件格式</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符合第二章“投标人须知”第3.6.1项规定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99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124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投标保证金</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99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1245" w:type="dxa"/>
            <w:vMerge w:val="continue"/>
            <w:tcBorders>
              <w:right w:val="single" w:color="auto" w:sz="4" w:space="0"/>
            </w:tcBorders>
            <w:vAlign w:val="center"/>
          </w:tcPr>
          <w:p>
            <w:pPr>
              <w:spacing w:after="120" w:line="480" w:lineRule="auto"/>
              <w:jc w:val="center"/>
              <w:rPr>
                <w:rFonts w:ascii="Times New Roman" w:hAnsi="Times New Roman" w:cs="Times New Roman" w:eastAsiaTheme="minorEastAsia"/>
                <w:snapToGrid w:val="0"/>
                <w:szCs w:val="21"/>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报价唯一</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995" w:type="dxa"/>
            <w:tcBorders>
              <w:top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2.1.2</w:t>
            </w:r>
          </w:p>
        </w:tc>
        <w:tc>
          <w:tcPr>
            <w:tcW w:w="1245" w:type="dxa"/>
            <w:tcBorders>
              <w:top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资格评审标准</w:t>
            </w: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投标人资格</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符合第二章“投标人须知”第1.4款规定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2" w:hRule="atLeast"/>
        </w:trPr>
        <w:tc>
          <w:tcPr>
            <w:tcW w:w="995" w:type="dxa"/>
            <w:vMerge w:val="restart"/>
            <w:tcBorders>
              <w:top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p>
          <w:p>
            <w:pPr>
              <w:jc w:val="center"/>
              <w:rPr>
                <w:rFonts w:ascii="Times New Roman" w:hAnsi="Times New Roman" w:cs="Times New Roman" w:eastAsiaTheme="minorEastAsia"/>
                <w:snapToGrid w:val="0"/>
                <w:szCs w:val="21"/>
              </w:rPr>
            </w:pPr>
          </w:p>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2.1.3</w:t>
            </w:r>
          </w:p>
          <w:p>
            <w:pPr>
              <w:jc w:val="center"/>
              <w:rPr>
                <w:rFonts w:ascii="Times New Roman" w:hAnsi="Times New Roman" w:cs="Times New Roman" w:eastAsiaTheme="minorEastAsia"/>
                <w:snapToGrid w:val="0"/>
                <w:szCs w:val="21"/>
              </w:rPr>
            </w:pPr>
          </w:p>
          <w:p>
            <w:pPr>
              <w:rPr>
                <w:rFonts w:ascii="Times New Roman" w:hAnsi="Times New Roman" w:cs="Times New Roman" w:eastAsiaTheme="minorEastAsia"/>
                <w:snapToGrid w:val="0"/>
                <w:szCs w:val="21"/>
              </w:rPr>
            </w:pPr>
          </w:p>
        </w:tc>
        <w:tc>
          <w:tcPr>
            <w:tcW w:w="1245" w:type="dxa"/>
            <w:vMerge w:val="restart"/>
            <w:tcBorders>
              <w:top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p>
          <w:p>
            <w:pPr>
              <w:jc w:val="center"/>
              <w:rPr>
                <w:rFonts w:ascii="Times New Roman" w:hAnsi="Times New Roman" w:cs="Times New Roman" w:eastAsiaTheme="minorEastAsia"/>
                <w:snapToGrid w:val="0"/>
                <w:szCs w:val="21"/>
              </w:rPr>
            </w:pPr>
          </w:p>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响应性评审标准</w:t>
            </w:r>
          </w:p>
          <w:p>
            <w:pPr>
              <w:jc w:val="center"/>
              <w:rPr>
                <w:rFonts w:ascii="Times New Roman" w:hAnsi="Times New Roman" w:cs="Times New Roman" w:eastAsiaTheme="minorEastAsia"/>
                <w:snapToGrid w:val="0"/>
                <w:szCs w:val="21"/>
              </w:rPr>
            </w:pPr>
          </w:p>
          <w:p>
            <w:pPr>
              <w:rPr>
                <w:rFonts w:ascii="Times New Roman" w:hAnsi="Times New Roman" w:cs="Times New Roman" w:eastAsiaTheme="minorEastAsia"/>
                <w:snapToGrid w:val="0"/>
                <w:szCs w:val="21"/>
              </w:rPr>
            </w:pPr>
          </w:p>
        </w:tc>
        <w:tc>
          <w:tcPr>
            <w:tcW w:w="2300"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p>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工程质量</w:t>
            </w:r>
          </w:p>
        </w:tc>
        <w:tc>
          <w:tcPr>
            <w:tcW w:w="4834"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p>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995" w:type="dxa"/>
            <w:vMerge w:val="continue"/>
            <w:tcBorders>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p>
        </w:tc>
        <w:tc>
          <w:tcPr>
            <w:tcW w:w="1245" w:type="dxa"/>
            <w:vMerge w:val="continue"/>
            <w:tcBorders>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投标报价</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符合第二章“投标人须知”第3.2.2项规定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995" w:type="dxa"/>
            <w:tcBorders>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2.1.4</w:t>
            </w:r>
          </w:p>
        </w:tc>
        <w:tc>
          <w:tcPr>
            <w:tcW w:w="1245" w:type="dxa"/>
            <w:tcBorders>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串通投标评审标准</w:t>
            </w:r>
          </w:p>
        </w:tc>
        <w:tc>
          <w:tcPr>
            <w:tcW w:w="7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存在本章3.1.2项、3.1.3项规定情形之一的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995" w:type="dxa"/>
            <w:tcBorders>
              <w:top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3.2</w:t>
            </w:r>
          </w:p>
        </w:tc>
        <w:tc>
          <w:tcPr>
            <w:tcW w:w="1245" w:type="dxa"/>
            <w:tcBorders>
              <w:top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详细评审标准</w:t>
            </w:r>
          </w:p>
        </w:tc>
        <w:tc>
          <w:tcPr>
            <w:tcW w:w="23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评审和评分</w:t>
            </w:r>
          </w:p>
        </w:tc>
        <w:tc>
          <w:tcPr>
            <w:tcW w:w="48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详见</w:t>
            </w:r>
            <w:r>
              <w:rPr>
                <w:rFonts w:ascii="Times New Roman" w:hAnsi="Times New Roman" w:cs="Times New Roman" w:eastAsiaTheme="minorEastAsia"/>
                <w:snapToGrid w:val="0"/>
              </w:rPr>
              <w:t>“评标办法附件”</w:t>
            </w:r>
          </w:p>
        </w:tc>
      </w:tr>
    </w:tbl>
    <w:p>
      <w:pPr>
        <w:spacing w:line="400" w:lineRule="exact"/>
        <w:rPr>
          <w:rFonts w:ascii="Times New Roman" w:hAnsi="Times New Roman" w:cs="Times New Roman" w:eastAsiaTheme="minorEastAsia"/>
          <w:snapToGrid w:val="0"/>
        </w:rPr>
      </w:pPr>
    </w:p>
    <w:p>
      <w:pPr>
        <w:widowControl/>
        <w:autoSpaceDE/>
        <w:autoSpaceDN/>
        <w:rPr>
          <w:rFonts w:ascii="Times New Roman" w:hAnsi="Times New Roman" w:cs="Times New Roman" w:eastAsiaTheme="minorEastAsia"/>
          <w:snapToGrid w:val="0"/>
        </w:rPr>
      </w:pPr>
      <w:r>
        <w:rPr>
          <w:rFonts w:ascii="Times New Roman" w:hAnsi="Times New Roman" w:cs="Times New Roman" w:eastAsiaTheme="minorEastAsia"/>
          <w:snapToGrid w:val="0"/>
        </w:rPr>
        <w:br w:type="page"/>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 xml:space="preserve"> 1. 评标方法</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本次评标办法见评标办法附件。评标委员会对满足招标文件实质性要求的投标文件，按照本章第2.2款规定的评分标准进行评审和评分，并推荐中标候选人。</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 评审标准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2.1 初步评审标准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2.1.1 形式评审标准：见评标办法前附表。</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2.1.2 资格评审标准：见评标办法前附表。</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2.1.3 响应性评审标准：见评标办法前附表。</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2.1.4串通投标评审标准：见评标办法前附表。</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2.2 分值构成与评分标准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分值构成与评分标准：见评标办法附件。</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 评标程序</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3.1 初步评审</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3.1.1 评标委员会依据本章第2.1.1项、第2.1.2项、第2.1.3项规定的评审标准对投标文件进行初步评审。有一项不符合评审标准的，作无效标处理。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3.1.2评标委员会在评审过程中发现投标人的投标文件存在以下情形之一的，应认定为串通投标行为，其投标作无效标处理：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（1）不同投标人的投标文件由同一单位或者个人编制（包括使用同一台电脑、同一套投标工具、同一套计价软件）；</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（2）不同投标人委托同一单位或者个人办理投标事宜；</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（3）不同投标人的投标文件载明的项目管理成员为同一人；</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（4）不同投标人的投标文件异常一致或者投标报价呈规律性差异；</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（5）不同投标人的投标文件相互混装；</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（6）不同投标人的投标保证金从同一单位或者个人的账户转出；</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（7）法律法规规定的其他串通投标行为。</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3.1.3评标委员会在评审过程中发现投标人的投标文件存在以下情形之一的，应当向投标人质询，如投标人拒绝说明或不能合理说明理由的，应认定为串通投标行为，其投标作无效标处理：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（1）投标人之间协商投标报价等投标文件的实质性内容；</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（2）投标人之间约定中标人；</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（3）投标人之间约定部分投标人放弃投标或者中标；</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（4）属于同一集团、协会、商会等组织成员的投标人按照该组织要求协同投标；</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（5）投标人之间为谋取中标或者排斥特定投标人而采取的其他联合行动。</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3.1.4商务标修正。</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投标承诺书中的文字表示的量和以数字表示的量不一致时，以文字表示的量为准。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3.2 详细评审</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评标委员会按本章第2.2款规定进行评审和评分。</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3.3 投标文件的澄清和补正</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3.3.2 澄清、说明和补正不得改变投标文件的实质性内容（算术性错误修正的除外）。投标人提交的书面澄清、说明和补正，如经评标委员会认可，可作为投标文件的组成部分。投标文件的实质性内容包括投标函是否按招标文件要求编制，总报价、质量、投标资格的承诺是否响应招标文件的要求。</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3.3.3 评标委员会对投标人提交的澄清、说明或补正有疑问的，可以要求投标人进一步澄清、说明或补正，直至满足评标委员会的要求。如果投标人不按评标委员会要求进行澄清、说明或补正的，投标人的投标报价进入详细评审，但投标人最终将丧失其中标资格。</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3.3.4各投标单位委托代理人或法定代表人必须在开评标期间保持电话及网络畅通，评标委员会要求投标人进行澄清或说明时，投标单位委托代理人或法定代表人所留联系方式在30分钟内无法联系上或未回复的，可视作拒绝或放弃澄清或说明。</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3.3.5开评标过程中，投标人提交的澄清、说明或补正采用原件扫描形式提交。</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3.4 评标结果</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3.4.1评标委员会按照“评标办法附件”规定推荐中标候选人。</w:t>
      </w:r>
    </w:p>
    <w:p>
      <w:pPr>
        <w:spacing w:line="400" w:lineRule="exact"/>
        <w:rPr>
          <w:rFonts w:ascii="Times New Roman" w:hAnsi="Times New Roman" w:cs="Times New Roman" w:eastAsiaTheme="minorEastAsia"/>
          <w:snapToGrid w:val="0"/>
        </w:rPr>
      </w:pPr>
      <w:r>
        <w:rPr>
          <w:rFonts w:ascii="Times New Roman" w:hAnsi="Times New Roman" w:cs="Times New Roman" w:eastAsiaTheme="minorEastAsia"/>
          <w:snapToGrid w:val="0"/>
        </w:rPr>
        <w:t>3.4.2 评标委员会完成评标后，应当向招标人提交书面评标报告。</w:t>
      </w:r>
    </w:p>
    <w:p>
      <w:pPr>
        <w:spacing w:line="400" w:lineRule="exact"/>
        <w:rPr>
          <w:rFonts w:ascii="Times New Roman" w:hAnsi="Times New Roman" w:cs="Times New Roman" w:eastAsiaTheme="minorEastAsia"/>
          <w:snapToGrid w:val="0"/>
        </w:rPr>
      </w:pPr>
    </w:p>
    <w:p>
      <w:pPr>
        <w:spacing w:line="400" w:lineRule="exact"/>
        <w:rPr>
          <w:rFonts w:ascii="Times New Roman" w:hAnsi="Times New Roman" w:cs="Times New Roman" w:eastAsiaTheme="minorEastAsia"/>
          <w:snapToGrid w:val="0"/>
        </w:rPr>
      </w:pPr>
    </w:p>
    <w:p>
      <w:pPr>
        <w:spacing w:line="400" w:lineRule="exact"/>
        <w:rPr>
          <w:rFonts w:ascii="Times New Roman" w:hAnsi="Times New Roman" w:cs="Times New Roman" w:eastAsiaTheme="minorEastAsia"/>
          <w:snapToGrid w:val="0"/>
        </w:rPr>
      </w:pPr>
    </w:p>
    <w:p>
      <w:pPr>
        <w:spacing w:line="400" w:lineRule="exact"/>
        <w:rPr>
          <w:rFonts w:ascii="Times New Roman" w:hAnsi="Times New Roman" w:cs="Times New Roman" w:eastAsiaTheme="minorEastAsia"/>
          <w:snapToGrid w:val="0"/>
        </w:rPr>
      </w:pPr>
    </w:p>
    <w:p>
      <w:pPr>
        <w:widowControl/>
        <w:autoSpaceDE/>
        <w:autoSpaceDN/>
        <w:rPr>
          <w:rFonts w:ascii="Times New Roman" w:hAnsi="Times New Roman" w:cs="Times New Roman" w:eastAsiaTheme="minorEastAsia"/>
          <w:snapToGrid w:val="0"/>
          <w:sz w:val="28"/>
          <w:szCs w:val="28"/>
        </w:rPr>
      </w:pPr>
      <w:bookmarkStart w:id="830" w:name="_Toc8305378"/>
      <w:bookmarkStart w:id="831" w:name="_Toc228163243"/>
      <w:bookmarkStart w:id="832" w:name="_Toc28129"/>
      <w:bookmarkStart w:id="833" w:name="_Toc16521975"/>
      <w:bookmarkStart w:id="834" w:name="_Toc394573943"/>
      <w:r>
        <w:rPr>
          <w:rFonts w:ascii="Times New Roman" w:hAnsi="Times New Roman" w:cs="Times New Roman" w:eastAsiaTheme="minorEastAsia"/>
          <w:snapToGrid w:val="0"/>
          <w:sz w:val="28"/>
          <w:szCs w:val="28"/>
        </w:rPr>
        <w:br w:type="page"/>
      </w:r>
    </w:p>
    <w:p>
      <w:pPr>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评标办法附件</w:t>
      </w:r>
      <w:bookmarkEnd w:id="830"/>
      <w:bookmarkEnd w:id="831"/>
      <w:bookmarkEnd w:id="832"/>
      <w:bookmarkEnd w:id="833"/>
      <w:bookmarkEnd w:id="834"/>
    </w:p>
    <w:p>
      <w:pPr>
        <w:spacing w:line="400" w:lineRule="exact"/>
        <w:ind w:firstLine="442" w:firstLineChars="200"/>
        <w:rPr>
          <w:rFonts w:ascii="Times New Roman" w:hAnsi="Times New Roman" w:cs="Times New Roman" w:eastAsiaTheme="minorEastAsia"/>
          <w:b/>
          <w:snapToGrid w:val="0"/>
        </w:rPr>
      </w:pPr>
    </w:p>
    <w:p>
      <w:pPr>
        <w:autoSpaceDE/>
        <w:autoSpaceDN/>
        <w:adjustRightInd w:val="0"/>
        <w:snapToGrid w:val="0"/>
        <w:spacing w:line="360" w:lineRule="auto"/>
        <w:ind w:firstLine="562" w:firstLineChars="200"/>
        <w:jc w:val="center"/>
        <w:rPr>
          <w:rFonts w:ascii="Times New Roman" w:hAnsi="Times New Roman" w:cs="Times New Roman" w:eastAsiaTheme="minorEastAsia"/>
          <w:snapToGrid w:val="0"/>
          <w:szCs w:val="21"/>
        </w:rPr>
      </w:pPr>
      <w:r>
        <w:rPr>
          <w:rFonts w:ascii="Times New Roman" w:hAnsi="Times New Roman" w:cs="Times New Roman" w:eastAsiaTheme="minorEastAsia"/>
          <w:b/>
          <w:bCs/>
          <w:snapToGrid w:val="0"/>
          <w:sz w:val="28"/>
          <w:szCs w:val="28"/>
        </w:rPr>
        <w:t>综合评估法</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本工程项目的评标办法采用综合评估法。</w:t>
      </w:r>
    </w:p>
    <w:p>
      <w:pPr>
        <w:spacing w:line="360" w:lineRule="auto"/>
        <w:ind w:firstLine="442" w:firstLineChars="200"/>
        <w:rPr>
          <w:rFonts w:ascii="Times New Roman" w:hAnsi="Times New Roman" w:cs="Times New Roman" w:eastAsiaTheme="minorEastAsia"/>
          <w:b/>
          <w:bCs/>
          <w:snapToGrid w:val="0"/>
          <w:szCs w:val="21"/>
        </w:rPr>
      </w:pPr>
      <w:r>
        <w:rPr>
          <w:rFonts w:ascii="Times New Roman" w:hAnsi="Times New Roman" w:cs="Times New Roman" w:eastAsiaTheme="minorEastAsia"/>
          <w:b/>
          <w:bCs/>
          <w:snapToGrid w:val="0"/>
          <w:szCs w:val="21"/>
        </w:rPr>
        <w:t>一、资格审查</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评标委员会按照招标文件载明的资格后审条款对投标人的企业资质、总监理工程师资格等进行审查，凡不符合资格后审要求的，以无效标处理，不再进入下一阶段评审。</w:t>
      </w:r>
    </w:p>
    <w:p>
      <w:pPr>
        <w:spacing w:line="360" w:lineRule="auto"/>
        <w:ind w:firstLine="442" w:firstLineChars="200"/>
        <w:rPr>
          <w:rFonts w:ascii="Times New Roman" w:hAnsi="Times New Roman" w:cs="Times New Roman" w:eastAsiaTheme="minorEastAsia"/>
          <w:b/>
          <w:bCs/>
          <w:snapToGrid w:val="0"/>
          <w:szCs w:val="21"/>
        </w:rPr>
      </w:pPr>
      <w:r>
        <w:rPr>
          <w:rFonts w:ascii="Times New Roman" w:hAnsi="Times New Roman" w:cs="Times New Roman" w:eastAsiaTheme="minorEastAsia"/>
          <w:b/>
          <w:bCs/>
          <w:snapToGrid w:val="0"/>
          <w:szCs w:val="21"/>
          <w:lang w:val="en-US"/>
        </w:rPr>
        <w:t>二、</w:t>
      </w:r>
      <w:r>
        <w:rPr>
          <w:rFonts w:ascii="Times New Roman" w:hAnsi="Times New Roman" w:cs="Times New Roman" w:eastAsiaTheme="minorEastAsia"/>
          <w:b/>
          <w:bCs/>
          <w:snapToGrid w:val="0"/>
          <w:szCs w:val="21"/>
        </w:rPr>
        <w:t>资信标评审标准（</w:t>
      </w:r>
      <w:r>
        <w:rPr>
          <w:rFonts w:hint="eastAsia" w:ascii="Times New Roman" w:hAnsi="Times New Roman" w:cs="Times New Roman" w:eastAsiaTheme="minorEastAsia"/>
          <w:b/>
          <w:bCs/>
          <w:snapToGrid w:val="0"/>
          <w:szCs w:val="21"/>
          <w:lang w:val="en-US" w:eastAsia="zh-CN"/>
        </w:rPr>
        <w:t>3</w:t>
      </w:r>
      <w:r>
        <w:rPr>
          <w:rFonts w:ascii="Times New Roman" w:hAnsi="Times New Roman" w:cs="Times New Roman" w:eastAsiaTheme="minorEastAsia"/>
          <w:b/>
          <w:bCs/>
          <w:snapToGrid w:val="0"/>
          <w:szCs w:val="21"/>
        </w:rPr>
        <w:t>分）</w:t>
      </w:r>
    </w:p>
    <w:p>
      <w:pPr>
        <w:keepNext w:val="0"/>
        <w:keepLines w:val="0"/>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Times New Roman" w:hAnsi="Times New Roman" w:cs="Times New Roman" w:eastAsiaTheme="minorEastAsia"/>
          <w:snapToGrid w:val="0"/>
          <w:color w:val="auto"/>
          <w:sz w:val="22"/>
          <w:szCs w:val="22"/>
          <w:highlight w:val="none"/>
          <w:lang w:val="en-US" w:eastAsia="zh-CN"/>
        </w:rPr>
      </w:pPr>
      <w:r>
        <w:rPr>
          <w:rFonts w:hint="eastAsia" w:ascii="宋体" w:hAnsi="宋体"/>
          <w:snapToGrid w:val="0"/>
          <w:sz w:val="22"/>
          <w:szCs w:val="22"/>
          <w:highlight w:val="none"/>
        </w:rPr>
        <w:t>（一）投标人业绩（</w:t>
      </w:r>
      <w:r>
        <w:rPr>
          <w:rFonts w:hint="eastAsia"/>
          <w:snapToGrid w:val="0"/>
          <w:sz w:val="22"/>
          <w:szCs w:val="22"/>
          <w:highlight w:val="none"/>
          <w:lang w:val="en-US" w:eastAsia="zh-CN"/>
        </w:rPr>
        <w:t>3</w:t>
      </w:r>
      <w:r>
        <w:rPr>
          <w:rFonts w:hint="eastAsia" w:ascii="宋体" w:hAnsi="宋体"/>
          <w:snapToGrid w:val="0"/>
          <w:sz w:val="22"/>
          <w:szCs w:val="22"/>
          <w:highlight w:val="none"/>
        </w:rPr>
        <w:t>分）</w:t>
      </w:r>
    </w:p>
    <w:p>
      <w:pPr>
        <w:keepNext w:val="0"/>
        <w:keepLines w:val="0"/>
        <w:pageBreakBefore w:val="0"/>
        <w:widowControl w:val="0"/>
        <w:kinsoku/>
        <w:wordWrap/>
        <w:overflowPunct/>
        <w:topLinePunct w:val="0"/>
        <w:autoSpaceDE w:val="0"/>
        <w:autoSpaceDN w:val="0"/>
        <w:bidi w:val="0"/>
        <w:adjustRightInd/>
        <w:snapToGrid/>
        <w:spacing w:line="360" w:lineRule="auto"/>
        <w:ind w:firstLine="638" w:firstLineChars="290"/>
        <w:textAlignment w:val="auto"/>
        <w:rPr>
          <w:rFonts w:hint="eastAsia" w:ascii="宋体" w:hAnsi="宋体" w:eastAsia="宋体" w:cs="宋体"/>
          <w:snapToGrid w:val="0"/>
          <w:sz w:val="22"/>
          <w:szCs w:val="22"/>
          <w:highlight w:val="none"/>
        </w:rPr>
      </w:pPr>
      <w:r>
        <w:rPr>
          <w:rFonts w:hint="eastAsia" w:ascii="宋体" w:hAnsi="宋体" w:eastAsia="宋体" w:cs="宋体"/>
          <w:snapToGrid w:val="0"/>
          <w:sz w:val="22"/>
          <w:szCs w:val="22"/>
          <w:highlight w:val="none"/>
        </w:rPr>
        <w:t>①201</w:t>
      </w:r>
      <w:r>
        <w:rPr>
          <w:rFonts w:hint="eastAsia" w:ascii="宋体" w:hAnsi="宋体" w:eastAsia="宋体" w:cs="宋体"/>
          <w:snapToGrid w:val="0"/>
          <w:sz w:val="22"/>
          <w:szCs w:val="22"/>
          <w:highlight w:val="none"/>
          <w:lang w:val="en-US" w:eastAsia="zh-CN"/>
        </w:rPr>
        <w:t>5</w:t>
      </w:r>
      <w:r>
        <w:rPr>
          <w:rFonts w:hint="eastAsia" w:ascii="宋体" w:hAnsi="宋体" w:eastAsia="宋体" w:cs="宋体"/>
          <w:snapToGrid w:val="0"/>
          <w:sz w:val="22"/>
          <w:szCs w:val="22"/>
          <w:highlight w:val="none"/>
        </w:rPr>
        <w:t>年</w:t>
      </w:r>
      <w:r>
        <w:rPr>
          <w:rFonts w:hint="eastAsia" w:cs="宋体"/>
          <w:snapToGrid w:val="0"/>
          <w:sz w:val="22"/>
          <w:szCs w:val="22"/>
          <w:highlight w:val="none"/>
          <w:lang w:val="en-US" w:eastAsia="zh-CN"/>
        </w:rPr>
        <w:t>7</w:t>
      </w:r>
      <w:r>
        <w:rPr>
          <w:rFonts w:hint="eastAsia" w:ascii="宋体" w:hAnsi="宋体" w:eastAsia="宋体" w:cs="宋体"/>
          <w:snapToGrid w:val="0"/>
          <w:sz w:val="22"/>
          <w:szCs w:val="22"/>
          <w:highlight w:val="none"/>
        </w:rPr>
        <w:t>月1日</w:t>
      </w:r>
      <w:r>
        <w:rPr>
          <w:rFonts w:hint="eastAsia" w:ascii="宋体" w:hAnsi="宋体" w:eastAsia="宋体" w:cs="宋体"/>
          <w:sz w:val="22"/>
          <w:szCs w:val="22"/>
          <w:highlight w:val="none"/>
        </w:rPr>
        <w:t>（以合同签订时间为准）以来，承接过</w:t>
      </w:r>
      <w:r>
        <w:rPr>
          <w:rFonts w:hint="eastAsia" w:ascii="宋体" w:hAnsi="宋体" w:eastAsia="宋体" w:cs="宋体"/>
          <w:snapToGrid w:val="0"/>
          <w:sz w:val="22"/>
          <w:szCs w:val="22"/>
          <w:highlight w:val="none"/>
        </w:rPr>
        <w:t>单个合同生产规模大于</w:t>
      </w:r>
      <w:r>
        <w:rPr>
          <w:rFonts w:hint="eastAsia" w:ascii="宋体" w:hAnsi="宋体" w:eastAsia="宋体" w:cs="宋体"/>
          <w:snapToGrid w:val="0"/>
          <w:sz w:val="22"/>
          <w:szCs w:val="22"/>
          <w:highlight w:val="none"/>
          <w:lang w:val="en-US" w:eastAsia="zh-CN"/>
        </w:rPr>
        <w:t>1500</w:t>
      </w:r>
      <w:r>
        <w:rPr>
          <w:rFonts w:hint="eastAsia" w:ascii="宋体" w:hAnsi="宋体" w:eastAsia="宋体" w:cs="宋体"/>
          <w:snapToGrid w:val="0"/>
          <w:sz w:val="22"/>
          <w:szCs w:val="22"/>
          <w:highlight w:val="none"/>
        </w:rPr>
        <w:t>万吨（含</w:t>
      </w:r>
      <w:r>
        <w:rPr>
          <w:rFonts w:hint="eastAsia" w:ascii="宋体" w:hAnsi="宋体" w:eastAsia="宋体" w:cs="宋体"/>
          <w:snapToGrid w:val="0"/>
          <w:sz w:val="22"/>
          <w:szCs w:val="22"/>
          <w:highlight w:val="none"/>
          <w:lang w:val="en-US" w:eastAsia="zh-CN"/>
        </w:rPr>
        <w:t>1500</w:t>
      </w:r>
      <w:r>
        <w:rPr>
          <w:rFonts w:hint="eastAsia" w:ascii="宋体" w:hAnsi="宋体" w:eastAsia="宋体" w:cs="宋体"/>
          <w:snapToGrid w:val="0"/>
          <w:sz w:val="22"/>
          <w:szCs w:val="22"/>
          <w:highlight w:val="none"/>
        </w:rPr>
        <w:t>万吨）监理业绩的，得</w:t>
      </w:r>
      <w:r>
        <w:rPr>
          <w:rFonts w:hint="eastAsia" w:cs="宋体"/>
          <w:snapToGrid w:val="0"/>
          <w:sz w:val="22"/>
          <w:szCs w:val="22"/>
          <w:highlight w:val="none"/>
          <w:lang w:val="en-US" w:eastAsia="zh-CN"/>
        </w:rPr>
        <w:t>1.5</w:t>
      </w:r>
      <w:r>
        <w:rPr>
          <w:rFonts w:hint="eastAsia" w:ascii="宋体" w:hAnsi="宋体" w:eastAsia="宋体" w:cs="宋体"/>
          <w:snapToGrid w:val="0"/>
          <w:sz w:val="22"/>
          <w:szCs w:val="22"/>
          <w:highlight w:val="none"/>
        </w:rPr>
        <w:t>分（须</w:t>
      </w:r>
      <w:r>
        <w:rPr>
          <w:rFonts w:hint="eastAsia" w:ascii="宋体" w:hAnsi="宋体" w:eastAsia="宋体" w:cs="宋体"/>
          <w:snapToGrid w:val="0"/>
          <w:sz w:val="22"/>
          <w:szCs w:val="22"/>
          <w:highlight w:val="none"/>
          <w:lang w:eastAsia="zh-CN"/>
        </w:rPr>
        <w:t>同时</w:t>
      </w:r>
      <w:r>
        <w:rPr>
          <w:rFonts w:hint="eastAsia" w:ascii="宋体" w:hAnsi="宋体" w:eastAsia="宋体" w:cs="宋体"/>
          <w:snapToGrid w:val="0"/>
          <w:sz w:val="22"/>
          <w:szCs w:val="22"/>
          <w:highlight w:val="none"/>
        </w:rPr>
        <w:t>提供</w:t>
      </w:r>
      <w:r>
        <w:rPr>
          <w:rFonts w:hint="eastAsia" w:ascii="宋体" w:hAnsi="宋体" w:eastAsia="宋体" w:cs="宋体"/>
          <w:snapToGrid w:val="0"/>
          <w:sz w:val="22"/>
          <w:szCs w:val="22"/>
          <w:highlight w:val="none"/>
          <w:lang w:eastAsia="zh-CN"/>
        </w:rPr>
        <w:t>中标通知书和</w:t>
      </w:r>
      <w:r>
        <w:rPr>
          <w:rFonts w:hint="eastAsia" w:ascii="宋体" w:hAnsi="宋体" w:eastAsia="宋体" w:cs="宋体"/>
          <w:snapToGrid w:val="0"/>
          <w:sz w:val="22"/>
          <w:szCs w:val="22"/>
          <w:highlight w:val="none"/>
        </w:rPr>
        <w:t>合同原件扫描件，否则相关业绩不予认可）。本项最高得分为</w:t>
      </w:r>
      <w:r>
        <w:rPr>
          <w:rFonts w:hint="eastAsia" w:cs="宋体"/>
          <w:snapToGrid w:val="0"/>
          <w:sz w:val="22"/>
          <w:szCs w:val="22"/>
          <w:highlight w:val="none"/>
          <w:lang w:val="en-US" w:eastAsia="zh-CN"/>
        </w:rPr>
        <w:t>1.5</w:t>
      </w:r>
      <w:r>
        <w:rPr>
          <w:rFonts w:hint="eastAsia" w:ascii="宋体" w:hAnsi="宋体" w:eastAsia="宋体" w:cs="宋体"/>
          <w:snapToGrid w:val="0"/>
          <w:sz w:val="22"/>
          <w:szCs w:val="22"/>
          <w:highlight w:val="none"/>
        </w:rPr>
        <w:t>分，同一项目不得重复计算。业绩类型为建筑用石料矿的矿产开发</w:t>
      </w:r>
      <w:r>
        <w:rPr>
          <w:rFonts w:hint="eastAsia" w:cs="宋体"/>
          <w:snapToGrid w:val="0"/>
          <w:sz w:val="22"/>
          <w:szCs w:val="22"/>
          <w:highlight w:val="none"/>
          <w:lang w:val="en-US" w:eastAsia="zh-CN"/>
        </w:rPr>
        <w:t>监理</w:t>
      </w:r>
      <w:r>
        <w:rPr>
          <w:rFonts w:hint="eastAsia" w:ascii="宋体" w:hAnsi="宋体" w:eastAsia="宋体" w:cs="宋体"/>
          <w:snapToGrid w:val="0"/>
          <w:sz w:val="22"/>
          <w:szCs w:val="22"/>
          <w:highlight w:val="none"/>
        </w:rPr>
        <w:t>项目。</w:t>
      </w:r>
      <w:r>
        <w:rPr>
          <w:rFonts w:hint="eastAsia" w:ascii="Times New Roman" w:hAnsi="Times New Roman" w:eastAsia="宋体" w:cs="Times New Roman"/>
          <w:b/>
          <w:bCs/>
          <w:sz w:val="22"/>
          <w:szCs w:val="22"/>
          <w:highlight w:val="none"/>
          <w:lang w:val="en-US" w:bidi="ar-SA"/>
        </w:rPr>
        <w:t>（如为联合体投标，则由联合体牵头人提供）</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jc w:val="left"/>
        <w:textAlignment w:val="auto"/>
        <w:rPr>
          <w:rFonts w:hint="eastAsia" w:ascii="宋体" w:hAnsi="宋体" w:eastAsia="宋体" w:cs="宋体"/>
          <w:sz w:val="22"/>
          <w:szCs w:val="22"/>
          <w:highlight w:val="none"/>
        </w:rPr>
      </w:pPr>
      <w:r>
        <w:rPr>
          <w:rFonts w:hint="eastAsia" w:ascii="宋体" w:hAnsi="宋体" w:eastAsia="宋体" w:cs="宋体"/>
          <w:b/>
          <w:bCs/>
          <w:sz w:val="22"/>
          <w:szCs w:val="22"/>
          <w:highlight w:val="none"/>
        </w:rPr>
        <w:t>如</w:t>
      </w:r>
      <w:r>
        <w:rPr>
          <w:rFonts w:hint="eastAsia" w:cs="宋体"/>
          <w:b/>
          <w:bCs/>
          <w:sz w:val="22"/>
          <w:szCs w:val="22"/>
          <w:highlight w:val="none"/>
          <w:lang w:eastAsia="zh-CN"/>
        </w:rPr>
        <w:t>监理</w:t>
      </w:r>
      <w:r>
        <w:rPr>
          <w:rFonts w:hint="eastAsia" w:ascii="宋体" w:hAnsi="宋体" w:eastAsia="宋体" w:cs="宋体"/>
          <w:b/>
          <w:bCs/>
          <w:sz w:val="22"/>
          <w:szCs w:val="22"/>
          <w:highlight w:val="none"/>
        </w:rPr>
        <w:t>合同或</w:t>
      </w:r>
      <w:r>
        <w:rPr>
          <w:rFonts w:hint="eastAsia" w:ascii="宋体" w:hAnsi="宋体" w:eastAsia="宋体" w:cs="宋体"/>
          <w:b/>
          <w:bCs/>
          <w:sz w:val="22"/>
          <w:szCs w:val="22"/>
          <w:highlight w:val="none"/>
          <w:lang w:eastAsia="zh-CN"/>
        </w:rPr>
        <w:t>中标通知书</w:t>
      </w:r>
      <w:r>
        <w:rPr>
          <w:rFonts w:hint="eastAsia" w:ascii="宋体" w:hAnsi="宋体" w:eastAsia="宋体" w:cs="宋体"/>
          <w:b/>
          <w:bCs/>
          <w:sz w:val="22"/>
          <w:szCs w:val="22"/>
          <w:highlight w:val="none"/>
        </w:rPr>
        <w:t>所能承载的证明内容不能完全体现项目类型、项目规模、项目特征、等评审因素，需另行提供立项文件或初步设计批复文件或业主证明材料等能体现项目类型、项目规模、项目特征等评审因素的相关文件，否则，该业绩不予以认可，不予计分。</w:t>
      </w:r>
    </w:p>
    <w:p>
      <w:pPr>
        <w:keepNext w:val="0"/>
        <w:keepLines w:val="0"/>
        <w:pageBreakBefore w:val="0"/>
        <w:widowControl w:val="0"/>
        <w:kinsoku/>
        <w:wordWrap/>
        <w:overflowPunct/>
        <w:topLinePunct w:val="0"/>
        <w:autoSpaceDE w:val="0"/>
        <w:autoSpaceDN w:val="0"/>
        <w:bidi w:val="0"/>
        <w:adjustRightInd/>
        <w:snapToGrid/>
        <w:spacing w:line="360" w:lineRule="auto"/>
        <w:ind w:firstLine="638" w:firstLineChars="29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②201</w:t>
      </w: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年</w:t>
      </w:r>
      <w:r>
        <w:rPr>
          <w:rFonts w:hint="eastAsia" w:cs="宋体"/>
          <w:sz w:val="22"/>
          <w:szCs w:val="22"/>
          <w:highlight w:val="none"/>
          <w:lang w:val="en-US" w:eastAsia="zh-CN"/>
        </w:rPr>
        <w:t>7</w:t>
      </w:r>
      <w:r>
        <w:rPr>
          <w:rFonts w:hint="eastAsia" w:ascii="宋体" w:hAnsi="宋体" w:eastAsia="宋体" w:cs="宋体"/>
          <w:sz w:val="22"/>
          <w:szCs w:val="22"/>
          <w:highlight w:val="none"/>
        </w:rPr>
        <w:t>月1日（以合同签订时间为准）以来，承接过</w:t>
      </w:r>
      <w:r>
        <w:rPr>
          <w:rFonts w:hint="eastAsia" w:cs="宋体"/>
          <w:sz w:val="22"/>
          <w:szCs w:val="22"/>
          <w:highlight w:val="none"/>
          <w:lang w:val="en-US" w:eastAsia="zh-CN"/>
        </w:rPr>
        <w:t>1200亩及以上或</w:t>
      </w:r>
      <w:r>
        <w:rPr>
          <w:rFonts w:hint="eastAsia" w:ascii="宋体" w:hAnsi="宋体" w:eastAsia="宋体" w:cs="宋体"/>
          <w:sz w:val="22"/>
          <w:szCs w:val="22"/>
          <w:highlight w:val="none"/>
          <w:lang w:eastAsia="zh-CN"/>
        </w:rPr>
        <w:t>填方量</w:t>
      </w:r>
      <w:r>
        <w:rPr>
          <w:rFonts w:hint="eastAsia" w:ascii="宋体" w:hAnsi="宋体" w:eastAsia="宋体" w:cs="宋体"/>
          <w:sz w:val="22"/>
          <w:szCs w:val="22"/>
          <w:highlight w:val="none"/>
          <w:lang w:val="en-US" w:eastAsia="zh-CN"/>
        </w:rPr>
        <w:t>500万吨及以上</w:t>
      </w:r>
      <w:r>
        <w:rPr>
          <w:rFonts w:hint="eastAsia" w:ascii="宋体" w:hAnsi="宋体" w:eastAsia="宋体" w:cs="宋体"/>
          <w:sz w:val="22"/>
          <w:szCs w:val="22"/>
          <w:highlight w:val="none"/>
        </w:rPr>
        <w:t>全域土地综合整治类或</w:t>
      </w:r>
      <w:r>
        <w:rPr>
          <w:rFonts w:hint="eastAsia" w:cs="宋体"/>
          <w:sz w:val="22"/>
          <w:szCs w:val="22"/>
          <w:highlight w:val="none"/>
          <w:lang w:eastAsia="zh-CN"/>
        </w:rPr>
        <w:t>石渣填筑或</w:t>
      </w:r>
      <w:r>
        <w:rPr>
          <w:rFonts w:hint="eastAsia" w:ascii="宋体" w:hAnsi="宋体" w:eastAsia="宋体" w:cs="宋体"/>
          <w:sz w:val="22"/>
          <w:szCs w:val="22"/>
          <w:highlight w:val="none"/>
        </w:rPr>
        <w:t>垦造类</w:t>
      </w:r>
      <w:r>
        <w:rPr>
          <w:rFonts w:hint="eastAsia" w:ascii="宋体" w:hAnsi="宋体" w:eastAsia="宋体" w:cs="宋体"/>
          <w:sz w:val="22"/>
          <w:szCs w:val="22"/>
          <w:highlight w:val="none"/>
          <w:lang w:eastAsia="zh-CN"/>
        </w:rPr>
        <w:t>监理</w:t>
      </w:r>
      <w:r>
        <w:rPr>
          <w:rFonts w:hint="eastAsia" w:ascii="宋体" w:hAnsi="宋体" w:eastAsia="宋体" w:cs="宋体"/>
          <w:sz w:val="22"/>
          <w:szCs w:val="22"/>
          <w:highlight w:val="none"/>
        </w:rPr>
        <w:t>业绩的得</w:t>
      </w:r>
      <w:r>
        <w:rPr>
          <w:rFonts w:hint="eastAsia" w:cs="宋体"/>
          <w:sz w:val="22"/>
          <w:szCs w:val="22"/>
          <w:highlight w:val="none"/>
          <w:lang w:val="en-US" w:eastAsia="zh-CN"/>
        </w:rPr>
        <w:t>1.5</w:t>
      </w:r>
      <w:r>
        <w:rPr>
          <w:rFonts w:hint="eastAsia" w:ascii="宋体" w:hAnsi="宋体" w:eastAsia="宋体" w:cs="宋体"/>
          <w:sz w:val="22"/>
          <w:szCs w:val="22"/>
          <w:highlight w:val="none"/>
        </w:rPr>
        <w:t>分，最高得</w:t>
      </w:r>
      <w:r>
        <w:rPr>
          <w:rFonts w:hint="eastAsia" w:cs="宋体"/>
          <w:sz w:val="22"/>
          <w:szCs w:val="22"/>
          <w:highlight w:val="none"/>
          <w:lang w:val="en-US" w:eastAsia="zh-CN"/>
        </w:rPr>
        <w:t>1.5</w:t>
      </w:r>
      <w:r>
        <w:rPr>
          <w:rFonts w:hint="eastAsia" w:ascii="宋体" w:hAnsi="宋体" w:eastAsia="宋体" w:cs="宋体"/>
          <w:sz w:val="22"/>
          <w:szCs w:val="22"/>
          <w:highlight w:val="none"/>
        </w:rPr>
        <w:t>分。</w:t>
      </w:r>
      <w:r>
        <w:rPr>
          <w:rFonts w:hint="eastAsia" w:ascii="宋体" w:hAnsi="宋体" w:eastAsia="宋体" w:cs="宋体"/>
          <w:snapToGrid w:val="0"/>
          <w:sz w:val="22"/>
          <w:szCs w:val="22"/>
          <w:highlight w:val="none"/>
        </w:rPr>
        <w:t>（须</w:t>
      </w:r>
      <w:r>
        <w:rPr>
          <w:rFonts w:hint="eastAsia" w:ascii="宋体" w:hAnsi="宋体" w:eastAsia="宋体" w:cs="宋体"/>
          <w:snapToGrid w:val="0"/>
          <w:sz w:val="22"/>
          <w:szCs w:val="22"/>
          <w:highlight w:val="none"/>
          <w:lang w:eastAsia="zh-CN"/>
        </w:rPr>
        <w:t>同时</w:t>
      </w:r>
      <w:r>
        <w:rPr>
          <w:rFonts w:hint="eastAsia" w:ascii="宋体" w:hAnsi="宋体" w:eastAsia="宋体" w:cs="宋体"/>
          <w:snapToGrid w:val="0"/>
          <w:sz w:val="22"/>
          <w:szCs w:val="22"/>
          <w:highlight w:val="none"/>
        </w:rPr>
        <w:t>提供</w:t>
      </w:r>
      <w:r>
        <w:rPr>
          <w:rFonts w:hint="eastAsia" w:ascii="宋体" w:hAnsi="宋体" w:eastAsia="宋体" w:cs="宋体"/>
          <w:snapToGrid w:val="0"/>
          <w:sz w:val="22"/>
          <w:szCs w:val="22"/>
          <w:highlight w:val="none"/>
          <w:lang w:eastAsia="zh-CN"/>
        </w:rPr>
        <w:t>中标通知书和</w:t>
      </w:r>
      <w:r>
        <w:rPr>
          <w:rFonts w:hint="eastAsia" w:ascii="宋体" w:hAnsi="宋体" w:eastAsia="宋体" w:cs="宋体"/>
          <w:snapToGrid w:val="0"/>
          <w:sz w:val="22"/>
          <w:szCs w:val="22"/>
          <w:highlight w:val="none"/>
        </w:rPr>
        <w:t>合同原件扫描件，否则相关业绩不予认可）。本项最高得分为</w:t>
      </w:r>
      <w:r>
        <w:rPr>
          <w:rFonts w:hint="eastAsia" w:cs="宋体"/>
          <w:snapToGrid w:val="0"/>
          <w:sz w:val="22"/>
          <w:szCs w:val="22"/>
          <w:highlight w:val="none"/>
          <w:lang w:val="en-US" w:eastAsia="zh-CN"/>
        </w:rPr>
        <w:t>1.5</w:t>
      </w:r>
      <w:r>
        <w:rPr>
          <w:rFonts w:hint="eastAsia" w:ascii="宋体" w:hAnsi="宋体" w:eastAsia="宋体" w:cs="宋体"/>
          <w:snapToGrid w:val="0"/>
          <w:sz w:val="22"/>
          <w:szCs w:val="22"/>
          <w:highlight w:val="none"/>
        </w:rPr>
        <w:t>分，同一项目不得重复计算。</w:t>
      </w:r>
      <w:r>
        <w:rPr>
          <w:rFonts w:hint="eastAsia" w:ascii="Times New Roman" w:hAnsi="Times New Roman" w:eastAsia="宋体" w:cs="Times New Roman"/>
          <w:b/>
          <w:bCs/>
          <w:sz w:val="22"/>
          <w:szCs w:val="22"/>
          <w:highlight w:val="none"/>
          <w:lang w:val="en-US" w:bidi="ar-SA"/>
        </w:rPr>
        <w:t>（如为联合体投标，则由联合体牵头人提供）</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jc w:val="left"/>
        <w:textAlignment w:val="auto"/>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rPr>
        <w:t>如</w:t>
      </w:r>
      <w:r>
        <w:rPr>
          <w:rFonts w:hint="eastAsia" w:cs="宋体"/>
          <w:b/>
          <w:bCs/>
          <w:sz w:val="22"/>
          <w:szCs w:val="22"/>
          <w:highlight w:val="none"/>
          <w:lang w:eastAsia="zh-CN"/>
        </w:rPr>
        <w:t>监理</w:t>
      </w:r>
      <w:r>
        <w:rPr>
          <w:rFonts w:hint="eastAsia" w:ascii="宋体" w:hAnsi="宋体" w:eastAsia="宋体" w:cs="宋体"/>
          <w:b/>
          <w:bCs/>
          <w:sz w:val="22"/>
          <w:szCs w:val="22"/>
          <w:highlight w:val="none"/>
        </w:rPr>
        <w:t>合同或</w:t>
      </w:r>
      <w:r>
        <w:rPr>
          <w:rFonts w:hint="eastAsia" w:ascii="宋体" w:hAnsi="宋体" w:eastAsia="宋体" w:cs="宋体"/>
          <w:b/>
          <w:bCs/>
          <w:sz w:val="22"/>
          <w:szCs w:val="22"/>
          <w:highlight w:val="none"/>
          <w:lang w:eastAsia="zh-CN"/>
        </w:rPr>
        <w:t>中标通知书</w:t>
      </w:r>
      <w:r>
        <w:rPr>
          <w:rFonts w:hint="eastAsia" w:ascii="宋体" w:hAnsi="宋体" w:eastAsia="宋体" w:cs="宋体"/>
          <w:b/>
          <w:bCs/>
          <w:sz w:val="22"/>
          <w:szCs w:val="22"/>
          <w:highlight w:val="none"/>
        </w:rPr>
        <w:t>所能承载的证明内容不能完全体现项目类型、项目规模、项目特征、等评审因素，需另行提供立项文件或初步设计批复文件或业主证明材料等能体现项目类型、项目规模、项目特征等评审因素的相关文件，否则，该业绩不予以认可，不予计分。</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snapToGrid w:val="0"/>
          <w:color w:val="auto"/>
          <w:sz w:val="22"/>
          <w:szCs w:val="22"/>
          <w:highlight w:val="none"/>
          <w:lang w:val="en-US"/>
        </w:rPr>
      </w:pPr>
      <w:r>
        <w:rPr>
          <w:rFonts w:hint="eastAsia" w:ascii="宋体" w:hAnsi="宋体" w:eastAsia="宋体" w:cs="宋体"/>
          <w:snapToGrid w:val="0"/>
          <w:color w:val="auto"/>
          <w:sz w:val="22"/>
          <w:szCs w:val="22"/>
          <w:highlight w:val="none"/>
          <w:lang w:val="en-US"/>
        </w:rPr>
        <w:t>（</w:t>
      </w:r>
      <w:r>
        <w:rPr>
          <w:rFonts w:hint="eastAsia" w:ascii="宋体" w:hAnsi="宋体" w:eastAsia="宋体" w:cs="宋体"/>
          <w:snapToGrid w:val="0"/>
          <w:color w:val="auto"/>
          <w:sz w:val="22"/>
          <w:szCs w:val="22"/>
          <w:highlight w:val="none"/>
          <w:lang w:val="en-US" w:eastAsia="zh-CN"/>
        </w:rPr>
        <w:t>二</w:t>
      </w:r>
      <w:r>
        <w:rPr>
          <w:rFonts w:hint="eastAsia" w:ascii="宋体" w:hAnsi="宋体" w:eastAsia="宋体" w:cs="宋体"/>
          <w:snapToGrid w:val="0"/>
          <w:color w:val="auto"/>
          <w:sz w:val="22"/>
          <w:szCs w:val="22"/>
          <w:highlight w:val="none"/>
          <w:lang w:val="en-US"/>
        </w:rPr>
        <w:t>）资信标得分＝</w:t>
      </w:r>
      <w:r>
        <w:rPr>
          <w:rFonts w:hint="eastAsia" w:ascii="宋体" w:hAnsi="宋体" w:eastAsia="宋体" w:cs="宋体"/>
          <w:snapToGrid w:val="0"/>
          <w:color w:val="auto"/>
          <w:sz w:val="22"/>
          <w:szCs w:val="22"/>
          <w:highlight w:val="none"/>
          <w:lang w:val="en-US" w:eastAsia="zh-CN"/>
        </w:rPr>
        <w:t>投标单位业绩得分</w:t>
      </w:r>
      <w:r>
        <w:rPr>
          <w:rFonts w:hint="eastAsia" w:ascii="宋体" w:hAnsi="宋体" w:eastAsia="宋体" w:cs="宋体"/>
          <w:snapToGrid w:val="0"/>
          <w:color w:val="auto"/>
          <w:sz w:val="22"/>
          <w:szCs w:val="22"/>
          <w:highlight w:val="none"/>
          <w:lang w:val="en-US"/>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rPr>
          <w:rFonts w:ascii="Times New Roman" w:hAnsi="Times New Roman" w:cs="Times New Roman" w:eastAsiaTheme="minorEastAsia"/>
          <w:b/>
          <w:snapToGrid w:val="0"/>
          <w:szCs w:val="21"/>
        </w:rPr>
      </w:pPr>
      <w:r>
        <w:rPr>
          <w:rFonts w:ascii="Times New Roman" w:hAnsi="Times New Roman" w:cs="Times New Roman" w:eastAsiaTheme="minorEastAsia"/>
          <w:b/>
          <w:bCs/>
          <w:snapToGrid w:val="0"/>
          <w:szCs w:val="21"/>
        </w:rPr>
        <w:t>三、技术标评审标准（</w:t>
      </w:r>
      <w:r>
        <w:rPr>
          <w:rFonts w:hint="eastAsia" w:ascii="Times New Roman" w:hAnsi="Times New Roman" w:cs="Times New Roman" w:eastAsiaTheme="minorEastAsia"/>
          <w:b/>
          <w:bCs/>
          <w:snapToGrid w:val="0"/>
          <w:szCs w:val="21"/>
          <w:lang w:val="en-US" w:eastAsia="zh-CN"/>
        </w:rPr>
        <w:t>35</w:t>
      </w:r>
      <w:r>
        <w:rPr>
          <w:rFonts w:ascii="Times New Roman" w:hAnsi="Times New Roman" w:cs="Times New Roman" w:eastAsiaTheme="minorEastAsia"/>
          <w:b/>
          <w:bCs/>
          <w:snapToGrid w:val="0"/>
          <w:szCs w:val="21"/>
        </w:rPr>
        <w:t>分</w:t>
      </w:r>
      <w:r>
        <w:rPr>
          <w:rFonts w:ascii="Times New Roman" w:hAnsi="Times New Roman" w:cs="Times New Roman" w:eastAsiaTheme="minorEastAsia"/>
          <w:b/>
          <w:snapToGrid w:val="0"/>
          <w:szCs w:val="21"/>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（一）评分步骤</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评标委员会成员针对投标人的技术标的内容进行独立评审。具体评分步骤如下：</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1、评标委员会成员视其科学性、针对性、可行性、先进性、完善程度对投标人的技术标按评分标准划分类别，同时给出评审意见。</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 xml:space="preserve">2、投标人的技术标各评审内容项最终类别按中位数法（即对评标委员会给出的类别排序，取中间类别）确定: </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例：</w:t>
      </w:r>
    </w:p>
    <w:tbl>
      <w:tblPr>
        <w:tblStyle w:val="90"/>
        <w:tblW w:w="50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1573"/>
        <w:gridCol w:w="1573"/>
        <w:gridCol w:w="1573"/>
        <w:gridCol w:w="1573"/>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评委1</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评委2</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评委3</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评委4</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评委5</w:t>
            </w:r>
          </w:p>
        </w:tc>
        <w:tc>
          <w:tcPr>
            <w:tcW w:w="833" w:type="pct"/>
            <w:tcBorders>
              <w:bottom w:val="nil"/>
            </w:tcBorders>
            <w:vAlign w:val="center"/>
          </w:tcPr>
          <w:p>
            <w:pPr>
              <w:spacing w:line="360" w:lineRule="auto"/>
              <w:ind w:firstLine="440" w:firstLineChars="200"/>
              <w:rPr>
                <w:rFonts w:ascii="Times New Roman" w:hAnsi="Times New Roman" w:cs="Times New Roman" w:eastAsiaTheme="minorEastAsia"/>
                <w:snapToGrid w:val="0"/>
                <w:sz w:val="32"/>
              </w:rPr>
            </w:pPr>
            <w:r>
              <w:rPr>
                <w:rFonts w:ascii="Times New Roman" w:hAnsi="Times New Roman" w:cs="Times New Roman" w:eastAsiaTheme="minorEastAsia"/>
                <w:snapToGrid w:val="0"/>
                <w:szCs w:val="32"/>
              </w:rPr>
              <w:t>最终类别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一类</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三类</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lang w:val="en-US"/>
              </w:rPr>
              <w:t>二</w:t>
            </w:r>
            <w:r>
              <w:rPr>
                <w:rFonts w:ascii="Times New Roman" w:hAnsi="Times New Roman" w:cs="Times New Roman" w:eastAsiaTheme="minorEastAsia"/>
                <w:snapToGrid w:val="0"/>
                <w:szCs w:val="32"/>
              </w:rPr>
              <w:t>类</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rPr>
              <w:t>一类</w:t>
            </w:r>
          </w:p>
        </w:tc>
        <w:tc>
          <w:tcPr>
            <w:tcW w:w="833" w:type="pct"/>
            <w:vAlign w:val="center"/>
          </w:tcPr>
          <w:p>
            <w:pPr>
              <w:spacing w:line="360" w:lineRule="auto"/>
              <w:ind w:firstLine="440" w:firstLineChars="200"/>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Cs w:val="32"/>
                <w:lang w:val="en-US"/>
              </w:rPr>
              <w:t>二</w:t>
            </w:r>
            <w:r>
              <w:rPr>
                <w:rFonts w:ascii="Times New Roman" w:hAnsi="Times New Roman" w:cs="Times New Roman" w:eastAsiaTheme="minorEastAsia"/>
                <w:snapToGrid w:val="0"/>
                <w:szCs w:val="32"/>
              </w:rPr>
              <w:t>类</w:t>
            </w:r>
          </w:p>
        </w:tc>
        <w:tc>
          <w:tcPr>
            <w:tcW w:w="833" w:type="pct"/>
            <w:tcBorders>
              <w:top w:val="single" w:color="auto" w:sz="4" w:space="0"/>
            </w:tcBorders>
            <w:vAlign w:val="center"/>
          </w:tcPr>
          <w:p>
            <w:pPr>
              <w:spacing w:line="360" w:lineRule="auto"/>
              <w:ind w:firstLine="440" w:firstLineChars="200"/>
              <w:rPr>
                <w:rFonts w:ascii="Times New Roman" w:hAnsi="Times New Roman" w:cs="Times New Roman" w:eastAsiaTheme="minorEastAsia"/>
                <w:snapToGrid w:val="0"/>
                <w:sz w:val="32"/>
              </w:rPr>
            </w:pPr>
            <w:r>
              <w:rPr>
                <w:rFonts w:ascii="Times New Roman" w:hAnsi="Times New Roman" w:cs="Times New Roman" w:eastAsiaTheme="minorEastAsia"/>
                <w:snapToGrid w:val="0"/>
                <w:szCs w:val="32"/>
              </w:rPr>
              <w:t>二类</w:t>
            </w:r>
          </w:p>
        </w:tc>
      </w:tr>
    </w:tbl>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评标委员会成员按监理大纲评分标准，在确定的最终类别的分值范围内各自打分（小数点后保留1位），各项打分平均值（小数点后保留2位，第3位四舍五入）作为投标人</w:t>
      </w:r>
      <w:r>
        <w:rPr>
          <w:rFonts w:hint="eastAsia" w:ascii="Times New Roman" w:hAnsi="Times New Roman" w:cs="Times New Roman" w:eastAsiaTheme="minorEastAsia"/>
          <w:snapToGrid w:val="0"/>
          <w:szCs w:val="21"/>
          <w:lang w:eastAsia="zh-CN"/>
        </w:rPr>
        <w:t>技术标</w:t>
      </w:r>
      <w:r>
        <w:rPr>
          <w:rFonts w:ascii="Times New Roman" w:hAnsi="Times New Roman" w:cs="Times New Roman" w:eastAsiaTheme="minorEastAsia"/>
          <w:snapToGrid w:val="0"/>
          <w:szCs w:val="21"/>
        </w:rPr>
        <w:t>得分。</w:t>
      </w:r>
    </w:p>
    <w:p>
      <w:pPr>
        <w:spacing w:line="360" w:lineRule="auto"/>
        <w:ind w:firstLine="440" w:firstLineChars="200"/>
        <w:rPr>
          <w:rFonts w:ascii="Times New Roman" w:hAnsi="Times New Roman" w:cs="Times New Roman" w:eastAsiaTheme="minorEastAsia"/>
          <w:bCs/>
          <w:snapToGrid w:val="0"/>
        </w:rPr>
      </w:pPr>
      <w:r>
        <w:rPr>
          <w:rFonts w:ascii="Times New Roman" w:hAnsi="Times New Roman" w:cs="Times New Roman" w:eastAsiaTheme="minorEastAsia"/>
          <w:bCs/>
          <w:snapToGrid w:val="0"/>
        </w:rPr>
        <w:t>（二）监理大纲评分标准（</w:t>
      </w:r>
      <w:r>
        <w:rPr>
          <w:rFonts w:hint="eastAsia" w:ascii="Times New Roman" w:hAnsi="Times New Roman" w:cs="Times New Roman" w:eastAsiaTheme="minorEastAsia"/>
          <w:bCs/>
          <w:snapToGrid w:val="0"/>
          <w:lang w:val="en-US" w:eastAsia="zh-CN"/>
        </w:rPr>
        <w:t>25</w:t>
      </w:r>
      <w:r>
        <w:rPr>
          <w:rFonts w:ascii="Times New Roman" w:hAnsi="Times New Roman" w:cs="Times New Roman" w:eastAsiaTheme="minorEastAsia"/>
          <w:bCs/>
          <w:snapToGrid w:val="0"/>
        </w:rPr>
        <w:t>分）</w:t>
      </w:r>
    </w:p>
    <w:tbl>
      <w:tblPr>
        <w:tblStyle w:val="90"/>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4"/>
        <w:gridCol w:w="1264"/>
        <w:gridCol w:w="1339"/>
        <w:gridCol w:w="1264"/>
        <w:gridCol w:w="119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3684" w:type="dxa"/>
            <w:vAlign w:val="center"/>
          </w:tcPr>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bidi="ar-SA"/>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8255</wp:posOffset>
                      </wp:positionV>
                      <wp:extent cx="2343785" cy="537210"/>
                      <wp:effectExtent l="1270" t="4445" r="17145" b="10795"/>
                      <wp:wrapNone/>
                      <wp:docPr id="1026" name="直接连接符 1026"/>
                      <wp:cNvGraphicFramePr/>
                      <a:graphic xmlns:a="http://schemas.openxmlformats.org/drawingml/2006/main">
                        <a:graphicData uri="http://schemas.microsoft.com/office/word/2010/wordprocessingShape">
                          <wps:wsp>
                            <wps:cNvCnPr/>
                            <wps:spPr>
                              <a:xfrm>
                                <a:off x="0" y="0"/>
                                <a:ext cx="2343785" cy="537210"/>
                              </a:xfrm>
                              <a:prstGeom prst="line">
                                <a:avLst/>
                              </a:prstGeom>
                              <a:ln w="6350"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5.15pt;margin-top:0.65pt;height:42.3pt;width:184.55pt;z-index:251659264;mso-width-relative:page;mso-height-relative:page;" filled="f" stroked="t" coordsize="21600,21600" o:gfxdata="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eCiyzVAAAACAEAAA8AAAAAAAAAAQAgAAAAIgAAAGRycy9kb3ducmV2&#10;LnhtbFBLAQIUABQAAAAIAIdO4kCzn+lA/wEAAPsDAAAOAAAAAAAAAAEAIAAAACQBAABkcnMvZTJv&#10;RG9jLnhtbFBLBQYAAAAABgAGAFkBAACVBQAAAAA=&#10;">
                      <v:fill on="f" focussize="0,0"/>
                      <v:stroke weight="0.5pt" color="#000000" joinstyle="round"/>
                      <v:imagedata o:title=""/>
                      <o:lock v:ext="edit" aspectratio="f"/>
                    </v:line>
                  </w:pict>
                </mc:Fallback>
              </mc:AlternateContent>
            </w:r>
            <w:r>
              <w:rPr>
                <w:rFonts w:ascii="Times New Roman" w:hAnsi="Times New Roman" w:cs="Times New Roman" w:eastAsiaTheme="minorEastAsia"/>
                <w:snapToGrid w:val="0"/>
                <w:szCs w:val="21"/>
              </w:rPr>
              <w:t xml:space="preserve">          </w:t>
            </w:r>
            <w:r>
              <w:rPr>
                <w:rFonts w:ascii="Times New Roman" w:hAnsi="Times New Roman" w:cs="Times New Roman" w:eastAsiaTheme="minorEastAsia"/>
                <w:snapToGrid w:val="0"/>
                <w:szCs w:val="21"/>
                <w:lang w:val="en-US"/>
              </w:rPr>
              <w:t xml:space="preserve">         </w:t>
            </w:r>
            <w:r>
              <w:rPr>
                <w:rFonts w:ascii="Times New Roman" w:hAnsi="Times New Roman" w:cs="Times New Roman" w:eastAsiaTheme="minorEastAsia"/>
                <w:snapToGrid w:val="0"/>
                <w:szCs w:val="21"/>
              </w:rPr>
              <w:t>类  别</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评审内容</w:t>
            </w:r>
          </w:p>
        </w:tc>
        <w:tc>
          <w:tcPr>
            <w:tcW w:w="1264"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一类</w:t>
            </w:r>
          </w:p>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（好）</w:t>
            </w:r>
          </w:p>
        </w:tc>
        <w:tc>
          <w:tcPr>
            <w:tcW w:w="1339"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二类</w:t>
            </w:r>
          </w:p>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（较好）</w:t>
            </w:r>
          </w:p>
        </w:tc>
        <w:tc>
          <w:tcPr>
            <w:tcW w:w="1264"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三类</w:t>
            </w:r>
          </w:p>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（一般）</w:t>
            </w:r>
          </w:p>
        </w:tc>
        <w:tc>
          <w:tcPr>
            <w:tcW w:w="119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四类</w:t>
            </w:r>
          </w:p>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（差）</w:t>
            </w:r>
          </w:p>
        </w:tc>
        <w:tc>
          <w:tcPr>
            <w:tcW w:w="855"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3684" w:type="dxa"/>
            <w:vAlign w:val="center"/>
          </w:tcPr>
          <w:p>
            <w:pPr>
              <w:spacing w:line="360" w:lineRule="auto"/>
              <w:ind w:firstLine="440" w:firstLineChars="200"/>
              <w:jc w:val="both"/>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针对本工程特点、难点、关键点的认识及应对措施</w:t>
            </w:r>
          </w:p>
        </w:tc>
        <w:tc>
          <w:tcPr>
            <w:tcW w:w="1264" w:type="dxa"/>
            <w:vAlign w:val="center"/>
          </w:tcPr>
          <w:p>
            <w:pPr>
              <w:spacing w:line="360" w:lineRule="auto"/>
              <w:jc w:val="center"/>
              <w:rPr>
                <w:rFonts w:hint="eastAsia" w:ascii="Times New Roman" w:hAnsi="Times New Roman" w:cs="Times New Roman" w:eastAsiaTheme="minorEastAsia"/>
                <w:snapToGrid w:val="0"/>
                <w:szCs w:val="21"/>
                <w:highlight w:val="none"/>
                <w:lang w:val="en-US" w:eastAsia="zh-CN"/>
              </w:rPr>
            </w:pPr>
            <w:r>
              <w:rPr>
                <w:rFonts w:hint="eastAsia" w:ascii="Times New Roman" w:hAnsi="Times New Roman" w:cs="Times New Roman" w:eastAsiaTheme="minorEastAsia"/>
                <w:snapToGrid w:val="0"/>
                <w:szCs w:val="21"/>
                <w:highlight w:val="none"/>
                <w:lang w:val="en-US" w:eastAsia="zh-CN"/>
              </w:rPr>
              <w:t>8</w:t>
            </w:r>
            <w:r>
              <w:rPr>
                <w:rFonts w:ascii="Times New Roman" w:hAnsi="Times New Roman" w:cs="Times New Roman" w:eastAsiaTheme="minorEastAsia"/>
                <w:snapToGrid w:val="0"/>
                <w:szCs w:val="21"/>
                <w:highlight w:val="none"/>
              </w:rPr>
              <w:t>～</w:t>
            </w:r>
            <w:r>
              <w:rPr>
                <w:rFonts w:hint="eastAsia" w:ascii="Times New Roman" w:hAnsi="Times New Roman" w:cs="Times New Roman" w:eastAsiaTheme="minorEastAsia"/>
                <w:snapToGrid w:val="0"/>
                <w:szCs w:val="21"/>
                <w:highlight w:val="none"/>
                <w:lang w:val="en-US" w:eastAsia="zh-CN"/>
              </w:rPr>
              <w:t>7</w:t>
            </w:r>
          </w:p>
        </w:tc>
        <w:tc>
          <w:tcPr>
            <w:tcW w:w="1339" w:type="dxa"/>
            <w:vAlign w:val="center"/>
          </w:tcPr>
          <w:p>
            <w:pPr>
              <w:spacing w:line="360" w:lineRule="auto"/>
              <w:jc w:val="center"/>
              <w:rPr>
                <w:rFonts w:hint="eastAsia" w:ascii="Times New Roman" w:hAnsi="Times New Roman" w:cs="Times New Roman" w:eastAsiaTheme="minorEastAsia"/>
                <w:snapToGrid w:val="0"/>
                <w:szCs w:val="21"/>
                <w:lang w:eastAsia="zh-CN"/>
              </w:rPr>
            </w:pPr>
            <w:r>
              <w:rPr>
                <w:rFonts w:hint="eastAsia" w:ascii="Times New Roman" w:hAnsi="Times New Roman" w:cs="Times New Roman" w:eastAsiaTheme="minorEastAsia"/>
                <w:snapToGrid w:val="0"/>
                <w:szCs w:val="21"/>
                <w:lang w:val="en-US" w:eastAsia="zh-CN"/>
              </w:rPr>
              <w:t>7</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6</w:t>
            </w:r>
          </w:p>
        </w:tc>
        <w:tc>
          <w:tcPr>
            <w:tcW w:w="1264" w:type="dxa"/>
            <w:vAlign w:val="center"/>
          </w:tcPr>
          <w:p>
            <w:pPr>
              <w:spacing w:line="360" w:lineRule="auto"/>
              <w:jc w:val="center"/>
              <w:rPr>
                <w:rFonts w:hint="eastAsia" w:ascii="Times New Roman" w:hAnsi="Times New Roman" w:cs="Times New Roman" w:eastAsiaTheme="minorEastAsia"/>
                <w:snapToGrid w:val="0"/>
                <w:szCs w:val="21"/>
                <w:lang w:eastAsia="zh-CN"/>
              </w:rPr>
            </w:pPr>
            <w:r>
              <w:rPr>
                <w:rFonts w:hint="eastAsia" w:ascii="Times New Roman" w:hAnsi="Times New Roman" w:cs="Times New Roman" w:eastAsiaTheme="minorEastAsia"/>
                <w:snapToGrid w:val="0"/>
                <w:szCs w:val="21"/>
                <w:lang w:val="en-US" w:eastAsia="zh-CN"/>
              </w:rPr>
              <w:t>6</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5</w:t>
            </w:r>
          </w:p>
        </w:tc>
        <w:tc>
          <w:tcPr>
            <w:tcW w:w="1190" w:type="dxa"/>
            <w:vAlign w:val="center"/>
          </w:tcPr>
          <w:p>
            <w:pPr>
              <w:spacing w:line="360" w:lineRule="auto"/>
              <w:jc w:val="center"/>
              <w:rPr>
                <w:rFonts w:hint="eastAsia" w:ascii="Times New Roman" w:hAnsi="Times New Roman" w:cs="Times New Roman" w:eastAsiaTheme="minorEastAsia"/>
                <w:snapToGrid w:val="0"/>
                <w:szCs w:val="21"/>
                <w:lang w:eastAsia="zh-CN"/>
              </w:rPr>
            </w:pPr>
            <w:r>
              <w:rPr>
                <w:rFonts w:hint="eastAsia" w:ascii="Times New Roman" w:hAnsi="Times New Roman" w:cs="Times New Roman" w:eastAsiaTheme="minorEastAsia"/>
                <w:snapToGrid w:val="0"/>
                <w:szCs w:val="21"/>
                <w:lang w:val="en-US" w:eastAsia="zh-CN"/>
              </w:rPr>
              <w:t>5</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4</w:t>
            </w:r>
          </w:p>
        </w:tc>
        <w:tc>
          <w:tcPr>
            <w:tcW w:w="855"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3684" w:type="dxa"/>
            <w:vAlign w:val="center"/>
          </w:tcPr>
          <w:p>
            <w:pPr>
              <w:spacing w:line="360" w:lineRule="auto"/>
              <w:ind w:firstLine="440" w:firstLineChars="200"/>
              <w:jc w:val="both"/>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针对本工程关键部位、关键工序的旁站监理方案</w:t>
            </w:r>
          </w:p>
        </w:tc>
        <w:tc>
          <w:tcPr>
            <w:tcW w:w="1264" w:type="dxa"/>
            <w:vAlign w:val="center"/>
          </w:tcPr>
          <w:p>
            <w:pPr>
              <w:spacing w:line="360" w:lineRule="auto"/>
              <w:jc w:val="center"/>
              <w:rPr>
                <w:rFonts w:ascii="Times New Roman" w:hAnsi="Times New Roman" w:cs="Times New Roman" w:eastAsiaTheme="minorEastAsia"/>
                <w:snapToGrid w:val="0"/>
                <w:szCs w:val="21"/>
                <w:highlight w:val="none"/>
              </w:rPr>
            </w:pPr>
            <w:r>
              <w:rPr>
                <w:rFonts w:hint="eastAsia" w:ascii="Times New Roman" w:hAnsi="Times New Roman" w:cs="Times New Roman" w:eastAsiaTheme="minorEastAsia"/>
                <w:snapToGrid w:val="0"/>
                <w:szCs w:val="21"/>
                <w:highlight w:val="none"/>
                <w:lang w:val="en-US" w:eastAsia="zh-CN"/>
              </w:rPr>
              <w:t>7</w:t>
            </w:r>
            <w:r>
              <w:rPr>
                <w:rFonts w:ascii="Times New Roman" w:hAnsi="Times New Roman" w:cs="Times New Roman" w:eastAsiaTheme="minorEastAsia"/>
                <w:snapToGrid w:val="0"/>
                <w:szCs w:val="21"/>
                <w:highlight w:val="none"/>
              </w:rPr>
              <w:t>～</w:t>
            </w:r>
            <w:r>
              <w:rPr>
                <w:rFonts w:hint="eastAsia" w:ascii="Times New Roman" w:hAnsi="Times New Roman" w:cs="Times New Roman" w:eastAsiaTheme="minorEastAsia"/>
                <w:snapToGrid w:val="0"/>
                <w:szCs w:val="21"/>
                <w:highlight w:val="none"/>
                <w:lang w:val="en-US" w:eastAsia="zh-CN"/>
              </w:rPr>
              <w:t>6</w:t>
            </w:r>
          </w:p>
        </w:tc>
        <w:tc>
          <w:tcPr>
            <w:tcW w:w="1339" w:type="dxa"/>
            <w:vAlign w:val="center"/>
          </w:tcPr>
          <w:p>
            <w:pPr>
              <w:spacing w:line="360" w:lineRule="auto"/>
              <w:jc w:val="center"/>
              <w:rPr>
                <w:rFonts w:hint="eastAsia" w:ascii="Times New Roman" w:hAnsi="Times New Roman" w:cs="Times New Roman" w:eastAsiaTheme="minorEastAsia"/>
                <w:snapToGrid w:val="0"/>
                <w:szCs w:val="21"/>
                <w:lang w:eastAsia="zh-CN"/>
              </w:rPr>
            </w:pPr>
            <w:r>
              <w:rPr>
                <w:rFonts w:hint="eastAsia" w:ascii="Times New Roman" w:hAnsi="Times New Roman" w:cs="Times New Roman" w:eastAsiaTheme="minorEastAsia"/>
                <w:snapToGrid w:val="0"/>
                <w:szCs w:val="21"/>
                <w:lang w:val="en-US" w:eastAsia="zh-CN"/>
              </w:rPr>
              <w:t>6</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5</w:t>
            </w:r>
          </w:p>
        </w:tc>
        <w:tc>
          <w:tcPr>
            <w:tcW w:w="1264" w:type="dxa"/>
            <w:vAlign w:val="center"/>
          </w:tcPr>
          <w:p>
            <w:pPr>
              <w:spacing w:line="360" w:lineRule="auto"/>
              <w:jc w:val="center"/>
              <w:rPr>
                <w:rFonts w:ascii="Times New Roman" w:hAnsi="Times New Roman" w:cs="Times New Roman" w:eastAsiaTheme="minorEastAsia"/>
                <w:snapToGrid w:val="0"/>
                <w:szCs w:val="21"/>
              </w:rPr>
            </w:pPr>
            <w:r>
              <w:rPr>
                <w:rFonts w:hint="eastAsia" w:ascii="Times New Roman" w:hAnsi="Times New Roman" w:cs="Times New Roman" w:eastAsiaTheme="minorEastAsia"/>
                <w:snapToGrid w:val="0"/>
                <w:szCs w:val="21"/>
                <w:lang w:val="en-US" w:eastAsia="zh-CN"/>
              </w:rPr>
              <w:t>5</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4</w:t>
            </w:r>
          </w:p>
        </w:tc>
        <w:tc>
          <w:tcPr>
            <w:tcW w:w="1190" w:type="dxa"/>
            <w:vAlign w:val="center"/>
          </w:tcPr>
          <w:p>
            <w:pPr>
              <w:spacing w:line="360" w:lineRule="auto"/>
              <w:jc w:val="center"/>
              <w:rPr>
                <w:rFonts w:ascii="Times New Roman" w:hAnsi="Times New Roman" w:cs="Times New Roman" w:eastAsiaTheme="minorEastAsia"/>
                <w:snapToGrid w:val="0"/>
                <w:szCs w:val="21"/>
              </w:rPr>
            </w:pPr>
            <w:r>
              <w:rPr>
                <w:rFonts w:hint="eastAsia" w:ascii="Times New Roman" w:hAnsi="Times New Roman" w:cs="Times New Roman" w:eastAsiaTheme="minorEastAsia"/>
                <w:snapToGrid w:val="0"/>
                <w:szCs w:val="21"/>
                <w:lang w:val="en-US" w:eastAsia="zh-CN"/>
              </w:rPr>
              <w:t>4</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3</w:t>
            </w:r>
          </w:p>
        </w:tc>
        <w:tc>
          <w:tcPr>
            <w:tcW w:w="855"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3684" w:type="dxa"/>
            <w:vAlign w:val="center"/>
          </w:tcPr>
          <w:p>
            <w:pPr>
              <w:spacing w:line="360" w:lineRule="auto"/>
              <w:ind w:firstLine="440" w:firstLineChars="200"/>
              <w:jc w:val="both"/>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针对本工程设计、施工、管理的合理化建议</w:t>
            </w:r>
          </w:p>
        </w:tc>
        <w:tc>
          <w:tcPr>
            <w:tcW w:w="1264" w:type="dxa"/>
            <w:vAlign w:val="center"/>
          </w:tcPr>
          <w:p>
            <w:pPr>
              <w:spacing w:line="360" w:lineRule="auto"/>
              <w:jc w:val="center"/>
              <w:rPr>
                <w:rFonts w:hint="eastAsia" w:ascii="Times New Roman" w:hAnsi="Times New Roman" w:cs="Times New Roman" w:eastAsiaTheme="minorEastAsia"/>
                <w:snapToGrid w:val="0"/>
                <w:szCs w:val="21"/>
                <w:highlight w:val="none"/>
                <w:lang w:eastAsia="zh-CN"/>
              </w:rPr>
            </w:pPr>
            <w:r>
              <w:rPr>
                <w:rFonts w:hint="eastAsia" w:ascii="Times New Roman" w:hAnsi="Times New Roman" w:cs="Times New Roman" w:eastAsiaTheme="minorEastAsia"/>
                <w:snapToGrid w:val="0"/>
                <w:szCs w:val="21"/>
                <w:highlight w:val="none"/>
                <w:lang w:val="en-US" w:eastAsia="zh-CN"/>
              </w:rPr>
              <w:t>5</w:t>
            </w:r>
            <w:r>
              <w:rPr>
                <w:rFonts w:ascii="Times New Roman" w:hAnsi="Times New Roman" w:cs="Times New Roman" w:eastAsiaTheme="minorEastAsia"/>
                <w:snapToGrid w:val="0"/>
                <w:szCs w:val="21"/>
                <w:highlight w:val="none"/>
              </w:rPr>
              <w:t>～</w:t>
            </w:r>
            <w:r>
              <w:rPr>
                <w:rFonts w:ascii="Times New Roman" w:hAnsi="Times New Roman" w:cs="Times New Roman" w:eastAsiaTheme="minorEastAsia"/>
                <w:snapToGrid w:val="0"/>
                <w:szCs w:val="21"/>
                <w:highlight w:val="none"/>
                <w:lang w:val="en-US"/>
              </w:rPr>
              <w:t>4</w:t>
            </w:r>
            <w:r>
              <w:rPr>
                <w:rFonts w:ascii="Times New Roman" w:hAnsi="Times New Roman" w:cs="Times New Roman" w:eastAsiaTheme="minorEastAsia"/>
                <w:snapToGrid w:val="0"/>
                <w:szCs w:val="21"/>
                <w:highlight w:val="none"/>
              </w:rPr>
              <w:t>.5</w:t>
            </w:r>
          </w:p>
        </w:tc>
        <w:tc>
          <w:tcPr>
            <w:tcW w:w="1339"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4</w:t>
            </w:r>
            <w:r>
              <w:rPr>
                <w:rFonts w:ascii="Times New Roman" w:hAnsi="Times New Roman" w:cs="Times New Roman" w:eastAsiaTheme="minorEastAsia"/>
                <w:snapToGrid w:val="0"/>
                <w:szCs w:val="21"/>
              </w:rPr>
              <w:t>.5～</w:t>
            </w:r>
            <w:r>
              <w:rPr>
                <w:rFonts w:ascii="Times New Roman" w:hAnsi="Times New Roman" w:cs="Times New Roman" w:eastAsiaTheme="minorEastAsia"/>
                <w:snapToGrid w:val="0"/>
                <w:szCs w:val="21"/>
                <w:lang w:val="en-US"/>
              </w:rPr>
              <w:t>4</w:t>
            </w:r>
          </w:p>
        </w:tc>
        <w:tc>
          <w:tcPr>
            <w:tcW w:w="1264" w:type="dxa"/>
            <w:vAlign w:val="center"/>
          </w:tcPr>
          <w:p>
            <w:pPr>
              <w:spacing w:line="360" w:lineRule="auto"/>
              <w:jc w:val="center"/>
              <w:rPr>
                <w:rFonts w:hint="default" w:ascii="Times New Roman" w:hAnsi="Times New Roman" w:cs="Times New Roman" w:eastAsiaTheme="minorEastAsia"/>
                <w:snapToGrid w:val="0"/>
                <w:szCs w:val="21"/>
                <w:lang w:val="en-US" w:eastAsia="zh-CN"/>
              </w:rPr>
            </w:pPr>
            <w:r>
              <w:rPr>
                <w:rFonts w:ascii="Times New Roman" w:hAnsi="Times New Roman" w:cs="Times New Roman" w:eastAsiaTheme="minorEastAsia"/>
                <w:snapToGrid w:val="0"/>
                <w:szCs w:val="21"/>
                <w:lang w:val="en-US"/>
              </w:rPr>
              <w:t>4</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3</w:t>
            </w:r>
            <w:r>
              <w:rPr>
                <w:rFonts w:hint="eastAsia" w:ascii="Times New Roman" w:hAnsi="Times New Roman" w:cs="Times New Roman" w:eastAsiaTheme="minorEastAsia"/>
                <w:snapToGrid w:val="0"/>
                <w:szCs w:val="21"/>
                <w:lang w:val="en-US" w:eastAsia="zh-CN"/>
              </w:rPr>
              <w:t>.5</w:t>
            </w:r>
          </w:p>
        </w:tc>
        <w:tc>
          <w:tcPr>
            <w:tcW w:w="1190" w:type="dxa"/>
            <w:vAlign w:val="center"/>
          </w:tcPr>
          <w:p>
            <w:pPr>
              <w:spacing w:line="360" w:lineRule="auto"/>
              <w:jc w:val="center"/>
              <w:rPr>
                <w:rFonts w:hint="eastAsia" w:ascii="Times New Roman" w:hAnsi="Times New Roman" w:cs="Times New Roman" w:eastAsiaTheme="minorEastAsia"/>
                <w:snapToGrid w:val="0"/>
                <w:szCs w:val="21"/>
                <w:lang w:eastAsia="zh-CN"/>
              </w:rPr>
            </w:pPr>
            <w:r>
              <w:rPr>
                <w:rFonts w:ascii="Times New Roman" w:hAnsi="Times New Roman" w:cs="Times New Roman" w:eastAsiaTheme="minorEastAsia"/>
                <w:snapToGrid w:val="0"/>
                <w:szCs w:val="21"/>
                <w:lang w:val="en-US"/>
              </w:rPr>
              <w:t>3</w:t>
            </w:r>
            <w:r>
              <w:rPr>
                <w:rFonts w:hint="eastAsia" w:ascii="Times New Roman" w:hAnsi="Times New Roman" w:cs="Times New Roman" w:eastAsiaTheme="minorEastAsia"/>
                <w:snapToGrid w:val="0"/>
                <w:szCs w:val="21"/>
                <w:lang w:val="en-US" w:eastAsia="zh-CN"/>
              </w:rPr>
              <w:t>.5</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3</w:t>
            </w:r>
          </w:p>
        </w:tc>
        <w:tc>
          <w:tcPr>
            <w:tcW w:w="855"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3684" w:type="dxa"/>
            <w:vAlign w:val="center"/>
          </w:tcPr>
          <w:p>
            <w:pPr>
              <w:spacing w:line="360" w:lineRule="auto"/>
              <w:ind w:firstLine="440" w:firstLineChars="200"/>
              <w:jc w:val="both"/>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人员、设备的配置和进场计划，廉政建设、职业操守措施</w:t>
            </w:r>
          </w:p>
        </w:tc>
        <w:tc>
          <w:tcPr>
            <w:tcW w:w="1264" w:type="dxa"/>
            <w:vAlign w:val="center"/>
          </w:tcPr>
          <w:p>
            <w:pPr>
              <w:spacing w:line="360" w:lineRule="auto"/>
              <w:jc w:val="center"/>
              <w:rPr>
                <w:rFonts w:ascii="Times New Roman" w:hAnsi="Times New Roman" w:cs="Times New Roman" w:eastAsiaTheme="minorEastAsia"/>
                <w:snapToGrid w:val="0"/>
                <w:szCs w:val="21"/>
                <w:highlight w:val="none"/>
              </w:rPr>
            </w:pPr>
            <w:r>
              <w:rPr>
                <w:rFonts w:ascii="Times New Roman" w:hAnsi="Times New Roman" w:cs="Times New Roman" w:eastAsiaTheme="minorEastAsia"/>
                <w:snapToGrid w:val="0"/>
                <w:szCs w:val="21"/>
                <w:highlight w:val="none"/>
                <w:lang w:val="en-US"/>
              </w:rPr>
              <w:t>5</w:t>
            </w:r>
            <w:r>
              <w:rPr>
                <w:rFonts w:ascii="Times New Roman" w:hAnsi="Times New Roman" w:cs="Times New Roman" w:eastAsiaTheme="minorEastAsia"/>
                <w:snapToGrid w:val="0"/>
                <w:szCs w:val="21"/>
                <w:highlight w:val="none"/>
              </w:rPr>
              <w:t>～</w:t>
            </w:r>
            <w:r>
              <w:rPr>
                <w:rFonts w:ascii="Times New Roman" w:hAnsi="Times New Roman" w:cs="Times New Roman" w:eastAsiaTheme="minorEastAsia"/>
                <w:snapToGrid w:val="0"/>
                <w:szCs w:val="21"/>
                <w:highlight w:val="none"/>
                <w:lang w:val="en-US"/>
              </w:rPr>
              <w:t>4</w:t>
            </w:r>
            <w:r>
              <w:rPr>
                <w:rFonts w:ascii="Times New Roman" w:hAnsi="Times New Roman" w:cs="Times New Roman" w:eastAsiaTheme="minorEastAsia"/>
                <w:snapToGrid w:val="0"/>
                <w:szCs w:val="21"/>
                <w:highlight w:val="none"/>
              </w:rPr>
              <w:t>.5</w:t>
            </w:r>
          </w:p>
        </w:tc>
        <w:tc>
          <w:tcPr>
            <w:tcW w:w="1339"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4</w:t>
            </w:r>
            <w:r>
              <w:rPr>
                <w:rFonts w:ascii="Times New Roman" w:hAnsi="Times New Roman" w:cs="Times New Roman" w:eastAsiaTheme="minorEastAsia"/>
                <w:snapToGrid w:val="0"/>
                <w:szCs w:val="21"/>
              </w:rPr>
              <w:t>.5～</w:t>
            </w:r>
            <w:r>
              <w:rPr>
                <w:rFonts w:ascii="Times New Roman" w:hAnsi="Times New Roman" w:cs="Times New Roman" w:eastAsiaTheme="minorEastAsia"/>
                <w:snapToGrid w:val="0"/>
                <w:szCs w:val="21"/>
                <w:lang w:val="en-US"/>
              </w:rPr>
              <w:t>4</w:t>
            </w:r>
          </w:p>
        </w:tc>
        <w:tc>
          <w:tcPr>
            <w:tcW w:w="1264" w:type="dxa"/>
            <w:vAlign w:val="center"/>
          </w:tcPr>
          <w:p>
            <w:pPr>
              <w:spacing w:line="360" w:lineRule="auto"/>
              <w:jc w:val="center"/>
              <w:rPr>
                <w:rFonts w:hint="default" w:ascii="Times New Roman" w:hAnsi="Times New Roman" w:cs="Times New Roman" w:eastAsiaTheme="minorEastAsia"/>
                <w:snapToGrid w:val="0"/>
                <w:szCs w:val="21"/>
                <w:lang w:val="en-US" w:eastAsia="zh-CN"/>
              </w:rPr>
            </w:pPr>
            <w:r>
              <w:rPr>
                <w:rFonts w:ascii="Times New Roman" w:hAnsi="Times New Roman" w:cs="Times New Roman" w:eastAsiaTheme="minorEastAsia"/>
                <w:snapToGrid w:val="0"/>
                <w:szCs w:val="21"/>
                <w:lang w:val="en-US"/>
              </w:rPr>
              <w:t>4</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3</w:t>
            </w:r>
            <w:r>
              <w:rPr>
                <w:rFonts w:hint="eastAsia" w:ascii="Times New Roman" w:hAnsi="Times New Roman" w:cs="Times New Roman" w:eastAsiaTheme="minorEastAsia"/>
                <w:snapToGrid w:val="0"/>
                <w:szCs w:val="21"/>
                <w:lang w:val="en-US" w:eastAsia="zh-CN"/>
              </w:rPr>
              <w:t>.5</w:t>
            </w:r>
          </w:p>
        </w:tc>
        <w:tc>
          <w:tcPr>
            <w:tcW w:w="1190" w:type="dxa"/>
            <w:vAlign w:val="center"/>
          </w:tcPr>
          <w:p>
            <w:pPr>
              <w:spacing w:line="360" w:lineRule="auto"/>
              <w:jc w:val="center"/>
              <w:rPr>
                <w:rFonts w:hint="eastAsia" w:ascii="Times New Roman" w:hAnsi="Times New Roman" w:cs="Times New Roman" w:eastAsiaTheme="minorEastAsia"/>
                <w:snapToGrid w:val="0"/>
                <w:szCs w:val="21"/>
                <w:lang w:eastAsia="zh-CN"/>
              </w:rPr>
            </w:pPr>
            <w:r>
              <w:rPr>
                <w:rFonts w:ascii="Times New Roman" w:hAnsi="Times New Roman" w:cs="Times New Roman" w:eastAsiaTheme="minorEastAsia"/>
                <w:snapToGrid w:val="0"/>
                <w:szCs w:val="21"/>
                <w:lang w:val="en-US"/>
              </w:rPr>
              <w:t>3</w:t>
            </w:r>
            <w:r>
              <w:rPr>
                <w:rFonts w:hint="eastAsia" w:ascii="Times New Roman" w:hAnsi="Times New Roman" w:cs="Times New Roman" w:eastAsiaTheme="minorEastAsia"/>
                <w:snapToGrid w:val="0"/>
                <w:szCs w:val="21"/>
                <w:lang w:val="en-US" w:eastAsia="zh-CN"/>
              </w:rPr>
              <w:t>.5</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3</w:t>
            </w:r>
          </w:p>
        </w:tc>
        <w:tc>
          <w:tcPr>
            <w:tcW w:w="855"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0</w:t>
            </w:r>
          </w:p>
        </w:tc>
      </w:tr>
    </w:tbl>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（三）技术标得分=监理大纲得分。</w:t>
      </w:r>
    </w:p>
    <w:p>
      <w:pPr>
        <w:spacing w:line="360" w:lineRule="auto"/>
        <w:ind w:firstLine="442" w:firstLineChars="200"/>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四、商务标评审标准（</w:t>
      </w:r>
      <w:r>
        <w:rPr>
          <w:rFonts w:hint="eastAsia" w:ascii="Times New Roman" w:hAnsi="Times New Roman" w:cs="Times New Roman" w:eastAsiaTheme="minorEastAsia"/>
          <w:b/>
          <w:snapToGrid w:val="0"/>
          <w:szCs w:val="21"/>
          <w:lang w:val="en-US" w:eastAsia="zh-CN"/>
        </w:rPr>
        <w:t>62</w:t>
      </w:r>
      <w:r>
        <w:rPr>
          <w:rFonts w:ascii="Times New Roman" w:hAnsi="Times New Roman" w:cs="Times New Roman" w:eastAsiaTheme="minorEastAsia"/>
          <w:b/>
          <w:snapToGrid w:val="0"/>
          <w:szCs w:val="21"/>
        </w:rPr>
        <w:t>分）</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一）成本价评审：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被认定低于成本报价竞标的，其投标作无效标处理。</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（二）评标标底价的确定（以元为单位，保留整数，</w:t>
      </w:r>
      <w:r>
        <w:rPr>
          <w:rFonts w:ascii="Times New Roman" w:hAnsi="Times New Roman" w:cs="Times New Roman" w:eastAsiaTheme="minorEastAsia"/>
          <w:snapToGrid w:val="0"/>
          <w:szCs w:val="21"/>
          <w:lang w:val="en-US"/>
        </w:rPr>
        <w:t>小数点后第1位四舍五入</w:t>
      </w:r>
      <w:r>
        <w:rPr>
          <w:rFonts w:ascii="Times New Roman" w:hAnsi="Times New Roman" w:cs="Times New Roman" w:eastAsiaTheme="minorEastAsia"/>
          <w:snapToGrid w:val="0"/>
          <w:szCs w:val="21"/>
        </w:rPr>
        <w:t>）。</w:t>
      </w:r>
      <w:r>
        <w:rPr>
          <w:rFonts w:hint="eastAsia" w:ascii="Times New Roman" w:hAnsi="Times New Roman" w:cs="Times New Roman" w:eastAsiaTheme="minorEastAsia"/>
          <w:snapToGrid w:val="0"/>
          <w:szCs w:val="21"/>
          <w:lang w:val="en-US" w:eastAsia="zh-CN"/>
        </w:rPr>
        <w:t>评标标底价由评标委员会依据下述方法计算，除计算差错外，确认后的评标基准价在本次 招标期间保持不变。 计算差错，仅限于以下两种情况：（</w:t>
      </w:r>
      <w:r>
        <w:rPr>
          <w:rFonts w:hint="default" w:ascii="Times New Roman" w:hAnsi="Times New Roman" w:cs="Times New Roman" w:eastAsiaTheme="minorEastAsia"/>
          <w:snapToGrid w:val="0"/>
          <w:szCs w:val="21"/>
          <w:lang w:val="en-US" w:eastAsia="zh-CN"/>
        </w:rPr>
        <w:t>1</w:t>
      </w:r>
      <w:r>
        <w:rPr>
          <w:rFonts w:hint="eastAsia" w:ascii="Times New Roman" w:hAnsi="Times New Roman" w:cs="Times New Roman" w:eastAsiaTheme="minorEastAsia"/>
          <w:snapToGrid w:val="0"/>
          <w:szCs w:val="21"/>
          <w:lang w:val="en-US" w:eastAsia="zh-CN"/>
        </w:rPr>
        <w:t>）纯算术性四则运算差错；（</w:t>
      </w:r>
      <w:r>
        <w:rPr>
          <w:rFonts w:hint="default" w:ascii="Times New Roman" w:hAnsi="Times New Roman" w:cs="Times New Roman" w:eastAsiaTheme="minorEastAsia"/>
          <w:snapToGrid w:val="0"/>
          <w:szCs w:val="21"/>
          <w:lang w:val="en-US" w:eastAsia="zh-CN"/>
        </w:rPr>
        <w:t>2</w:t>
      </w:r>
      <w:r>
        <w:rPr>
          <w:rFonts w:hint="eastAsia" w:ascii="Times New Roman" w:hAnsi="Times New Roman" w:cs="Times New Roman" w:eastAsiaTheme="minorEastAsia"/>
          <w:snapToGrid w:val="0"/>
          <w:szCs w:val="21"/>
          <w:lang w:val="en-US" w:eastAsia="zh-CN"/>
        </w:rPr>
        <w:t>）未按约定的计算方法， 多计或者少计投标人报价的。由于评标差错，导致否决投标错误，重新评标纠正等其他情况，不 属于计算差错。</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评标标底价=风险控制价×（1+D%）。</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D为上浮率，</w:t>
      </w:r>
      <w:r>
        <w:rPr>
          <w:rFonts w:ascii="Times New Roman" w:hAnsi="Times New Roman" w:cs="Times New Roman" w:eastAsiaTheme="minorEastAsia"/>
          <w:snapToGrid w:val="0"/>
        </w:rPr>
        <w:t>D值在0.0～4.9范围内随机抽取产生。先从0～4中抽取个位数字X，再从0～9中抽取十分位数字Y，则抽取的D值即为X.Y。</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（三）风险控制价的确定（以元为单位，计算时保留整数，</w:t>
      </w:r>
      <w:r>
        <w:rPr>
          <w:rFonts w:ascii="Times New Roman" w:hAnsi="Times New Roman" w:cs="Times New Roman" w:eastAsiaTheme="minorEastAsia"/>
          <w:snapToGrid w:val="0"/>
          <w:szCs w:val="21"/>
          <w:lang w:val="en-US"/>
        </w:rPr>
        <w:t>小数点后第1位四舍五入</w:t>
      </w:r>
      <w:r>
        <w:rPr>
          <w:rFonts w:ascii="Times New Roman" w:hAnsi="Times New Roman" w:cs="Times New Roman" w:eastAsiaTheme="minorEastAsia"/>
          <w:snapToGrid w:val="0"/>
          <w:szCs w:val="21"/>
        </w:rPr>
        <w:t>）</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风险控制价＝最高投标限价×90%；</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（四）投标报价得分（</w:t>
      </w:r>
      <w:r>
        <w:rPr>
          <w:rFonts w:hint="eastAsia" w:ascii="Times New Roman" w:hAnsi="Times New Roman" w:cs="Times New Roman" w:eastAsiaTheme="minorEastAsia"/>
          <w:snapToGrid w:val="0"/>
          <w:szCs w:val="21"/>
          <w:lang w:val="en-US" w:eastAsia="zh-CN"/>
        </w:rPr>
        <w:t>62</w:t>
      </w:r>
      <w:r>
        <w:rPr>
          <w:rFonts w:ascii="Times New Roman" w:hAnsi="Times New Roman" w:cs="Times New Roman" w:eastAsiaTheme="minorEastAsia"/>
          <w:snapToGrid w:val="0"/>
          <w:szCs w:val="21"/>
        </w:rPr>
        <w:t>分）(小数点后保留2位小数，小数点后第3位四舍五入）</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1．投标人的投标报价得分满分为</w:t>
      </w:r>
      <w:r>
        <w:rPr>
          <w:rFonts w:hint="eastAsia" w:ascii="Times New Roman" w:hAnsi="Times New Roman" w:cs="Times New Roman" w:eastAsiaTheme="minorEastAsia"/>
          <w:snapToGrid w:val="0"/>
          <w:szCs w:val="21"/>
          <w:lang w:val="en-US" w:eastAsia="zh-CN"/>
        </w:rPr>
        <w:t>62</w:t>
      </w:r>
      <w:r>
        <w:rPr>
          <w:rFonts w:ascii="Times New Roman" w:hAnsi="Times New Roman" w:cs="Times New Roman" w:eastAsiaTheme="minorEastAsia"/>
          <w:snapToGrid w:val="0"/>
          <w:szCs w:val="21"/>
        </w:rPr>
        <w:t>分，当投标人的投标报价存在以下情形时，则按相应情形分别予以扣分：</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（1）投标报价每高于评标标底价一个百分点的扣</w:t>
      </w:r>
      <w:r>
        <w:rPr>
          <w:rFonts w:hint="eastAsia" w:ascii="Times New Roman" w:hAnsi="Times New Roman" w:cs="Times New Roman" w:eastAsiaTheme="minorEastAsia"/>
          <w:snapToGrid w:val="0"/>
          <w:szCs w:val="21"/>
          <w:lang w:val="en-US" w:eastAsia="zh-CN"/>
        </w:rPr>
        <w:t>0.2</w:t>
      </w:r>
      <w:r>
        <w:rPr>
          <w:rFonts w:ascii="Times New Roman" w:hAnsi="Times New Roman" w:cs="Times New Roman" w:eastAsiaTheme="minorEastAsia"/>
          <w:snapToGrid w:val="0"/>
          <w:szCs w:val="21"/>
        </w:rPr>
        <w:t>分，扣分分值＝〔（投标报价－评标标底价）/评标标底价〕×100×</w:t>
      </w:r>
      <w:r>
        <w:rPr>
          <w:rFonts w:hint="eastAsia" w:ascii="Times New Roman" w:hAnsi="Times New Roman" w:cs="Times New Roman" w:eastAsiaTheme="minorEastAsia"/>
          <w:snapToGrid w:val="0"/>
          <w:szCs w:val="21"/>
          <w:lang w:val="en-US" w:eastAsia="zh-CN"/>
        </w:rPr>
        <w:t>0.2</w:t>
      </w:r>
      <w:r>
        <w:rPr>
          <w:rFonts w:ascii="Times New Roman" w:hAnsi="Times New Roman" w:cs="Times New Roman" w:eastAsiaTheme="minorEastAsia"/>
          <w:snapToGrid w:val="0"/>
          <w:szCs w:val="21"/>
        </w:rPr>
        <w:t>；</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（2）投标报价每低于评标标底价一个百分点的扣0.</w:t>
      </w:r>
      <w:r>
        <w:rPr>
          <w:rFonts w:hint="eastAsia" w:ascii="Times New Roman" w:hAnsi="Times New Roman" w:cs="Times New Roman" w:eastAsiaTheme="minorEastAsia"/>
          <w:snapToGrid w:val="0"/>
          <w:szCs w:val="21"/>
          <w:lang w:val="en-US" w:eastAsia="zh-CN"/>
        </w:rPr>
        <w:t>1</w:t>
      </w:r>
      <w:r>
        <w:rPr>
          <w:rFonts w:ascii="Times New Roman" w:hAnsi="Times New Roman" w:cs="Times New Roman" w:eastAsiaTheme="minorEastAsia"/>
          <w:snapToGrid w:val="0"/>
          <w:szCs w:val="21"/>
        </w:rPr>
        <w:t>分，扣分分值＝〔（评标标底价－投标报价）/评标标底价〕×100×0.</w:t>
      </w:r>
      <w:r>
        <w:rPr>
          <w:rFonts w:hint="eastAsia" w:ascii="Times New Roman" w:hAnsi="Times New Roman" w:cs="Times New Roman" w:eastAsiaTheme="minorEastAsia"/>
          <w:snapToGrid w:val="0"/>
          <w:szCs w:val="21"/>
          <w:lang w:val="en-US" w:eastAsia="zh-CN"/>
        </w:rPr>
        <w:t>1</w:t>
      </w:r>
      <w:r>
        <w:rPr>
          <w:rFonts w:ascii="Times New Roman" w:hAnsi="Times New Roman" w:cs="Times New Roman" w:eastAsiaTheme="minorEastAsia"/>
          <w:snapToGrid w:val="0"/>
          <w:szCs w:val="21"/>
        </w:rPr>
        <w:t>；</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（3）投标报价每低于风险控制价一个百分点的再扣</w:t>
      </w:r>
      <w:r>
        <w:rPr>
          <w:rFonts w:hint="eastAsia" w:ascii="Times New Roman" w:hAnsi="Times New Roman" w:cs="Times New Roman" w:eastAsiaTheme="minorEastAsia"/>
          <w:snapToGrid w:val="0"/>
          <w:szCs w:val="21"/>
          <w:lang w:val="en-US" w:eastAsia="zh-CN"/>
        </w:rPr>
        <w:t>0</w:t>
      </w:r>
      <w:r>
        <w:rPr>
          <w:rFonts w:ascii="Times New Roman" w:hAnsi="Times New Roman" w:cs="Times New Roman" w:eastAsiaTheme="minorEastAsia"/>
          <w:snapToGrid w:val="0"/>
          <w:szCs w:val="21"/>
        </w:rPr>
        <w:t>.5分，扣分分值＝〔(风险控制价－投标报价)/ 风险控制价〕×100×</w:t>
      </w:r>
      <w:r>
        <w:rPr>
          <w:rFonts w:hint="eastAsia" w:ascii="Times New Roman" w:hAnsi="Times New Roman" w:cs="Times New Roman" w:eastAsiaTheme="minorEastAsia"/>
          <w:snapToGrid w:val="0"/>
          <w:szCs w:val="21"/>
          <w:lang w:val="en-US" w:eastAsia="zh-CN"/>
        </w:rPr>
        <w:t>0</w:t>
      </w:r>
      <w:r>
        <w:rPr>
          <w:rFonts w:ascii="Times New Roman" w:hAnsi="Times New Roman" w:cs="Times New Roman" w:eastAsiaTheme="minorEastAsia"/>
          <w:snapToGrid w:val="0"/>
          <w:szCs w:val="21"/>
        </w:rPr>
        <w:t>.5；</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2．投标人的投标报价得分＝</w:t>
      </w:r>
      <w:r>
        <w:rPr>
          <w:rFonts w:hint="eastAsia" w:ascii="Times New Roman" w:hAnsi="Times New Roman" w:cs="Times New Roman" w:eastAsiaTheme="minorEastAsia"/>
          <w:snapToGrid w:val="0"/>
          <w:szCs w:val="21"/>
          <w:lang w:val="en-US" w:eastAsia="zh-CN"/>
        </w:rPr>
        <w:t>62</w:t>
      </w:r>
      <w:r>
        <w:rPr>
          <w:rFonts w:ascii="Times New Roman" w:hAnsi="Times New Roman" w:cs="Times New Roman" w:eastAsiaTheme="minorEastAsia"/>
          <w:snapToGrid w:val="0"/>
          <w:szCs w:val="21"/>
        </w:rPr>
        <w:t>－以上情形扣分总和。（小数点后保留2位，小数点后第3位四舍五入）</w:t>
      </w:r>
    </w:p>
    <w:p>
      <w:pPr>
        <w:spacing w:line="360" w:lineRule="auto"/>
        <w:ind w:firstLine="442" w:firstLineChars="200"/>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五、评标总得分</w:t>
      </w:r>
      <w:r>
        <w:rPr>
          <w:rFonts w:ascii="Times New Roman" w:hAnsi="Times New Roman" w:cs="Times New Roman" w:eastAsiaTheme="minorEastAsia"/>
          <w:snapToGrid w:val="0"/>
          <w:szCs w:val="21"/>
        </w:rPr>
        <w:t>（满分为</w:t>
      </w:r>
      <w:r>
        <w:rPr>
          <w:rFonts w:hint="eastAsia" w:ascii="Times New Roman" w:hAnsi="Times New Roman" w:cs="Times New Roman" w:eastAsiaTheme="minorEastAsia"/>
          <w:snapToGrid w:val="0"/>
          <w:szCs w:val="21"/>
          <w:lang w:val="en-US" w:eastAsia="zh-CN"/>
        </w:rPr>
        <w:t>9</w:t>
      </w:r>
      <w:r>
        <w:rPr>
          <w:rFonts w:ascii="Times New Roman" w:hAnsi="Times New Roman" w:cs="Times New Roman" w:eastAsiaTheme="minorEastAsia"/>
          <w:snapToGrid w:val="0"/>
          <w:szCs w:val="21"/>
          <w:lang w:val="en-US"/>
        </w:rPr>
        <w:t>0</w:t>
      </w:r>
      <w:r>
        <w:rPr>
          <w:rFonts w:ascii="Times New Roman" w:hAnsi="Times New Roman" w:cs="Times New Roman" w:eastAsiaTheme="minorEastAsia"/>
          <w:snapToGrid w:val="0"/>
          <w:szCs w:val="21"/>
        </w:rPr>
        <w:t>分，最后结果保留2位小数，小数点后第3位四舍五入）</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投标人的评标总得分＝资信标得分+技术标得分+商务标得分。</w:t>
      </w:r>
    </w:p>
    <w:p>
      <w:pPr>
        <w:spacing w:line="360" w:lineRule="auto"/>
        <w:ind w:firstLine="442" w:firstLineChars="200"/>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六、中标候选人的确定</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评标委员会按评标总得分确定中标候选人，即总得分最高者为中标候选人。如出现总得分相同的，按以下优先顺序推荐中标候选人：</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（一）资信标得分高者；</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（二）技术标得分高者；</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（三）投标报价低者；</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（四）抽签确定（抽签规则：招标人代表对进入抽签的各投标人进行抽取，抽中的第一个投标人即为中标候选人。）</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评标委员会对中标候选人的总监理工程师的在建项目资格进行详细评审，如不符合要求，作无效标处理，空缺的名额由之后排名靠前的投标人进行替补，然后再对其资格进行评审，如再不符合要求，再替补，以此类推。经资格审查合格的</w:t>
      </w:r>
      <w:r>
        <w:rPr>
          <w:rFonts w:ascii="Times New Roman" w:hAnsi="Times New Roman" w:cs="Times New Roman" w:eastAsiaTheme="minorEastAsia"/>
          <w:snapToGrid w:val="0"/>
          <w:lang w:val="en-US"/>
        </w:rPr>
        <w:t>一名</w:t>
      </w:r>
      <w:r>
        <w:rPr>
          <w:rFonts w:ascii="Times New Roman" w:hAnsi="Times New Roman" w:cs="Times New Roman" w:eastAsiaTheme="minorEastAsia"/>
          <w:snapToGrid w:val="0"/>
        </w:rPr>
        <w:t>投标人为本工程的中标候选人。</w:t>
      </w:r>
    </w:p>
    <w:p>
      <w:pPr>
        <w:rPr>
          <w:rFonts w:ascii="Times New Roman" w:hAnsi="Times New Roman" w:cs="Times New Roman" w:eastAsiaTheme="minorEastAsia"/>
          <w:snapToGrid w:val="0"/>
        </w:rPr>
      </w:pPr>
    </w:p>
    <w:bookmarkEnd w:id="817"/>
    <w:bookmarkEnd w:id="818"/>
    <w:bookmarkEnd w:id="819"/>
    <w:bookmarkEnd w:id="820"/>
    <w:bookmarkEnd w:id="821"/>
    <w:bookmarkEnd w:id="822"/>
    <w:p>
      <w:pPr>
        <w:widowControl/>
        <w:autoSpaceDE/>
        <w:autoSpaceDN/>
        <w:rPr>
          <w:rFonts w:ascii="Times New Roman" w:hAnsi="Times New Roman" w:cs="Times New Roman" w:eastAsiaTheme="minorEastAsia"/>
          <w:b/>
          <w:bCs/>
          <w:snapToGrid w:val="0"/>
          <w:sz w:val="44"/>
          <w:szCs w:val="44"/>
        </w:rPr>
      </w:pPr>
      <w:bookmarkStart w:id="835" w:name="_Toc28268"/>
      <w:bookmarkStart w:id="836" w:name="_Toc89960469"/>
      <w:r>
        <w:rPr>
          <w:rFonts w:ascii="Times New Roman" w:hAnsi="Times New Roman" w:cs="Times New Roman" w:eastAsiaTheme="minorEastAsia"/>
          <w:snapToGrid w:val="0"/>
        </w:rPr>
        <w:br w:type="page"/>
      </w:r>
    </w:p>
    <w:p>
      <w:pPr>
        <w:pStyle w:val="5"/>
        <w:rPr>
          <w:rFonts w:ascii="Times New Roman" w:hAnsi="Times New Roman" w:cs="Times New Roman" w:eastAsiaTheme="minorEastAsia"/>
          <w:snapToGrid w:val="0"/>
        </w:rPr>
      </w:pPr>
      <w:bookmarkStart w:id="837" w:name="_Toc8773"/>
      <w:r>
        <w:rPr>
          <w:rFonts w:ascii="Times New Roman" w:hAnsi="Times New Roman" w:cs="Times New Roman" w:eastAsiaTheme="minorEastAsia"/>
          <w:snapToGrid w:val="0"/>
        </w:rPr>
        <w:t>第四章 合同条款及格式</w:t>
      </w:r>
      <w:bookmarkEnd w:id="835"/>
      <w:bookmarkEnd w:id="836"/>
      <w:bookmarkEnd w:id="837"/>
    </w:p>
    <w:p>
      <w:pPr>
        <w:autoSpaceDE/>
        <w:autoSpaceDN/>
        <w:adjustRightInd w:val="0"/>
        <w:snapToGrid w:val="0"/>
        <w:spacing w:line="400" w:lineRule="exact"/>
        <w:ind w:firstLine="440" w:firstLineChars="200"/>
        <w:rPr>
          <w:rFonts w:ascii="Times New Roman" w:hAnsi="Times New Roman" w:cs="Times New Roman" w:eastAsiaTheme="minorEastAsia"/>
          <w:snapToGrid w:val="0"/>
          <w:sz w:val="22"/>
          <w:szCs w:val="22"/>
        </w:rPr>
      </w:pPr>
      <w:r>
        <w:rPr>
          <w:rFonts w:ascii="Times New Roman" w:hAnsi="Times New Roman" w:cs="Times New Roman" w:eastAsiaTheme="minorEastAsia"/>
          <w:snapToGrid w:val="0"/>
          <w:sz w:val="22"/>
          <w:szCs w:val="22"/>
        </w:rPr>
        <w:t>合同文本采用建设工程委托监理合同示范文本（ＧＦ－2012－0202）。</w:t>
      </w:r>
    </w:p>
    <w:p>
      <w:pPr>
        <w:autoSpaceDE/>
        <w:autoSpaceDN/>
        <w:adjustRightInd w:val="0"/>
        <w:snapToGrid w:val="0"/>
        <w:spacing w:line="400" w:lineRule="exact"/>
        <w:ind w:firstLine="440" w:firstLineChars="200"/>
        <w:rPr>
          <w:rFonts w:ascii="Times New Roman" w:hAnsi="Times New Roman" w:cs="Times New Roman" w:eastAsiaTheme="minorEastAsia"/>
          <w:snapToGrid w:val="0"/>
          <w:sz w:val="21"/>
          <w:szCs w:val="24"/>
        </w:rPr>
      </w:pPr>
      <w:r>
        <w:rPr>
          <w:rFonts w:ascii="Times New Roman" w:hAnsi="Times New Roman" w:cs="Times New Roman" w:eastAsiaTheme="minorEastAsia"/>
          <w:snapToGrid w:val="0"/>
          <w:sz w:val="22"/>
          <w:szCs w:val="22"/>
        </w:rPr>
        <w:t>由招标人（委托人）与中标人（监理人）根据本章合同条款格式及投标文件签订监理合同。</w:t>
      </w:r>
    </w:p>
    <w:p>
      <w:pPr>
        <w:pStyle w:val="6"/>
        <w:spacing w:line="400" w:lineRule="exact"/>
        <w:ind w:left="0" w:right="0" w:firstLine="602" w:firstLineChars="200"/>
        <w:rPr>
          <w:rFonts w:ascii="Times New Roman" w:hAnsi="Times New Roman" w:cs="Times New Roman" w:eastAsiaTheme="minorEastAsia"/>
          <w:b w:val="0"/>
          <w:bCs w:val="0"/>
          <w:snapToGrid w:val="0"/>
          <w:sz w:val="30"/>
          <w:szCs w:val="30"/>
        </w:rPr>
      </w:pPr>
      <w:bookmarkStart w:id="838" w:name="_Toc4003"/>
      <w:bookmarkStart w:id="839" w:name="_Toc8305380"/>
      <w:bookmarkStart w:id="840" w:name="_Toc31836"/>
      <w:bookmarkStart w:id="841" w:name="_Toc532282495"/>
      <w:bookmarkStart w:id="842" w:name="_Toc16521976"/>
      <w:bookmarkStart w:id="843" w:name="_Toc28199265"/>
      <w:bookmarkStart w:id="844" w:name="_Toc13604"/>
      <w:bookmarkStart w:id="845" w:name="_Toc15408"/>
      <w:bookmarkStart w:id="846" w:name="_Toc24322"/>
      <w:bookmarkStart w:id="847" w:name="_Toc82672101"/>
      <w:bookmarkStart w:id="848" w:name="_Toc89960470"/>
      <w:bookmarkStart w:id="849" w:name="_Toc10173"/>
      <w:r>
        <w:rPr>
          <w:rFonts w:ascii="Times New Roman" w:hAnsi="Times New Roman" w:cs="Times New Roman" w:eastAsiaTheme="minorEastAsia"/>
          <w:snapToGrid w:val="0"/>
          <w:sz w:val="30"/>
          <w:szCs w:val="30"/>
        </w:rPr>
        <w:t>第一部分  协议书</w:t>
      </w:r>
      <w:bookmarkEnd w:id="838"/>
    </w:p>
    <w:p>
      <w:pPr>
        <w:adjustRightInd w:val="0"/>
        <w:snapToGrid w:val="0"/>
        <w:spacing w:line="400" w:lineRule="exact"/>
        <w:ind w:firstLine="442" w:firstLineChars="200"/>
        <w:rPr>
          <w:rFonts w:hint="eastAsia" w:ascii="Times New Roman" w:hAnsi="Times New Roman" w:cs="Times New Roman" w:eastAsiaTheme="minorEastAsia"/>
          <w:b/>
          <w:snapToGrid w:val="0"/>
          <w:szCs w:val="21"/>
          <w:lang w:eastAsia="zh-CN"/>
        </w:rPr>
      </w:pPr>
      <w:r>
        <w:rPr>
          <w:rFonts w:ascii="Times New Roman" w:hAnsi="Times New Roman" w:cs="Times New Roman" w:eastAsiaTheme="minorEastAsia"/>
          <w:b/>
          <w:snapToGrid w:val="0"/>
          <w:szCs w:val="21"/>
        </w:rPr>
        <w:t>委托人（全称）：</w:t>
      </w:r>
      <w:r>
        <w:rPr>
          <w:rFonts w:hint="eastAsia" w:ascii="Times New Roman" w:hAnsi="Times New Roman" w:cs="Times New Roman" w:eastAsiaTheme="minorEastAsia"/>
          <w:snapToGrid w:val="0"/>
          <w:szCs w:val="21"/>
          <w:u w:val="single"/>
          <w:lang w:eastAsia="zh-CN"/>
        </w:rPr>
        <w:t>三门县荆港矿业开发有限公司、三门县港城农业发展有限公司</w:t>
      </w:r>
    </w:p>
    <w:p>
      <w:pPr>
        <w:adjustRightInd w:val="0"/>
        <w:snapToGrid w:val="0"/>
        <w:spacing w:line="400" w:lineRule="exact"/>
        <w:ind w:firstLine="442" w:firstLineChars="200"/>
        <w:rPr>
          <w:rFonts w:ascii="Times New Roman" w:hAnsi="Times New Roman" w:cs="Times New Roman" w:eastAsiaTheme="minorEastAsia"/>
          <w:snapToGrid w:val="0"/>
          <w:szCs w:val="21"/>
        </w:rPr>
      </w:pPr>
      <w:r>
        <w:rPr>
          <w:rFonts w:ascii="Times New Roman" w:hAnsi="Times New Roman" w:cs="Times New Roman" w:eastAsiaTheme="minorEastAsia"/>
          <w:b/>
          <w:snapToGrid w:val="0"/>
          <w:szCs w:val="21"/>
        </w:rPr>
        <w:t>监理人（全称）：</w:t>
      </w:r>
      <w:r>
        <w:rPr>
          <w:rFonts w:ascii="Times New Roman" w:hAnsi="Times New Roman" w:cs="Times New Roman" w:eastAsiaTheme="minorEastAsia"/>
          <w:b/>
          <w:snapToGrid w:val="0"/>
          <w:szCs w:val="21"/>
          <w:u w:val="single"/>
        </w:rPr>
        <w:t xml:space="preserve">                          </w:t>
      </w:r>
      <w:r>
        <w:rPr>
          <w:rFonts w:ascii="Times New Roman" w:hAnsi="Times New Roman" w:cs="Times New Roman" w:eastAsiaTheme="minorEastAsia"/>
          <w:b/>
          <w:snapToGrid w:val="0"/>
          <w:szCs w:val="21"/>
          <w:u w:val="single"/>
          <w:lang w:val="en-US"/>
        </w:rPr>
        <w:t xml:space="preserve">      </w:t>
      </w:r>
      <w:r>
        <w:rPr>
          <w:rFonts w:ascii="Times New Roman" w:hAnsi="Times New Roman" w:cs="Times New Roman" w:eastAsiaTheme="minorEastAsia"/>
          <w:b/>
          <w:snapToGrid w:val="0"/>
          <w:szCs w:val="21"/>
          <w:u w:val="single"/>
        </w:rPr>
        <w:t xml:space="preserve"> </w:t>
      </w:r>
      <w:r>
        <w:rPr>
          <w:rFonts w:ascii="Times New Roman" w:hAnsi="Times New Roman" w:cs="Times New Roman" w:eastAsiaTheme="minorEastAsia"/>
          <w:snapToGrid w:val="0"/>
          <w:szCs w:val="21"/>
          <w:u w:val="single"/>
        </w:rPr>
        <w:t xml:space="preserve">   </w:t>
      </w:r>
    </w:p>
    <w:p>
      <w:pPr>
        <w:spacing w:line="400" w:lineRule="exact"/>
        <w:ind w:firstLine="440" w:firstLineChars="200"/>
        <w:rPr>
          <w:rFonts w:hint="eastAsia" w:ascii="Times New Roman" w:hAnsi="Times New Roman" w:cs="Times New Roman" w:eastAsiaTheme="minorEastAsia"/>
          <w:snapToGrid w:val="0"/>
          <w:szCs w:val="21"/>
        </w:rPr>
      </w:pPr>
      <w:bookmarkStart w:id="850" w:name="_Toc14680"/>
      <w:bookmarkStart w:id="851" w:name="_Toc23848"/>
      <w:bookmarkStart w:id="852" w:name="_Toc146952577"/>
      <w:r>
        <w:rPr>
          <w:rFonts w:hint="eastAsia" w:ascii="Times New Roman" w:hAnsi="Times New Roman" w:cs="Times New Roman" w:eastAsiaTheme="minorEastAsia"/>
          <w:snapToGrid w:val="0"/>
          <w:szCs w:val="21"/>
        </w:rPr>
        <w:t>根据《中华人民共和国民法典》、《中华人民共和国建筑法》、《中华人民共和国矿产资源法》及其他有关法律、法规，遵循平等、自愿、公平和诚信的原则，双方就下述工程委托监理与相关服务事项协商一致，订立本合同。</w:t>
      </w:r>
    </w:p>
    <w:p>
      <w:pPr>
        <w:spacing w:line="400" w:lineRule="exact"/>
        <w:ind w:firstLine="442" w:firstLineChars="200"/>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一、工程概况</w:t>
      </w:r>
      <w:bookmarkEnd w:id="850"/>
      <w:bookmarkEnd w:id="851"/>
      <w:bookmarkEnd w:id="852"/>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 工程名称：</w:t>
      </w:r>
      <w:r>
        <w:rPr>
          <w:rFonts w:hint="eastAsia" w:ascii="Times New Roman" w:hAnsi="Times New Roman" w:cs="Times New Roman" w:eastAsiaTheme="minorEastAsia"/>
          <w:snapToGrid w:val="0"/>
          <w:szCs w:val="21"/>
          <w:u w:val="single"/>
          <w:lang w:eastAsia="zh-CN"/>
        </w:rPr>
        <w:t>三门县下银岩山建筑用石料（凝灰岩）矿开发项目及三门县大周塘片区土地整治提升项目（监理）</w:t>
      </w:r>
    </w:p>
    <w:p>
      <w:pPr>
        <w:spacing w:line="400" w:lineRule="exact"/>
        <w:ind w:firstLine="440" w:firstLineChars="200"/>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2. 工程地点：</w:t>
      </w:r>
      <w:r>
        <w:rPr>
          <w:rFonts w:hint="eastAsia" w:ascii="Times New Roman" w:hAnsi="Times New Roman" w:cs="Times New Roman"/>
          <w:sz w:val="22"/>
          <w:szCs w:val="22"/>
          <w:u w:val="single"/>
          <w:lang w:val="en-US" w:bidi="ar-SA"/>
        </w:rPr>
        <w:t>三门县海润街道、沙柳街道</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40" w:firstLineChars="200"/>
        <w:rPr>
          <w:rFonts w:ascii="Times New Roman" w:hAnsi="Times New Roman" w:cs="Times New Roman"/>
          <w:sz w:val="22"/>
          <w:szCs w:val="22"/>
          <w:lang w:val="en-US" w:bidi="ar-SA"/>
        </w:rPr>
      </w:pPr>
      <w:r>
        <w:rPr>
          <w:rFonts w:ascii="Times New Roman" w:hAnsi="Times New Roman" w:cs="Times New Roman" w:eastAsiaTheme="minorEastAsia"/>
          <w:snapToGrid w:val="0"/>
          <w:szCs w:val="21"/>
        </w:rPr>
        <w:t xml:space="preserve">3. </w:t>
      </w:r>
      <w:r>
        <w:rPr>
          <w:rFonts w:ascii="Times New Roman" w:hAnsi="Times New Roman" w:cs="Times New Roman" w:eastAsiaTheme="minorEastAsia"/>
          <w:snapToGrid w:val="0"/>
          <w:sz w:val="22"/>
          <w:szCs w:val="22"/>
        </w:rPr>
        <w:t>工程规模：</w:t>
      </w:r>
      <w:r>
        <w:rPr>
          <w:rFonts w:hint="eastAsia" w:ascii="Times New Roman" w:hAnsi="Times New Roman" w:cs="Times New Roman"/>
          <w:sz w:val="22"/>
          <w:szCs w:val="22"/>
          <w:lang w:val="en-US" w:bidi="ar-SA"/>
        </w:rPr>
        <w:t>本招标项目位于三门县海润街道、沙柳街道，包括两个子项工程，具体如下：</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42" w:firstLineChars="200"/>
        <w:rPr>
          <w:rFonts w:hint="eastAsia" w:ascii="Times New Roman" w:hAnsi="Times New Roman" w:cs="Times New Roman"/>
          <w:sz w:val="22"/>
          <w:szCs w:val="22"/>
          <w:lang w:val="en-US" w:bidi="ar-SA"/>
        </w:rPr>
      </w:pPr>
      <w:r>
        <w:rPr>
          <w:rFonts w:hint="eastAsia" w:ascii="Times New Roman" w:hAnsi="Times New Roman" w:cs="Times New Roman"/>
          <w:b/>
          <w:bCs/>
          <w:sz w:val="22"/>
          <w:szCs w:val="22"/>
          <w:lang w:val="en-US" w:bidi="ar-SA"/>
        </w:rPr>
        <w:t>子项1（矿山工程）</w:t>
      </w:r>
      <w:r>
        <w:rPr>
          <w:rFonts w:hint="eastAsia" w:ascii="Times New Roman" w:hAnsi="Times New Roman" w:cs="Times New Roman"/>
          <w:sz w:val="22"/>
          <w:szCs w:val="22"/>
          <w:lang w:val="en-US" w:bidi="ar-SA"/>
        </w:rPr>
        <w:t>：三门下银岩山石料矿开采矿种为建筑用石料 (凝灰岩) 矿，开采标高为+178m至+3.5m，拟建矿区面积0.3712平方千米，矿区范围内资源量4600.65万吨，其中，建筑用石料 (凝灰岩) 矿控制资源量1720.51m3(4370.09万吨)，宕碴(风化层)控制资源量为91.86m3 (230.56万吨)。矿区范围内剥离物163.61 万m3(307.59万吨)，剥采比0.09﹕1。开采期限5年，部分石料用于回填，多余石料拟用于砂石骨料加工。</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40" w:firstLineChars="200"/>
        <w:rPr>
          <w:rFonts w:ascii="Times New Roman" w:hAnsi="Times New Roman" w:cs="Times New Roman"/>
          <w:sz w:val="22"/>
          <w:szCs w:val="22"/>
          <w:lang w:val="en-US" w:bidi="ar-SA"/>
        </w:rPr>
      </w:pPr>
      <w:r>
        <w:rPr>
          <w:rFonts w:hint="eastAsia" w:ascii="Times New Roman" w:hAnsi="Times New Roman" w:cs="Times New Roman"/>
          <w:sz w:val="22"/>
          <w:szCs w:val="22"/>
          <w:lang w:val="en-US" w:bidi="ar-SA"/>
        </w:rPr>
        <w:t>本项目主要包括但不限于矿山开拓开采 (包括穿孔、爆破、局部机械破岩、挖装、运输等)、智能化绿色矿山建设、矿山开采后的地质环境保护与土地复垦，以及附属办公生活区、辅助设施工程 (含安全设施)建设、矿山管理、矿山运营服务。</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42" w:firstLineChars="200"/>
        <w:rPr>
          <w:rFonts w:hint="eastAsia" w:ascii="Times New Roman" w:hAnsi="Times New Roman" w:cs="Times New Roman"/>
          <w:sz w:val="22"/>
          <w:szCs w:val="22"/>
          <w:lang w:val="en-US" w:bidi="ar-SA"/>
        </w:rPr>
      </w:pPr>
      <w:r>
        <w:rPr>
          <w:rFonts w:hint="eastAsia" w:ascii="Times New Roman" w:hAnsi="Times New Roman" w:cs="Times New Roman"/>
          <w:b/>
          <w:bCs/>
          <w:sz w:val="22"/>
          <w:szCs w:val="22"/>
          <w:lang w:val="en-US" w:bidi="ar-SA"/>
        </w:rPr>
        <w:t>子项2（土地整治）</w:t>
      </w:r>
      <w:r>
        <w:rPr>
          <w:rFonts w:hint="eastAsia" w:ascii="Times New Roman" w:hAnsi="Times New Roman" w:cs="Times New Roman"/>
          <w:sz w:val="22"/>
          <w:szCs w:val="22"/>
          <w:lang w:val="en-US" w:bidi="ar-SA"/>
        </w:rPr>
        <w:t>：三门县大周塘片区土地整治提升项目包含2个子项目，具体如下：</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40" w:firstLineChars="200"/>
        <w:rPr>
          <w:rFonts w:hint="eastAsia" w:ascii="Times New Roman" w:hAnsi="Times New Roman" w:cs="Times New Roman"/>
          <w:sz w:val="22"/>
          <w:szCs w:val="22"/>
          <w:lang w:val="en-US" w:bidi="ar-SA"/>
        </w:rPr>
      </w:pPr>
      <w:r>
        <w:rPr>
          <w:rFonts w:hint="eastAsia" w:ascii="Times New Roman" w:hAnsi="Times New Roman" w:cs="Times New Roman"/>
          <w:sz w:val="22"/>
          <w:szCs w:val="22"/>
          <w:lang w:val="en-US" w:bidi="ar-SA"/>
        </w:rPr>
        <w:t>（1）三门县大周塘核心区块整治提升项目占地面积约693.34亩，涉及宕渣回填约543.25万吨。</w:t>
      </w:r>
    </w:p>
    <w:p>
      <w:pPr>
        <w:spacing w:line="420" w:lineRule="exact"/>
        <w:ind w:right="220" w:rightChars="100" w:firstLine="440" w:firstLineChars="200"/>
        <w:rPr>
          <w:rFonts w:hint="eastAsia" w:ascii="宋体" w:hAnsi="宋体" w:cs="宋体"/>
          <w:sz w:val="22"/>
          <w:szCs w:val="22"/>
        </w:rPr>
      </w:pPr>
      <w:r>
        <w:rPr>
          <w:rFonts w:hint="eastAsia" w:ascii="Times New Roman" w:hAnsi="Times New Roman" w:cs="Times New Roman"/>
          <w:sz w:val="22"/>
          <w:szCs w:val="22"/>
          <w:lang w:val="en-US" w:bidi="ar-SA"/>
        </w:rPr>
        <w:t>（2）三门县大周塘区块土地整治项目(一期、二期、三期）占地面积约2048.14亩，项目分三期实施，一期面积约708亩，二期面积约757亩，三期面积约583亩。建设内容包括宕渣回填约796.85万吨；耕地垦造约1778.85亩，耕作土回填约106.89万立方米；新建田间道路7368米，用地面积约114.80亩；新建灌渠7564米、排渠5108米，用地面积约7.78亩；新建河道6835米，涉及河道驳坎约13670米，用地面积约146.71亩。</w:t>
      </w:r>
    </w:p>
    <w:p>
      <w:pPr>
        <w:spacing w:line="400" w:lineRule="exact"/>
        <w:ind w:firstLine="442" w:firstLineChars="200"/>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二、词语限定</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协议书中相关词语的含义与通用条件中的定义与解释相同。</w:t>
      </w:r>
    </w:p>
    <w:p>
      <w:pPr>
        <w:spacing w:line="400" w:lineRule="exact"/>
        <w:ind w:firstLine="442" w:firstLineChars="200"/>
        <w:rPr>
          <w:rFonts w:ascii="Times New Roman" w:hAnsi="Times New Roman" w:cs="Times New Roman" w:eastAsiaTheme="minorEastAsia"/>
          <w:b/>
          <w:snapToGrid w:val="0"/>
          <w:szCs w:val="21"/>
        </w:rPr>
      </w:pPr>
      <w:bookmarkStart w:id="853" w:name="_Toc146952578"/>
      <w:bookmarkStart w:id="854" w:name="_Toc29885"/>
      <w:bookmarkStart w:id="855" w:name="_Toc10025"/>
      <w:r>
        <w:rPr>
          <w:rFonts w:ascii="Times New Roman" w:hAnsi="Times New Roman" w:cs="Times New Roman" w:eastAsiaTheme="minorEastAsia"/>
          <w:b/>
          <w:snapToGrid w:val="0"/>
          <w:szCs w:val="21"/>
        </w:rPr>
        <w:t>三、组成本合同的文件</w:t>
      </w:r>
      <w:bookmarkEnd w:id="853"/>
      <w:bookmarkEnd w:id="854"/>
      <w:bookmarkEnd w:id="855"/>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 协议书；</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 中标通知书；</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3. 投标文件；</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 xml:space="preserve">  4. 专用条件；</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5. 通用条件；</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6. 建设工程监理规范；</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7. 有关工程技术文件、施工图；</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8. 在实施过程中双方共同签署的补充与修正文件。</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9</w:t>
      </w:r>
      <w:r>
        <w:rPr>
          <w:rFonts w:ascii="Times New Roman" w:hAnsi="Times New Roman" w:cs="Times New Roman" w:eastAsiaTheme="minorEastAsia"/>
          <w:snapToGrid w:val="0"/>
          <w:szCs w:val="21"/>
        </w:rPr>
        <w:t>. 附录，即：</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附录A  相关服务的范围和内容</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附录B  委托人派遣的人员和提供的</w:t>
      </w:r>
      <w:r>
        <w:rPr>
          <w:rFonts w:ascii="Times New Roman" w:hAnsi="Times New Roman" w:cs="Times New Roman" w:eastAsiaTheme="minorEastAsia"/>
          <w:bCs/>
          <w:snapToGrid w:val="0"/>
          <w:szCs w:val="21"/>
        </w:rPr>
        <w:t>房屋、资料</w:t>
      </w:r>
      <w:r>
        <w:rPr>
          <w:rFonts w:ascii="Times New Roman" w:hAnsi="Times New Roman" w:cs="Times New Roman" w:eastAsiaTheme="minorEastAsia"/>
          <w:snapToGrid w:val="0"/>
          <w:szCs w:val="21"/>
        </w:rPr>
        <w:t>、设备</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本合同签订后，双方依法签订的补充协议也是本合同文件的组成部分。</w:t>
      </w:r>
    </w:p>
    <w:p>
      <w:pPr>
        <w:spacing w:line="400" w:lineRule="exact"/>
        <w:ind w:firstLine="442" w:firstLineChars="200"/>
        <w:rPr>
          <w:rFonts w:ascii="Times New Roman" w:hAnsi="Times New Roman" w:cs="Times New Roman" w:eastAsiaTheme="minorEastAsia"/>
          <w:b/>
          <w:snapToGrid w:val="0"/>
          <w:szCs w:val="21"/>
        </w:rPr>
      </w:pPr>
      <w:bookmarkStart w:id="856" w:name="_Toc14538"/>
      <w:bookmarkStart w:id="857" w:name="_Toc4883"/>
      <w:bookmarkStart w:id="858" w:name="_Toc146952579"/>
      <w:r>
        <w:rPr>
          <w:rFonts w:ascii="Times New Roman" w:hAnsi="Times New Roman" w:cs="Times New Roman" w:eastAsiaTheme="minorEastAsia"/>
          <w:b/>
          <w:snapToGrid w:val="0"/>
          <w:szCs w:val="21"/>
        </w:rPr>
        <w:t>四、总监理工程师</w:t>
      </w:r>
      <w:bookmarkEnd w:id="856"/>
      <w:bookmarkEnd w:id="857"/>
      <w:bookmarkEnd w:id="858"/>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总监理工程师姓名：</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，身份证号码：</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，注册号：</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p>
    <w:p>
      <w:pPr>
        <w:spacing w:line="400" w:lineRule="exact"/>
        <w:ind w:firstLine="442" w:firstLineChars="200"/>
        <w:rPr>
          <w:rFonts w:ascii="Times New Roman" w:hAnsi="Times New Roman" w:cs="Times New Roman" w:eastAsiaTheme="minorEastAsia"/>
          <w:b/>
          <w:snapToGrid w:val="0"/>
          <w:szCs w:val="21"/>
        </w:rPr>
      </w:pPr>
      <w:bookmarkStart w:id="859" w:name="_Toc6020"/>
      <w:bookmarkStart w:id="860" w:name="_Toc146952580"/>
      <w:bookmarkStart w:id="861" w:name="_Toc31129"/>
      <w:r>
        <w:rPr>
          <w:rFonts w:ascii="Times New Roman" w:hAnsi="Times New Roman" w:cs="Times New Roman" w:eastAsiaTheme="minorEastAsia"/>
          <w:b/>
          <w:snapToGrid w:val="0"/>
          <w:szCs w:val="21"/>
        </w:rPr>
        <w:t>五、签约酬金</w:t>
      </w:r>
      <w:bookmarkEnd w:id="859"/>
      <w:bookmarkEnd w:id="860"/>
      <w:bookmarkEnd w:id="861"/>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签约酬金（大写）：</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 xml:space="preserve"> ）。</w:t>
      </w:r>
      <w:r>
        <w:rPr>
          <w:rFonts w:hint="eastAsia" w:ascii="Times New Roman" w:hAnsi="Times New Roman" w:cs="Times New Roman" w:eastAsiaTheme="minorEastAsia"/>
          <w:snapToGrid w:val="0"/>
          <w:szCs w:val="21"/>
        </w:rPr>
        <w:t>签约酬金一次性包干，最终结算不做调整。</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包括：</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1.监理酬金：</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u w:val="single"/>
          <w:lang w:val="en-US"/>
        </w:rPr>
        <w:t>/</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2.相关服务酬金：</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u w:val="single"/>
          <w:lang w:val="en-US"/>
        </w:rPr>
        <w:t>/</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其中：</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（1）勘察阶段服务酬金：</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u w:val="single"/>
          <w:lang w:val="en-US"/>
        </w:rPr>
        <w:t>/</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（2）设计阶段服务酬金：</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u w:val="single"/>
          <w:lang w:val="en-US"/>
        </w:rPr>
        <w:t>/</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（3）保修阶段服务酬金：</w:t>
      </w:r>
      <w:r>
        <w:rPr>
          <w:rFonts w:ascii="Times New Roman" w:hAnsi="Times New Roman" w:cs="Times New Roman" w:eastAsiaTheme="minorEastAsia"/>
          <w:snapToGrid w:val="0"/>
          <w:szCs w:val="21"/>
          <w:u w:val="single"/>
        </w:rPr>
        <w:t>在投标报价时已综合考虑， 已包含在监理酬金中</w:t>
      </w:r>
      <w:r>
        <w:rPr>
          <w:rFonts w:ascii="Times New Roman" w:hAnsi="Times New Roman" w:cs="Times New Roman" w:eastAsiaTheme="minorEastAsia"/>
          <w:snapToGrid w:val="0"/>
          <w:szCs w:val="21"/>
        </w:rPr>
        <w:t>。</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（4）其他相关服务酬金：</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u w:val="single"/>
          <w:lang w:val="en-US"/>
        </w:rPr>
        <w:t>/</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p>
    <w:p>
      <w:pPr>
        <w:spacing w:line="400" w:lineRule="exact"/>
        <w:ind w:firstLine="442" w:firstLineChars="200"/>
        <w:rPr>
          <w:rFonts w:ascii="Times New Roman" w:hAnsi="Times New Roman" w:cs="Times New Roman" w:eastAsiaTheme="minorEastAsia"/>
          <w:b/>
          <w:snapToGrid w:val="0"/>
          <w:szCs w:val="21"/>
        </w:rPr>
      </w:pPr>
      <w:bookmarkStart w:id="862" w:name="_Toc32709"/>
      <w:bookmarkStart w:id="863" w:name="_Toc146952581"/>
      <w:bookmarkStart w:id="864" w:name="_Toc329"/>
      <w:r>
        <w:rPr>
          <w:rFonts w:ascii="Times New Roman" w:hAnsi="Times New Roman" w:cs="Times New Roman" w:eastAsiaTheme="minorEastAsia"/>
          <w:b/>
          <w:snapToGrid w:val="0"/>
          <w:szCs w:val="21"/>
        </w:rPr>
        <w:t>六、期限</w:t>
      </w:r>
      <w:bookmarkEnd w:id="862"/>
      <w:bookmarkEnd w:id="863"/>
      <w:bookmarkEnd w:id="864"/>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40" w:firstLineChars="200"/>
        <w:rPr>
          <w:rFonts w:ascii="Times New Roman" w:hAnsi="Times New Roman" w:eastAsia="宋体" w:cs="Times New Roman"/>
          <w:sz w:val="22"/>
          <w:szCs w:val="22"/>
          <w:lang w:val="en-US" w:bidi="ar-SA"/>
        </w:rPr>
      </w:pPr>
      <w:r>
        <w:rPr>
          <w:rFonts w:ascii="Times New Roman" w:hAnsi="Times New Roman" w:cs="Times New Roman" w:eastAsiaTheme="minorEastAsia"/>
          <w:snapToGrid w:val="0"/>
          <w:szCs w:val="21"/>
        </w:rPr>
        <w:t>1.监理期限</w:t>
      </w:r>
      <w:r>
        <w:rPr>
          <w:rFonts w:ascii="Times New Roman" w:hAnsi="Times New Roman" w:eastAsia="宋体" w:cs="Times New Roman"/>
          <w:sz w:val="22"/>
          <w:szCs w:val="22"/>
          <w:lang w:val="en-US" w:bidi="ar-SA"/>
        </w:rPr>
        <w:t>：</w:t>
      </w:r>
      <w:r>
        <w:rPr>
          <w:rFonts w:hint="eastAsia" w:ascii="Times New Roman" w:hAnsi="Times New Roman" w:eastAsia="宋体" w:cs="Times New Roman"/>
          <w:sz w:val="22"/>
          <w:szCs w:val="22"/>
          <w:lang w:val="en-US" w:bidi="ar-SA"/>
        </w:rPr>
        <w:t>自开工报告签发之日开始，至承接范围内所有工程竣工验收合格结束。前期准备及结算审核的监理服务期限不计在内。</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40" w:firstLineChars="200"/>
        <w:rPr>
          <w:rFonts w:ascii="Times New Roman" w:hAnsi="Times New Roman" w:eastAsia="宋体" w:cs="Times New Roman"/>
          <w:color w:val="0000FF"/>
          <w:sz w:val="22"/>
          <w:szCs w:val="22"/>
          <w:lang w:val="en-US" w:bidi="ar-SA"/>
        </w:rPr>
      </w:pPr>
      <w:r>
        <w:rPr>
          <w:rFonts w:ascii="Times New Roman" w:hAnsi="Times New Roman" w:eastAsia="宋体" w:cs="Times New Roman"/>
          <w:sz w:val="22"/>
          <w:szCs w:val="22"/>
          <w:lang w:val="en-US" w:bidi="ar-SA"/>
        </w:rPr>
        <w:t>2.本次监理工作内容：</w:t>
      </w:r>
      <w:r>
        <w:rPr>
          <w:rFonts w:hint="eastAsia" w:ascii="Times New Roman" w:hAnsi="Times New Roman" w:eastAsia="宋体" w:cs="Times New Roman"/>
          <w:color w:val="auto"/>
          <w:sz w:val="22"/>
          <w:szCs w:val="22"/>
          <w:lang w:val="en-US" w:bidi="ar-SA"/>
        </w:rPr>
        <w:t>本项目所包含的全部施工（包含矿区开拓系统建设、代加工厂房建设、代加工流水线搭建、首采区清表及表土剥离、矿区施工现场周边围护建设、矿山安全设施建设、爆破施工组织设计审批等内容）、石料开采（含爆破、施工、矿区内道路修整扩建及临时电、排水、排污设施建设、场内运输等配套设施）、砂石加工（包括投料、头破、粗破、细破、整型、筛分、洗砂、机制砂石成品入库及存储，机制砂石成品装车、砂石成品出售时装车、过磅等）、宕渣回填、水田垦造、新建灌渠河道、河道驳坎、边坡治理、地质灾害的预防及治理、“绿色矿山”创建、监控、拆除、清场等工作的监理，包括项目前期准备工作、爆破安全监理、施工全过程监理、复绿工程等的监理、计量监管、配合结算审核、资料归档及保修阶段的监理。</w:t>
      </w:r>
    </w:p>
    <w:p>
      <w:pPr>
        <w:spacing w:line="400" w:lineRule="exact"/>
        <w:ind w:firstLine="442" w:firstLineChars="200"/>
        <w:rPr>
          <w:rFonts w:ascii="Times New Roman" w:hAnsi="Times New Roman" w:cs="Times New Roman" w:eastAsiaTheme="minorEastAsia"/>
          <w:b/>
          <w:snapToGrid w:val="0"/>
          <w:szCs w:val="21"/>
        </w:rPr>
      </w:pPr>
      <w:bookmarkStart w:id="865" w:name="_Toc19025"/>
      <w:bookmarkStart w:id="866" w:name="_Toc146952582"/>
      <w:bookmarkStart w:id="867" w:name="_Toc27256"/>
      <w:r>
        <w:rPr>
          <w:rFonts w:ascii="Times New Roman" w:hAnsi="Times New Roman" w:cs="Times New Roman" w:eastAsiaTheme="minorEastAsia"/>
          <w:b/>
          <w:snapToGrid w:val="0"/>
          <w:szCs w:val="21"/>
        </w:rPr>
        <w:t>七、双方承诺</w:t>
      </w:r>
      <w:bookmarkEnd w:id="865"/>
      <w:bookmarkEnd w:id="866"/>
      <w:bookmarkEnd w:id="867"/>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 监理人向委托人承诺，按照本合同约定提供监理与相关服务。</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 委托人向监理人承诺，按照本合同约定派遣相应的人员，提供资料、设备，并按本合同约定支付酬金。</w:t>
      </w:r>
    </w:p>
    <w:p>
      <w:pPr>
        <w:spacing w:line="400" w:lineRule="exact"/>
        <w:ind w:firstLine="442" w:firstLineChars="200"/>
        <w:rPr>
          <w:rFonts w:ascii="Times New Roman" w:hAnsi="Times New Roman" w:cs="Times New Roman" w:eastAsiaTheme="minorEastAsia"/>
          <w:b/>
          <w:snapToGrid w:val="0"/>
          <w:szCs w:val="21"/>
        </w:rPr>
      </w:pPr>
      <w:bookmarkStart w:id="868" w:name="_Toc29547"/>
      <w:bookmarkStart w:id="869" w:name="_Toc21405"/>
      <w:bookmarkStart w:id="870" w:name="_Toc146952583"/>
      <w:r>
        <w:rPr>
          <w:rFonts w:ascii="Times New Roman" w:hAnsi="Times New Roman" w:cs="Times New Roman" w:eastAsiaTheme="minorEastAsia"/>
          <w:b/>
          <w:snapToGrid w:val="0"/>
          <w:szCs w:val="21"/>
        </w:rPr>
        <w:t>八、合同订立</w:t>
      </w:r>
      <w:bookmarkEnd w:id="868"/>
      <w:bookmarkEnd w:id="869"/>
      <w:bookmarkEnd w:id="870"/>
    </w:p>
    <w:bookmarkEnd w:id="839"/>
    <w:bookmarkEnd w:id="840"/>
    <w:bookmarkEnd w:id="841"/>
    <w:bookmarkEnd w:id="842"/>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 订立时间：</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年</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月</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日。</w:t>
      </w:r>
    </w:p>
    <w:p>
      <w:pPr>
        <w:spacing w:line="400" w:lineRule="exact"/>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 订立地点：</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u w:val="single"/>
          <w:lang w:val="en-US"/>
        </w:rPr>
        <w:t>三门县</w:t>
      </w:r>
      <w:r>
        <w:rPr>
          <w:rFonts w:ascii="Times New Roman" w:hAnsi="Times New Roman" w:cs="Times New Roman" w:eastAsiaTheme="minorEastAsia"/>
          <w:snapToGrid w:val="0"/>
          <w:szCs w:val="21"/>
          <w:u w:val="single"/>
        </w:rPr>
        <w:t xml:space="preserve">  </w:t>
      </w:r>
      <w:r>
        <w:rPr>
          <w:rFonts w:ascii="Times New Roman" w:hAnsi="Times New Roman" w:cs="Times New Roman" w:eastAsiaTheme="minorEastAsia"/>
          <w:snapToGrid w:val="0"/>
          <w:szCs w:val="21"/>
        </w:rPr>
        <w:t>。</w:t>
      </w:r>
    </w:p>
    <w:p>
      <w:pPr>
        <w:spacing w:line="400" w:lineRule="exact"/>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 xml:space="preserve">3. </w:t>
      </w:r>
      <w:r>
        <w:rPr>
          <w:rFonts w:ascii="Times New Roman" w:hAnsi="Times New Roman" w:cs="Times New Roman" w:eastAsiaTheme="minorEastAsia"/>
          <w:snapToGrid w:val="0"/>
        </w:rPr>
        <w:t xml:space="preserve">本合同书正本一式 </w:t>
      </w:r>
      <w:r>
        <w:rPr>
          <w:rFonts w:ascii="Times New Roman" w:hAnsi="Times New Roman" w:cs="Times New Roman" w:eastAsiaTheme="minorEastAsia"/>
          <w:snapToGrid w:val="0"/>
          <w:u w:val="single"/>
        </w:rPr>
        <w:t xml:space="preserve">  </w:t>
      </w:r>
      <w:r>
        <w:rPr>
          <w:rFonts w:hint="eastAsia" w:ascii="Times New Roman" w:hAnsi="Times New Roman" w:cs="Times New Roman" w:eastAsiaTheme="minorEastAsia"/>
          <w:snapToGrid w:val="0"/>
          <w:u w:val="single"/>
          <w:lang w:val="en-US" w:eastAsia="zh-CN"/>
        </w:rPr>
        <w:t xml:space="preserve"> </w:t>
      </w:r>
      <w:r>
        <w:rPr>
          <w:rFonts w:ascii="Times New Roman" w:hAnsi="Times New Roman" w:cs="Times New Roman" w:eastAsiaTheme="minorEastAsia"/>
          <w:snapToGrid w:val="0"/>
        </w:rPr>
        <w:t xml:space="preserve"> 份，具有同等法律效力，由双方各执正本 </w:t>
      </w:r>
      <w:r>
        <w:rPr>
          <w:rFonts w:ascii="Times New Roman" w:hAnsi="Times New Roman" w:cs="Times New Roman" w:eastAsiaTheme="minorEastAsia"/>
          <w:snapToGrid w:val="0"/>
          <w:u w:val="single"/>
        </w:rPr>
        <w:t xml:space="preserve">  </w:t>
      </w:r>
      <w:r>
        <w:rPr>
          <w:rFonts w:hint="eastAsia" w:ascii="Times New Roman" w:hAnsi="Times New Roman" w:cs="Times New Roman" w:eastAsiaTheme="minorEastAsia"/>
          <w:snapToGrid w:val="0"/>
          <w:u w:val="single"/>
          <w:lang w:val="en-US" w:eastAsia="zh-CN"/>
        </w:rPr>
        <w:t xml:space="preserve"> </w:t>
      </w:r>
      <w:r>
        <w:rPr>
          <w:rFonts w:ascii="Times New Roman" w:hAnsi="Times New Roman" w:cs="Times New Roman" w:eastAsiaTheme="minorEastAsia"/>
          <w:snapToGrid w:val="0"/>
          <w:u w:val="single"/>
        </w:rPr>
        <w:t xml:space="preserve"> </w:t>
      </w:r>
      <w:r>
        <w:rPr>
          <w:rFonts w:ascii="Times New Roman" w:hAnsi="Times New Roman" w:cs="Times New Roman" w:eastAsiaTheme="minorEastAsia"/>
          <w:snapToGrid w:val="0"/>
        </w:rPr>
        <w:t xml:space="preserve"> 份；副本 </w:t>
      </w:r>
      <w:r>
        <w:rPr>
          <w:rFonts w:ascii="Times New Roman" w:hAnsi="Times New Roman" w:cs="Times New Roman" w:eastAsiaTheme="minorEastAsia"/>
          <w:snapToGrid w:val="0"/>
          <w:u w:val="single"/>
        </w:rPr>
        <w:t xml:space="preserve"> </w:t>
      </w:r>
      <w:r>
        <w:rPr>
          <w:rFonts w:hint="eastAsia" w:ascii="Times New Roman" w:hAnsi="Times New Roman" w:cs="Times New Roman" w:eastAsiaTheme="minorEastAsia"/>
          <w:snapToGrid w:val="0"/>
          <w:u w:val="single"/>
          <w:lang w:val="en-US" w:eastAsia="zh-CN"/>
        </w:rPr>
        <w:t xml:space="preserve">  </w:t>
      </w:r>
      <w:r>
        <w:rPr>
          <w:rFonts w:ascii="Times New Roman" w:hAnsi="Times New Roman" w:cs="Times New Roman" w:eastAsiaTheme="minorEastAsia"/>
          <w:snapToGrid w:val="0"/>
        </w:rPr>
        <w:t>份，委</w:t>
      </w:r>
    </w:p>
    <w:p>
      <w:pPr>
        <w:spacing w:line="400" w:lineRule="exact"/>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 xml:space="preserve">托人执 </w:t>
      </w:r>
      <w:r>
        <w:rPr>
          <w:rFonts w:ascii="Times New Roman" w:hAnsi="Times New Roman" w:cs="Times New Roman" w:eastAsiaTheme="minorEastAsia"/>
          <w:snapToGrid w:val="0"/>
          <w:u w:val="single"/>
        </w:rPr>
        <w:t xml:space="preserve"> </w:t>
      </w:r>
      <w:r>
        <w:rPr>
          <w:rFonts w:hint="eastAsia" w:ascii="Times New Roman" w:hAnsi="Times New Roman" w:cs="Times New Roman" w:eastAsiaTheme="minorEastAsia"/>
          <w:snapToGrid w:val="0"/>
          <w:u w:val="single"/>
          <w:lang w:val="en-US" w:eastAsia="zh-CN"/>
        </w:rPr>
        <w:t xml:space="preserve">   </w:t>
      </w:r>
      <w:r>
        <w:rPr>
          <w:rFonts w:ascii="Times New Roman" w:hAnsi="Times New Roman" w:cs="Times New Roman" w:eastAsiaTheme="minorEastAsia"/>
          <w:snapToGrid w:val="0"/>
        </w:rPr>
        <w:t xml:space="preserve">份，监理人执 </w:t>
      </w:r>
      <w:r>
        <w:rPr>
          <w:rFonts w:ascii="Times New Roman" w:hAnsi="Times New Roman" w:cs="Times New Roman" w:eastAsiaTheme="minorEastAsia"/>
          <w:snapToGrid w:val="0"/>
          <w:u w:val="single"/>
        </w:rPr>
        <w:t xml:space="preserve"> </w:t>
      </w:r>
      <w:r>
        <w:rPr>
          <w:rFonts w:hint="eastAsia" w:ascii="Times New Roman" w:hAnsi="Times New Roman" w:cs="Times New Roman" w:eastAsiaTheme="minorEastAsia"/>
          <w:snapToGrid w:val="0"/>
          <w:u w:val="single"/>
          <w:lang w:val="en-US" w:eastAsia="zh-CN"/>
        </w:rPr>
        <w:t xml:space="preserve"> </w:t>
      </w:r>
      <w:r>
        <w:rPr>
          <w:rFonts w:ascii="Times New Roman" w:hAnsi="Times New Roman" w:cs="Times New Roman" w:eastAsiaTheme="minorEastAsia"/>
          <w:snapToGrid w:val="0"/>
          <w:u w:val="single"/>
        </w:rPr>
        <w:t xml:space="preserve"> </w:t>
      </w:r>
      <w:r>
        <w:rPr>
          <w:rFonts w:hint="eastAsia" w:ascii="Times New Roman" w:hAnsi="Times New Roman" w:cs="Times New Roman" w:eastAsiaTheme="minorEastAsia"/>
          <w:snapToGrid w:val="0"/>
          <w:u w:val="single"/>
          <w:lang w:val="en-US" w:eastAsia="zh-CN"/>
        </w:rPr>
        <w:t xml:space="preserve"> </w:t>
      </w:r>
      <w:r>
        <w:rPr>
          <w:rFonts w:ascii="Times New Roman" w:hAnsi="Times New Roman" w:cs="Times New Roman" w:eastAsiaTheme="minorEastAsia"/>
          <w:snapToGrid w:val="0"/>
        </w:rPr>
        <w:t>份。</w:t>
      </w:r>
    </w:p>
    <w:p>
      <w:pPr>
        <w:pStyle w:val="87"/>
        <w:rPr>
          <w:rFonts w:hint="default" w:ascii="Times New Roman" w:hAnsi="Times New Roman" w:cs="Times New Roman" w:eastAsiaTheme="minorEastAsia"/>
          <w:snapToGrid w:val="0"/>
          <w:lang w:val="en-US" w:eastAsia="zh-CN"/>
        </w:rPr>
      </w:pPr>
      <w:bookmarkStart w:id="871" w:name="_Toc1531"/>
      <w:r>
        <w:rPr>
          <w:rFonts w:hint="eastAsia" w:ascii="Times New Roman" w:hAnsi="Times New Roman" w:cs="Times New Roman" w:eastAsiaTheme="minorEastAsia"/>
          <w:snapToGrid w:val="0"/>
          <w:lang w:val="en-US" w:eastAsia="zh-CN"/>
        </w:rPr>
        <w:t>(以下无正文）</w:t>
      </w:r>
      <w:bookmarkEnd w:id="871"/>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pStyle w:val="87"/>
        <w:rPr>
          <w:rFonts w:ascii="Times New Roman" w:hAnsi="Times New Roman" w:cs="Times New Roman" w:eastAsiaTheme="minorEastAsia"/>
          <w:snapToGrid w:val="0"/>
        </w:rPr>
      </w:pPr>
    </w:p>
    <w:p/>
    <w:tbl>
      <w:tblPr>
        <w:tblStyle w:val="90"/>
        <w:tblpPr w:leftFromText="180" w:rightFromText="180" w:vertAnchor="text" w:horzAnchor="margin" w:tblpXSpec="center" w:tblpY="16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62"/>
        <w:gridCol w:w="41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7" w:hRule="atLeast"/>
          <w:jc w:val="center"/>
        </w:trPr>
        <w:tc>
          <w:tcPr>
            <w:tcW w:w="4662" w:type="dxa"/>
            <w:tcBorders>
              <w:top w:val="single" w:color="auto" w:sz="2" w:space="0"/>
              <w:left w:val="single" w:color="auto" w:sz="2" w:space="0"/>
              <w:bottom w:val="single" w:color="auto" w:sz="4" w:space="0"/>
              <w:right w:val="single" w:color="auto" w:sz="4" w:space="0"/>
            </w:tcBorders>
          </w:tcPr>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lang w:val="en-US"/>
              </w:rPr>
              <w:t>委托</w:t>
            </w:r>
            <w:r>
              <w:rPr>
                <w:rFonts w:ascii="Times New Roman" w:hAnsi="Times New Roman" w:cs="Times New Roman" w:eastAsiaTheme="minorEastAsia"/>
                <w:snapToGrid w:val="0"/>
              </w:rPr>
              <w:t>人： （公章）</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rPr>
              <w:t>法定代表人或委托代理人：</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rPr>
              <w:t>（签字</w:t>
            </w:r>
            <w:r>
              <w:rPr>
                <w:rFonts w:ascii="Times New Roman" w:hAnsi="Times New Roman" w:cs="Times New Roman" w:eastAsiaTheme="minorEastAsia"/>
                <w:snapToGrid w:val="0"/>
                <w:lang w:val="en-US"/>
              </w:rPr>
              <w:t>或盖章</w:t>
            </w:r>
            <w:r>
              <w:rPr>
                <w:rFonts w:ascii="Times New Roman" w:hAnsi="Times New Roman" w:cs="Times New Roman" w:eastAsiaTheme="minorEastAsia"/>
                <w:snapToGrid w:val="0"/>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统一社会信用</w:t>
            </w:r>
            <w:r>
              <w:rPr>
                <w:rFonts w:ascii="Times New Roman" w:hAnsi="Times New Roman" w:cs="Times New Roman" w:eastAsiaTheme="minorEastAsia"/>
                <w:snapToGrid w:val="0"/>
                <w:szCs w:val="21"/>
              </w:rPr>
              <w:t>代码：</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地  址：</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邮政编码：</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法定代表人：</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委托代理人：</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电  话：</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传  真：</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电子信箱：</w:t>
            </w:r>
            <w:r>
              <w:rPr>
                <w:rFonts w:ascii="Times New Roman" w:hAnsi="Times New Roman" w:cs="Times New Roman" w:eastAsiaTheme="minorEastAsia"/>
                <w:snapToGrid w:val="0"/>
                <w:szCs w:val="21"/>
                <w:u w:val="single"/>
              </w:rPr>
              <w:t xml:space="preserve">                   </w:t>
            </w:r>
          </w:p>
          <w:p>
            <w:pPr>
              <w:spacing w:line="400" w:lineRule="exact"/>
              <w:ind w:firstLine="200"/>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开户银行：</w:t>
            </w:r>
            <w:r>
              <w:rPr>
                <w:rFonts w:ascii="Times New Roman" w:hAnsi="Times New Roman" w:cs="Times New Roman" w:eastAsiaTheme="minorEastAsia"/>
                <w:bCs/>
                <w:snapToGrid w:val="0"/>
                <w:szCs w:val="21"/>
                <w:u w:val="single"/>
              </w:rPr>
              <w:t xml:space="preserve">                   </w:t>
            </w:r>
          </w:p>
          <w:p>
            <w:pPr>
              <w:spacing w:line="400" w:lineRule="exact"/>
              <w:ind w:firstLine="200"/>
            </w:pPr>
            <w:r>
              <w:rPr>
                <w:rFonts w:ascii="Times New Roman" w:hAnsi="Times New Roman" w:cs="Times New Roman" w:eastAsiaTheme="minorEastAsia"/>
                <w:snapToGrid w:val="0"/>
                <w:szCs w:val="21"/>
              </w:rPr>
              <w:t>账  号：</w:t>
            </w:r>
            <w:r>
              <w:rPr>
                <w:rFonts w:ascii="Times New Roman" w:hAnsi="Times New Roman" w:cs="Times New Roman" w:eastAsiaTheme="minorEastAsia"/>
                <w:bCs/>
                <w:snapToGrid w:val="0"/>
                <w:szCs w:val="21"/>
                <w:u w:val="single"/>
              </w:rPr>
              <w:t xml:space="preserve">                     </w:t>
            </w:r>
          </w:p>
        </w:tc>
        <w:tc>
          <w:tcPr>
            <w:tcW w:w="4137" w:type="dxa"/>
            <w:vMerge w:val="restart"/>
            <w:tcBorders>
              <w:top w:val="single" w:color="auto" w:sz="2" w:space="0"/>
              <w:left w:val="single" w:color="auto" w:sz="4" w:space="0"/>
              <w:right w:val="single" w:color="auto" w:sz="2" w:space="0"/>
            </w:tcBorders>
          </w:tcPr>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lang w:val="en-US"/>
              </w:rPr>
              <w:t>监理</w:t>
            </w:r>
            <w:r>
              <w:rPr>
                <w:rFonts w:ascii="Times New Roman" w:hAnsi="Times New Roman" w:cs="Times New Roman" w:eastAsiaTheme="minorEastAsia"/>
                <w:snapToGrid w:val="0"/>
              </w:rPr>
              <w:t>人： （公章）</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rPr>
              <w:t>法定代表人或委托代理人：</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rPr>
              <w:t>（签字</w:t>
            </w:r>
            <w:r>
              <w:rPr>
                <w:rFonts w:ascii="Times New Roman" w:hAnsi="Times New Roman" w:cs="Times New Roman" w:eastAsiaTheme="minorEastAsia"/>
                <w:snapToGrid w:val="0"/>
                <w:lang w:val="en-US"/>
              </w:rPr>
              <w:t>或盖章</w:t>
            </w:r>
            <w:r>
              <w:rPr>
                <w:rFonts w:ascii="Times New Roman" w:hAnsi="Times New Roman" w:cs="Times New Roman" w:eastAsiaTheme="minorEastAsia"/>
                <w:snapToGrid w:val="0"/>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统一社会信用</w:t>
            </w:r>
            <w:r>
              <w:rPr>
                <w:rFonts w:ascii="Times New Roman" w:hAnsi="Times New Roman" w:cs="Times New Roman" w:eastAsiaTheme="minorEastAsia"/>
                <w:snapToGrid w:val="0"/>
                <w:szCs w:val="21"/>
              </w:rPr>
              <w:t>代码：</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地  址：</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邮政编码：</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法定代表人：</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委托代理人：</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电  话：</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传  真：</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电子信箱：</w:t>
            </w:r>
            <w:r>
              <w:rPr>
                <w:rFonts w:ascii="Times New Roman" w:hAnsi="Times New Roman" w:cs="Times New Roman" w:eastAsiaTheme="minorEastAsia"/>
                <w:snapToGrid w:val="0"/>
                <w:szCs w:val="21"/>
                <w:u w:val="single"/>
              </w:rPr>
              <w:t xml:space="preserve">                 </w:t>
            </w:r>
          </w:p>
          <w:p>
            <w:pPr>
              <w:spacing w:line="400" w:lineRule="exact"/>
              <w:ind w:firstLine="200"/>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开户银行：</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账  号：</w:t>
            </w:r>
            <w:r>
              <w:rPr>
                <w:rFonts w:ascii="Times New Roman" w:hAnsi="Times New Roman" w:cs="Times New Roman" w:eastAsiaTheme="minorEastAsia"/>
                <w:bCs/>
                <w:snapToGrid w:val="0"/>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7" w:hRule="atLeast"/>
          <w:jc w:val="center"/>
        </w:trPr>
        <w:tc>
          <w:tcPr>
            <w:tcW w:w="4662" w:type="dxa"/>
            <w:tcBorders>
              <w:top w:val="single" w:color="auto" w:sz="4" w:space="0"/>
              <w:left w:val="single" w:color="auto" w:sz="2" w:space="0"/>
              <w:bottom w:val="single" w:color="auto" w:sz="2" w:space="0"/>
              <w:right w:val="single" w:color="auto" w:sz="4" w:space="0"/>
            </w:tcBorders>
          </w:tcPr>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lang w:val="en-US"/>
              </w:rPr>
              <w:t>委托</w:t>
            </w:r>
            <w:r>
              <w:rPr>
                <w:rFonts w:ascii="Times New Roman" w:hAnsi="Times New Roman" w:cs="Times New Roman" w:eastAsiaTheme="minorEastAsia"/>
                <w:snapToGrid w:val="0"/>
              </w:rPr>
              <w:t>人： （公章）</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rPr>
              <w:t>法定代表人或委托代理人：</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rPr>
              <w:t>（签字</w:t>
            </w:r>
            <w:r>
              <w:rPr>
                <w:rFonts w:ascii="Times New Roman" w:hAnsi="Times New Roman" w:cs="Times New Roman" w:eastAsiaTheme="minorEastAsia"/>
                <w:snapToGrid w:val="0"/>
                <w:lang w:val="en-US"/>
              </w:rPr>
              <w:t>或盖章</w:t>
            </w:r>
            <w:r>
              <w:rPr>
                <w:rFonts w:ascii="Times New Roman" w:hAnsi="Times New Roman" w:cs="Times New Roman" w:eastAsiaTheme="minorEastAsia"/>
                <w:snapToGrid w:val="0"/>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统一社会信用</w:t>
            </w:r>
            <w:r>
              <w:rPr>
                <w:rFonts w:ascii="Times New Roman" w:hAnsi="Times New Roman" w:cs="Times New Roman" w:eastAsiaTheme="minorEastAsia"/>
                <w:snapToGrid w:val="0"/>
                <w:szCs w:val="21"/>
              </w:rPr>
              <w:t>代码：</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地  址：</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邮政编码：</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法定代表人：</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委托代理人：</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snapToGrid w:val="0"/>
                <w:szCs w:val="21"/>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电  话：</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传  真：</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电子信箱：</w:t>
            </w:r>
            <w:r>
              <w:rPr>
                <w:rFonts w:ascii="Times New Roman" w:hAnsi="Times New Roman" w:cs="Times New Roman" w:eastAsiaTheme="minorEastAsia"/>
                <w:snapToGrid w:val="0"/>
                <w:szCs w:val="21"/>
                <w:u w:val="single"/>
              </w:rPr>
              <w:t xml:space="preserve">                   </w:t>
            </w:r>
          </w:p>
          <w:p>
            <w:pPr>
              <w:spacing w:line="400" w:lineRule="exact"/>
              <w:ind w:firstLine="200"/>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开户银行：</w:t>
            </w:r>
            <w:r>
              <w:rPr>
                <w:rFonts w:ascii="Times New Roman" w:hAnsi="Times New Roman" w:cs="Times New Roman" w:eastAsiaTheme="minorEastAsia"/>
                <w:bCs/>
                <w:snapToGrid w:val="0"/>
                <w:szCs w:val="21"/>
                <w:u w:val="single"/>
              </w:rPr>
              <w:t xml:space="preserve">                   </w:t>
            </w:r>
          </w:p>
          <w:p>
            <w:pPr>
              <w:spacing w:line="400" w:lineRule="exact"/>
              <w:ind w:firstLine="200"/>
              <w:rPr>
                <w:rFonts w:ascii="Times New Roman" w:hAnsi="Times New Roman" w:cs="Times New Roman" w:eastAsiaTheme="minorEastAsia"/>
                <w:snapToGrid w:val="0"/>
                <w:szCs w:val="21"/>
              </w:rPr>
            </w:pPr>
            <w:r>
              <w:rPr>
                <w:rFonts w:ascii="Times New Roman" w:hAnsi="Times New Roman" w:cs="Times New Roman" w:eastAsiaTheme="minorEastAsia"/>
                <w:b w:val="0"/>
                <w:snapToGrid w:val="0"/>
                <w:sz w:val="22"/>
                <w:szCs w:val="21"/>
                <w:lang w:val="zh-CN" w:eastAsia="zh-CN" w:bidi="zh-CN"/>
              </w:rPr>
              <w:t xml:space="preserve">账  号： </w:t>
            </w:r>
            <w:r>
              <w:rPr>
                <w:rFonts w:ascii="Times New Roman" w:hAnsi="Times New Roman" w:cs="Times New Roman" w:eastAsiaTheme="minorEastAsia"/>
                <w:bCs/>
                <w:snapToGrid w:val="0"/>
                <w:szCs w:val="21"/>
                <w:u w:val="single"/>
              </w:rPr>
              <w:t xml:space="preserve">                   </w:t>
            </w:r>
            <w:r>
              <w:rPr>
                <w:rFonts w:ascii="Times New Roman" w:hAnsi="Times New Roman" w:cs="Times New Roman" w:eastAsiaTheme="minorEastAsia"/>
                <w:b w:val="0"/>
                <w:snapToGrid w:val="0"/>
                <w:sz w:val="22"/>
                <w:szCs w:val="21"/>
                <w:lang w:val="zh-CN" w:eastAsia="zh-CN" w:bidi="zh-CN"/>
              </w:rPr>
              <w:t xml:space="preserve">                    </w:t>
            </w:r>
          </w:p>
        </w:tc>
        <w:tc>
          <w:tcPr>
            <w:tcW w:w="4137" w:type="dxa"/>
            <w:vMerge w:val="continue"/>
            <w:tcBorders>
              <w:left w:val="single" w:color="auto" w:sz="4" w:space="0"/>
              <w:bottom w:val="single" w:color="auto" w:sz="2" w:space="0"/>
              <w:right w:val="single" w:color="auto" w:sz="2" w:space="0"/>
            </w:tcBorders>
          </w:tcPr>
          <w:p>
            <w:pPr>
              <w:spacing w:line="400" w:lineRule="exact"/>
              <w:ind w:firstLine="200"/>
              <w:rPr>
                <w:rFonts w:ascii="Times New Roman" w:hAnsi="Times New Roman" w:cs="Times New Roman" w:eastAsiaTheme="minorEastAsia"/>
                <w:snapToGrid w:val="0"/>
                <w:szCs w:val="21"/>
              </w:rPr>
            </w:pPr>
          </w:p>
        </w:tc>
      </w:tr>
    </w:tbl>
    <w:p>
      <w:pPr>
        <w:spacing w:line="400" w:lineRule="exact"/>
        <w:ind w:firstLine="200"/>
        <w:rPr>
          <w:rFonts w:ascii="Times New Roman" w:hAnsi="Times New Roman" w:cs="Times New Roman" w:eastAsiaTheme="minorEastAsia"/>
          <w:b/>
          <w:bCs/>
          <w:snapToGrid w:val="0"/>
          <w:sz w:val="30"/>
          <w:szCs w:val="30"/>
        </w:rPr>
      </w:pPr>
    </w:p>
    <w:p>
      <w:pPr>
        <w:spacing w:line="400" w:lineRule="exact"/>
        <w:ind w:firstLine="200"/>
        <w:rPr>
          <w:rFonts w:ascii="Times New Roman" w:hAnsi="Times New Roman" w:cs="Times New Roman" w:eastAsiaTheme="minorEastAsia"/>
          <w:b/>
          <w:bCs/>
          <w:snapToGrid w:val="0"/>
          <w:sz w:val="30"/>
          <w:szCs w:val="30"/>
        </w:rPr>
      </w:pPr>
    </w:p>
    <w:p>
      <w:pPr>
        <w:rPr>
          <w:rFonts w:ascii="Times New Roman" w:hAnsi="Times New Roman" w:cs="Times New Roman" w:eastAsiaTheme="minorEastAsia"/>
          <w:b/>
          <w:bCs/>
          <w:snapToGrid w:val="0"/>
          <w:sz w:val="30"/>
          <w:szCs w:val="30"/>
        </w:rPr>
      </w:pPr>
      <w:r>
        <w:rPr>
          <w:rFonts w:ascii="Times New Roman" w:hAnsi="Times New Roman" w:cs="Times New Roman" w:eastAsiaTheme="minorEastAsia"/>
          <w:b/>
          <w:bCs/>
          <w:snapToGrid w:val="0"/>
          <w:sz w:val="30"/>
          <w:szCs w:val="30"/>
        </w:rPr>
        <w:br w:type="page"/>
      </w:r>
    </w:p>
    <w:p>
      <w:pPr>
        <w:pStyle w:val="6"/>
        <w:rPr>
          <w:rFonts w:ascii="Times New Roman" w:hAnsi="Times New Roman" w:cs="Times New Roman" w:eastAsiaTheme="minorEastAsia"/>
          <w:b w:val="0"/>
          <w:bCs w:val="0"/>
          <w:snapToGrid w:val="0"/>
          <w:sz w:val="30"/>
          <w:szCs w:val="30"/>
        </w:rPr>
      </w:pPr>
      <w:bookmarkStart w:id="872" w:name="_Toc11532"/>
      <w:r>
        <w:rPr>
          <w:rFonts w:ascii="Times New Roman" w:hAnsi="Times New Roman" w:cs="Times New Roman" w:eastAsiaTheme="minorEastAsia"/>
          <w:snapToGrid w:val="0"/>
          <w:sz w:val="30"/>
          <w:szCs w:val="30"/>
        </w:rPr>
        <w:t>第二部分  通用条件</w:t>
      </w:r>
      <w:bookmarkEnd w:id="872"/>
    </w:p>
    <w:p>
      <w:pPr>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（全文引用《建设工程委托监理合同示范文本》（ＧＦ－2012－0202）中的通用合同条件，如有不一致，以示范文本为准）</w:t>
      </w:r>
    </w:p>
    <w:p>
      <w:pPr>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1. 定义与解释</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1.1 </w:t>
      </w:r>
      <w:r>
        <w:rPr>
          <w:rFonts w:ascii="Times New Roman" w:hAnsi="Times New Roman" w:cs="Times New Roman" w:eastAsiaTheme="minorEastAsia"/>
          <w:bCs/>
          <w:snapToGrid w:val="0"/>
          <w:sz w:val="21"/>
          <w:szCs w:val="21"/>
        </w:rPr>
        <w:t>定义</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除根据上下文另有其意义外，组成本合同的全部文件中的下列名词和用语应具有本款所赋予的含义：</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 “工程”是指按照本合同约定实施监理与相关服务的建设工程。</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1.1.2 “委托人”是指本合同中委托监理与相关服务的一方，及其合法的继承人或受让人。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1.1.3 “监理人”是指本合同中提供监理与相关服务的一方，及其合法的继承人。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1.1.4 “承包人”是指在工程范围内与委托人签订勘察、设计、施工等有关合同的当事人，及其合法的继承人。</w:t>
      </w:r>
    </w:p>
    <w:p>
      <w:pPr>
        <w:spacing w:line="400" w:lineRule="exact"/>
        <w:ind w:firstLine="420" w:firstLineChars="200"/>
        <w:rPr>
          <w:rFonts w:ascii="Times New Roman" w:hAnsi="Times New Roman" w:cs="Times New Roman" w:eastAsiaTheme="minorEastAsia"/>
          <w:snapToGrid w:val="0"/>
          <w:sz w:val="21"/>
          <w:szCs w:val="21"/>
          <w:lang w:val="en-US"/>
        </w:rPr>
      </w:pPr>
      <w:r>
        <w:rPr>
          <w:rFonts w:ascii="Times New Roman" w:hAnsi="Times New Roman" w:cs="Times New Roman" w:eastAsiaTheme="minorEastAsia"/>
          <w:snapToGrid w:val="0"/>
          <w:sz w:val="21"/>
          <w:szCs w:val="21"/>
          <w:lang w:val="en-US"/>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1.1.6 “相关服务”是指监理人受委托人的委托 ，按照本合同约定，在勘察、设计、保修等阶段提供的服务活动。</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1.1.7 “正常工作”指本合同订立时通用条件和专用条件中约定的监理人的工作。</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1.1.8 “附加工作”是指本合同约定的正常工作以外监理人的工作。</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1.1.9 “项目监理机构”是指监理人派驻工程负责履行本合同的组织机构。</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1.1.10 “总监理工程师”是指由监理人的法定代表人书面授权，全面负责履行本合同、主持项目监理机构工作的注册监理工程师。</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1.1.11 “酬金”是指监理人履行本合同义务，委托人按照本合同约定给付监理人的金额。</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1.1.12 “正常工作酬金”是指监理人完成正常工作，委托人应给付监理人并在协议书中载明的签约酬金额。</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1.1.13 “附加工作酬金”是指监理人完成附加工作，委托人应给付监理人的金额。</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1.1.14 “一方”是指委托人或监理人；“双方”是指委托人和监理人；“第三方”是指除委托人和监理人以外的有关方。</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1.1.15 “书面形式”是指合同书、信件和数据电文（包括电报、电传、传真、电子数据交换和电子邮件）等可以有形地表现所载内容的形式。</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1.1.16 “天”是指第一天零时至第二天零时的时间。</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1.1.17“月”是指按公历从一个月中任何一天开始的一个公历月时间。</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bCs/>
          <w:snapToGrid w:val="0"/>
          <w:sz w:val="21"/>
          <w:szCs w:val="21"/>
        </w:rPr>
        <w:t xml:space="preserve">1.2 </w:t>
      </w:r>
      <w:r>
        <w:rPr>
          <w:rFonts w:ascii="Times New Roman" w:hAnsi="Times New Roman" w:cs="Times New Roman" w:eastAsiaTheme="minorEastAsia"/>
          <w:snapToGrid w:val="0"/>
          <w:sz w:val="21"/>
          <w:szCs w:val="21"/>
        </w:rPr>
        <w:t>解释</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1.2.1本合同使用中文书写、解释和说明。如专用条件约定使用两种及以上语言文字时，应以中文为准。</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1.2.2 组成本合同的下列文件彼此应能相互解释、互为说明。除专用条件另有约定外，本合同文件的解释顺序如下：</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（1）协议书；</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（2）中标通知书（适用于招标工程）或委托书（适用于非招标工程）；</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（3）专用条件及附录A、附录B；</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（4）通用条件；</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（5）投标文件（适用于招标工程）或监理与相关服务建议书（适用于非招标工程）。</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双方签订的补充协议与其他文件发生矛盾或歧义时，属于同一类内容的文件，应以最新签署的为准。</w:t>
      </w:r>
    </w:p>
    <w:p>
      <w:pPr>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2. 监理人的义务</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2.1 监理的范围和工作内容</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2.1.1 监理范围在专用条件中约定。</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2.1.2 除专用条件另有约定外，监理工作内容包括：</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（1）收到工程设计文件后编制监理规划，并在第一次工地会议7天前报委托人。根据有关规定和监理工作需要，编制监理实施细则；</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（2）熟悉工程设计文件，并参加由委托人主持的图纸会审和设计交底会议；</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（3）参加由委托人主持的第一次工地会议；主持监理例会并根据工程需要主持或参加专题会议；</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（4）审查施工承包人提交的施工组织设计，重点审查其中的质量安全技术措施、专项施工方案与工程建设强制性标准的符合性；</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（5）检查施工承包人工程质量、安全生产管理制度及组织机构和人员资格； </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（6）检查施工承包人专职安全生产管理人员的配备情况；</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（7）审查施工承包人提交的施工进度计划，核查承包人对施工进度计划的调整；</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（8）检查施工承包人的试验室；</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（9）审核施工分包人资质条件；</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（10）查验施工承包人的施工测量放线成果；</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（11）审查工程开工条件，对条件具备的签发开工令；</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（12）审查施工承包人报送的工程材料、构配件、设备质量证明文件的有效性和符合性，并按规定对用于工程的材料采取平行检验或见证取样方式进行抽检；</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（13）审核施工承包人提交的工程款支付申请，签发或出具工程款支付证书，并报委托人审核、批准；</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（14）在巡视、旁站和检验过程中，发现工程质量、施工安全存在事故隐患的，要求施工承包人整改并报委托人；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（15）经委托人同意，签发工程暂停令和复工令；</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（16）审查施工承包人提交的采用新材料、新工艺、新技术、新设备的论证材料及相关验收标准；</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（17）验收隐蔽工程、分部分项工程；</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（18）审查施工承包人提交的工程变更申请，协调处理施工进度调整、费用索赔、合同争议等事项；</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（19）审查施工承包人提交的竣工验收申请，编写工程质量评估报告；</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（20）参加工程竣工验收，签署竣工验收意见；</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（21）审查施工承包人提交的竣工结算申请并报委托人；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（22）编制、整理工程监理归档文件并报委托人。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2.1.3 相关服务的范围和内容在附录A中约定。</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2.2 </w:t>
      </w:r>
      <w:r>
        <w:rPr>
          <w:rFonts w:ascii="Times New Roman" w:hAnsi="Times New Roman" w:cs="Times New Roman" w:eastAsiaTheme="minorEastAsia"/>
          <w:bCs/>
          <w:snapToGrid w:val="0"/>
          <w:sz w:val="21"/>
          <w:szCs w:val="21"/>
        </w:rPr>
        <w:t>监理与相关服务依据</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2.2.1 监理依据包括：</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（1）适用的法律、行政法规及部门规章；</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（2）与工程有关的标准；</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（3）工程设计及有关文件；</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（4）本合同及委托人与第三方签订的与实施工程有关的其他合同。</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bCs/>
          <w:snapToGrid w:val="0"/>
          <w:sz w:val="21"/>
          <w:szCs w:val="21"/>
        </w:rPr>
        <w:t>双方根据工程的行业和地域特点，在专用条件中具体约定监理依据。</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2.2.2 相关服务依据在专用条件中约定。</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 项目监理机构和人员</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2.3.1 监理人应组建满足工作需要的项目监理机构，配备必要的检测设备。项目监理机构的主要人员应具有相应的资格条件。</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2.3.2本合同履行过程中，总监理工程师及重要岗位监理人员应保持相对稳定，以保证监理工作正常进行。</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2.3.4 监理人应及时更换有下列情形之一的监理人员：</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（1）严重过失行为的；</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（2）有违法行为不能履行职责的；</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（3）涉嫌犯罪的；</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（4）不能胜任岗位职责的；</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（5）严重违反职业道德的；</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（6）专用条件约定的其他情形。</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2.3.5 委托人可要求监理人更换不能胜任本职工作的项目监理机构人员。</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2.4 履行职责</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监理人应遵循职业道德准则和行为规范，严格按照法律法规、工程建设有关标准及本合同履行职责。</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2.4.1 在监理与相关服务范围内，委托人和承包人提出的意见和要求，监理人应及时提出处置意见。当委托人与承包人之间发生合同争议时，监理人应协助委托人、承包人协商解决。</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2.4.2 当委托人与承包人之间的合同争议提交仲裁机构仲裁或人民法院审理时，监理人应提供必要的证明资料。</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2.4.3 监理人应在专用条件约定的授权范围内，处理委托人与承包人所签订合同的变更事宜。如果变更超过授权范围，应以书面形式报委托人批准。</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在紧急情况下，为了保护财产和人身安全，监理人所发出的指令未能事先报委托人批准时，应在发出指令后的24小时内以书面形式报委托人。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2.4.4 除专用条件另有约定外，监理人发现承包人的人员不能胜任本职工作的，有权要求承包人予以调换。</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2.5 提交报告</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监理人应按专用条件约定的种类、时间和份数向委托人提交监理与相关服务的报告。</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2.6 文件资料</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在本合同履行期内，监理人应在现场保留工作所用的图纸、报告及记录监理工作的相关文件。工程竣工后，应当按照档案管理规定将监理有关文件归档。</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2.7 使用委托人的财产</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3．委托人的义务</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3.1 告知</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委托人应在委托人与承包人签订的合同中明确监理人、总监理工程师和授予项目监理机构的权限。如有变更，应及时通知承包人。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3.2 提供资料</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委托人应按照附录B约定，无偿向监理人提供工程有关的资料。在本合同履行过程中，委托人应及时向监理人提供最新的与工程有关的资料。</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3.3 提供工作条件</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委托人应为监理人完成监理与相关服务提供必要的条件。</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3.3.1 委托人应按照附录B约定，派遣相应的人员，提供房屋、设备，供监理人无偿使用。</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3.3.2 委托人应负责协调工程建设中所有外部关系，为监理人履行本合同提供必要的外部条件。</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3.4 委托人代表</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委托人应授权一名熟悉工程情况的代表，负责与监理人联系。委托人应在双方签订本合同后7天内，将委托人代表的姓名和职责书面告知监理人。当委托人更换委托人代表时，应提前7天通知监理人。</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3.5 委托人意见或要求</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在本合同约定的监理与相关服务工作范围内，委托人对承包人的任何意见或要求应通知监理人，由监理人向承包人发出相应指令。</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3.6 答复</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委托人应在专用条件约定的时间内，对监理人以书面形式提交并要求作出决定的事宜，给予书面答复。逾期未答复的，视为委托人认可。</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3.7 支付</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委托人应按本合同约定，向监理人支付酬金。</w:t>
      </w:r>
    </w:p>
    <w:p>
      <w:pPr>
        <w:spacing w:line="400" w:lineRule="exact"/>
        <w:ind w:firstLine="422"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
          <w:bCs/>
          <w:snapToGrid w:val="0"/>
          <w:sz w:val="21"/>
          <w:szCs w:val="21"/>
        </w:rPr>
        <w:t>4. 违约责任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 监理人的违约责任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监理人未履行本合同义务的，应承担相应的责任。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4.1.1 因监理人违反本合同约定给委托人造成损失的，监理人应当赔偿委托人损失。赔偿金额的确定方法在专用条件中约定。监理人承担部分赔偿责任的，其承担赔偿金额由双方协商确定。</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4.1.2 监理人向委托人的索赔不成立时，监理人应赔偿委托人由此发生的费用。</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4.2 委托人的违约责任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委托人未履行本合同义务的，应承担相应的责任。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4.2.1 委托人违反本合同约定造成监理人损失的，委托人应予以赔偿。</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4.2.2 委托人向监理人的索赔不成立时，应赔偿监理人由此引起的费用。</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4.2.3 委托人未能按期支付酬金超过28天，应按专用条件约定支付逾期付款利息。</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4.3 除外责任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因非监理人的原因，且监理人无过错，发生工程质量事故、安全事故、工期延误等造成的损失，监理人不承担赔偿责任。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因不可抗力导致本合同全部或部分不能履行时，双方各自承担其因此而造成的损失、损害。</w:t>
      </w:r>
    </w:p>
    <w:p>
      <w:pPr>
        <w:spacing w:line="400" w:lineRule="exact"/>
        <w:ind w:firstLine="422"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
          <w:bCs/>
          <w:snapToGrid w:val="0"/>
          <w:sz w:val="21"/>
          <w:szCs w:val="21"/>
        </w:rPr>
        <w:t>5. 支付</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5.1 </w:t>
      </w:r>
      <w:r>
        <w:rPr>
          <w:rFonts w:ascii="Times New Roman" w:hAnsi="Times New Roman" w:cs="Times New Roman" w:eastAsiaTheme="minorEastAsia"/>
          <w:bCs/>
          <w:snapToGrid w:val="0"/>
          <w:sz w:val="21"/>
          <w:szCs w:val="21"/>
        </w:rPr>
        <w:t>支付货币</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除专用条件另有约定外，酬金均以人民币支付。涉及外币支付的，所采用的货币种类、比例和汇率在专用条件中约定。</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5.2 支付申请</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监理人应在本合同约定的每次应付款时间的7天前，向委托人提交支付申请书。支付申请书应当说明当期应付款总额，并列出当期应支付的款项及其金额。</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5.3 支付酬金</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支付的酬金包括正常工作酬金、附加工作酬金、合理化建议奖励金额及费用。</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  5.4 </w:t>
      </w:r>
      <w:r>
        <w:rPr>
          <w:rFonts w:ascii="Times New Roman" w:hAnsi="Times New Roman" w:cs="Times New Roman" w:eastAsiaTheme="minorEastAsia"/>
          <w:bCs/>
          <w:snapToGrid w:val="0"/>
          <w:sz w:val="21"/>
          <w:szCs w:val="21"/>
        </w:rPr>
        <w:t>有争议部分的付款</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委托人对监理人提交的支付申请书有异议时，应当在收到监理人提交的支付申请书后7天内，以书面形式向监理人发出异议通知。无异议部分的款项应按期支付，有异议部分的款项按第7条约定办理。</w:t>
      </w:r>
    </w:p>
    <w:p>
      <w:pPr>
        <w:spacing w:line="400" w:lineRule="exact"/>
        <w:ind w:firstLine="422"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
          <w:bCs/>
          <w:snapToGrid w:val="0"/>
          <w:sz w:val="21"/>
          <w:szCs w:val="21"/>
        </w:rPr>
        <w:t>6. 合同生效、变更、暂停、解除与终止</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6.1生效</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除法律另有规定或者专用条件另有约定外，委托人和监理人的法定代表人或其授权代理人在协议书上签字并盖单位章后本合同生效。</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6.2</w:t>
      </w:r>
      <w:r>
        <w:rPr>
          <w:rFonts w:ascii="Times New Roman" w:hAnsi="Times New Roman" w:cs="Times New Roman" w:eastAsiaTheme="minorEastAsia"/>
          <w:bCs/>
          <w:snapToGrid w:val="0"/>
          <w:sz w:val="21"/>
          <w:szCs w:val="21"/>
        </w:rPr>
        <w:t>变更</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6.2.1 任何一方提出变更请求时，双方经协商一致后可进行变更。</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6.2.4合同签订后，遇有与工程相关的法律法规、标准颁布或修订的，双方应遵照执行。由此引起监理与相关服务的范围、时间、酬金变化的，双方应通过协商进行相应调整。</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6.2.5 因非监理人原因造成工程概算投资额或建筑安装工程费增加时，正常工作酬金应作相应调整。调整方法在专用条件中约定。</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6.2.6 因工程规模、监理范围的变化导致监理人的正常工作量减少时，正常工作酬金应作相应调整。调整方法在专用条件中约定。</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  6.3 暂停与</w:t>
      </w:r>
      <w:r>
        <w:rPr>
          <w:rFonts w:ascii="Times New Roman" w:hAnsi="Times New Roman" w:cs="Times New Roman" w:eastAsiaTheme="minorEastAsia"/>
          <w:bCs/>
          <w:snapToGrid w:val="0"/>
          <w:sz w:val="21"/>
          <w:szCs w:val="21"/>
        </w:rPr>
        <w:t>解除</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除双方协商一致可以解除本合同外，当一方无正当理由未履行本合同约定的义务时，另一方可以根据本合同约定暂停履行本合同直至解除本合同。</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因解除本合同或解除监理人的部分义务导致监理人遭受的损失，除依法可以免除责任的情况外，应由委托人予以补偿，补偿金额由双方协商确定。</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解除本合同的协议必须采取书面形式，协议未达成之前，本合同仍然有效。</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6.3.5 因不可抗力致使本合同部分或全部不能履行时，一方应立即通知另一方，可暂停或解除本合同。</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6.3.6 本合同解除后，本合同约定的有关结算、清理、争议解决方式的条件仍然有效。</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6.4 </w:t>
      </w:r>
      <w:r>
        <w:rPr>
          <w:rFonts w:ascii="Times New Roman" w:hAnsi="Times New Roman" w:cs="Times New Roman" w:eastAsiaTheme="minorEastAsia"/>
          <w:bCs/>
          <w:snapToGrid w:val="0"/>
          <w:sz w:val="21"/>
          <w:szCs w:val="21"/>
        </w:rPr>
        <w:t>终止</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以下条件全部满足时，本合同即告终止：</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（1）监理人完成本合同约定的全部工作；</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（2）委托人与监理人结清并支付全部酬金。</w:t>
      </w:r>
    </w:p>
    <w:p>
      <w:pPr>
        <w:spacing w:line="400" w:lineRule="exact"/>
        <w:ind w:firstLine="422"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
          <w:bCs/>
          <w:snapToGrid w:val="0"/>
          <w:sz w:val="21"/>
          <w:szCs w:val="21"/>
        </w:rPr>
        <w:t>7. 争议解决</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7.1</w:t>
      </w:r>
      <w:r>
        <w:rPr>
          <w:rFonts w:ascii="Times New Roman" w:hAnsi="Times New Roman" w:cs="Times New Roman" w:eastAsiaTheme="minorEastAsia"/>
          <w:bCs/>
          <w:snapToGrid w:val="0"/>
          <w:sz w:val="21"/>
          <w:szCs w:val="21"/>
        </w:rPr>
        <w:t>协商</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双方应本着诚信原则协商解决彼此间的争议。</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7.2</w:t>
      </w:r>
      <w:r>
        <w:rPr>
          <w:rFonts w:ascii="Times New Roman" w:hAnsi="Times New Roman" w:cs="Times New Roman" w:eastAsiaTheme="minorEastAsia"/>
          <w:bCs/>
          <w:snapToGrid w:val="0"/>
          <w:sz w:val="21"/>
          <w:szCs w:val="21"/>
        </w:rPr>
        <w:t>调解</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如果双方不能在14天内或双方商定的其他时间内解决本合同争议，可以将其提交给专用条件约定的或事后达成协议的调解人进行调解。</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7.3</w:t>
      </w:r>
      <w:r>
        <w:rPr>
          <w:rFonts w:ascii="Times New Roman" w:hAnsi="Times New Roman" w:cs="Times New Roman" w:eastAsiaTheme="minorEastAsia"/>
          <w:bCs/>
          <w:snapToGrid w:val="0"/>
          <w:sz w:val="21"/>
          <w:szCs w:val="21"/>
        </w:rPr>
        <w:t>仲裁或诉讼</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双方均有权不经调解直接向专用条件约定的仲裁机构申请仲裁或向有管辖权的人民法院提起诉讼。</w:t>
      </w:r>
    </w:p>
    <w:p>
      <w:pPr>
        <w:spacing w:line="400" w:lineRule="exact"/>
        <w:ind w:firstLine="422"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
          <w:bCs/>
          <w:snapToGrid w:val="0"/>
          <w:sz w:val="21"/>
          <w:szCs w:val="21"/>
        </w:rPr>
        <w:t>8. 其他</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8.1 </w:t>
      </w:r>
      <w:r>
        <w:rPr>
          <w:rFonts w:ascii="Times New Roman" w:hAnsi="Times New Roman" w:cs="Times New Roman" w:eastAsiaTheme="minorEastAsia"/>
          <w:bCs/>
          <w:snapToGrid w:val="0"/>
          <w:sz w:val="21"/>
          <w:szCs w:val="21"/>
        </w:rPr>
        <w:t>外出考察费用</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经委托人同意，监理人员外出考察发生的费用由委托人审核后支付。</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8.2 </w:t>
      </w:r>
      <w:r>
        <w:rPr>
          <w:rFonts w:ascii="Times New Roman" w:hAnsi="Times New Roman" w:cs="Times New Roman" w:eastAsiaTheme="minorEastAsia"/>
          <w:bCs/>
          <w:snapToGrid w:val="0"/>
          <w:sz w:val="21"/>
          <w:szCs w:val="21"/>
        </w:rPr>
        <w:t>检测费用</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委托人要求监理人进行的材料和设备检测所发生的费用，由委托人支付，支付时间在专用条件中约定。</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8.3 </w:t>
      </w:r>
      <w:r>
        <w:rPr>
          <w:rFonts w:ascii="Times New Roman" w:hAnsi="Times New Roman" w:cs="Times New Roman" w:eastAsiaTheme="minorEastAsia"/>
          <w:bCs/>
          <w:snapToGrid w:val="0"/>
          <w:sz w:val="21"/>
          <w:szCs w:val="21"/>
        </w:rPr>
        <w:t>咨询费用</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经委托人同意，根据工程需要由监理人组织的相关咨询论证会以及聘请相关专家等发生的费用由委托人支付，支付时间在专用条件中约定。</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8.4 </w:t>
      </w:r>
      <w:r>
        <w:rPr>
          <w:rFonts w:ascii="Times New Roman" w:hAnsi="Times New Roman" w:cs="Times New Roman" w:eastAsiaTheme="minorEastAsia"/>
          <w:bCs/>
          <w:snapToGrid w:val="0"/>
          <w:sz w:val="21"/>
          <w:szCs w:val="21"/>
        </w:rPr>
        <w:t>奖励</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监理人在服务过程中提出的合理化建议，使委托人获得经济效益的，双方在专用条件中约定奖励金额的确定方法。奖励金额在合理化建议被采纳后，与最近一期的正常工作酬金同期支付。</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8.5 </w:t>
      </w:r>
      <w:r>
        <w:rPr>
          <w:rFonts w:ascii="Times New Roman" w:hAnsi="Times New Roman" w:cs="Times New Roman" w:eastAsiaTheme="minorEastAsia"/>
          <w:bCs/>
          <w:snapToGrid w:val="0"/>
          <w:sz w:val="21"/>
          <w:szCs w:val="21"/>
        </w:rPr>
        <w:t>守法诚信</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监理人及其工作人员不得从与实施工程有关的第三方处获得任何经济利益。</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8.6 </w:t>
      </w:r>
      <w:r>
        <w:rPr>
          <w:rFonts w:ascii="Times New Roman" w:hAnsi="Times New Roman" w:cs="Times New Roman" w:eastAsiaTheme="minorEastAsia"/>
          <w:bCs/>
          <w:snapToGrid w:val="0"/>
          <w:sz w:val="21"/>
          <w:szCs w:val="21"/>
        </w:rPr>
        <w:t>保密</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双方不得泄露对方申明的保密资料，亦不得泄露与实施工程有关的第三方所提供的保密资料，保密事项在专用条件中约定。</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8.7 </w:t>
      </w:r>
      <w:r>
        <w:rPr>
          <w:rFonts w:ascii="Times New Roman" w:hAnsi="Times New Roman" w:cs="Times New Roman" w:eastAsiaTheme="minorEastAsia"/>
          <w:bCs/>
          <w:snapToGrid w:val="0"/>
          <w:sz w:val="21"/>
          <w:szCs w:val="21"/>
        </w:rPr>
        <w:t>通知</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本合同涉及的通知均应当采用书面形式，并在送达对方时生效，收件人应书面签收。</w:t>
      </w:r>
    </w:p>
    <w:p>
      <w:pPr>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8.8 </w:t>
      </w:r>
      <w:r>
        <w:rPr>
          <w:rFonts w:ascii="Times New Roman" w:hAnsi="Times New Roman" w:cs="Times New Roman" w:eastAsiaTheme="minorEastAsia"/>
          <w:bCs/>
          <w:snapToGrid w:val="0"/>
          <w:sz w:val="21"/>
          <w:szCs w:val="21"/>
        </w:rPr>
        <w:t>著作权</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监理人对其编制的文件拥有著作权。</w:t>
      </w:r>
    </w:p>
    <w:p>
      <w:pPr>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spacing w:line="400" w:lineRule="exact"/>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br w:type="page"/>
      </w:r>
    </w:p>
    <w:p>
      <w:pPr>
        <w:pStyle w:val="6"/>
        <w:rPr>
          <w:rFonts w:ascii="Times New Roman" w:hAnsi="Times New Roman" w:cs="Times New Roman" w:eastAsiaTheme="minorEastAsia"/>
          <w:snapToGrid w:val="0"/>
          <w:sz w:val="32"/>
          <w:szCs w:val="32"/>
        </w:rPr>
      </w:pPr>
      <w:bookmarkStart w:id="873" w:name="_Toc16521978"/>
      <w:bookmarkStart w:id="874" w:name="_Toc267919286"/>
      <w:bookmarkStart w:id="875" w:name="_Toc12080"/>
      <w:bookmarkStart w:id="876" w:name="_Toc394573947"/>
      <w:bookmarkStart w:id="877" w:name="_Toc8305382"/>
      <w:bookmarkStart w:id="878" w:name="_Toc532282497"/>
      <w:bookmarkStart w:id="879" w:name="_Toc278377207"/>
      <w:bookmarkStart w:id="880" w:name="_Toc2366"/>
      <w:bookmarkStart w:id="881" w:name="_Toc8986"/>
      <w:bookmarkStart w:id="882" w:name="_Toc146952584"/>
      <w:r>
        <w:rPr>
          <w:rFonts w:ascii="Times New Roman" w:hAnsi="Times New Roman" w:cs="Times New Roman" w:eastAsiaTheme="minorEastAsia"/>
          <w:snapToGrid w:val="0"/>
          <w:sz w:val="32"/>
          <w:szCs w:val="32"/>
        </w:rPr>
        <w:t>第三部分　　专用</w:t>
      </w:r>
      <w:bookmarkEnd w:id="873"/>
      <w:bookmarkEnd w:id="874"/>
      <w:bookmarkEnd w:id="875"/>
      <w:bookmarkEnd w:id="876"/>
      <w:bookmarkEnd w:id="877"/>
      <w:bookmarkEnd w:id="878"/>
      <w:bookmarkEnd w:id="879"/>
      <w:r>
        <w:rPr>
          <w:rFonts w:ascii="Times New Roman" w:hAnsi="Times New Roman" w:cs="Times New Roman" w:eastAsiaTheme="minorEastAsia"/>
          <w:snapToGrid w:val="0"/>
          <w:sz w:val="32"/>
          <w:szCs w:val="32"/>
        </w:rPr>
        <w:t>条件</w:t>
      </w:r>
      <w:bookmarkEnd w:id="880"/>
      <w:bookmarkEnd w:id="881"/>
      <w:bookmarkEnd w:id="882"/>
    </w:p>
    <w:p>
      <w:pPr>
        <w:adjustRightInd w:val="0"/>
        <w:snapToGrid w:val="0"/>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1. 定义与解释</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  解释</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1.2.1 本合同文件除使用中文外，还可用</w:t>
      </w:r>
      <w:r>
        <w:rPr>
          <w:rFonts w:ascii="Times New Roman" w:hAnsi="Times New Roman" w:cs="Times New Roman" w:eastAsiaTheme="minorEastAsia"/>
          <w:snapToGrid w:val="0"/>
          <w:sz w:val="21"/>
          <w:szCs w:val="21"/>
          <w:u w:val="single"/>
        </w:rPr>
        <w:t xml:space="preserve">    /     </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1.2.2 约定本合同文件的解释顺序为：</w:t>
      </w:r>
      <w:r>
        <w:rPr>
          <w:rFonts w:ascii="Times New Roman" w:hAnsi="Times New Roman" w:cs="Times New Roman" w:eastAsiaTheme="minorEastAsia"/>
          <w:snapToGrid w:val="0"/>
          <w:sz w:val="21"/>
          <w:szCs w:val="21"/>
          <w:u w:val="single"/>
        </w:rPr>
        <w:t>按通用条款。</w:t>
      </w:r>
    </w:p>
    <w:p>
      <w:pPr>
        <w:adjustRightInd w:val="0"/>
        <w:snapToGrid w:val="0"/>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2. 监理人义务</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2.1 监理的范围和</w:t>
      </w:r>
      <w:r>
        <w:rPr>
          <w:rFonts w:ascii="Times New Roman" w:hAnsi="Times New Roman" w:cs="Times New Roman" w:eastAsiaTheme="minorEastAsia"/>
          <w:bCs/>
          <w:snapToGrid w:val="0"/>
          <w:sz w:val="21"/>
          <w:szCs w:val="21"/>
        </w:rPr>
        <w:t>内容</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20" w:firstLineChars="200"/>
        <w:rPr>
          <w:rFonts w:ascii="Times New Roman" w:hAnsi="Times New Roman" w:cs="Times New Roman" w:eastAsiaTheme="minorEastAsia"/>
          <w:snapToGrid w:val="0"/>
          <w:sz w:val="21"/>
          <w:szCs w:val="21"/>
          <w:u w:val="single"/>
          <w:lang w:val="en-US" w:bidi="ar-SA"/>
        </w:rPr>
      </w:pPr>
      <w:r>
        <w:rPr>
          <w:rFonts w:ascii="Times New Roman" w:hAnsi="Times New Roman" w:cs="Times New Roman" w:eastAsiaTheme="minorEastAsia"/>
          <w:snapToGrid w:val="0"/>
          <w:sz w:val="21"/>
          <w:szCs w:val="21"/>
        </w:rPr>
        <w:t>2.1.1 监理范围包括：</w:t>
      </w:r>
      <w:r>
        <w:rPr>
          <w:rFonts w:hint="eastAsia" w:ascii="Times New Roman" w:hAnsi="Times New Roman" w:cs="Times New Roman"/>
          <w:sz w:val="21"/>
          <w:szCs w:val="21"/>
          <w:u w:val="single"/>
          <w:lang w:val="en-US" w:bidi="ar-SA"/>
        </w:rPr>
        <w:t xml:space="preserve">本工程监理服务期内的山体石料矿开采的安全、进度、投资、质量等进行全过程监理及相关服务。 </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2.1.2 监理工作内容还包括：</w:t>
      </w:r>
    </w:p>
    <w:p>
      <w:pPr>
        <w:spacing w:line="360" w:lineRule="exact"/>
        <w:ind w:firstLine="435"/>
        <w:rPr>
          <w:rFonts w:hint="eastAsia"/>
          <w:sz w:val="21"/>
          <w:szCs w:val="21"/>
          <w:u w:val="single"/>
        </w:rPr>
      </w:pPr>
      <w:r>
        <w:rPr>
          <w:rFonts w:hint="eastAsia"/>
          <w:sz w:val="21"/>
          <w:szCs w:val="21"/>
          <w:u w:val="single"/>
        </w:rPr>
        <w:t xml:space="preserve">（1）编制爆破工程安全监理方案，并按爆破工程进度和实施要求编制爆破工程安全监理细则，按照细则及爆破作业承包人经公安部门组织评审认可的爆破设计方案进行爆破工程安全监理；在爆破工程的各主要阶段完工后，签署爆破工程安全监理意见。 </w:t>
      </w:r>
    </w:p>
    <w:p>
      <w:pPr>
        <w:spacing w:line="360" w:lineRule="exact"/>
        <w:ind w:firstLine="435"/>
        <w:rPr>
          <w:rFonts w:hint="eastAsia"/>
          <w:sz w:val="21"/>
          <w:szCs w:val="21"/>
          <w:u w:val="single"/>
        </w:rPr>
      </w:pPr>
      <w:r>
        <w:rPr>
          <w:rFonts w:hint="eastAsia"/>
          <w:sz w:val="21"/>
          <w:szCs w:val="21"/>
          <w:u w:val="single"/>
        </w:rPr>
        <w:t xml:space="preserve">（2）检查承包人申报爆破作业程序，对不符合批准程序的爆破工程，有权停止其爆破作业，并向发包人和有关部门报告。 </w:t>
      </w:r>
    </w:p>
    <w:p>
      <w:pPr>
        <w:spacing w:line="360" w:lineRule="exact"/>
        <w:ind w:firstLine="435"/>
        <w:rPr>
          <w:rFonts w:hint="eastAsia"/>
          <w:sz w:val="21"/>
          <w:szCs w:val="21"/>
          <w:u w:val="single"/>
        </w:rPr>
      </w:pPr>
      <w:r>
        <w:rPr>
          <w:rFonts w:hint="eastAsia"/>
          <w:sz w:val="21"/>
          <w:szCs w:val="21"/>
          <w:u w:val="single"/>
        </w:rPr>
        <w:t xml:space="preserve">（3）监督承包人按设计施工；审验从事爆破作业人员的资格、制止无证人员从事爆破作业；发现不适合继续从事爆破作业的，督促承包人收回其安全作业证； </w:t>
      </w:r>
    </w:p>
    <w:p>
      <w:pPr>
        <w:spacing w:line="360" w:lineRule="exact"/>
        <w:ind w:firstLine="435"/>
        <w:rPr>
          <w:rFonts w:hint="eastAsia"/>
          <w:sz w:val="21"/>
          <w:szCs w:val="21"/>
          <w:u w:val="single"/>
        </w:rPr>
      </w:pPr>
      <w:r>
        <w:rPr>
          <w:rFonts w:hint="eastAsia"/>
          <w:sz w:val="21"/>
          <w:szCs w:val="21"/>
          <w:u w:val="single"/>
        </w:rPr>
        <w:t xml:space="preserve">（4）监督承包人不得使用过期、变质或在未经批准在工程中应用的爆破器材；监督检查爆破器材的使用、领取和清退制度。 </w:t>
      </w:r>
    </w:p>
    <w:p>
      <w:pPr>
        <w:spacing w:line="360" w:lineRule="exact"/>
        <w:ind w:firstLine="435"/>
        <w:rPr>
          <w:rFonts w:hint="eastAsia"/>
          <w:sz w:val="21"/>
          <w:szCs w:val="21"/>
          <w:u w:val="single"/>
        </w:rPr>
      </w:pPr>
      <w:r>
        <w:rPr>
          <w:rFonts w:hint="eastAsia"/>
          <w:sz w:val="21"/>
          <w:szCs w:val="21"/>
          <w:u w:val="single"/>
        </w:rPr>
        <w:t xml:space="preserve">（5）监督、检查承包人执行《爆破安全规程》（GB6722-2014）的情况，发现违章指挥和违章作业，有权停止其爆破作业，并向发包人和有关部门报告。 </w:t>
      </w:r>
    </w:p>
    <w:p>
      <w:pPr>
        <w:spacing w:line="360" w:lineRule="exact"/>
        <w:ind w:firstLine="435"/>
        <w:rPr>
          <w:rFonts w:hint="eastAsia"/>
          <w:sz w:val="21"/>
          <w:szCs w:val="21"/>
          <w:u w:val="single"/>
        </w:rPr>
      </w:pPr>
      <w:r>
        <w:rPr>
          <w:rFonts w:hint="eastAsia"/>
          <w:sz w:val="21"/>
          <w:szCs w:val="21"/>
          <w:u w:val="single"/>
        </w:rPr>
        <w:t xml:space="preserve">（6）对爆破施工方案进行审核，施工过程中爆破旁站监理，并参与爆破后效益评议。 </w:t>
      </w:r>
    </w:p>
    <w:p>
      <w:pPr>
        <w:spacing w:line="360" w:lineRule="exact"/>
        <w:ind w:firstLine="435"/>
        <w:rPr>
          <w:rFonts w:hint="eastAsia"/>
          <w:sz w:val="21"/>
          <w:szCs w:val="21"/>
          <w:u w:val="single"/>
        </w:rPr>
      </w:pPr>
      <w:r>
        <w:rPr>
          <w:rFonts w:hint="eastAsia"/>
          <w:sz w:val="21"/>
          <w:szCs w:val="21"/>
          <w:u w:val="single"/>
        </w:rPr>
        <w:t xml:space="preserve">（7）协助发包人做好开工前准备，审批开工报告，经发包人同意下达爆破令。 </w:t>
      </w:r>
    </w:p>
    <w:p>
      <w:pPr>
        <w:spacing w:line="360" w:lineRule="exact"/>
        <w:ind w:firstLine="435"/>
        <w:rPr>
          <w:rFonts w:hint="eastAsia"/>
          <w:sz w:val="21"/>
          <w:szCs w:val="21"/>
          <w:u w:val="single"/>
        </w:rPr>
      </w:pPr>
      <w:r>
        <w:rPr>
          <w:rFonts w:hint="eastAsia"/>
          <w:sz w:val="21"/>
          <w:szCs w:val="21"/>
          <w:u w:val="single"/>
        </w:rPr>
        <w:t xml:space="preserve">（8）审核爆破施工组织设计，审查和检查爆破施工技术措施、质量保证体系及安全防护措施，提出合理的整改意见和建议。发现问题向发包人反应，重大问题向发包人做专题报告。 </w:t>
      </w:r>
    </w:p>
    <w:p>
      <w:pPr>
        <w:spacing w:line="360" w:lineRule="exact"/>
        <w:ind w:firstLine="435"/>
        <w:rPr>
          <w:rFonts w:hint="eastAsia"/>
          <w:sz w:val="21"/>
          <w:szCs w:val="21"/>
          <w:u w:val="single"/>
        </w:rPr>
      </w:pPr>
      <w:r>
        <w:rPr>
          <w:rFonts w:hint="eastAsia"/>
          <w:sz w:val="21"/>
          <w:szCs w:val="21"/>
          <w:u w:val="single"/>
        </w:rPr>
        <w:t xml:space="preserve">（9）主持爆破的技术交底等。 </w:t>
      </w:r>
    </w:p>
    <w:p>
      <w:pPr>
        <w:spacing w:line="360" w:lineRule="exact"/>
        <w:ind w:firstLine="435"/>
        <w:rPr>
          <w:rFonts w:hint="eastAsia"/>
          <w:sz w:val="21"/>
          <w:szCs w:val="21"/>
          <w:u w:val="single"/>
        </w:rPr>
      </w:pPr>
      <w:r>
        <w:rPr>
          <w:rFonts w:hint="eastAsia"/>
          <w:sz w:val="21"/>
          <w:szCs w:val="21"/>
          <w:u w:val="single"/>
        </w:rPr>
        <w:t xml:space="preserve">（10）主持召开工程爆破协调会议并做好会议纪要，调解爆破过程中的有关事宜，参与处理索赔事项。 </w:t>
      </w:r>
    </w:p>
    <w:p>
      <w:pPr>
        <w:spacing w:line="360" w:lineRule="exact"/>
        <w:ind w:firstLine="435"/>
        <w:rPr>
          <w:rFonts w:hint="eastAsia"/>
          <w:sz w:val="21"/>
          <w:szCs w:val="21"/>
          <w:u w:val="single"/>
        </w:rPr>
      </w:pPr>
      <w:r>
        <w:rPr>
          <w:rFonts w:hint="eastAsia"/>
          <w:sz w:val="21"/>
          <w:szCs w:val="21"/>
          <w:u w:val="single"/>
        </w:rPr>
        <w:t xml:space="preserve">（11）检查督促承包人贯彻执行国家相关安全法律、法规和项目所在地有关部门对建筑安全的相关文件，检查安全防护措施和文明施工。审查承包人提出的爆破安全技术措施、专项施工方案，并检查实施情况；参与爆破安全事故调查。 </w:t>
      </w:r>
    </w:p>
    <w:p>
      <w:pPr>
        <w:spacing w:line="360" w:lineRule="exact"/>
        <w:ind w:firstLine="435"/>
        <w:rPr>
          <w:rFonts w:hint="eastAsia"/>
          <w:sz w:val="21"/>
          <w:szCs w:val="21"/>
          <w:u w:val="single"/>
        </w:rPr>
      </w:pPr>
      <w:r>
        <w:rPr>
          <w:rFonts w:hint="eastAsia"/>
          <w:sz w:val="21"/>
          <w:szCs w:val="21"/>
          <w:u w:val="single"/>
        </w:rPr>
        <w:t xml:space="preserve">（12）按有关规定参加工程验收，负责完成爆破监理资料的汇总、整理；做好验收的各项准备工作和配合工作，提供工程监理资料，提交监理工作报告。做好施工现场的监理记录与信息反馈，做好文档管理工作，合同期限届满时按照档案管理要求整理、归档并移交委托人。督促承包人及时整理有关爆破的技术资料。 </w:t>
      </w:r>
    </w:p>
    <w:p>
      <w:pPr>
        <w:spacing w:line="360" w:lineRule="exact"/>
        <w:ind w:firstLine="435"/>
        <w:rPr>
          <w:rFonts w:hint="eastAsia"/>
          <w:sz w:val="21"/>
          <w:szCs w:val="21"/>
          <w:u w:val="single"/>
        </w:rPr>
      </w:pPr>
      <w:r>
        <w:rPr>
          <w:rFonts w:hint="eastAsia"/>
          <w:sz w:val="21"/>
          <w:szCs w:val="21"/>
          <w:u w:val="single"/>
        </w:rPr>
        <w:t xml:space="preserve">（13）爆破影响范围内爆破参数确定及爆破影响程度确定； </w:t>
      </w:r>
    </w:p>
    <w:p>
      <w:pPr>
        <w:spacing w:line="360" w:lineRule="exact"/>
        <w:ind w:firstLine="435"/>
        <w:rPr>
          <w:rFonts w:hint="eastAsia" w:ascii="宋体" w:hAnsi="宋体"/>
          <w:sz w:val="21"/>
          <w:szCs w:val="21"/>
        </w:rPr>
      </w:pPr>
      <w:r>
        <w:rPr>
          <w:rFonts w:hint="eastAsia"/>
          <w:sz w:val="21"/>
          <w:szCs w:val="21"/>
          <w:u w:val="single"/>
        </w:rPr>
        <w:t xml:space="preserve">（14）完成监理爆破规范与行业内容约定的其他工作内容。 </w:t>
      </w:r>
    </w:p>
    <w:p>
      <w:pPr>
        <w:adjustRightInd w:val="0"/>
        <w:snapToGrid w:val="0"/>
        <w:spacing w:line="440" w:lineRule="exact"/>
        <w:ind w:firstLine="420" w:firstLineChars="200"/>
        <w:jc w:val="left"/>
        <w:rPr>
          <w:rFonts w:hint="eastAsia" w:ascii="宋体" w:hAnsi="宋体"/>
          <w:sz w:val="21"/>
          <w:szCs w:val="21"/>
          <w:u w:val="single"/>
        </w:rPr>
      </w:pPr>
      <w:r>
        <w:rPr>
          <w:rFonts w:hint="eastAsia" w:ascii="宋体" w:hAnsi="宋体"/>
          <w:sz w:val="21"/>
          <w:szCs w:val="21"/>
          <w:u w:val="single"/>
        </w:rPr>
        <w:t>（15）配合</w:t>
      </w:r>
      <w:r>
        <w:rPr>
          <w:rFonts w:hint="eastAsia" w:ascii="宋体" w:hAnsi="宋体" w:cs="Arial"/>
          <w:sz w:val="21"/>
          <w:szCs w:val="21"/>
          <w:u w:val="single"/>
        </w:rPr>
        <w:t>项目前期准备工作、配合结算审核</w:t>
      </w:r>
      <w:r>
        <w:rPr>
          <w:rFonts w:hint="eastAsia" w:ascii="宋体" w:hAnsi="宋体"/>
          <w:sz w:val="21"/>
          <w:szCs w:val="21"/>
          <w:u w:val="single"/>
        </w:rPr>
        <w:t>及保修阶段的监理</w:t>
      </w:r>
      <w:r>
        <w:rPr>
          <w:rFonts w:hint="eastAsia" w:ascii="宋体" w:hAnsi="宋体" w:cs="Arial"/>
          <w:sz w:val="21"/>
          <w:szCs w:val="21"/>
          <w:u w:val="single"/>
        </w:rPr>
        <w:t>，但不计入监理服务期。</w:t>
      </w:r>
      <w:r>
        <w:rPr>
          <w:rFonts w:hint="eastAsia"/>
          <w:sz w:val="21"/>
          <w:szCs w:val="21"/>
          <w:u w:val="single"/>
        </w:rPr>
        <w:t>工程结算和保修期间每3个月提供不少于一次的走访服务。保修期间，监理方须根据工程保修需要随时到位服务。检查和记录工程质量缺陷，对缺陷原因进行调查分析并确定责任归属，审核修复方案，监督修复过程并验收。</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 监理与相关服务依据</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2.2.1 监理依据包括：</w:t>
      </w:r>
      <w:r>
        <w:rPr>
          <w:rFonts w:hint="eastAsia" w:ascii="Times New Roman" w:hAnsi="Times New Roman" w:cs="Times New Roman" w:eastAsiaTheme="minorEastAsia"/>
          <w:snapToGrid w:val="0"/>
          <w:sz w:val="21"/>
          <w:szCs w:val="21"/>
          <w:u w:val="single"/>
        </w:rPr>
        <w:t>国家、建设部、项目所在地（浙江省）颁发的的监理法律、行政法规及部门规章；与工程有关的标准、图纸、技术规范、质量检验评定标准、试验规程等；本合同及委托人与第三方签订的与实施工程有关的其他合同、协议及附件；建设批文及相关资料；《中华人民共和国民用爆炸物品安全管理条例》(国务院令第466号)，《爆破安全规程》（GB6722-2003），《爆破作业项目管理要求》（GA991-2012)，《爆破作业单位资质条件和管理要求》（GA990-2012）</w:t>
      </w:r>
      <w:r>
        <w:rPr>
          <w:rFonts w:hint="eastAsia" w:ascii="Times New Roman" w:hAnsi="Times New Roman" w:cs="Times New Roman" w:eastAsiaTheme="minorEastAsia"/>
          <w:snapToGrid w:val="0"/>
          <w:sz w:val="21"/>
          <w:szCs w:val="21"/>
          <w:u w:val="single"/>
          <w:lang w:eastAsia="zh-CN"/>
        </w:rPr>
        <w:t>，《中华人民共和国矿产资源法》、《建设工程质量管理条例》、《浙江省建设工程监理管理条例》、《建设工程监理规范》（GB/T50319-2013）、《施工旁站监理管理办法》等</w:t>
      </w:r>
      <w:r>
        <w:rPr>
          <w:rFonts w:hint="eastAsia" w:ascii="Times New Roman" w:hAnsi="Times New Roman" w:cs="Times New Roman" w:eastAsiaTheme="minorEastAsia"/>
          <w:snapToGrid w:val="0"/>
          <w:sz w:val="21"/>
          <w:szCs w:val="21"/>
          <w:u w:val="single"/>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2.2.2 相关服务依据包括：</w:t>
      </w:r>
      <w:r>
        <w:rPr>
          <w:rFonts w:hint="eastAsia" w:ascii="Times New Roman" w:hAnsi="Times New Roman" w:cs="Times New Roman" w:eastAsiaTheme="minorEastAsia"/>
          <w:snapToGrid w:val="0"/>
          <w:sz w:val="21"/>
          <w:szCs w:val="21"/>
          <w:u w:val="single"/>
        </w:rPr>
        <w:t>相关技术标准、规程、规范</w:t>
      </w:r>
      <w:r>
        <w:rPr>
          <w:rFonts w:ascii="Times New Roman" w:hAnsi="Times New Roman" w:cs="Times New Roman" w:eastAsiaTheme="minorEastAsia"/>
          <w:snapToGrid w:val="0"/>
          <w:sz w:val="21"/>
          <w:szCs w:val="21"/>
          <w:u w:val="single"/>
        </w:rPr>
        <w:t>、监理合同、监理规划和监理细则等</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2.3项目监理机构和人员</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2.3.1监理机构组成要求：</w:t>
      </w:r>
    </w:p>
    <w:p>
      <w:pPr>
        <w:pStyle w:val="84"/>
        <w:numPr>
          <w:ilvl w:val="0"/>
          <w:numId w:val="6"/>
        </w:numPr>
        <w:spacing w:before="0" w:beforeAutospacing="0" w:after="0" w:afterAutospacing="0" w:line="400" w:lineRule="exact"/>
        <w:ind w:firstLine="420"/>
        <w:jc w:val="both"/>
        <w:rPr>
          <w:rFonts w:hint="eastAsia"/>
          <w:color w:val="auto"/>
          <w:sz w:val="21"/>
          <w:szCs w:val="21"/>
          <w:highlight w:val="none"/>
        </w:rPr>
      </w:pPr>
      <w:r>
        <w:rPr>
          <w:rFonts w:hint="eastAsia"/>
          <w:color w:val="auto"/>
          <w:sz w:val="21"/>
          <w:szCs w:val="21"/>
          <w:highlight w:val="none"/>
        </w:rPr>
        <w:t>总监理工程师：1人，已取得《中华人民共和国注册监理工程师注册执业证书》的监理工程师</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矿山工程专业</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（总监理工程师项目施工期间必须到发包人指定地点进行考勤）</w:t>
      </w:r>
      <w:r>
        <w:rPr>
          <w:rFonts w:hint="eastAsia"/>
          <w:color w:val="auto"/>
          <w:sz w:val="21"/>
          <w:szCs w:val="21"/>
          <w:highlight w:val="none"/>
        </w:rPr>
        <w:t>；</w:t>
      </w:r>
    </w:p>
    <w:p>
      <w:pPr>
        <w:pStyle w:val="84"/>
        <w:spacing w:before="0" w:beforeAutospacing="0" w:after="0" w:afterAutospacing="0" w:line="400" w:lineRule="exact"/>
        <w:ind w:firstLine="420"/>
        <w:jc w:val="both"/>
        <w:rPr>
          <w:rFonts w:hint="default" w:eastAsia="宋体"/>
          <w:color w:val="auto"/>
          <w:sz w:val="21"/>
          <w:szCs w:val="21"/>
          <w:highlight w:val="none"/>
          <w:lang w:val="en-US" w:eastAsia="zh-CN"/>
        </w:rPr>
      </w:pPr>
      <w:r>
        <w:rPr>
          <w:rFonts w:hint="eastAsia"/>
          <w:color w:val="auto"/>
          <w:sz w:val="21"/>
          <w:szCs w:val="21"/>
          <w:highlight w:val="none"/>
        </w:rPr>
        <w:t>（</w:t>
      </w:r>
      <w:r>
        <w:rPr>
          <w:rFonts w:hint="eastAsia"/>
          <w:color w:val="auto"/>
          <w:sz w:val="21"/>
          <w:szCs w:val="21"/>
          <w:highlight w:val="none"/>
          <w:lang w:val="en-US" w:eastAsia="zh-CN"/>
        </w:rPr>
        <w:t>2</w:t>
      </w:r>
      <w:r>
        <w:rPr>
          <w:rFonts w:hint="eastAsia"/>
          <w:color w:val="auto"/>
          <w:sz w:val="21"/>
          <w:szCs w:val="21"/>
          <w:highlight w:val="none"/>
        </w:rPr>
        <w:t>）主导专业监理工程师（总监不得兼任）：至少</w:t>
      </w:r>
      <w:r>
        <w:rPr>
          <w:rFonts w:hint="eastAsia"/>
          <w:color w:val="auto"/>
          <w:sz w:val="21"/>
          <w:szCs w:val="21"/>
          <w:highlight w:val="none"/>
          <w:lang w:val="en-US" w:eastAsia="zh-CN"/>
        </w:rPr>
        <w:t>3</w:t>
      </w:r>
      <w:r>
        <w:rPr>
          <w:rFonts w:hint="eastAsia"/>
          <w:color w:val="auto"/>
          <w:sz w:val="21"/>
          <w:szCs w:val="21"/>
          <w:highlight w:val="none"/>
        </w:rPr>
        <w:t>人（</w:t>
      </w:r>
      <w:r>
        <w:rPr>
          <w:rFonts w:hint="eastAsia" w:ascii="宋体" w:hAnsi="宋体" w:eastAsia="宋体" w:cs="Times New Roman"/>
          <w:color w:val="auto"/>
          <w:sz w:val="21"/>
          <w:szCs w:val="21"/>
          <w:highlight w:val="none"/>
        </w:rPr>
        <w:t>其中矿山工程专业1人，</w:t>
      </w:r>
      <w:r>
        <w:rPr>
          <w:rFonts w:hint="eastAsia" w:eastAsia="宋体"/>
          <w:color w:val="auto"/>
          <w:sz w:val="21"/>
          <w:szCs w:val="21"/>
          <w:highlight w:val="none"/>
          <w:lang w:val="en-US" w:eastAsia="zh-CN"/>
        </w:rPr>
        <w:t>市政</w:t>
      </w:r>
      <w:r>
        <w:rPr>
          <w:rFonts w:hint="eastAsia"/>
          <w:color w:val="auto"/>
          <w:sz w:val="21"/>
          <w:szCs w:val="21"/>
          <w:highlight w:val="none"/>
        </w:rPr>
        <w:t>专业</w:t>
      </w:r>
      <w:r>
        <w:rPr>
          <w:rFonts w:hint="eastAsia" w:ascii="宋体" w:hAnsi="宋体" w:eastAsia="宋体" w:cs="Times New Roman"/>
          <w:color w:val="auto"/>
          <w:sz w:val="21"/>
          <w:szCs w:val="21"/>
          <w:highlight w:val="none"/>
        </w:rPr>
        <w:t>1人</w:t>
      </w:r>
      <w:r>
        <w:rPr>
          <w:rFonts w:hint="eastAsia" w:cs="Times New Roman"/>
          <w:color w:val="auto"/>
          <w:sz w:val="21"/>
          <w:szCs w:val="21"/>
          <w:highlight w:val="none"/>
          <w:lang w:eastAsia="zh-CN"/>
        </w:rPr>
        <w:t>，水利工程专业</w:t>
      </w:r>
      <w:r>
        <w:rPr>
          <w:rFonts w:hint="eastAsia"/>
          <w:color w:val="auto"/>
          <w:sz w:val="21"/>
          <w:szCs w:val="21"/>
          <w:highlight w:val="none"/>
        </w:rPr>
        <w:t>1人），要求为已取得《中华人民共和国注册监理工程师注册职业证书》或《浙江省监理工程师证书》</w:t>
      </w:r>
      <w:r>
        <w:rPr>
          <w:rFonts w:hint="eastAsia" w:ascii="宋体" w:hAnsi="宋体" w:eastAsia="宋体" w:cs="宋体"/>
          <w:color w:val="auto"/>
          <w:sz w:val="21"/>
          <w:szCs w:val="21"/>
          <w:highlight w:val="none"/>
          <w:lang w:val="en-US" w:eastAsia="zh-CN"/>
        </w:rPr>
        <w:t>；</w:t>
      </w:r>
    </w:p>
    <w:p>
      <w:pPr>
        <w:pStyle w:val="84"/>
        <w:spacing w:before="0" w:beforeAutospacing="0" w:after="0" w:afterAutospacing="0" w:line="400" w:lineRule="exact"/>
        <w:ind w:firstLine="420"/>
        <w:jc w:val="both"/>
        <w:rPr>
          <w:rFonts w:hint="eastAsia"/>
          <w:color w:val="auto"/>
          <w:sz w:val="21"/>
          <w:szCs w:val="21"/>
          <w:highlight w:val="none"/>
          <w:lang w:val="en-US" w:eastAsia="zh-CN"/>
        </w:rPr>
      </w:pPr>
      <w:r>
        <w:rPr>
          <w:rFonts w:hint="eastAsia"/>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w:t>
      </w:r>
      <w:r>
        <w:rPr>
          <w:rFonts w:hint="eastAsia"/>
          <w:color w:val="auto"/>
          <w:sz w:val="21"/>
          <w:szCs w:val="21"/>
          <w:highlight w:val="none"/>
          <w:lang w:eastAsia="zh-CN"/>
        </w:rPr>
        <w:t>爆破专业监理人员：至少</w:t>
      </w:r>
      <w:r>
        <w:rPr>
          <w:rFonts w:hint="eastAsia"/>
          <w:color w:val="auto"/>
          <w:sz w:val="21"/>
          <w:szCs w:val="21"/>
          <w:highlight w:val="none"/>
          <w:lang w:val="en-US" w:eastAsia="zh-CN"/>
        </w:rPr>
        <w:t>1人，须具有【爆破作业人员许可证（作业类别：中级或B级）或爆破工程技术人员安全作业证（作业级别：中级及以上）】</w:t>
      </w:r>
    </w:p>
    <w:p>
      <w:pPr>
        <w:pStyle w:val="84"/>
        <w:spacing w:before="0" w:beforeAutospacing="0" w:after="0" w:afterAutospacing="0" w:line="400" w:lineRule="exact"/>
        <w:ind w:firstLine="420"/>
        <w:jc w:val="both"/>
        <w:rPr>
          <w:rFonts w:hint="default" w:eastAsia="宋体"/>
          <w:color w:val="auto"/>
          <w:sz w:val="21"/>
          <w:szCs w:val="21"/>
          <w:highlight w:val="none"/>
          <w:lang w:val="en-US" w:eastAsia="zh-CN"/>
        </w:rPr>
      </w:pPr>
      <w:r>
        <w:rPr>
          <w:rFonts w:hint="eastAsia"/>
          <w:color w:val="auto"/>
          <w:sz w:val="21"/>
          <w:szCs w:val="21"/>
          <w:highlight w:val="none"/>
        </w:rPr>
        <w:t>（</w:t>
      </w:r>
      <w:r>
        <w:rPr>
          <w:rFonts w:hint="eastAsia"/>
          <w:color w:val="auto"/>
          <w:sz w:val="21"/>
          <w:szCs w:val="21"/>
          <w:highlight w:val="none"/>
          <w:lang w:val="en-US" w:eastAsia="zh-CN"/>
        </w:rPr>
        <w:t>4</w:t>
      </w:r>
      <w:r>
        <w:rPr>
          <w:rFonts w:hint="eastAsia"/>
          <w:color w:val="auto"/>
          <w:sz w:val="21"/>
          <w:szCs w:val="21"/>
          <w:highlight w:val="none"/>
        </w:rPr>
        <w:t>）监理员：监理员至少</w:t>
      </w:r>
      <w:r>
        <w:rPr>
          <w:rFonts w:hint="eastAsia"/>
          <w:color w:val="auto"/>
          <w:sz w:val="21"/>
          <w:szCs w:val="21"/>
          <w:highlight w:val="none"/>
          <w:lang w:val="en-US" w:eastAsia="zh-CN"/>
        </w:rPr>
        <w:t>4</w:t>
      </w:r>
      <w:r>
        <w:rPr>
          <w:rFonts w:hint="eastAsia"/>
          <w:color w:val="auto"/>
          <w:sz w:val="21"/>
          <w:szCs w:val="21"/>
          <w:highlight w:val="none"/>
        </w:rPr>
        <w:t>人</w:t>
      </w:r>
      <w:r>
        <w:rPr>
          <w:rFonts w:hint="eastAsia"/>
          <w:color w:val="auto"/>
          <w:sz w:val="21"/>
          <w:szCs w:val="21"/>
          <w:highlight w:val="none"/>
          <w:lang w:eastAsia="zh-CN"/>
        </w:rPr>
        <w:t>，</w:t>
      </w:r>
      <w:r>
        <w:rPr>
          <w:rFonts w:hint="eastAsia"/>
          <w:color w:val="auto"/>
          <w:sz w:val="21"/>
          <w:szCs w:val="21"/>
          <w:highlight w:val="none"/>
        </w:rPr>
        <w:t>须持有《监理员培训合格证书》</w:t>
      </w:r>
      <w:r>
        <w:rPr>
          <w:rFonts w:hint="eastAsia"/>
          <w:color w:val="auto"/>
          <w:sz w:val="21"/>
          <w:szCs w:val="21"/>
          <w:highlight w:val="none"/>
          <w:lang w:eastAsia="zh-CN"/>
        </w:rPr>
        <w:t>（其中</w:t>
      </w:r>
      <w:r>
        <w:rPr>
          <w:rFonts w:hint="eastAsia"/>
          <w:color w:val="auto"/>
          <w:sz w:val="21"/>
          <w:szCs w:val="21"/>
          <w:highlight w:val="none"/>
          <w:lang w:val="en-US" w:eastAsia="zh-CN"/>
        </w:rPr>
        <w:t>1人须为矿山工程专业监理员，</w:t>
      </w:r>
      <w:r>
        <w:rPr>
          <w:rFonts w:hint="eastAsia"/>
          <w:color w:val="auto"/>
          <w:sz w:val="21"/>
          <w:szCs w:val="21"/>
          <w:highlight w:val="none"/>
          <w:lang w:eastAsia="zh-CN"/>
        </w:rPr>
        <w:t>1人须专项负责安全工作</w:t>
      </w:r>
      <w:r>
        <w:rPr>
          <w:rFonts w:hint="eastAsia"/>
          <w:color w:val="auto"/>
          <w:sz w:val="21"/>
          <w:szCs w:val="21"/>
          <w:highlight w:val="none"/>
          <w:lang w:val="en-US" w:eastAsia="zh-CN"/>
        </w:rPr>
        <w:t>）</w:t>
      </w:r>
      <w:r>
        <w:rPr>
          <w:rFonts w:hint="eastAsia"/>
          <w:color w:val="auto"/>
          <w:sz w:val="21"/>
          <w:szCs w:val="21"/>
          <w:highlight w:val="none"/>
          <w:lang w:eastAsia="zh-CN"/>
        </w:rPr>
        <w:t>；</w:t>
      </w:r>
    </w:p>
    <w:p>
      <w:pPr>
        <w:pStyle w:val="84"/>
        <w:spacing w:before="0" w:beforeAutospacing="0" w:after="0" w:afterAutospacing="0" w:line="400" w:lineRule="exact"/>
        <w:ind w:firstLine="420"/>
        <w:jc w:val="both"/>
        <w:rPr>
          <w:rFonts w:hint="eastAsia"/>
          <w:color w:val="auto"/>
          <w:sz w:val="21"/>
          <w:szCs w:val="21"/>
          <w:highlight w:val="none"/>
        </w:rPr>
      </w:pPr>
      <w:r>
        <w:rPr>
          <w:rFonts w:hint="eastAsia"/>
          <w:color w:val="auto"/>
          <w:sz w:val="21"/>
          <w:szCs w:val="21"/>
          <w:highlight w:val="none"/>
        </w:rPr>
        <w:t>（5）造价人员：至少1人，须持有《中华人民共和国一级造价工程师》注册证书</w:t>
      </w:r>
      <w:r>
        <w:rPr>
          <w:rFonts w:hint="eastAsia"/>
          <w:color w:val="auto"/>
          <w:sz w:val="21"/>
          <w:szCs w:val="21"/>
          <w:highlight w:val="none"/>
          <w:lang w:eastAsia="zh-CN"/>
        </w:rPr>
        <w:t>；</w:t>
      </w:r>
    </w:p>
    <w:p>
      <w:pPr>
        <w:pStyle w:val="84"/>
        <w:spacing w:before="0" w:beforeAutospacing="0" w:after="0" w:afterAutospacing="0" w:line="400" w:lineRule="exact"/>
        <w:ind w:firstLine="420"/>
        <w:jc w:val="both"/>
        <w:rPr>
          <w:rFonts w:hint="eastAsia"/>
          <w:color w:val="auto"/>
          <w:sz w:val="21"/>
          <w:szCs w:val="21"/>
          <w:highlight w:val="none"/>
        </w:rPr>
      </w:pPr>
      <w:r>
        <w:rPr>
          <w:rFonts w:hint="eastAsia"/>
          <w:color w:val="auto"/>
          <w:sz w:val="21"/>
          <w:szCs w:val="21"/>
          <w:highlight w:val="none"/>
        </w:rPr>
        <w:t>（</w:t>
      </w:r>
      <w:r>
        <w:rPr>
          <w:rFonts w:hint="eastAsia"/>
          <w:color w:val="auto"/>
          <w:sz w:val="21"/>
          <w:szCs w:val="21"/>
          <w:highlight w:val="none"/>
          <w:lang w:val="en-US" w:eastAsia="zh-CN"/>
        </w:rPr>
        <w:t>6</w:t>
      </w:r>
      <w:r>
        <w:rPr>
          <w:rFonts w:hint="eastAsia"/>
          <w:color w:val="auto"/>
          <w:sz w:val="21"/>
          <w:szCs w:val="21"/>
          <w:highlight w:val="none"/>
        </w:rPr>
        <w:t>）</w:t>
      </w:r>
      <w:r>
        <w:rPr>
          <w:rFonts w:hint="eastAsia"/>
          <w:color w:val="auto"/>
          <w:kern w:val="2"/>
          <w:sz w:val="21"/>
          <w:szCs w:val="21"/>
          <w:highlight w:val="none"/>
        </w:rPr>
        <w:t>专职资料员：至少1 人。</w:t>
      </w:r>
    </w:p>
    <w:p>
      <w:pPr>
        <w:pStyle w:val="84"/>
        <w:spacing w:before="0" w:beforeAutospacing="0" w:after="0" w:afterAutospacing="0" w:line="400" w:lineRule="exact"/>
        <w:ind w:firstLine="420"/>
        <w:jc w:val="both"/>
        <w:rPr>
          <w:rFonts w:hint="eastAsia"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cs="宋体"/>
          <w:color w:val="auto"/>
          <w:sz w:val="21"/>
          <w:szCs w:val="21"/>
          <w:highlight w:val="none"/>
          <w:lang w:val="en-US" w:eastAsia="zh-CN"/>
        </w:rPr>
        <w:t>监理机构组成应根据工程实际进展及业主单位需要确保工程相应专业人员配套齐全、安排充足。</w:t>
      </w:r>
    </w:p>
    <w:p>
      <w:pPr>
        <w:pStyle w:val="84"/>
        <w:spacing w:before="0" w:beforeAutospacing="0" w:after="0" w:afterAutospacing="0" w:line="400" w:lineRule="exact"/>
        <w:jc w:val="center"/>
        <w:rPr>
          <w:rFonts w:hint="eastAsia"/>
          <w:b/>
          <w:bCs/>
          <w:color w:val="auto"/>
          <w:sz w:val="21"/>
          <w:szCs w:val="21"/>
          <w:highlight w:val="none"/>
        </w:rPr>
      </w:pPr>
      <w:r>
        <w:rPr>
          <w:rFonts w:hint="eastAsia"/>
          <w:b/>
          <w:bCs/>
          <w:color w:val="auto"/>
          <w:sz w:val="21"/>
          <w:szCs w:val="21"/>
          <w:highlight w:val="none"/>
        </w:rPr>
        <w:t>监理人员一览表</w:t>
      </w:r>
    </w:p>
    <w:tbl>
      <w:tblPr>
        <w:tblStyle w:val="90"/>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017"/>
        <w:gridCol w:w="1122"/>
        <w:gridCol w:w="1505"/>
        <w:gridCol w:w="1361"/>
        <w:gridCol w:w="23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459" w:type="dxa"/>
            <w:noWrap w:val="0"/>
            <w:vAlign w:val="center"/>
          </w:tcPr>
          <w:p>
            <w:pPr>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职务</w:t>
            </w:r>
          </w:p>
        </w:tc>
        <w:tc>
          <w:tcPr>
            <w:tcW w:w="1017" w:type="dxa"/>
            <w:noWrap w:val="0"/>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姓名</w:t>
            </w:r>
          </w:p>
        </w:tc>
        <w:tc>
          <w:tcPr>
            <w:tcW w:w="1122" w:type="dxa"/>
            <w:tcBorders>
              <w:bottom w:val="single" w:color="auto" w:sz="4" w:space="0"/>
            </w:tcBorders>
            <w:noWrap w:val="0"/>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岗位证书号码</w:t>
            </w:r>
          </w:p>
        </w:tc>
        <w:tc>
          <w:tcPr>
            <w:tcW w:w="1505" w:type="dxa"/>
            <w:noWrap w:val="0"/>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身份证号</w:t>
            </w:r>
          </w:p>
        </w:tc>
        <w:tc>
          <w:tcPr>
            <w:tcW w:w="1361" w:type="dxa"/>
            <w:tcBorders>
              <w:bottom w:val="single" w:color="auto" w:sz="4" w:space="0"/>
            </w:tcBorders>
            <w:noWrap w:val="0"/>
            <w:vAlign w:val="center"/>
          </w:tcPr>
          <w:p>
            <w:pPr>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进场安排</w:t>
            </w:r>
          </w:p>
        </w:tc>
        <w:tc>
          <w:tcPr>
            <w:tcW w:w="2325" w:type="dxa"/>
            <w:tcBorders>
              <w:bottom w:val="single" w:color="auto" w:sz="4" w:space="0"/>
            </w:tcBorders>
            <w:noWrap w:val="0"/>
            <w:vAlign w:val="center"/>
          </w:tcPr>
          <w:p>
            <w:pPr>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须提供的证书</w:t>
            </w:r>
          </w:p>
        </w:tc>
        <w:tc>
          <w:tcPr>
            <w:tcW w:w="567" w:type="dxa"/>
            <w:tcBorders>
              <w:bottom w:val="single" w:color="auto" w:sz="4" w:space="0"/>
            </w:tcBorders>
            <w:noWrap w:val="0"/>
            <w:vAlign w:val="center"/>
          </w:tcPr>
          <w:p>
            <w:pPr>
              <w:ind w:left="32" w:leftChars="-32" w:right="-73" w:rightChars="-33" w:hanging="102" w:hangingChars="49"/>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459" w:type="dxa"/>
            <w:noWrap w:val="0"/>
            <w:vAlign w:val="center"/>
          </w:tcPr>
          <w:p>
            <w:pPr>
              <w:ind w:left="-75" w:leftChars="-34" w:right="-73" w:rightChars="-33" w:firstLine="2"/>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总监(</w:t>
            </w:r>
            <w:r>
              <w:rPr>
                <w:rFonts w:hint="eastAsia" w:cs="宋体"/>
                <w:color w:val="auto"/>
                <w:sz w:val="21"/>
                <w:szCs w:val="21"/>
                <w:highlight w:val="none"/>
                <w:lang w:val="en-US" w:eastAsia="zh-CN"/>
              </w:rPr>
              <w:t>矿山工程专业</w:t>
            </w:r>
            <w:r>
              <w:rPr>
                <w:rFonts w:hint="eastAsia" w:ascii="宋体" w:hAnsi="宋体" w:eastAsia="宋体"/>
                <w:color w:val="auto"/>
                <w:sz w:val="21"/>
                <w:szCs w:val="21"/>
                <w:highlight w:val="none"/>
              </w:rPr>
              <w:t>)</w:t>
            </w:r>
          </w:p>
        </w:tc>
        <w:tc>
          <w:tcPr>
            <w:tcW w:w="1017" w:type="dxa"/>
            <w:noWrap w:val="0"/>
            <w:vAlign w:val="center"/>
          </w:tcPr>
          <w:p>
            <w:pPr>
              <w:jc w:val="center"/>
              <w:rPr>
                <w:rFonts w:ascii="宋体" w:hAnsi="宋体" w:eastAsia="宋体"/>
                <w:color w:val="auto"/>
                <w:sz w:val="21"/>
                <w:szCs w:val="21"/>
                <w:highlight w:val="none"/>
              </w:rPr>
            </w:pPr>
          </w:p>
        </w:tc>
        <w:tc>
          <w:tcPr>
            <w:tcW w:w="1122" w:type="dxa"/>
            <w:tcBorders>
              <w:bottom w:val="single" w:color="auto" w:sz="4" w:space="0"/>
            </w:tcBorders>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tcBorders>
              <w:bottom w:val="single" w:color="auto" w:sz="4" w:space="0"/>
            </w:tcBorders>
            <w:noWrap w:val="0"/>
            <w:vAlign w:val="center"/>
          </w:tcPr>
          <w:p>
            <w:pPr>
              <w:jc w:val="center"/>
              <w:rPr>
                <w:rFonts w:ascii="宋体" w:hAnsi="宋体" w:eastAsia="宋体"/>
                <w:color w:val="auto"/>
                <w:sz w:val="21"/>
                <w:szCs w:val="21"/>
                <w:highlight w:val="none"/>
              </w:rPr>
            </w:pPr>
          </w:p>
        </w:tc>
        <w:tc>
          <w:tcPr>
            <w:tcW w:w="2325" w:type="dxa"/>
            <w:tcBorders>
              <w:bottom w:val="single" w:color="auto" w:sz="4" w:space="0"/>
            </w:tcBorders>
            <w:noWrap w:val="0"/>
            <w:vAlign w:val="center"/>
          </w:tcPr>
          <w:p>
            <w:pPr>
              <w:ind w:left="33" w:leftChars="-60" w:right="-88" w:rightChars="-40" w:hanging="165" w:hangingChars="92"/>
              <w:rPr>
                <w:rFonts w:ascii="宋体" w:hAnsi="宋体" w:eastAsia="宋体"/>
                <w:color w:val="auto"/>
                <w:sz w:val="18"/>
                <w:szCs w:val="18"/>
                <w:highlight w:val="none"/>
              </w:rPr>
            </w:pPr>
            <w:r>
              <w:rPr>
                <w:rFonts w:hint="eastAsia" w:ascii="宋体" w:hAnsi="宋体" w:eastAsia="宋体"/>
                <w:color w:val="auto"/>
                <w:sz w:val="18"/>
                <w:szCs w:val="18"/>
                <w:highlight w:val="none"/>
              </w:rPr>
              <w:t>《</w:t>
            </w:r>
            <w:r>
              <w:rPr>
                <w:rFonts w:ascii="宋体" w:hAnsi="宋体" w:eastAsia="宋体"/>
                <w:color w:val="auto"/>
                <w:sz w:val="18"/>
                <w:szCs w:val="18"/>
                <w:highlight w:val="none"/>
              </w:rPr>
              <w:t>中华人民共和国注册监理工程师注册执业证书</w:t>
            </w:r>
            <w:r>
              <w:rPr>
                <w:rFonts w:hint="eastAsia" w:ascii="宋体" w:hAnsi="宋体" w:eastAsia="宋体"/>
                <w:color w:val="auto"/>
                <w:sz w:val="18"/>
                <w:szCs w:val="18"/>
                <w:highlight w:val="none"/>
              </w:rPr>
              <w:t>》</w:t>
            </w:r>
          </w:p>
        </w:tc>
        <w:tc>
          <w:tcPr>
            <w:tcW w:w="567" w:type="dxa"/>
            <w:tcBorders>
              <w:bottom w:val="single" w:color="auto" w:sz="4" w:space="0"/>
            </w:tcBorders>
            <w:noWrap w:val="0"/>
            <w:vAlign w:val="center"/>
          </w:tcPr>
          <w:p>
            <w:pPr>
              <w:ind w:left="-70" w:leftChars="-32" w:right="-73" w:rightChars="-33" w:firstLine="2"/>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必须</w:t>
            </w:r>
          </w:p>
          <w:p>
            <w:pPr>
              <w:ind w:left="-70" w:leftChars="-32" w:right="-73" w:rightChars="-33" w:firstLine="2"/>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exact"/>
        </w:trPr>
        <w:tc>
          <w:tcPr>
            <w:tcW w:w="1459" w:type="dxa"/>
            <w:noWrap w:val="0"/>
            <w:vAlign w:val="center"/>
          </w:tcPr>
          <w:p>
            <w:pPr>
              <w:ind w:left="-75" w:leftChars="-34" w:right="-73" w:rightChars="-33" w:firstLine="2"/>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主导专业监理工程师（</w:t>
            </w:r>
            <w:r>
              <w:rPr>
                <w:rFonts w:hint="eastAsia"/>
                <w:color w:val="auto"/>
                <w:sz w:val="21"/>
                <w:szCs w:val="21"/>
                <w:highlight w:val="none"/>
                <w:lang w:eastAsia="zh-CN"/>
              </w:rPr>
              <w:t>矿山专业</w:t>
            </w:r>
            <w:r>
              <w:rPr>
                <w:rFonts w:hint="eastAsia" w:ascii="宋体" w:hAnsi="宋体" w:eastAsia="宋体"/>
                <w:color w:val="auto"/>
                <w:sz w:val="21"/>
                <w:szCs w:val="21"/>
                <w:highlight w:val="none"/>
              </w:rPr>
              <w:t>）</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left="33" w:leftChars="-60" w:right="-88" w:rightChars="-40" w:hanging="165" w:hangingChars="92"/>
              <w:rPr>
                <w:rFonts w:ascii="宋体" w:hAnsi="宋体" w:eastAsia="宋体"/>
                <w:color w:val="auto"/>
                <w:sz w:val="18"/>
                <w:szCs w:val="18"/>
                <w:highlight w:val="none"/>
              </w:rPr>
            </w:pPr>
            <w:r>
              <w:rPr>
                <w:rFonts w:hint="eastAsia" w:ascii="宋体" w:hAnsi="宋体" w:eastAsia="宋体"/>
                <w:color w:val="auto"/>
                <w:sz w:val="18"/>
                <w:szCs w:val="18"/>
                <w:highlight w:val="none"/>
              </w:rPr>
              <w:t>《</w:t>
            </w:r>
            <w:r>
              <w:rPr>
                <w:rFonts w:ascii="宋体" w:hAnsi="宋体" w:eastAsia="宋体"/>
                <w:color w:val="auto"/>
                <w:sz w:val="18"/>
                <w:szCs w:val="18"/>
                <w:highlight w:val="none"/>
              </w:rPr>
              <w:t>中华人民共和国注册监理工程师注册执业证书</w:t>
            </w:r>
            <w:r>
              <w:rPr>
                <w:rFonts w:hint="eastAsia" w:ascii="宋体" w:hAnsi="宋体" w:eastAsia="宋体"/>
                <w:color w:val="auto"/>
                <w:sz w:val="18"/>
                <w:szCs w:val="18"/>
                <w:highlight w:val="none"/>
              </w:rPr>
              <w:t>》或《浙江省监理工程师证书》或</w:t>
            </w:r>
            <w:r>
              <w:rPr>
                <w:rFonts w:hint="eastAsia" w:ascii="宋体" w:hAnsi="宋体" w:eastAsia="宋体" w:cs="Times New Roman"/>
                <w:color w:val="auto"/>
                <w:sz w:val="18"/>
                <w:szCs w:val="18"/>
                <w:highlight w:val="none"/>
                <w:lang w:val="en-US" w:eastAsia="zh-CN"/>
              </w:rPr>
              <w:t>工程师证（矿建或采矿专业）；</w:t>
            </w:r>
          </w:p>
        </w:tc>
        <w:tc>
          <w:tcPr>
            <w:tcW w:w="567" w:type="dxa"/>
            <w:noWrap w:val="0"/>
            <w:vAlign w:val="center"/>
          </w:tcPr>
          <w:p>
            <w:pPr>
              <w:ind w:left="-70" w:leftChars="-32" w:right="-73" w:rightChars="-33" w:firstLine="2"/>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必须</w:t>
            </w:r>
          </w:p>
          <w:p>
            <w:pPr>
              <w:ind w:left="-70" w:leftChars="-32" w:right="-73" w:rightChars="-33" w:firstLine="2"/>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exact"/>
        </w:trPr>
        <w:tc>
          <w:tcPr>
            <w:tcW w:w="1459" w:type="dxa"/>
            <w:noWrap w:val="0"/>
            <w:vAlign w:val="center"/>
          </w:tcPr>
          <w:p>
            <w:pPr>
              <w:ind w:left="-75" w:leftChars="-34" w:right="-73" w:rightChars="-33" w:firstLine="2"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主导专业监理工程师（</w:t>
            </w:r>
            <w:r>
              <w:rPr>
                <w:rFonts w:hint="eastAsia"/>
                <w:color w:val="auto"/>
                <w:sz w:val="21"/>
                <w:szCs w:val="21"/>
                <w:highlight w:val="none"/>
                <w:lang w:eastAsia="zh-CN"/>
              </w:rPr>
              <w:t>市政专业</w:t>
            </w:r>
            <w:r>
              <w:rPr>
                <w:rFonts w:hint="eastAsia" w:ascii="宋体" w:hAnsi="宋体" w:eastAsia="宋体"/>
                <w:color w:val="auto"/>
                <w:sz w:val="21"/>
                <w:szCs w:val="21"/>
                <w:highlight w:val="none"/>
              </w:rPr>
              <w:t>）</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left="33" w:leftChars="-60" w:right="-88" w:rightChars="-40" w:hanging="165" w:hangingChars="92"/>
              <w:rPr>
                <w:rFonts w:ascii="宋体" w:hAnsi="宋体" w:eastAsia="宋体"/>
                <w:color w:val="auto"/>
                <w:sz w:val="18"/>
                <w:szCs w:val="18"/>
                <w:highlight w:val="none"/>
              </w:rPr>
            </w:pPr>
            <w:r>
              <w:rPr>
                <w:rFonts w:hint="eastAsia" w:ascii="宋体" w:hAnsi="宋体" w:eastAsia="宋体"/>
                <w:color w:val="auto"/>
                <w:sz w:val="18"/>
                <w:szCs w:val="18"/>
                <w:highlight w:val="none"/>
              </w:rPr>
              <w:t>《</w:t>
            </w:r>
            <w:r>
              <w:rPr>
                <w:rFonts w:ascii="宋体" w:hAnsi="宋体" w:eastAsia="宋体"/>
                <w:color w:val="auto"/>
                <w:sz w:val="18"/>
                <w:szCs w:val="18"/>
                <w:highlight w:val="none"/>
              </w:rPr>
              <w:t>中华人民共和国注册监理工程师注册执业证书</w:t>
            </w:r>
            <w:r>
              <w:rPr>
                <w:rFonts w:hint="eastAsia" w:ascii="宋体" w:hAnsi="宋体" w:eastAsia="宋体"/>
                <w:color w:val="auto"/>
                <w:sz w:val="18"/>
                <w:szCs w:val="18"/>
                <w:highlight w:val="none"/>
              </w:rPr>
              <w:t>》或《浙江省监理工程师证书》</w:t>
            </w:r>
          </w:p>
        </w:tc>
        <w:tc>
          <w:tcPr>
            <w:tcW w:w="567" w:type="dxa"/>
            <w:noWrap w:val="0"/>
            <w:vAlign w:val="center"/>
          </w:tcPr>
          <w:p>
            <w:pPr>
              <w:ind w:left="-70" w:leftChars="-32" w:right="-73" w:rightChars="-33" w:firstLine="2"/>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必须</w:t>
            </w:r>
          </w:p>
          <w:p>
            <w:pPr>
              <w:ind w:left="-70" w:leftChars="-32" w:right="-73" w:rightChars="-33" w:firstLine="2"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exact"/>
        </w:trPr>
        <w:tc>
          <w:tcPr>
            <w:tcW w:w="1459" w:type="dxa"/>
            <w:noWrap w:val="0"/>
            <w:vAlign w:val="center"/>
          </w:tcPr>
          <w:p>
            <w:pPr>
              <w:ind w:left="-75" w:leftChars="-34" w:right="-73" w:rightChars="-33" w:firstLine="2" w:firstLineChars="0"/>
              <w:jc w:val="center"/>
              <w:rPr>
                <w:rFonts w:hint="eastAsia" w:ascii="宋体" w:hAnsi="宋体" w:eastAsia="宋体" w:cs="宋体"/>
                <w:color w:val="auto"/>
                <w:sz w:val="21"/>
                <w:szCs w:val="21"/>
                <w:highlight w:val="none"/>
                <w:lang w:val="zh-CN" w:eastAsia="zh-CN" w:bidi="zh-CN"/>
              </w:rPr>
            </w:pPr>
            <w:r>
              <w:rPr>
                <w:rFonts w:hint="eastAsia" w:ascii="宋体" w:hAnsi="宋体" w:eastAsia="宋体"/>
                <w:color w:val="auto"/>
                <w:sz w:val="21"/>
                <w:szCs w:val="21"/>
                <w:highlight w:val="none"/>
              </w:rPr>
              <w:t>主导专业监理工程师（</w:t>
            </w:r>
            <w:r>
              <w:rPr>
                <w:rFonts w:hint="eastAsia"/>
                <w:color w:val="auto"/>
                <w:sz w:val="21"/>
                <w:szCs w:val="21"/>
                <w:highlight w:val="none"/>
                <w:lang w:eastAsia="zh-CN"/>
              </w:rPr>
              <w:t>水利专业</w:t>
            </w:r>
            <w:r>
              <w:rPr>
                <w:rFonts w:hint="eastAsia" w:ascii="宋体" w:hAnsi="宋体" w:eastAsia="宋体"/>
                <w:color w:val="auto"/>
                <w:sz w:val="21"/>
                <w:szCs w:val="21"/>
                <w:highlight w:val="none"/>
              </w:rPr>
              <w:t>）</w:t>
            </w:r>
          </w:p>
        </w:tc>
        <w:tc>
          <w:tcPr>
            <w:tcW w:w="1017" w:type="dxa"/>
            <w:noWrap w:val="0"/>
            <w:vAlign w:val="center"/>
          </w:tcPr>
          <w:p>
            <w:pPr>
              <w:jc w:val="center"/>
              <w:rPr>
                <w:rFonts w:ascii="宋体" w:hAnsi="宋体" w:eastAsia="宋体" w:cs="宋体"/>
                <w:color w:val="auto"/>
                <w:sz w:val="21"/>
                <w:szCs w:val="21"/>
                <w:highlight w:val="none"/>
                <w:lang w:val="zh-CN" w:eastAsia="zh-CN" w:bidi="zh-CN"/>
              </w:rPr>
            </w:pPr>
          </w:p>
        </w:tc>
        <w:tc>
          <w:tcPr>
            <w:tcW w:w="1122" w:type="dxa"/>
            <w:noWrap w:val="0"/>
            <w:vAlign w:val="center"/>
          </w:tcPr>
          <w:p>
            <w:pPr>
              <w:jc w:val="center"/>
              <w:rPr>
                <w:rFonts w:ascii="宋体" w:hAnsi="宋体" w:eastAsia="宋体" w:cs="宋体"/>
                <w:color w:val="auto"/>
                <w:sz w:val="21"/>
                <w:szCs w:val="21"/>
                <w:highlight w:val="none"/>
                <w:lang w:val="zh-CN" w:eastAsia="zh-CN" w:bidi="zh-CN"/>
              </w:rPr>
            </w:pPr>
          </w:p>
        </w:tc>
        <w:tc>
          <w:tcPr>
            <w:tcW w:w="1505" w:type="dxa"/>
            <w:noWrap w:val="0"/>
            <w:vAlign w:val="center"/>
          </w:tcPr>
          <w:p>
            <w:pPr>
              <w:jc w:val="center"/>
              <w:rPr>
                <w:rFonts w:ascii="宋体" w:hAnsi="宋体" w:eastAsia="宋体" w:cs="宋体"/>
                <w:color w:val="auto"/>
                <w:sz w:val="21"/>
                <w:szCs w:val="21"/>
                <w:highlight w:val="none"/>
                <w:lang w:val="zh-CN" w:eastAsia="zh-CN" w:bidi="zh-CN"/>
              </w:rPr>
            </w:pPr>
          </w:p>
        </w:tc>
        <w:tc>
          <w:tcPr>
            <w:tcW w:w="1361" w:type="dxa"/>
            <w:noWrap w:val="0"/>
            <w:vAlign w:val="center"/>
          </w:tcPr>
          <w:p>
            <w:pPr>
              <w:jc w:val="center"/>
              <w:rPr>
                <w:rFonts w:ascii="宋体" w:hAnsi="宋体" w:eastAsia="宋体" w:cs="宋体"/>
                <w:color w:val="auto"/>
                <w:sz w:val="21"/>
                <w:szCs w:val="21"/>
                <w:highlight w:val="none"/>
                <w:lang w:val="zh-CN" w:eastAsia="zh-CN" w:bidi="zh-CN"/>
              </w:rPr>
            </w:pPr>
          </w:p>
        </w:tc>
        <w:tc>
          <w:tcPr>
            <w:tcW w:w="2325" w:type="dxa"/>
            <w:noWrap w:val="0"/>
            <w:vAlign w:val="center"/>
          </w:tcPr>
          <w:p>
            <w:pPr>
              <w:ind w:left="33" w:leftChars="-60" w:right="-88" w:rightChars="-40" w:hanging="165" w:hangingChars="92"/>
              <w:rPr>
                <w:rFonts w:hint="eastAsia" w:ascii="宋体" w:hAnsi="宋体" w:eastAsia="宋体" w:cs="宋体"/>
                <w:color w:val="auto"/>
                <w:sz w:val="18"/>
                <w:szCs w:val="18"/>
                <w:highlight w:val="none"/>
                <w:lang w:val="zh-CN" w:eastAsia="zh-CN" w:bidi="zh-CN"/>
              </w:rPr>
            </w:pPr>
            <w:r>
              <w:rPr>
                <w:rFonts w:hint="eastAsia" w:ascii="宋体" w:hAnsi="宋体" w:eastAsia="宋体"/>
                <w:color w:val="auto"/>
                <w:sz w:val="18"/>
                <w:szCs w:val="18"/>
                <w:highlight w:val="none"/>
              </w:rPr>
              <w:t>《</w:t>
            </w:r>
            <w:r>
              <w:rPr>
                <w:rFonts w:ascii="宋体" w:hAnsi="宋体" w:eastAsia="宋体"/>
                <w:color w:val="auto"/>
                <w:sz w:val="18"/>
                <w:szCs w:val="18"/>
                <w:highlight w:val="none"/>
              </w:rPr>
              <w:t>中华人民共和国注册监理工程师注册执业证书</w:t>
            </w:r>
            <w:r>
              <w:rPr>
                <w:rFonts w:hint="eastAsia" w:ascii="宋体" w:hAnsi="宋体" w:eastAsia="宋体"/>
                <w:color w:val="auto"/>
                <w:sz w:val="18"/>
                <w:szCs w:val="18"/>
                <w:highlight w:val="none"/>
              </w:rPr>
              <w:t>》或《浙江省监理工程师证书》</w:t>
            </w:r>
          </w:p>
        </w:tc>
        <w:tc>
          <w:tcPr>
            <w:tcW w:w="567" w:type="dxa"/>
            <w:noWrap w:val="0"/>
            <w:vAlign w:val="center"/>
          </w:tcPr>
          <w:p>
            <w:pPr>
              <w:ind w:left="-70" w:leftChars="-32" w:right="-73" w:rightChars="-33" w:firstLine="2"/>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必须</w:t>
            </w:r>
          </w:p>
          <w:p>
            <w:pPr>
              <w:ind w:left="-70" w:leftChars="-32" w:right="-73" w:rightChars="-33" w:firstLine="2" w:firstLineChars="0"/>
              <w:jc w:val="center"/>
              <w:rPr>
                <w:rFonts w:hint="eastAsia" w:ascii="宋体" w:hAnsi="宋体" w:eastAsia="宋体" w:cs="宋体"/>
                <w:color w:val="auto"/>
                <w:sz w:val="21"/>
                <w:szCs w:val="21"/>
                <w:highlight w:val="none"/>
                <w:lang w:val="zh-CN" w:eastAsia="zh-CN" w:bidi="zh-CN"/>
              </w:rPr>
            </w:pPr>
            <w:r>
              <w:rPr>
                <w:rFonts w:hint="eastAsia" w:ascii="宋体" w:hAnsi="宋体" w:eastAsia="宋体"/>
                <w:color w:val="auto"/>
                <w:sz w:val="21"/>
                <w:szCs w:val="21"/>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exact"/>
        </w:trPr>
        <w:tc>
          <w:tcPr>
            <w:tcW w:w="1459" w:type="dxa"/>
            <w:noWrap w:val="0"/>
            <w:vAlign w:val="center"/>
          </w:tcPr>
          <w:p>
            <w:pPr>
              <w:ind w:left="-75" w:leftChars="-34" w:right="-73" w:rightChars="-33" w:firstLine="2" w:firstLineChars="0"/>
              <w:jc w:val="center"/>
              <w:rPr>
                <w:rFonts w:hint="eastAsia" w:ascii="宋体" w:hAnsi="宋体" w:eastAsia="宋体"/>
                <w:color w:val="auto"/>
                <w:sz w:val="21"/>
                <w:szCs w:val="21"/>
                <w:highlight w:val="none"/>
              </w:rPr>
            </w:pPr>
            <w:r>
              <w:rPr>
                <w:rFonts w:hint="eastAsia"/>
                <w:color w:val="auto"/>
                <w:sz w:val="21"/>
                <w:szCs w:val="21"/>
                <w:highlight w:val="none"/>
                <w:lang w:eastAsia="zh-CN"/>
              </w:rPr>
              <w:t>爆破专业监理人员</w:t>
            </w:r>
            <w:r>
              <w:rPr>
                <w:rFonts w:hint="eastAsia" w:ascii="宋体" w:hAnsi="宋体" w:eastAsia="宋体"/>
                <w:color w:val="auto"/>
                <w:sz w:val="21"/>
                <w:szCs w:val="21"/>
                <w:highlight w:val="none"/>
              </w:rPr>
              <w:t>（总监不得兼任）</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left="33" w:leftChars="-60" w:right="-88" w:rightChars="-40" w:hanging="165" w:hangingChars="92"/>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须具有【爆破作业人员许可证（作业类别：中级或B级）极或爆破工程技术人员安全作业证（作业级别：中级及以上）】</w:t>
            </w:r>
          </w:p>
        </w:tc>
        <w:tc>
          <w:tcPr>
            <w:tcW w:w="567" w:type="dxa"/>
            <w:noWrap w:val="0"/>
            <w:vAlign w:val="center"/>
          </w:tcPr>
          <w:p>
            <w:pPr>
              <w:ind w:left="-70" w:leftChars="-32" w:right="-73" w:rightChars="-33" w:firstLine="2"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必须</w:t>
            </w:r>
          </w:p>
          <w:p>
            <w:pPr>
              <w:ind w:left="-70" w:leftChars="-32" w:right="-73" w:rightChars="-33" w:firstLine="2"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21"/>
                <w:szCs w:val="21"/>
                <w:highlight w:val="none"/>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exact"/>
        </w:trPr>
        <w:tc>
          <w:tcPr>
            <w:tcW w:w="1459" w:type="dxa"/>
            <w:noWrap w:val="0"/>
            <w:vAlign w:val="center"/>
          </w:tcPr>
          <w:p>
            <w:pPr>
              <w:ind w:left="-75" w:leftChars="-34" w:right="-73" w:rightChars="-33" w:firstLine="2"/>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left="61" w:leftChars="-60" w:right="-88" w:rightChars="-40" w:hanging="193" w:hangingChars="92"/>
              <w:rPr>
                <w:rFonts w:hint="eastAsia" w:ascii="宋体" w:hAnsi="宋体" w:eastAsia="宋体"/>
                <w:color w:val="auto"/>
                <w:sz w:val="21"/>
                <w:szCs w:val="21"/>
                <w:highlight w:val="none"/>
              </w:rPr>
            </w:pPr>
          </w:p>
        </w:tc>
        <w:tc>
          <w:tcPr>
            <w:tcW w:w="567" w:type="dxa"/>
            <w:noWrap w:val="0"/>
            <w:vAlign w:val="center"/>
          </w:tcPr>
          <w:p>
            <w:pPr>
              <w:ind w:left="-70" w:leftChars="-32" w:right="-73" w:rightChars="-33" w:firstLine="2"/>
              <w:jc w:val="center"/>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exact"/>
        </w:trPr>
        <w:tc>
          <w:tcPr>
            <w:tcW w:w="1459" w:type="dxa"/>
            <w:noWrap w:val="0"/>
            <w:vAlign w:val="center"/>
          </w:tcPr>
          <w:p>
            <w:pPr>
              <w:jc w:val="center"/>
              <w:rPr>
                <w:rFonts w:ascii="宋体" w:hAnsi="宋体"/>
                <w:color w:val="000000"/>
                <w:szCs w:val="21"/>
              </w:rPr>
            </w:pPr>
            <w:r>
              <w:rPr>
                <w:rFonts w:hint="eastAsia" w:ascii="宋体" w:hAnsi="宋体"/>
                <w:color w:val="000000"/>
                <w:szCs w:val="21"/>
              </w:rPr>
              <w:t>监理员</w:t>
            </w:r>
          </w:p>
          <w:p>
            <w:pPr>
              <w:jc w:val="center"/>
              <w:rPr>
                <w:rFonts w:ascii="宋体" w:hAnsi="宋体" w:eastAsia="宋体"/>
                <w:color w:val="auto"/>
                <w:sz w:val="21"/>
                <w:szCs w:val="21"/>
                <w:highlight w:val="none"/>
              </w:rPr>
            </w:pPr>
            <w:r>
              <w:rPr>
                <w:rFonts w:hint="eastAsia" w:ascii="宋体" w:hAnsi="宋体"/>
                <w:color w:val="000000"/>
                <w:szCs w:val="21"/>
              </w:rPr>
              <w:t>（</w:t>
            </w:r>
            <w:r>
              <w:rPr>
                <w:rFonts w:hint="eastAsia"/>
                <w:szCs w:val="21"/>
              </w:rPr>
              <w:t>矿山工程专业</w:t>
            </w:r>
            <w:r>
              <w:rPr>
                <w:rFonts w:hint="eastAsia" w:ascii="宋体" w:hAnsi="宋体"/>
                <w:color w:val="000000"/>
                <w:szCs w:val="21"/>
              </w:rPr>
              <w:t>）</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right="-77" w:rightChars="-35"/>
              <w:jc w:val="center"/>
              <w:rPr>
                <w:rFonts w:hint="eastAsia" w:ascii="宋体" w:hAnsi="宋体" w:eastAsia="宋体"/>
                <w:color w:val="auto"/>
                <w:sz w:val="21"/>
                <w:szCs w:val="21"/>
                <w:highlight w:val="none"/>
              </w:rPr>
            </w:pPr>
            <w:r>
              <w:rPr>
                <w:rFonts w:hint="eastAsia" w:ascii="宋体" w:hAnsi="宋体"/>
                <w:color w:val="000000"/>
                <w:szCs w:val="21"/>
              </w:rPr>
              <w:t>矿山工程专业监理员证书</w:t>
            </w:r>
          </w:p>
        </w:tc>
        <w:tc>
          <w:tcPr>
            <w:tcW w:w="567" w:type="dxa"/>
            <w:noWrap w:val="0"/>
            <w:vAlign w:val="center"/>
          </w:tcPr>
          <w:p>
            <w:pPr>
              <w:ind w:left="-70" w:leftChars="-32" w:right="-73" w:rightChars="-33" w:firstLine="2" w:firstLineChars="0"/>
              <w:jc w:val="center"/>
              <w:rPr>
                <w:rFonts w:hint="eastAsia" w:ascii="宋体" w:hAnsi="宋体" w:eastAsia="宋体"/>
                <w:color w:val="auto"/>
                <w:sz w:val="21"/>
                <w:szCs w:val="21"/>
                <w:highlight w:val="none"/>
              </w:rPr>
            </w:pPr>
            <w:r>
              <w:rPr>
                <w:rFonts w:hint="eastAsia" w:ascii="宋体" w:hAnsi="宋体"/>
                <w:color w:val="000000"/>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exact"/>
        </w:trPr>
        <w:tc>
          <w:tcPr>
            <w:tcW w:w="1459" w:type="dxa"/>
            <w:noWrap w:val="0"/>
            <w:vAlign w:val="center"/>
          </w:tcPr>
          <w:p>
            <w:pPr>
              <w:jc w:val="center"/>
              <w:rPr>
                <w:rFonts w:ascii="宋体" w:hAnsi="宋体"/>
                <w:color w:val="000000"/>
                <w:szCs w:val="21"/>
              </w:rPr>
            </w:pPr>
            <w:r>
              <w:rPr>
                <w:rFonts w:hint="eastAsia" w:ascii="宋体" w:hAnsi="宋体"/>
                <w:color w:val="000000"/>
                <w:szCs w:val="21"/>
              </w:rPr>
              <w:t>监理员</w:t>
            </w:r>
          </w:p>
          <w:p>
            <w:pPr>
              <w:jc w:val="center"/>
              <w:rPr>
                <w:rFonts w:hint="eastAsia" w:ascii="宋体" w:hAnsi="宋体" w:eastAsia="宋体"/>
                <w:color w:val="auto"/>
                <w:sz w:val="21"/>
                <w:szCs w:val="21"/>
                <w:highlight w:val="none"/>
              </w:rPr>
            </w:pPr>
            <w:r>
              <w:rPr>
                <w:rFonts w:hint="eastAsia" w:ascii="宋体" w:hAnsi="宋体"/>
                <w:color w:val="000000"/>
                <w:szCs w:val="21"/>
              </w:rPr>
              <w:t>（安全）</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right="-77" w:rightChars="-35"/>
              <w:jc w:val="center"/>
              <w:rPr>
                <w:rFonts w:hint="eastAsia" w:ascii="宋体" w:hAnsi="宋体" w:eastAsia="宋体"/>
                <w:color w:val="auto"/>
                <w:sz w:val="21"/>
                <w:szCs w:val="21"/>
                <w:highlight w:val="none"/>
              </w:rPr>
            </w:pPr>
            <w:r>
              <w:rPr>
                <w:rFonts w:hint="eastAsia" w:ascii="宋体" w:hAnsi="宋体"/>
                <w:color w:val="000000"/>
                <w:szCs w:val="21"/>
              </w:rPr>
              <w:t>监理员证书，负责安全工作</w:t>
            </w:r>
          </w:p>
        </w:tc>
        <w:tc>
          <w:tcPr>
            <w:tcW w:w="567" w:type="dxa"/>
            <w:noWrap w:val="0"/>
            <w:vAlign w:val="center"/>
          </w:tcPr>
          <w:p>
            <w:pPr>
              <w:ind w:left="-70" w:leftChars="-32" w:right="-73" w:rightChars="-33" w:firstLine="2" w:firstLineChars="0"/>
              <w:jc w:val="center"/>
              <w:rPr>
                <w:rFonts w:hint="eastAsia" w:ascii="宋体" w:hAnsi="宋体" w:eastAsia="宋体"/>
                <w:color w:val="auto"/>
                <w:sz w:val="21"/>
                <w:szCs w:val="21"/>
                <w:highlight w:val="none"/>
              </w:rPr>
            </w:pPr>
            <w:r>
              <w:rPr>
                <w:rFonts w:hint="eastAsia" w:ascii="宋体" w:hAnsi="宋体"/>
                <w:color w:val="000000"/>
                <w:szCs w:val="21"/>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1459" w:type="dxa"/>
            <w:noWrap w:val="0"/>
            <w:vAlign w:val="center"/>
          </w:tcPr>
          <w:p>
            <w:pPr>
              <w:ind w:left="-75" w:leftChars="-34" w:right="-73" w:rightChars="-33" w:firstLine="2"/>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ind w:left="61" w:leftChars="-60" w:right="-88" w:rightChars="-40" w:hanging="193" w:hangingChars="92"/>
              <w:jc w:val="center"/>
              <w:rPr>
                <w:rFonts w:ascii="宋体" w:hAnsi="宋体" w:eastAsia="宋体"/>
                <w:color w:val="auto"/>
                <w:sz w:val="21"/>
                <w:szCs w:val="21"/>
                <w:highlight w:val="none"/>
              </w:rPr>
            </w:pPr>
          </w:p>
        </w:tc>
        <w:tc>
          <w:tcPr>
            <w:tcW w:w="2325" w:type="dxa"/>
            <w:noWrap w:val="0"/>
            <w:vAlign w:val="center"/>
          </w:tcPr>
          <w:p>
            <w:pPr>
              <w:ind w:left="61" w:leftChars="-60" w:right="-88" w:rightChars="-40" w:hanging="193" w:hangingChars="92"/>
              <w:jc w:val="center"/>
              <w:rPr>
                <w:rFonts w:hint="eastAsia" w:ascii="宋体" w:hAnsi="宋体" w:eastAsia="宋体"/>
                <w:color w:val="auto"/>
                <w:sz w:val="21"/>
                <w:szCs w:val="21"/>
                <w:highlight w:val="none"/>
              </w:rPr>
            </w:pPr>
          </w:p>
        </w:tc>
        <w:tc>
          <w:tcPr>
            <w:tcW w:w="567" w:type="dxa"/>
            <w:noWrap w:val="0"/>
            <w:vAlign w:val="center"/>
          </w:tcPr>
          <w:p>
            <w:pPr>
              <w:ind w:left="-70" w:leftChars="-32" w:right="-73" w:rightChars="-33" w:firstLine="2"/>
              <w:jc w:val="center"/>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exact"/>
        </w:trPr>
        <w:tc>
          <w:tcPr>
            <w:tcW w:w="1459" w:type="dxa"/>
            <w:noWrap w:val="0"/>
            <w:vAlign w:val="center"/>
          </w:tcPr>
          <w:p>
            <w:pPr>
              <w:ind w:left="-75" w:leftChars="-34" w:right="-73" w:rightChars="-33" w:firstLine="2"/>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造价人员</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left="61" w:leftChars="-60" w:right="-88" w:rightChars="-40" w:hanging="193" w:hangingChars="92"/>
              <w:rPr>
                <w:rFonts w:hint="eastAsia" w:ascii="宋体" w:hAnsi="宋体" w:eastAsia="宋体"/>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cs="Times New Roman"/>
                <w:color w:val="auto"/>
                <w:sz w:val="21"/>
                <w:szCs w:val="21"/>
                <w:highlight w:val="none"/>
              </w:rPr>
              <w:t>中华人民共和国一级造价工程师》注册证书</w:t>
            </w:r>
          </w:p>
        </w:tc>
        <w:tc>
          <w:tcPr>
            <w:tcW w:w="567" w:type="dxa"/>
            <w:noWrap w:val="0"/>
            <w:vAlign w:val="center"/>
          </w:tcPr>
          <w:p>
            <w:pPr>
              <w:ind w:left="-70" w:leftChars="-32" w:right="-73" w:rightChars="-33" w:firstLine="2"/>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必须配备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exact"/>
        </w:trPr>
        <w:tc>
          <w:tcPr>
            <w:tcW w:w="1459" w:type="dxa"/>
            <w:noWrap w:val="0"/>
            <w:vAlign w:val="center"/>
          </w:tcPr>
          <w:p>
            <w:pPr>
              <w:ind w:left="-75" w:leftChars="-34" w:right="-73" w:rightChars="-33" w:firstLine="2"/>
              <w:jc w:val="center"/>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专职资料员</w:t>
            </w:r>
          </w:p>
        </w:tc>
        <w:tc>
          <w:tcPr>
            <w:tcW w:w="1017" w:type="dxa"/>
            <w:noWrap w:val="0"/>
            <w:vAlign w:val="center"/>
          </w:tcPr>
          <w:p>
            <w:pPr>
              <w:jc w:val="center"/>
              <w:rPr>
                <w:rFonts w:ascii="宋体" w:hAnsi="宋体" w:eastAsia="宋体"/>
                <w:color w:val="auto"/>
                <w:sz w:val="21"/>
                <w:szCs w:val="21"/>
                <w:highlight w:val="none"/>
              </w:rPr>
            </w:pPr>
          </w:p>
        </w:tc>
        <w:tc>
          <w:tcPr>
            <w:tcW w:w="1122" w:type="dxa"/>
            <w:noWrap w:val="0"/>
            <w:vAlign w:val="center"/>
          </w:tcPr>
          <w:p>
            <w:pPr>
              <w:jc w:val="center"/>
              <w:rPr>
                <w:rFonts w:ascii="宋体" w:hAnsi="宋体" w:eastAsia="宋体"/>
                <w:color w:val="auto"/>
                <w:sz w:val="21"/>
                <w:szCs w:val="21"/>
                <w:highlight w:val="none"/>
              </w:rPr>
            </w:pPr>
          </w:p>
        </w:tc>
        <w:tc>
          <w:tcPr>
            <w:tcW w:w="1505" w:type="dxa"/>
            <w:noWrap w:val="0"/>
            <w:vAlign w:val="center"/>
          </w:tcPr>
          <w:p>
            <w:pPr>
              <w:jc w:val="center"/>
              <w:rPr>
                <w:rFonts w:ascii="宋体" w:hAnsi="宋体" w:eastAsia="宋体"/>
                <w:color w:val="auto"/>
                <w:sz w:val="21"/>
                <w:szCs w:val="21"/>
                <w:highlight w:val="none"/>
              </w:rPr>
            </w:pPr>
          </w:p>
        </w:tc>
        <w:tc>
          <w:tcPr>
            <w:tcW w:w="1361" w:type="dxa"/>
            <w:noWrap w:val="0"/>
            <w:vAlign w:val="center"/>
          </w:tcPr>
          <w:p>
            <w:pPr>
              <w:jc w:val="center"/>
              <w:rPr>
                <w:rFonts w:ascii="宋体" w:hAnsi="宋体" w:eastAsia="宋体"/>
                <w:color w:val="auto"/>
                <w:sz w:val="21"/>
                <w:szCs w:val="21"/>
                <w:highlight w:val="none"/>
              </w:rPr>
            </w:pPr>
          </w:p>
        </w:tc>
        <w:tc>
          <w:tcPr>
            <w:tcW w:w="2325" w:type="dxa"/>
            <w:noWrap w:val="0"/>
            <w:vAlign w:val="center"/>
          </w:tcPr>
          <w:p>
            <w:pPr>
              <w:ind w:left="61" w:leftChars="-60" w:right="-88" w:rightChars="-40" w:hanging="193" w:hangingChars="92"/>
              <w:jc w:val="center"/>
              <w:rPr>
                <w:rFonts w:hint="eastAsia" w:ascii="宋体" w:hAnsi="宋体" w:eastAsia="宋体"/>
                <w:color w:val="auto"/>
                <w:sz w:val="21"/>
                <w:szCs w:val="21"/>
                <w:highlight w:val="none"/>
              </w:rPr>
            </w:pPr>
          </w:p>
        </w:tc>
        <w:tc>
          <w:tcPr>
            <w:tcW w:w="567" w:type="dxa"/>
            <w:noWrap w:val="0"/>
            <w:vAlign w:val="center"/>
          </w:tcPr>
          <w:p>
            <w:pPr>
              <w:ind w:left="-70" w:leftChars="-32" w:right="-73" w:rightChars="-33" w:firstLine="2"/>
              <w:jc w:val="center"/>
              <w:rPr>
                <w:rFonts w:hint="eastAsia" w:ascii="宋体" w:hAnsi="宋体" w:eastAsia="宋体"/>
                <w:color w:val="auto"/>
                <w:sz w:val="21"/>
                <w:szCs w:val="21"/>
                <w:highlight w:val="none"/>
              </w:rPr>
            </w:pPr>
          </w:p>
        </w:tc>
      </w:tr>
    </w:tbl>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2.3.2本合同履行过程中，总监理工程师及重要岗位监理人员应保持相对稳定，以保证监理工作正常进行。</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2.3.4 更换监理人员的其他情形：</w:t>
      </w:r>
      <w:r>
        <w:rPr>
          <w:rFonts w:ascii="Times New Roman" w:hAnsi="Times New Roman" w:cs="Times New Roman" w:eastAsiaTheme="minorEastAsia"/>
          <w:snapToGrid w:val="0"/>
          <w:sz w:val="21"/>
          <w:szCs w:val="21"/>
          <w:u w:val="single"/>
        </w:rPr>
        <w:t>按照通用条款执行。</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2.4 履行职责</w:t>
      </w:r>
    </w:p>
    <w:p>
      <w:pPr>
        <w:adjustRightInd w:val="0"/>
        <w:snapToGrid w:val="0"/>
        <w:spacing w:line="360" w:lineRule="auto"/>
        <w:ind w:firstLine="420" w:firstLineChars="200"/>
        <w:jc w:val="left"/>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2.4.3 对监理人的授权范围：</w:t>
      </w:r>
      <w:r>
        <w:rPr>
          <w:rFonts w:hint="eastAsia" w:ascii="宋体" w:hAnsi="宋体" w:eastAsia="宋体"/>
          <w:color w:val="auto"/>
          <w:sz w:val="21"/>
          <w:szCs w:val="21"/>
          <w:highlight w:val="none"/>
          <w:u w:val="single"/>
        </w:rPr>
        <w:t>（1）工程分包人的审核、建议权；（2）对工程建设有关事项包括工程规模、设计标准、规划设计、生产工艺设计和使用功能要求，向委托人的建议权；（3） 对工程设计中的技术问题，按照安全和优化的原则，向设计人提出建议；如果拟提出的建议可能会提高工程造价，或延长工期，应当事先征得委托人同意。当发现工程设计不符合国家颁布的建设工程质量标准或设计合同约定的质量标准时，监理人应书面报告委托人并要求设计人更正；（4）审批工程施工组织设计和技术方案，按照保质量、保工期和降低成本的原则，向承包人提出建议，并向委托人提出书面报告；（5）主持工程建设有关协作单位的组织协调，重要协调事项应当事先向委托人报告；（6）征得委托人同意，监理人有权发布开工令、停工令、复工令，但应当事先向委托人报告。如在紧急情况下未能事先报告时，则应在24小时内向委托人作出书面报告；（7）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8）工程施工进度、安全的检查、监督权；（9）在工程施工合同约定的工程价格范围内，工程款支付的审核权，经总监理工程师签字确认的已完合格工程的工程量确认单及工程款支付单，必须经委托人审核批准后方能有效</w:t>
      </w:r>
      <w:r>
        <w:rPr>
          <w:rFonts w:ascii="Times New Roman" w:hAnsi="Times New Roman" w:cs="Times New Roman" w:eastAsiaTheme="minorEastAsia"/>
          <w:snapToGrid w:val="0"/>
          <w:sz w:val="21"/>
          <w:szCs w:val="21"/>
          <w:u w:val="single"/>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在涉及工程延期</w:t>
      </w:r>
      <w:r>
        <w:rPr>
          <w:rFonts w:ascii="Times New Roman" w:hAnsi="Times New Roman" w:cs="Times New Roman" w:eastAsiaTheme="minorEastAsia"/>
          <w:snapToGrid w:val="0"/>
          <w:sz w:val="21"/>
          <w:szCs w:val="21"/>
          <w:u w:val="single"/>
        </w:rPr>
        <w:t xml:space="preserve">  /  </w:t>
      </w:r>
      <w:r>
        <w:rPr>
          <w:rFonts w:ascii="Times New Roman" w:hAnsi="Times New Roman" w:cs="Times New Roman" w:eastAsiaTheme="minorEastAsia"/>
          <w:snapToGrid w:val="0"/>
          <w:sz w:val="21"/>
          <w:szCs w:val="21"/>
        </w:rPr>
        <w:t>天内和（或）金额</w:t>
      </w:r>
      <w:r>
        <w:rPr>
          <w:rFonts w:ascii="Times New Roman" w:hAnsi="Times New Roman" w:cs="Times New Roman" w:eastAsiaTheme="minorEastAsia"/>
          <w:snapToGrid w:val="0"/>
          <w:sz w:val="21"/>
          <w:szCs w:val="21"/>
          <w:u w:val="single"/>
        </w:rPr>
        <w:t xml:space="preserve">  /  </w:t>
      </w:r>
      <w:r>
        <w:rPr>
          <w:rFonts w:ascii="Times New Roman" w:hAnsi="Times New Roman" w:cs="Times New Roman" w:eastAsiaTheme="minorEastAsia"/>
          <w:snapToGrid w:val="0"/>
          <w:sz w:val="21"/>
          <w:szCs w:val="21"/>
        </w:rPr>
        <w:t>万元内的变更，监理人不需请示委托人即可向承包人发布变更通知。</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2.4.4 监理人有权要求承包人调换其人员的限制条件：</w:t>
      </w:r>
      <w:r>
        <w:rPr>
          <w:rFonts w:ascii="Times New Roman" w:hAnsi="Times New Roman" w:cs="Times New Roman" w:eastAsiaTheme="minorEastAsia"/>
          <w:snapToGrid w:val="0"/>
          <w:sz w:val="21"/>
          <w:szCs w:val="21"/>
          <w:u w:val="single"/>
        </w:rPr>
        <w:t>1、监理人要求承包人调换项目经理的，应事先和委托人协商，委托人同意后提前7天向承包人发出调换项目经理通知。2、监理人要求承包人调换其他管理人员的应提前7天通知委托人。</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2.5 提交报告</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监理人应提交报告的种类(包括监理规划、监理月报及约定的专项报告)、时间和份数：</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u w:val="single"/>
        </w:rPr>
        <w:t>1、监理人应在工程开工前14日向委托人提供2套《监理规划》；</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u w:val="single"/>
        </w:rPr>
        <w:t xml:space="preserve">2、监理人应在每月的5日前向委托人提供1份上月的《监理月报》； </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u w:val="single"/>
        </w:rPr>
        <w:t>3、监理人应根据工程需要或有关规定编制《监理实施细则》，在专项工程开工前14日向委托人提供2套《监理实施细则》，监理人应及时或按照委托人的要求时限和份数提供专项报告。</w:t>
      </w:r>
      <w:r>
        <w:rPr>
          <w:rFonts w:ascii="Times New Roman" w:hAnsi="Times New Roman" w:cs="Times New Roman" w:eastAsiaTheme="minorEastAsia"/>
          <w:snapToGrid w:val="0"/>
          <w:sz w:val="21"/>
          <w:szCs w:val="21"/>
        </w:rPr>
        <w:t xml:space="preserve">        </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2.7 使用委托人的财产</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 xml:space="preserve"> 附录B中由委托人无偿提供的房屋、设备的所有权属于：</w:t>
      </w:r>
      <w:r>
        <w:rPr>
          <w:rFonts w:ascii="Times New Roman" w:hAnsi="Times New Roman" w:cs="Times New Roman" w:eastAsiaTheme="minorEastAsia"/>
          <w:snapToGrid w:val="0"/>
          <w:sz w:val="21"/>
          <w:szCs w:val="21"/>
          <w:u w:val="single"/>
        </w:rPr>
        <w:t xml:space="preserve"> </w:t>
      </w:r>
      <w:r>
        <w:rPr>
          <w:rFonts w:hint="eastAsia" w:ascii="宋体" w:hAnsi="宋体" w:eastAsia="宋体"/>
          <w:color w:val="auto"/>
          <w:sz w:val="21"/>
          <w:szCs w:val="21"/>
          <w:highlight w:val="none"/>
          <w:u w:val="single"/>
        </w:rPr>
        <w:t xml:space="preserve"> 委托人不提供房屋设备，由监理人自行考虑相应费用并含入投标报价</w:t>
      </w:r>
      <w:r>
        <w:rPr>
          <w:rFonts w:ascii="Times New Roman" w:hAnsi="Times New Roman" w:cs="Times New Roman" w:eastAsiaTheme="minorEastAsia"/>
          <w:snapToGrid w:val="0"/>
          <w:sz w:val="21"/>
          <w:szCs w:val="21"/>
          <w:u w:val="single"/>
        </w:rPr>
        <w:t xml:space="preserve"> </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监理人应在本合同终止后</w:t>
      </w:r>
      <w:r>
        <w:rPr>
          <w:rFonts w:ascii="Times New Roman" w:hAnsi="Times New Roman" w:cs="Times New Roman" w:eastAsiaTheme="minorEastAsia"/>
          <w:snapToGrid w:val="0"/>
          <w:sz w:val="21"/>
          <w:szCs w:val="21"/>
          <w:u w:val="single"/>
        </w:rPr>
        <w:t xml:space="preserve">  14  </w:t>
      </w:r>
      <w:r>
        <w:rPr>
          <w:rFonts w:ascii="Times New Roman" w:hAnsi="Times New Roman" w:cs="Times New Roman" w:eastAsiaTheme="minorEastAsia"/>
          <w:snapToGrid w:val="0"/>
          <w:sz w:val="21"/>
          <w:szCs w:val="21"/>
        </w:rPr>
        <w:t>天内移交委托人无偿提供的设备，移交的时间和方式为：</w:t>
      </w:r>
      <w:r>
        <w:rPr>
          <w:rFonts w:hint="eastAsia" w:ascii="Times New Roman" w:hAnsi="Times New Roman" w:cs="Times New Roman" w:eastAsiaTheme="minorEastAsia"/>
          <w:snapToGrid w:val="0"/>
          <w:sz w:val="21"/>
          <w:szCs w:val="21"/>
          <w:u w:val="single"/>
          <w:lang w:val="en-US" w:eastAsia="zh-CN"/>
        </w:rPr>
        <w:t>/</w:t>
      </w:r>
      <w:r>
        <w:rPr>
          <w:rFonts w:ascii="Times New Roman" w:hAnsi="Times New Roman" w:cs="Times New Roman" w:eastAsiaTheme="minorEastAsia"/>
          <w:snapToGrid w:val="0"/>
          <w:sz w:val="21"/>
          <w:szCs w:val="21"/>
        </w:rPr>
        <w:t>。</w:t>
      </w:r>
    </w:p>
    <w:p>
      <w:pPr>
        <w:adjustRightInd w:val="0"/>
        <w:snapToGrid w:val="0"/>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snapToGrid w:val="0"/>
          <w:sz w:val="21"/>
          <w:szCs w:val="21"/>
        </w:rPr>
        <w:t xml:space="preserve">3. 委托人义务  </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3.4 委托人代表</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委托人代表为：</w:t>
      </w:r>
      <w:r>
        <w:rPr>
          <w:rFonts w:ascii="Times New Roman" w:hAnsi="Times New Roman" w:cs="Times New Roman" w:eastAsiaTheme="minorEastAsia"/>
          <w:snapToGrid w:val="0"/>
          <w:sz w:val="21"/>
          <w:szCs w:val="21"/>
          <w:u w:val="single"/>
        </w:rPr>
        <w:t>以委托人书面通知为准</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3.6 答复</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委托人同意在</w:t>
      </w:r>
      <w:r>
        <w:rPr>
          <w:rFonts w:ascii="Times New Roman" w:hAnsi="Times New Roman" w:cs="Times New Roman" w:eastAsiaTheme="minorEastAsia"/>
          <w:snapToGrid w:val="0"/>
          <w:sz w:val="21"/>
          <w:szCs w:val="21"/>
          <w:u w:val="single"/>
        </w:rPr>
        <w:t xml:space="preserve"> 14 </w:t>
      </w:r>
      <w:r>
        <w:rPr>
          <w:rFonts w:ascii="Times New Roman" w:hAnsi="Times New Roman" w:cs="Times New Roman" w:eastAsiaTheme="minorEastAsia"/>
          <w:snapToGrid w:val="0"/>
          <w:sz w:val="21"/>
          <w:szCs w:val="21"/>
        </w:rPr>
        <w:t>天内，对监理人书面提交并要求做出决定的事宜给予书面答复。</w:t>
      </w:r>
    </w:p>
    <w:p>
      <w:pPr>
        <w:adjustRightInd w:val="0"/>
        <w:snapToGrid w:val="0"/>
        <w:spacing w:line="400" w:lineRule="exact"/>
        <w:ind w:firstLine="422"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
          <w:bCs/>
          <w:snapToGrid w:val="0"/>
          <w:sz w:val="21"/>
          <w:szCs w:val="21"/>
        </w:rPr>
        <w:t>4. 违约责任</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 监理人的违约责任</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4.1.1监理人赔偿金额按下列方法确定：</w:t>
      </w:r>
    </w:p>
    <w:p>
      <w:pPr>
        <w:adjustRightInd w:val="0"/>
        <w:snapToGrid w:val="0"/>
        <w:spacing w:line="400" w:lineRule="exact"/>
        <w:ind w:firstLine="420" w:firstLineChars="200"/>
        <w:rPr>
          <w:rFonts w:ascii="Times New Roman" w:hAnsi="Times New Roman" w:cs="Times New Roman" w:eastAsiaTheme="minorEastAsia"/>
          <w:snapToGrid w:val="0"/>
          <w:sz w:val="21"/>
          <w:szCs w:val="21"/>
          <w:lang w:val="en-US"/>
        </w:rPr>
      </w:pPr>
      <w:r>
        <w:rPr>
          <w:rFonts w:ascii="Times New Roman" w:hAnsi="Times New Roman" w:cs="Times New Roman" w:eastAsiaTheme="minorEastAsia"/>
          <w:snapToGrid w:val="0"/>
          <w:sz w:val="21"/>
          <w:szCs w:val="21"/>
        </w:rPr>
        <w:t>赔偿金＝</w:t>
      </w:r>
      <w:r>
        <w:rPr>
          <w:rFonts w:hint="eastAsia" w:ascii="宋体" w:hAnsi="宋体" w:eastAsia="宋体"/>
          <w:color w:val="auto"/>
          <w:sz w:val="21"/>
          <w:szCs w:val="21"/>
          <w:highlight w:val="none"/>
        </w:rPr>
        <w:t>直接经济损失×</w:t>
      </w:r>
      <w:r>
        <w:rPr>
          <w:rFonts w:hint="eastAsia"/>
          <w:color w:val="auto"/>
          <w:sz w:val="21"/>
          <w:szCs w:val="21"/>
          <w:highlight w:val="none"/>
          <w:lang w:eastAsia="zh-CN"/>
        </w:rPr>
        <w:t>监理费</w:t>
      </w:r>
      <w:r>
        <w:rPr>
          <w:rFonts w:hint="eastAsia" w:ascii="宋体" w:hAnsi="宋体" w:eastAsia="宋体"/>
          <w:color w:val="auto"/>
          <w:sz w:val="21"/>
          <w:szCs w:val="21"/>
          <w:highlight w:val="none"/>
        </w:rPr>
        <w:t>÷</w:t>
      </w:r>
      <w:r>
        <w:rPr>
          <w:rFonts w:hint="eastAsia" w:ascii="宋体" w:hAnsi="宋体" w:eastAsia="宋体" w:cs="宋体"/>
          <w:color w:val="auto"/>
          <w:kern w:val="0"/>
          <w:sz w:val="21"/>
          <w:szCs w:val="21"/>
          <w:highlight w:val="none"/>
        </w:rPr>
        <w:t>建筑安装工程费</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4.2 委托人的违约责任</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4.2.3 委托人逾期付款利息按下列方法确定：</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逾期付款利息＝当期应付款总额×</w:t>
      </w:r>
      <w:r>
        <w:rPr>
          <w:rFonts w:hint="eastAsia" w:ascii="Times New Roman" w:hAnsi="Times New Roman" w:cs="Times New Roman" w:eastAsiaTheme="minorEastAsia"/>
          <w:snapToGrid w:val="0"/>
          <w:sz w:val="21"/>
          <w:szCs w:val="21"/>
        </w:rPr>
        <w:t>同期银行一年期LPR利率÷365</w:t>
      </w:r>
      <w:r>
        <w:rPr>
          <w:rFonts w:ascii="Times New Roman" w:hAnsi="Times New Roman" w:cs="Times New Roman" w:eastAsiaTheme="minorEastAsia"/>
          <w:snapToGrid w:val="0"/>
          <w:sz w:val="21"/>
          <w:szCs w:val="21"/>
        </w:rPr>
        <w:t>×拖延支付天数</w:t>
      </w:r>
    </w:p>
    <w:p>
      <w:pPr>
        <w:adjustRightInd w:val="0"/>
        <w:snapToGrid w:val="0"/>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bCs/>
          <w:snapToGrid w:val="0"/>
          <w:sz w:val="21"/>
          <w:szCs w:val="21"/>
        </w:rPr>
        <w:t>5. 支付</w:t>
      </w:r>
    </w:p>
    <w:p>
      <w:pPr>
        <w:adjustRightInd w:val="0"/>
        <w:snapToGrid w:val="0"/>
        <w:spacing w:line="400" w:lineRule="exact"/>
        <w:ind w:firstLine="315" w:firstLineChars="15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 xml:space="preserve"> 5.1 </w:t>
      </w:r>
      <w:r>
        <w:rPr>
          <w:rFonts w:ascii="Times New Roman" w:hAnsi="Times New Roman" w:cs="Times New Roman" w:eastAsiaTheme="minorEastAsia"/>
          <w:bCs/>
          <w:snapToGrid w:val="0"/>
          <w:sz w:val="21"/>
          <w:szCs w:val="21"/>
        </w:rPr>
        <w:t>支付货币</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币种为：</w:t>
      </w:r>
      <w:r>
        <w:rPr>
          <w:rFonts w:ascii="Times New Roman" w:hAnsi="Times New Roman" w:cs="Times New Roman" w:eastAsiaTheme="minorEastAsia"/>
          <w:snapToGrid w:val="0"/>
          <w:sz w:val="21"/>
          <w:szCs w:val="21"/>
          <w:u w:val="single"/>
        </w:rPr>
        <w:t>人民币</w:t>
      </w:r>
      <w:r>
        <w:rPr>
          <w:rFonts w:ascii="Times New Roman" w:hAnsi="Times New Roman" w:cs="Times New Roman" w:eastAsiaTheme="minorEastAsia"/>
          <w:snapToGrid w:val="0"/>
          <w:sz w:val="21"/>
          <w:szCs w:val="21"/>
        </w:rPr>
        <w:t xml:space="preserve">。 </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5.3 支付酬金</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正常的监理费用计取及支付：</w:t>
      </w:r>
    </w:p>
    <w:p>
      <w:pPr>
        <w:pStyle w:val="84"/>
        <w:spacing w:before="0" w:beforeAutospacing="0" w:after="0" w:afterAutospacing="0" w:line="440" w:lineRule="exact"/>
        <w:ind w:firstLine="422" w:firstLineChars="200"/>
        <w:jc w:val="both"/>
        <w:rPr>
          <w:rFonts w:hint="default" w:ascii="宋体" w:hAnsi="宋体" w:eastAsia="宋体" w:cs="Times New Roman"/>
          <w:b/>
          <w:bCs/>
          <w:color w:val="auto"/>
          <w:sz w:val="21"/>
          <w:szCs w:val="21"/>
          <w:highlight w:val="none"/>
          <w:u w:val="single"/>
          <w:lang w:val="en-US" w:eastAsia="zh-CN"/>
        </w:rPr>
      </w:pPr>
      <w:r>
        <w:rPr>
          <w:rFonts w:hint="eastAsia" w:ascii="宋体" w:hAnsi="宋体" w:eastAsia="宋体" w:cs="Times New Roman"/>
          <w:b/>
          <w:bCs/>
          <w:color w:val="auto"/>
          <w:sz w:val="21"/>
          <w:szCs w:val="21"/>
          <w:highlight w:val="none"/>
          <w:u w:val="single"/>
          <w:lang w:val="en-US" w:eastAsia="zh-CN"/>
        </w:rPr>
        <w:t>委托人同意按以下计算方式、支付时间与支付金额支付监理费。</w:t>
      </w:r>
    </w:p>
    <w:p>
      <w:pPr>
        <w:pStyle w:val="84"/>
        <w:spacing w:before="0" w:beforeAutospacing="0" w:after="0" w:afterAutospacing="0" w:line="440" w:lineRule="exact"/>
        <w:ind w:firstLine="422" w:firstLineChars="200"/>
        <w:jc w:val="both"/>
        <w:rPr>
          <w:rFonts w:hint="eastAsia"/>
          <w:b/>
          <w:bCs/>
          <w:color w:val="auto"/>
          <w:sz w:val="21"/>
          <w:szCs w:val="21"/>
          <w:highlight w:val="none"/>
          <w:u w:val="single"/>
          <w:lang w:val="en-US" w:eastAsia="zh-CN"/>
        </w:rPr>
      </w:pPr>
      <w:r>
        <w:rPr>
          <w:rFonts w:hint="eastAsia"/>
          <w:b/>
          <w:bCs/>
          <w:color w:val="auto"/>
          <w:sz w:val="21"/>
          <w:szCs w:val="21"/>
          <w:highlight w:val="none"/>
          <w:u w:val="single"/>
          <w:lang w:val="en-US" w:eastAsia="zh-CN"/>
        </w:rPr>
        <w:t>合同签订并签发工程开工报告后，支付合同价的10%；工程施工期间，监理费按每季度拨付，每季度拨付总监理费的5%，项目完工后，进度款最高累计支付至合同价的85%（含预付款），竣工验收后，支付至合同价的95%，项目完成竣工结算后结清，以上时间段的付款期限为十五天。</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停工期间不计取酬金。停工期间，不包含在监理服务期内，监理服务期相应顺延。</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工程结算和保修期间每3个月提供不少于一次的走访服务。</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工程保修期间、</w:t>
      </w:r>
      <w:r>
        <w:rPr>
          <w:rFonts w:ascii="Times New Roman" w:hAnsi="Times New Roman" w:cs="Times New Roman" w:eastAsiaTheme="minorEastAsia"/>
          <w:snapToGrid w:val="0"/>
          <w:sz w:val="21"/>
          <w:szCs w:val="21"/>
          <w:lang w:val="en-US"/>
        </w:rPr>
        <w:t>试运行期间</w:t>
      </w:r>
      <w:r>
        <w:rPr>
          <w:rFonts w:ascii="Times New Roman" w:hAnsi="Times New Roman" w:cs="Times New Roman" w:eastAsiaTheme="minorEastAsia"/>
          <w:snapToGrid w:val="0"/>
          <w:sz w:val="21"/>
          <w:szCs w:val="21"/>
        </w:rPr>
        <w:t>：监理方须根据工程保修需要随时到位服务。费用已包括在合同价内，不另行计取。</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工程保修阶段的服务内容：检查和记录工程质量缺陷，对缺陷原因进行调查分析并确定责任归属，审核修复方案，监督修复过程并验收，审核修复费用。</w:t>
      </w:r>
    </w:p>
    <w:p>
      <w:pPr>
        <w:adjustRightInd w:val="0"/>
        <w:snapToGrid w:val="0"/>
        <w:spacing w:line="400" w:lineRule="exact"/>
        <w:ind w:firstLine="420" w:firstLineChars="200"/>
        <w:rPr>
          <w:rFonts w:ascii="Times New Roman" w:hAnsi="Times New Roman" w:cs="Times New Roman" w:eastAsiaTheme="minorEastAsia"/>
          <w:snapToGrid w:val="0"/>
          <w:sz w:val="21"/>
          <w:szCs w:val="21"/>
          <w:lang w:val="en-US"/>
        </w:rPr>
      </w:pPr>
      <w:r>
        <w:rPr>
          <w:rFonts w:ascii="Times New Roman" w:hAnsi="Times New Roman" w:cs="Times New Roman" w:eastAsiaTheme="minorEastAsia"/>
          <w:snapToGrid w:val="0"/>
          <w:sz w:val="21"/>
          <w:szCs w:val="21"/>
          <w:lang w:val="en-US"/>
        </w:rPr>
        <w:t>试运行期间</w:t>
      </w:r>
      <w:r>
        <w:rPr>
          <w:rFonts w:ascii="Times New Roman" w:hAnsi="Times New Roman" w:cs="Times New Roman" w:eastAsiaTheme="minorEastAsia"/>
          <w:snapToGrid w:val="0"/>
          <w:sz w:val="21"/>
          <w:szCs w:val="21"/>
        </w:rPr>
        <w:t>的服务内容：</w:t>
      </w:r>
      <w:r>
        <w:rPr>
          <w:rFonts w:ascii="Times New Roman" w:hAnsi="Times New Roman" w:cs="Times New Roman" w:eastAsiaTheme="minorEastAsia"/>
          <w:snapToGrid w:val="0"/>
          <w:sz w:val="21"/>
          <w:szCs w:val="21"/>
          <w:lang w:val="en-US"/>
        </w:rPr>
        <w:t>按发包人要求</w:t>
      </w:r>
      <w:r>
        <w:rPr>
          <w:rFonts w:ascii="Times New Roman" w:hAnsi="Times New Roman" w:cs="Times New Roman" w:eastAsiaTheme="minorEastAsia"/>
          <w:snapToGrid w:val="0"/>
          <w:sz w:val="21"/>
          <w:szCs w:val="21"/>
        </w:rPr>
        <w:t>随时到位服务</w:t>
      </w:r>
      <w:r>
        <w:rPr>
          <w:rFonts w:ascii="Times New Roman" w:hAnsi="Times New Roman" w:cs="Times New Roman" w:eastAsiaTheme="minorEastAsia"/>
          <w:snapToGrid w:val="0"/>
          <w:sz w:val="21"/>
          <w:szCs w:val="21"/>
          <w:lang w:val="en-US"/>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除合同另有约定外，其他提供短期服务的人工费用参照本合同6.2.2条约定。</w:t>
      </w:r>
    </w:p>
    <w:p>
      <w:pPr>
        <w:adjustRightInd w:val="0"/>
        <w:snapToGrid w:val="0"/>
        <w:spacing w:line="400" w:lineRule="exact"/>
        <w:ind w:firstLine="420"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Cs/>
          <w:snapToGrid w:val="0"/>
          <w:sz w:val="21"/>
          <w:szCs w:val="21"/>
        </w:rPr>
        <w:t>6</w:t>
      </w:r>
      <w:r>
        <w:rPr>
          <w:rFonts w:ascii="Times New Roman" w:hAnsi="Times New Roman" w:cs="Times New Roman" w:eastAsiaTheme="minorEastAsia"/>
          <w:b/>
          <w:bCs/>
          <w:snapToGrid w:val="0"/>
          <w:sz w:val="21"/>
          <w:szCs w:val="21"/>
        </w:rPr>
        <w:t>. 合同生效、变更、暂停、解除与终止</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6.1 生效</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本合同生效条件：</w:t>
      </w:r>
      <w:r>
        <w:rPr>
          <w:rFonts w:ascii="Times New Roman" w:hAnsi="Times New Roman" w:cs="Times New Roman" w:eastAsiaTheme="minorEastAsia"/>
          <w:snapToGrid w:val="0"/>
          <w:sz w:val="21"/>
          <w:szCs w:val="21"/>
          <w:u w:val="single"/>
        </w:rPr>
        <w:t>本合同自双方经法定代表人或其授权的代理人签字或盖章并加盖本单位公章后生效</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6.2 变更</w:t>
      </w:r>
    </w:p>
    <w:p>
      <w:pPr>
        <w:pStyle w:val="31"/>
        <w:spacing w:line="360" w:lineRule="auto"/>
        <w:ind w:firstLine="420" w:firstLineChars="200"/>
        <w:rPr>
          <w:rFonts w:hint="eastAsia"/>
          <w:sz w:val="21"/>
          <w:szCs w:val="21"/>
        </w:rPr>
      </w:pPr>
      <w:r>
        <w:rPr>
          <w:rFonts w:ascii="Times New Roman" w:hAnsi="Times New Roman" w:cs="Times New Roman" w:eastAsiaTheme="minorEastAsia"/>
          <w:snapToGrid w:val="0"/>
          <w:sz w:val="21"/>
          <w:szCs w:val="21"/>
        </w:rPr>
        <w:t xml:space="preserve">6.2.2 </w:t>
      </w:r>
      <w:r>
        <w:rPr>
          <w:rFonts w:hint="eastAsia"/>
          <w:sz w:val="21"/>
          <w:szCs w:val="21"/>
        </w:rPr>
        <w:t>除不可抗力外， 因非监理人原因导致本合同期限延长时，附加工作酬金按下列方法确定：</w:t>
      </w:r>
    </w:p>
    <w:p>
      <w:pPr>
        <w:pStyle w:val="31"/>
        <w:spacing w:line="360" w:lineRule="auto"/>
        <w:ind w:firstLine="420" w:firstLineChars="200"/>
        <w:rPr>
          <w:rFonts w:hint="eastAsia" w:eastAsia="宋体"/>
          <w:color w:val="auto"/>
          <w:sz w:val="21"/>
          <w:szCs w:val="21"/>
          <w:lang w:eastAsia="zh-CN"/>
        </w:rPr>
      </w:pPr>
      <w:r>
        <w:rPr>
          <w:rFonts w:hint="eastAsia"/>
          <w:color w:val="auto"/>
          <w:highlight w:val="none"/>
          <w:u w:val="single"/>
          <w:lang w:val="en-US" w:eastAsia="zh-CN"/>
        </w:rPr>
        <w:t>/。</w:t>
      </w:r>
    </w:p>
    <w:p>
      <w:pPr>
        <w:adjustRightInd w:val="0"/>
        <w:snapToGrid w:val="0"/>
        <w:spacing w:line="400" w:lineRule="exact"/>
        <w:ind w:firstLine="420" w:firstLineChars="200"/>
        <w:rPr>
          <w:rFonts w:hint="default" w:ascii="Times New Roman" w:hAnsi="Times New Roman" w:cs="Times New Roman" w:eastAsiaTheme="minorEastAsia"/>
          <w:snapToGrid w:val="0"/>
          <w:sz w:val="21"/>
          <w:szCs w:val="21"/>
          <w:u w:val="single"/>
          <w:lang w:val="en-US" w:eastAsia="zh-CN"/>
        </w:rPr>
      </w:pPr>
      <w:r>
        <w:rPr>
          <w:rFonts w:ascii="Times New Roman" w:hAnsi="Times New Roman" w:cs="Times New Roman" w:eastAsiaTheme="minorEastAsia"/>
          <w:snapToGrid w:val="0"/>
          <w:sz w:val="21"/>
          <w:szCs w:val="21"/>
        </w:rPr>
        <w:t xml:space="preserve">6.2.5 正常工作酬金增加额按下列方法确定： </w:t>
      </w:r>
      <w:r>
        <w:rPr>
          <w:rFonts w:hint="eastAsia" w:ascii="Times New Roman" w:hAnsi="Times New Roman" w:cs="Times New Roman" w:eastAsiaTheme="minorEastAsia"/>
          <w:snapToGrid w:val="0"/>
          <w:sz w:val="21"/>
          <w:szCs w:val="21"/>
          <w:u w:val="single"/>
          <w:lang w:val="en-US" w:eastAsia="zh-CN"/>
        </w:rPr>
        <w:t xml:space="preserve">  本项目监理费一次性包干，结算不再调整    </w:t>
      </w:r>
    </w:p>
    <w:p>
      <w:pPr>
        <w:adjustRightInd w:val="0"/>
        <w:snapToGrid w:val="0"/>
        <w:spacing w:line="400" w:lineRule="exact"/>
        <w:ind w:firstLine="422" w:firstLineChars="200"/>
        <w:rPr>
          <w:rFonts w:ascii="Times New Roman" w:hAnsi="Times New Roman" w:cs="Times New Roman" w:eastAsiaTheme="minorEastAsia"/>
          <w:b/>
          <w:snapToGrid w:val="0"/>
          <w:sz w:val="21"/>
          <w:szCs w:val="21"/>
        </w:rPr>
      </w:pPr>
      <w:r>
        <w:rPr>
          <w:rFonts w:ascii="Times New Roman" w:hAnsi="Times New Roman" w:cs="Times New Roman" w:eastAsiaTheme="minorEastAsia"/>
          <w:b/>
          <w:bCs/>
          <w:snapToGrid w:val="0"/>
          <w:sz w:val="21"/>
          <w:szCs w:val="21"/>
        </w:rPr>
        <w:t>7. 争议解决</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7.2 调解</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本合同争议进行调解时，可提交工程所在地建设行政主管部门进行调解。</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7.3 仲裁或诉讼</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合同争议的最终解决方式为下列第</w:t>
      </w:r>
      <w:r>
        <w:rPr>
          <w:rFonts w:ascii="Times New Roman" w:hAnsi="Times New Roman" w:cs="Times New Roman" w:eastAsiaTheme="minorEastAsia"/>
          <w:snapToGrid w:val="0"/>
          <w:sz w:val="21"/>
          <w:szCs w:val="21"/>
          <w:u w:val="single"/>
        </w:rPr>
        <w:t xml:space="preserve">   （</w:t>
      </w:r>
      <w:r>
        <w:rPr>
          <w:rFonts w:ascii="Times New Roman" w:hAnsi="Times New Roman" w:cs="Times New Roman" w:eastAsiaTheme="minorEastAsia"/>
          <w:snapToGrid w:val="0"/>
          <w:sz w:val="21"/>
          <w:szCs w:val="21"/>
          <w:u w:val="single"/>
          <w:lang w:val="en-US"/>
        </w:rPr>
        <w:t>2</w:t>
      </w:r>
      <w:r>
        <w:rPr>
          <w:rFonts w:ascii="Times New Roman" w:hAnsi="Times New Roman" w:cs="Times New Roman" w:eastAsiaTheme="minorEastAsia"/>
          <w:snapToGrid w:val="0"/>
          <w:sz w:val="21"/>
          <w:szCs w:val="21"/>
          <w:u w:val="single"/>
        </w:rPr>
        <w:t xml:space="preserve">）   </w:t>
      </w:r>
      <w:r>
        <w:rPr>
          <w:rFonts w:ascii="Times New Roman" w:hAnsi="Times New Roman" w:cs="Times New Roman" w:eastAsiaTheme="minorEastAsia"/>
          <w:snapToGrid w:val="0"/>
          <w:sz w:val="21"/>
          <w:szCs w:val="21"/>
        </w:rPr>
        <w:t>种方式：</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（1）提请</w:t>
      </w:r>
      <w:r>
        <w:rPr>
          <w:rFonts w:ascii="Times New Roman" w:hAnsi="Times New Roman" w:cs="Times New Roman" w:eastAsiaTheme="minorEastAsia"/>
          <w:snapToGrid w:val="0"/>
          <w:sz w:val="21"/>
          <w:szCs w:val="21"/>
          <w:u w:val="single"/>
          <w:lang w:val="en-US"/>
        </w:rPr>
        <w:t>台州市</w:t>
      </w:r>
      <w:r>
        <w:rPr>
          <w:rFonts w:ascii="Times New Roman" w:hAnsi="Times New Roman" w:cs="Times New Roman" w:eastAsiaTheme="minorEastAsia"/>
          <w:snapToGrid w:val="0"/>
          <w:sz w:val="21"/>
          <w:szCs w:val="21"/>
        </w:rPr>
        <w:t>仲裁委员会进行仲裁。</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（2）向</w:t>
      </w:r>
      <w:r>
        <w:rPr>
          <w:rFonts w:ascii="Times New Roman" w:hAnsi="Times New Roman" w:cs="Times New Roman" w:eastAsiaTheme="minorEastAsia"/>
          <w:snapToGrid w:val="0"/>
          <w:sz w:val="21"/>
          <w:szCs w:val="21"/>
          <w:u w:val="single"/>
        </w:rPr>
        <w:t>三门县</w:t>
      </w:r>
      <w:r>
        <w:rPr>
          <w:rFonts w:ascii="Times New Roman" w:hAnsi="Times New Roman" w:cs="Times New Roman" w:eastAsiaTheme="minorEastAsia"/>
          <w:snapToGrid w:val="0"/>
          <w:sz w:val="21"/>
          <w:szCs w:val="21"/>
        </w:rPr>
        <w:t>人民法院提起诉讼。</w:t>
      </w:r>
    </w:p>
    <w:p>
      <w:pPr>
        <w:adjustRightInd w:val="0"/>
        <w:snapToGrid w:val="0"/>
        <w:spacing w:line="400" w:lineRule="exact"/>
        <w:ind w:firstLine="420" w:firstLineChars="200"/>
        <w:rPr>
          <w:rFonts w:ascii="Times New Roman" w:hAnsi="Times New Roman" w:cs="Times New Roman" w:eastAsiaTheme="minorEastAsia"/>
          <w:snapToGrid w:val="0"/>
          <w:sz w:val="21"/>
          <w:szCs w:val="21"/>
          <w:lang w:val="en-US"/>
        </w:rPr>
      </w:pPr>
      <w:r>
        <w:rPr>
          <w:rFonts w:ascii="Times New Roman" w:hAnsi="Times New Roman" w:cs="Times New Roman" w:eastAsiaTheme="minorEastAsia"/>
          <w:snapToGrid w:val="0"/>
          <w:sz w:val="21"/>
          <w:szCs w:val="21"/>
          <w:lang w:val="en-US"/>
        </w:rPr>
        <w:t>7.4合同双方确认，因本合同纠纷产生的一切费用，包括但不限于律师费、鉴定费、保全费等，全部由违约方承担。</w:t>
      </w:r>
    </w:p>
    <w:p>
      <w:pPr>
        <w:adjustRightInd w:val="0"/>
        <w:snapToGrid w:val="0"/>
        <w:spacing w:line="400" w:lineRule="exact"/>
        <w:ind w:firstLine="422" w:firstLineChars="200"/>
        <w:rPr>
          <w:rFonts w:ascii="Times New Roman" w:hAnsi="Times New Roman" w:cs="Times New Roman" w:eastAsiaTheme="minorEastAsia"/>
          <w:b/>
          <w:bCs/>
          <w:snapToGrid w:val="0"/>
          <w:sz w:val="21"/>
          <w:szCs w:val="21"/>
        </w:rPr>
      </w:pPr>
      <w:r>
        <w:rPr>
          <w:rFonts w:ascii="Times New Roman" w:hAnsi="Times New Roman" w:cs="Times New Roman" w:eastAsiaTheme="minorEastAsia"/>
          <w:b/>
          <w:bCs/>
          <w:snapToGrid w:val="0"/>
          <w:sz w:val="21"/>
          <w:szCs w:val="21"/>
        </w:rPr>
        <w:t>8. 其他</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8.4 奖励</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合理化建议的奖励金额按下列方法确定为：</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奖励金额＝工程投资节省额×奖励金额的比率；</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奖励金额的比率为</w:t>
      </w:r>
      <w:r>
        <w:rPr>
          <w:rFonts w:ascii="Times New Roman" w:hAnsi="Times New Roman" w:cs="Times New Roman" w:eastAsiaTheme="minorEastAsia"/>
          <w:snapToGrid w:val="0"/>
          <w:sz w:val="21"/>
          <w:szCs w:val="21"/>
          <w:u w:val="single"/>
        </w:rPr>
        <w:t xml:space="preserve">  </w:t>
      </w:r>
      <w:r>
        <w:rPr>
          <w:rFonts w:ascii="Times New Roman" w:hAnsi="Times New Roman" w:cs="Times New Roman" w:eastAsiaTheme="minorEastAsia"/>
          <w:snapToGrid w:val="0"/>
          <w:sz w:val="21"/>
          <w:szCs w:val="21"/>
          <w:u w:val="single"/>
          <w:lang w:val="en-US"/>
        </w:rPr>
        <w:t>0</w:t>
      </w:r>
      <w:r>
        <w:rPr>
          <w:rFonts w:ascii="Times New Roman" w:hAnsi="Times New Roman" w:cs="Times New Roman" w:eastAsiaTheme="minorEastAsia"/>
          <w:snapToGrid w:val="0"/>
          <w:sz w:val="21"/>
          <w:szCs w:val="21"/>
          <w:u w:val="single"/>
        </w:rPr>
        <w:t xml:space="preserve">  </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8.6 保密</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委托人申明的保密事项和期限：</w:t>
      </w:r>
      <w:r>
        <w:rPr>
          <w:rFonts w:ascii="Times New Roman" w:hAnsi="Times New Roman" w:cs="Times New Roman" w:eastAsiaTheme="minorEastAsia"/>
          <w:snapToGrid w:val="0"/>
          <w:sz w:val="21"/>
          <w:szCs w:val="21"/>
          <w:u w:val="single"/>
        </w:rPr>
        <w:t>按照通用条款执行</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监理人申明的保密事项和期限：</w:t>
      </w:r>
      <w:r>
        <w:rPr>
          <w:rFonts w:ascii="Times New Roman" w:hAnsi="Times New Roman" w:cs="Times New Roman" w:eastAsiaTheme="minorEastAsia"/>
          <w:snapToGrid w:val="0"/>
          <w:sz w:val="21"/>
          <w:szCs w:val="21"/>
          <w:u w:val="single"/>
        </w:rPr>
        <w:t>按照通用条款执行</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第三方申明的保密事项和期限：</w:t>
      </w:r>
      <w:r>
        <w:rPr>
          <w:rFonts w:ascii="Times New Roman" w:hAnsi="Times New Roman" w:cs="Times New Roman" w:eastAsiaTheme="minorEastAsia"/>
          <w:snapToGrid w:val="0"/>
          <w:sz w:val="21"/>
          <w:szCs w:val="21"/>
          <w:u w:val="single"/>
        </w:rPr>
        <w:t>按照通用条款执行</w:t>
      </w:r>
      <w:r>
        <w:rPr>
          <w:rFonts w:ascii="Times New Roman" w:hAnsi="Times New Roman" w:cs="Times New Roman" w:eastAsiaTheme="minorEastAsia"/>
          <w:snapToGrid w:val="0"/>
          <w:sz w:val="21"/>
          <w:szCs w:val="21"/>
        </w:rPr>
        <w:t>。</w:t>
      </w:r>
    </w:p>
    <w:p>
      <w:pPr>
        <w:adjustRightInd w:val="0"/>
        <w:snapToGrid w:val="0"/>
        <w:spacing w:line="400" w:lineRule="exact"/>
        <w:ind w:firstLine="420" w:firstLineChars="200"/>
        <w:rPr>
          <w:rFonts w:ascii="Times New Roman" w:hAnsi="Times New Roman" w:cs="Times New Roman" w:eastAsiaTheme="minorEastAsia"/>
          <w:bCs/>
          <w:snapToGrid w:val="0"/>
          <w:sz w:val="21"/>
          <w:szCs w:val="21"/>
        </w:rPr>
      </w:pPr>
      <w:r>
        <w:rPr>
          <w:rFonts w:ascii="Times New Roman" w:hAnsi="Times New Roman" w:cs="Times New Roman" w:eastAsiaTheme="minorEastAsia"/>
          <w:snapToGrid w:val="0"/>
          <w:sz w:val="21"/>
          <w:szCs w:val="21"/>
        </w:rPr>
        <w:t>8.8</w:t>
      </w:r>
      <w:r>
        <w:rPr>
          <w:rFonts w:ascii="Times New Roman" w:hAnsi="Times New Roman" w:cs="Times New Roman" w:eastAsiaTheme="minorEastAsia"/>
          <w:bCs/>
          <w:snapToGrid w:val="0"/>
          <w:sz w:val="21"/>
          <w:szCs w:val="21"/>
        </w:rPr>
        <w:t>著作权</w:t>
      </w:r>
    </w:p>
    <w:p>
      <w:pPr>
        <w:adjustRightInd w:val="0"/>
        <w:snapToGrid w:val="0"/>
        <w:spacing w:line="400" w:lineRule="exact"/>
        <w:ind w:firstLine="420" w:firstLineChars="200"/>
        <w:rPr>
          <w:rFonts w:ascii="Times New Roman" w:hAnsi="Times New Roman" w:cs="Times New Roman" w:eastAsiaTheme="minorEastAsia"/>
          <w:snapToGrid w:val="0"/>
          <w:sz w:val="21"/>
          <w:szCs w:val="21"/>
          <w:u w:val="single"/>
        </w:rPr>
      </w:pPr>
      <w:r>
        <w:rPr>
          <w:rFonts w:ascii="Times New Roman" w:hAnsi="Times New Roman" w:cs="Times New Roman" w:eastAsiaTheme="minorEastAsia"/>
          <w:snapToGrid w:val="0"/>
          <w:sz w:val="21"/>
          <w:szCs w:val="21"/>
        </w:rPr>
        <w:t>监理人在本合同履行期间及本合同终止后两年内出版涉及本工程的有关监理与相关服务的资料的限制条件：</w:t>
      </w:r>
      <w:r>
        <w:rPr>
          <w:rFonts w:ascii="Times New Roman" w:hAnsi="Times New Roman" w:cs="Times New Roman" w:eastAsiaTheme="minorEastAsia"/>
          <w:snapToGrid w:val="0"/>
          <w:sz w:val="21"/>
          <w:szCs w:val="21"/>
          <w:u w:val="single"/>
        </w:rPr>
        <w:t>涉及本工程设计及专项技术内容的，监理人应事先征得委托人同意，不经委托人同意不得出版相关内容。</w:t>
      </w:r>
    </w:p>
    <w:p>
      <w:pPr>
        <w:adjustRightInd w:val="0"/>
        <w:snapToGrid w:val="0"/>
        <w:spacing w:line="440" w:lineRule="exact"/>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9. 补充条款（</w:t>
      </w:r>
      <w:r>
        <w:rPr>
          <w:rFonts w:hint="eastAsia" w:ascii="宋体" w:hAnsi="宋体" w:eastAsia="宋体"/>
          <w:b/>
          <w:bCs/>
          <w:color w:val="auto"/>
          <w:sz w:val="21"/>
          <w:szCs w:val="21"/>
          <w:highlight w:val="none"/>
        </w:rPr>
        <w:t>附加协议条款</w:t>
      </w:r>
      <w:r>
        <w:rPr>
          <w:rFonts w:hint="eastAsia" w:ascii="宋体" w:hAnsi="宋体" w:eastAsia="宋体"/>
          <w:color w:val="auto"/>
          <w:sz w:val="21"/>
          <w:szCs w:val="21"/>
          <w:highlight w:val="none"/>
        </w:rPr>
        <w:t>）：</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违约责任：</w:t>
      </w:r>
    </w:p>
    <w:p>
      <w:pPr>
        <w:pStyle w:val="3"/>
        <w:tabs>
          <w:tab w:val="left" w:pos="574"/>
        </w:tabs>
        <w:rPr>
          <w:rFonts w:hint="eastAsia"/>
          <w:color w:val="auto"/>
          <w:highlight w:val="none"/>
        </w:rPr>
      </w:pPr>
      <w:r>
        <w:rPr>
          <w:rFonts w:hint="eastAsia" w:eastAsia="宋体"/>
          <w:color w:val="auto"/>
          <w:highlight w:val="none"/>
          <w:u w:val="none"/>
          <w:lang w:val="en-US" w:eastAsia="zh-CN"/>
        </w:rPr>
        <w:t xml:space="preserve"> </w:t>
      </w:r>
      <w:r>
        <w:rPr>
          <w:rFonts w:hint="eastAsia"/>
          <w:color w:val="auto"/>
          <w:highlight w:val="none"/>
          <w:u w:val="none"/>
          <w:lang w:val="en-US" w:eastAsia="zh-CN"/>
        </w:rPr>
        <w:t xml:space="preserve">  </w:t>
      </w:r>
      <w:r>
        <w:rPr>
          <w:rFonts w:hint="eastAsia" w:ascii="宋体" w:hAnsi="宋体" w:eastAsia="宋体"/>
          <w:b/>
          <w:bCs/>
          <w:color w:val="auto"/>
          <w:sz w:val="21"/>
          <w:szCs w:val="21"/>
          <w:highlight w:val="none"/>
          <w:u w:val="single"/>
        </w:rPr>
        <w:t>总监理工程师及其他监理人员在项目施工期间必须到招标人指定地点进行</w:t>
      </w:r>
      <w:r>
        <w:rPr>
          <w:rFonts w:hint="eastAsia" w:ascii="宋体" w:hAnsi="宋体" w:eastAsia="宋体"/>
          <w:b/>
          <w:bCs/>
          <w:color w:val="auto"/>
          <w:sz w:val="21"/>
          <w:szCs w:val="21"/>
          <w:highlight w:val="none"/>
          <w:u w:val="single"/>
          <w:lang w:val="en-US" w:eastAsia="zh-CN"/>
        </w:rPr>
        <w:t>人脸</w:t>
      </w:r>
      <w:r>
        <w:rPr>
          <w:rFonts w:hint="eastAsia" w:ascii="宋体" w:hAnsi="宋体" w:eastAsia="宋体"/>
          <w:b/>
          <w:bCs/>
          <w:color w:val="auto"/>
          <w:sz w:val="21"/>
          <w:szCs w:val="21"/>
          <w:highlight w:val="none"/>
          <w:u w:val="single"/>
        </w:rPr>
        <w:t>识别考勤。</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监理人在投标时承诺的监理工程师及驻现场监理机构的人员和主要检测设备必须按工程进度及时到位，监理人员必须在岗，不得擅自更换，到岗以发包人现场签到为依据，因不可抗力因素确需更换监理人员的，须经委托人确认并报建设主管部门备案，否则发包人将有权根据情节解除合同。总监理工程师到岗以天为统计单位，其他监理人到岗以半天为统计单位；</w:t>
      </w:r>
      <w:r>
        <w:rPr>
          <w:rFonts w:hint="eastAsia"/>
          <w:color w:val="auto"/>
          <w:sz w:val="21"/>
          <w:szCs w:val="21"/>
          <w:u w:val="single"/>
        </w:rPr>
        <w:t>总监理工程师月到岗不足22天，或监理人员发生违纪违法等严重失职行为的，或工程出现重大事故的，或委托人要求更换有失职行为（如施工方不按技术规范施工而监理人员不予阻止）的监理人员，监理人不予合作的，委托人有权中止合同，不支付监理酬金，同时监理人赔偿委托人由此造成的全部损失；总监理工程师月到岗不足22天或其他监理人员月到岗不足2</w:t>
      </w:r>
      <w:r>
        <w:rPr>
          <w:rFonts w:hint="eastAsia"/>
          <w:color w:val="auto"/>
          <w:sz w:val="21"/>
          <w:szCs w:val="21"/>
          <w:u w:val="single"/>
          <w:lang w:val="en-US" w:eastAsia="zh-CN"/>
        </w:rPr>
        <w:t>6</w:t>
      </w:r>
      <w:r>
        <w:rPr>
          <w:rFonts w:hint="eastAsia"/>
          <w:color w:val="auto"/>
          <w:sz w:val="21"/>
          <w:szCs w:val="21"/>
          <w:u w:val="single"/>
        </w:rPr>
        <w:t>天的，每人每天扣除监理费</w:t>
      </w:r>
      <w:r>
        <w:rPr>
          <w:rFonts w:hint="eastAsia"/>
          <w:color w:val="auto"/>
          <w:sz w:val="21"/>
          <w:szCs w:val="21"/>
          <w:u w:val="single"/>
          <w:lang w:val="en-US"/>
        </w:rPr>
        <w:t>2</w:t>
      </w:r>
      <w:r>
        <w:rPr>
          <w:color w:val="auto"/>
          <w:sz w:val="21"/>
          <w:szCs w:val="21"/>
          <w:u w:val="single"/>
        </w:rPr>
        <w:t>000</w:t>
      </w:r>
      <w:r>
        <w:rPr>
          <w:rFonts w:hint="eastAsia"/>
          <w:color w:val="auto"/>
          <w:sz w:val="21"/>
          <w:szCs w:val="21"/>
          <w:u w:val="single"/>
        </w:rPr>
        <w:t>元，并按《台州市建筑业类企业及从业人员违规记分和救济管理办法》（台建规［</w:t>
      </w:r>
      <w:r>
        <w:rPr>
          <w:color w:val="auto"/>
          <w:sz w:val="21"/>
          <w:szCs w:val="21"/>
          <w:u w:val="single"/>
        </w:rPr>
        <w:t>2009</w:t>
      </w:r>
      <w:r>
        <w:rPr>
          <w:rFonts w:hint="eastAsia"/>
          <w:color w:val="auto"/>
          <w:sz w:val="21"/>
          <w:szCs w:val="21"/>
          <w:u w:val="single"/>
        </w:rPr>
        <w:t>］</w:t>
      </w:r>
      <w:r>
        <w:rPr>
          <w:color w:val="auto"/>
          <w:sz w:val="21"/>
          <w:szCs w:val="21"/>
          <w:u w:val="single"/>
        </w:rPr>
        <w:t>285</w:t>
      </w:r>
      <w:r>
        <w:rPr>
          <w:rFonts w:hint="eastAsia"/>
          <w:color w:val="auto"/>
          <w:sz w:val="21"/>
          <w:szCs w:val="21"/>
          <w:u w:val="single"/>
        </w:rPr>
        <w:t>号）记分处理。情节严重的，委托人将把监理人的违</w:t>
      </w:r>
      <w:r>
        <w:rPr>
          <w:rFonts w:hint="eastAsia" w:ascii="宋体" w:hAnsi="宋体" w:eastAsia="宋体" w:cs="Times New Roman"/>
          <w:color w:val="auto"/>
          <w:sz w:val="21"/>
          <w:szCs w:val="21"/>
          <w:highlight w:val="none"/>
          <w:u w:val="single"/>
        </w:rPr>
        <w:t>约行为上报到建设主管部门，列入不良记录或黑名单。因监理人监督不力，工程出现质量、安全问题，如列入管理部门不良纪录的，每次扣除监理费2万元，列入黑名单的，每次扣除监理费5万元。以上扣款从最近期监理费中扣除。</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待施工单位进场后，现场办公室及其余办公设施、监理过程中需用的工作软件、通讯设备及生活住房、设施由监理人自理，不另行支付费用</w:t>
      </w:r>
      <w:r>
        <w:rPr>
          <w:rFonts w:hint="eastAsia" w:ascii="宋体" w:hAnsi="宋体" w:eastAsia="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rPr>
        <w:t>监理人须于施工现场配备至少1台电脑。</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所有开展本监理工作所需的设备和甲方对工程实体进行检测的仪器工具等均由乙方自行提供。监理人日常办公、膳宿如果另行在工地附近租用，该费用已包含在监理服务费内。</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工程质量未达到承包人投标时承诺的质量等级时，监理人应承担违约责任，并向委托人支付监理费</w:t>
      </w:r>
      <w:r>
        <w:rPr>
          <w:rFonts w:hint="eastAsia" w:ascii="宋体" w:hAnsi="宋体" w:eastAsia="宋体" w:cs="Times New Roman"/>
          <w:color w:val="auto"/>
          <w:sz w:val="21"/>
          <w:szCs w:val="21"/>
          <w:highlight w:val="none"/>
          <w:u w:val="single"/>
          <w:lang w:val="en-US" w:eastAsia="zh-CN"/>
        </w:rPr>
        <w:t>5</w:t>
      </w:r>
      <w:r>
        <w:rPr>
          <w:rFonts w:hint="eastAsia" w:ascii="宋体" w:hAnsi="宋体" w:eastAsia="宋体" w:cs="Times New Roman"/>
          <w:color w:val="auto"/>
          <w:sz w:val="21"/>
          <w:szCs w:val="21"/>
          <w:highlight w:val="none"/>
          <w:u w:val="single"/>
        </w:rPr>
        <w:t>%的违约金。</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监理人未按《中华人民共和国矿山安全法》、《建设工程安全生产管理条例》、《爆破安全规程》</w:t>
      </w:r>
      <w:r>
        <w:rPr>
          <w:rFonts w:hint="eastAsia" w:ascii="宋体" w:hAnsi="宋体" w:eastAsia="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lang w:val="en-US" w:eastAsia="zh-CN"/>
        </w:rPr>
        <w:t>如有</w:t>
      </w:r>
      <w:r>
        <w:rPr>
          <w:rFonts w:hint="eastAsia" w:ascii="宋体" w:hAnsi="宋体" w:eastAsia="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rPr>
        <w:t>、《中华人民共和国矿山安全法实施条例》、《金属非金属露天矿山安全生产规程》等现行法律法规履行爆破安全监理</w:t>
      </w:r>
      <w:r>
        <w:rPr>
          <w:rFonts w:hint="eastAsia" w:ascii="宋体" w:hAnsi="宋体" w:eastAsia="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lang w:val="en-US" w:eastAsia="zh-CN"/>
        </w:rPr>
        <w:t>如有</w:t>
      </w:r>
      <w:r>
        <w:rPr>
          <w:rFonts w:hint="eastAsia" w:ascii="宋体" w:hAnsi="宋体" w:eastAsia="宋体" w:cs="Times New Roman"/>
          <w:color w:val="auto"/>
          <w:sz w:val="21"/>
          <w:szCs w:val="21"/>
          <w:highlight w:val="none"/>
          <w:u w:val="single"/>
          <w:lang w:eastAsia="zh-CN"/>
        </w:rPr>
        <w:t>）</w:t>
      </w:r>
      <w:r>
        <w:rPr>
          <w:rFonts w:hint="eastAsia" w:ascii="宋体" w:hAnsi="宋体" w:eastAsia="宋体" w:cs="Times New Roman"/>
          <w:color w:val="auto"/>
          <w:sz w:val="21"/>
          <w:szCs w:val="21"/>
          <w:highlight w:val="none"/>
          <w:u w:val="single"/>
        </w:rPr>
        <w:t>和开采作业监理职责，项目实施期间如发生因安全问题被安监、公安部门通报或行政处罚的，每次扣除</w:t>
      </w:r>
      <w:r>
        <w:rPr>
          <w:rFonts w:hint="eastAsia" w:cs="Times New Roman"/>
          <w:color w:val="auto"/>
          <w:sz w:val="21"/>
          <w:szCs w:val="21"/>
          <w:highlight w:val="none"/>
          <w:u w:val="single"/>
          <w:lang w:eastAsia="zh-CN"/>
        </w:rPr>
        <w:t>监理费</w:t>
      </w:r>
      <w:r>
        <w:rPr>
          <w:rFonts w:hint="eastAsia" w:ascii="宋体" w:hAnsi="宋体" w:eastAsia="宋体" w:cs="Times New Roman"/>
          <w:color w:val="auto"/>
          <w:sz w:val="21"/>
          <w:szCs w:val="21"/>
          <w:highlight w:val="none"/>
          <w:u w:val="single"/>
        </w:rPr>
        <w:t>2万元。</w:t>
      </w:r>
    </w:p>
    <w:p>
      <w:pPr>
        <w:snapToGrid w:val="0"/>
        <w:spacing w:line="360" w:lineRule="auto"/>
        <w:ind w:firstLine="422" w:firstLineChars="200"/>
        <w:jc w:val="left"/>
        <w:rPr>
          <w:rFonts w:hint="default" w:ascii="宋体" w:hAnsi="宋体" w:eastAsia="宋体" w:cs="Times New Roman"/>
          <w:b/>
          <w:bCs/>
          <w:color w:val="auto"/>
          <w:sz w:val="21"/>
          <w:szCs w:val="21"/>
          <w:highlight w:val="none"/>
          <w:u w:val="single"/>
          <w:lang w:val="en-US" w:eastAsia="zh-CN"/>
        </w:rPr>
      </w:pPr>
      <w:r>
        <w:rPr>
          <w:rFonts w:hint="eastAsia" w:ascii="宋体" w:hAnsi="宋体" w:eastAsia="宋体" w:cs="Times New Roman"/>
          <w:b/>
          <w:bCs/>
          <w:color w:val="auto"/>
          <w:sz w:val="21"/>
          <w:szCs w:val="21"/>
          <w:highlight w:val="none"/>
          <w:u w:val="single"/>
          <w:lang w:val="en-US" w:eastAsia="zh-CN"/>
        </w:rPr>
        <w:t>监理人必须配备至少一台无人机（费用自理）。</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委托的建设工程监理所必要的监理人员外出考察、订购材料设备监制，其费用已包含在合同价内，委托人不再另行支付。如委托方要求监理人员外出考察、订购材料设备监制的，其费用由委托人另行支付。</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隐蔽工程验收时，监理方必须会同委托人一起验收，并经监理方、委托人代表签字盖章确认后，方可进行下道工序施工。</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监理人应对驻现场监理人员的人身和财产安全负全部责任，在监理服务期内为派驻到项目所在地的人员办理人身和自有财产的有关保险，并承担有关费用。保险时间应随服务时间的延长而顺延，并在出险后自行办理索赔。如监理人不办理上述保险，则应对有关风险及后果自负其责。</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监理人须设立监察点，全程监察施工时对相邻建筑物的安全影响。</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监理人须协助委托人做好工程前期准备工作，包括总承包、各专业工程、设备材料招标、办理各项手续等工作。</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总监在处理以下事项时：1、工程计量；2、工程价款（包括工程预付款、进度款、结算款）的确认和支付；3、工程变更和价格调整；4、竣工结算；5、工期确认（包括开工日期、竣工日期、工期延误的确认）；6、索赔处理。须按施工合同约定的时限内完成，且必须经委托人审查同意、书面签认后，方可将确认结果回复予承包人。</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除因管理原因发生重大安全事故不适合再任、因生病住院、终止劳动合同关系（提供相关部门或单位证明材料）、被责令停止执业、羁押或判刑、连续停工超过120天及以上情形而更换之外的，如监理人要求更换人员，须经委托人认可，同时，总监每更换一人次扣除监理</w:t>
      </w:r>
      <w:r>
        <w:rPr>
          <w:rFonts w:hint="eastAsia" w:ascii="宋体" w:hAnsi="宋体" w:eastAsia="宋体" w:cs="Times New Roman"/>
          <w:color w:val="auto"/>
          <w:sz w:val="21"/>
          <w:szCs w:val="21"/>
          <w:highlight w:val="none"/>
          <w:u w:val="single"/>
          <w:lang w:val="en-US" w:eastAsia="zh-CN"/>
        </w:rPr>
        <w:t>费</w:t>
      </w:r>
      <w:r>
        <w:rPr>
          <w:rFonts w:hint="eastAsia" w:cs="Times New Roman"/>
          <w:color w:val="auto"/>
          <w:sz w:val="21"/>
          <w:szCs w:val="21"/>
          <w:highlight w:val="none"/>
          <w:u w:val="single"/>
          <w:lang w:val="en-US" w:eastAsia="zh-CN"/>
        </w:rPr>
        <w:t>10000</w:t>
      </w:r>
      <w:r>
        <w:rPr>
          <w:rFonts w:hint="eastAsia" w:ascii="宋体" w:hAnsi="宋体" w:eastAsia="宋体" w:cs="Times New Roman"/>
          <w:color w:val="auto"/>
          <w:sz w:val="21"/>
          <w:szCs w:val="21"/>
          <w:highlight w:val="none"/>
          <w:u w:val="single"/>
          <w:lang w:val="en-US" w:eastAsia="zh-CN"/>
        </w:rPr>
        <w:t>元</w:t>
      </w:r>
      <w:r>
        <w:rPr>
          <w:rFonts w:hint="eastAsia" w:ascii="宋体" w:hAnsi="宋体" w:eastAsia="宋体" w:cs="Times New Roman"/>
          <w:color w:val="auto"/>
          <w:sz w:val="21"/>
          <w:szCs w:val="21"/>
          <w:highlight w:val="none"/>
          <w:u w:val="single"/>
        </w:rPr>
        <w:t>；监理工程师每更换一人次扣除监理</w:t>
      </w:r>
      <w:r>
        <w:rPr>
          <w:rFonts w:hint="eastAsia" w:ascii="宋体" w:hAnsi="宋体" w:eastAsia="宋体" w:cs="Times New Roman"/>
          <w:color w:val="auto"/>
          <w:sz w:val="21"/>
          <w:szCs w:val="21"/>
          <w:highlight w:val="none"/>
          <w:u w:val="single"/>
          <w:lang w:val="en-US" w:eastAsia="zh-CN"/>
        </w:rPr>
        <w:t>费</w:t>
      </w:r>
      <w:r>
        <w:rPr>
          <w:rFonts w:hint="eastAsia" w:cs="Times New Roman"/>
          <w:color w:val="auto"/>
          <w:sz w:val="21"/>
          <w:szCs w:val="21"/>
          <w:highlight w:val="none"/>
          <w:u w:val="single"/>
          <w:lang w:val="en-US" w:eastAsia="zh-CN"/>
        </w:rPr>
        <w:t>5000</w:t>
      </w:r>
      <w:r>
        <w:rPr>
          <w:rFonts w:hint="eastAsia" w:ascii="宋体" w:hAnsi="宋体" w:eastAsia="宋体" w:cs="Times New Roman"/>
          <w:color w:val="auto"/>
          <w:sz w:val="21"/>
          <w:szCs w:val="21"/>
          <w:highlight w:val="none"/>
          <w:u w:val="single"/>
          <w:lang w:val="en-US" w:eastAsia="zh-CN"/>
        </w:rPr>
        <w:t>元</w:t>
      </w:r>
      <w:r>
        <w:rPr>
          <w:rFonts w:hint="eastAsia" w:ascii="宋体" w:hAnsi="宋体" w:eastAsia="宋体" w:cs="Times New Roman"/>
          <w:color w:val="auto"/>
          <w:sz w:val="21"/>
          <w:szCs w:val="21"/>
          <w:highlight w:val="none"/>
          <w:u w:val="single"/>
        </w:rPr>
        <w:t>；其他关键岗位人员每更换一人次扣除监理</w:t>
      </w:r>
      <w:r>
        <w:rPr>
          <w:rFonts w:hint="eastAsia" w:ascii="宋体" w:hAnsi="宋体" w:eastAsia="宋体" w:cs="Times New Roman"/>
          <w:color w:val="auto"/>
          <w:sz w:val="21"/>
          <w:szCs w:val="21"/>
          <w:highlight w:val="none"/>
          <w:u w:val="single"/>
          <w:lang w:val="en-US" w:eastAsia="zh-CN"/>
        </w:rPr>
        <w:t>费</w:t>
      </w:r>
      <w:r>
        <w:rPr>
          <w:rFonts w:hint="eastAsia" w:cs="Times New Roman"/>
          <w:color w:val="auto"/>
          <w:sz w:val="21"/>
          <w:szCs w:val="21"/>
          <w:highlight w:val="none"/>
          <w:u w:val="single"/>
          <w:lang w:val="en-US" w:eastAsia="zh-CN"/>
        </w:rPr>
        <w:t>2000</w:t>
      </w:r>
      <w:r>
        <w:rPr>
          <w:rFonts w:hint="eastAsia" w:ascii="宋体" w:hAnsi="宋体" w:eastAsia="宋体" w:cs="Times New Roman"/>
          <w:color w:val="auto"/>
          <w:sz w:val="21"/>
          <w:szCs w:val="21"/>
          <w:highlight w:val="none"/>
          <w:u w:val="single"/>
          <w:lang w:val="en-US" w:eastAsia="zh-CN"/>
        </w:rPr>
        <w:t>元</w:t>
      </w:r>
      <w:r>
        <w:rPr>
          <w:rFonts w:hint="eastAsia" w:ascii="宋体" w:hAnsi="宋体" w:eastAsia="宋体" w:cs="Times New Roman"/>
          <w:color w:val="auto"/>
          <w:sz w:val="21"/>
          <w:szCs w:val="21"/>
          <w:highlight w:val="none"/>
          <w:u w:val="single"/>
        </w:rPr>
        <w:t>。</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工程监理单位应公正行使监理职责，督促监理人员严格遵守监理职业道德，如监理人员违反《工程监理廉政责任书》中的乙方责任条款（该条款的相关单位包括受监理单位），委托人有权要求其更换项目监理人员并罚除监理人监理</w:t>
      </w:r>
      <w:r>
        <w:rPr>
          <w:rFonts w:hint="eastAsia" w:cs="Times New Roman"/>
          <w:color w:val="auto"/>
          <w:sz w:val="21"/>
          <w:szCs w:val="21"/>
          <w:highlight w:val="none"/>
          <w:u w:val="single"/>
          <w:lang w:eastAsia="zh-CN"/>
        </w:rPr>
        <w:t>费</w:t>
      </w:r>
      <w:r>
        <w:rPr>
          <w:rFonts w:hint="eastAsia" w:ascii="宋体" w:hAnsi="宋体" w:eastAsia="宋体" w:cs="Times New Roman"/>
          <w:color w:val="auto"/>
          <w:sz w:val="21"/>
          <w:szCs w:val="21"/>
          <w:highlight w:val="none"/>
          <w:u w:val="single"/>
        </w:rPr>
        <w:t>的３%～５%；情节严重，给委托人造成损失的，委托人有权终止合同，监理单位并依法承担赔偿责任。</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如发现监理人有与施工方（或生产厂家）合谋，偷工减料、弄虚作假、以次代好的现象，委托人有权立即停止施工，查明情况后，根据情节轻重每次罚除监理人监理</w:t>
      </w:r>
      <w:r>
        <w:rPr>
          <w:rFonts w:hint="eastAsia" w:cs="Times New Roman"/>
          <w:color w:val="auto"/>
          <w:sz w:val="21"/>
          <w:szCs w:val="21"/>
          <w:highlight w:val="none"/>
          <w:u w:val="single"/>
          <w:lang w:eastAsia="zh-CN"/>
        </w:rPr>
        <w:t>费</w:t>
      </w:r>
      <w:r>
        <w:rPr>
          <w:rFonts w:hint="eastAsia" w:ascii="宋体" w:hAnsi="宋体" w:eastAsia="宋体" w:cs="Times New Roman"/>
          <w:color w:val="auto"/>
          <w:sz w:val="21"/>
          <w:szCs w:val="21"/>
          <w:highlight w:val="none"/>
          <w:u w:val="single"/>
        </w:rPr>
        <w:t>的3%。如造成委托人损失的，赔偿损失。</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如监理人有违反廉政规定并被纪检部门或司法机关查处的，则监理人向委托人支付</w:t>
      </w:r>
      <w:r>
        <w:rPr>
          <w:rFonts w:hint="eastAsia" w:cs="Times New Roman"/>
          <w:color w:val="auto"/>
          <w:sz w:val="21"/>
          <w:szCs w:val="21"/>
          <w:highlight w:val="none"/>
          <w:u w:val="single"/>
          <w:lang w:eastAsia="zh-CN"/>
        </w:rPr>
        <w:t>监理费</w:t>
      </w:r>
      <w:r>
        <w:rPr>
          <w:rFonts w:hint="eastAsia" w:ascii="宋体" w:hAnsi="宋体" w:eastAsia="宋体" w:cs="Times New Roman"/>
          <w:color w:val="auto"/>
          <w:sz w:val="21"/>
          <w:szCs w:val="21"/>
          <w:highlight w:val="none"/>
          <w:u w:val="single"/>
        </w:rPr>
        <w:t>10%的违约金。</w:t>
      </w:r>
    </w:p>
    <w:p>
      <w:pPr>
        <w:snapToGrid w:val="0"/>
        <w:spacing w:line="360" w:lineRule="auto"/>
        <w:ind w:firstLine="420" w:firstLineChars="200"/>
        <w:jc w:val="left"/>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u w:val="single"/>
        </w:rPr>
        <w:t>履约担保金额为中标价（签约合同价）的2%，履约担保形式：⑴现金；⑵银行保函；⑶保险机构保证保险保单；⑷融资担保公司保函。如不能办理银行保函或者保险公司保函或者融资担保公司保函，采用现金的，中标人（如为联合体投标的，指联合体牵头人）必须通过其基本账户转出的转帐、电汇或银行汇票方式解入招标人指定帐户；履约担保在合同协议书签署前提交，在发包人书面下达矿山全部开采完毕的指令后14天内退还（履约担保不计息）。联合体投标的，履约担保由联合体牵头人提交。（在工程完工之前，监理人应保证履约担保一直有效于本工程，如遇工程延期等其他原因超出原履约担保有效期，监理人应向担保机构申请重新开具保函，或将原保函有效期延长直至本工程结束）。</w:t>
      </w:r>
    </w:p>
    <w:p>
      <w:pPr>
        <w:snapToGrid w:val="0"/>
        <w:spacing w:line="360" w:lineRule="auto"/>
        <w:ind w:firstLine="422" w:firstLineChars="200"/>
        <w:jc w:val="left"/>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rPr>
        <w:t>（</w:t>
      </w:r>
      <w:r>
        <w:rPr>
          <w:rFonts w:hint="eastAsia" w:ascii="宋体" w:hAnsi="宋体" w:eastAsia="宋体"/>
          <w:b/>
          <w:bCs/>
          <w:color w:val="auto"/>
          <w:sz w:val="21"/>
          <w:szCs w:val="21"/>
          <w:highlight w:val="none"/>
          <w:u w:val="single"/>
        </w:rPr>
        <w:t>21）遇有工程检查、验收或参观等活动时，如总监理工程及其他监理人员未在施工现场，按旷工处理。并处以监理人每人次2000元的罚金。</w:t>
      </w:r>
    </w:p>
    <w:p>
      <w:pPr>
        <w:snapToGrid w:val="0"/>
        <w:spacing w:line="360" w:lineRule="auto"/>
        <w:ind w:firstLine="422" w:firstLineChars="200"/>
        <w:jc w:val="left"/>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(22)因监理人引起的工程价款变更，单项变更差错达3%以上的，每次扣违约金5000元，本项违约金累计最多不超过合同总价的10%。</w:t>
      </w: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pStyle w:val="2"/>
        <w:rPr>
          <w:rFonts w:hint="eastAsia" w:ascii="宋体" w:hAnsi="宋体" w:eastAsia="宋体"/>
          <w:b/>
          <w:bCs/>
          <w:color w:val="auto"/>
          <w:sz w:val="21"/>
          <w:szCs w:val="21"/>
          <w:highlight w:val="none"/>
          <w:u w:val="single"/>
        </w:rPr>
      </w:pPr>
    </w:p>
    <w:p>
      <w:pPr>
        <w:pStyle w:val="3"/>
        <w:rPr>
          <w:rFonts w:hint="eastAsia" w:ascii="宋体" w:hAnsi="宋体" w:eastAsia="宋体"/>
          <w:b/>
          <w:bCs/>
          <w:color w:val="auto"/>
          <w:sz w:val="21"/>
          <w:szCs w:val="21"/>
          <w:highlight w:val="none"/>
          <w:u w:val="single"/>
        </w:rPr>
      </w:pPr>
    </w:p>
    <w:p>
      <w:pPr>
        <w:rPr>
          <w:rFonts w:hint="eastAsia" w:ascii="宋体" w:hAnsi="宋体" w:eastAsia="宋体"/>
          <w:b/>
          <w:bCs/>
          <w:color w:val="auto"/>
          <w:sz w:val="21"/>
          <w:szCs w:val="21"/>
          <w:highlight w:val="none"/>
          <w:u w:val="single"/>
        </w:rPr>
      </w:pPr>
    </w:p>
    <w:p>
      <w:pPr>
        <w:pStyle w:val="2"/>
        <w:rPr>
          <w:rFonts w:hint="eastAsia"/>
        </w:rPr>
      </w:pPr>
    </w:p>
    <w:p>
      <w:pPr>
        <w:pStyle w:val="2"/>
        <w:rPr>
          <w:rFonts w:hint="eastAsia"/>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p>
    <w:p>
      <w:pPr>
        <w:adjustRightInd w:val="0"/>
        <w:snapToGrid w:val="0"/>
        <w:spacing w:line="360" w:lineRule="auto"/>
        <w:ind w:firstLine="422" w:firstLineChars="200"/>
        <w:jc w:val="left"/>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附录A  相关服务的范围和内容</w:t>
      </w:r>
    </w:p>
    <w:p>
      <w:pPr>
        <w:snapToGrid w:val="0"/>
        <w:spacing w:line="360" w:lineRule="auto"/>
        <w:ind w:firstLine="422" w:firstLineChars="200"/>
        <w:jc w:val="left"/>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A-1 勘察阶段：              /           。</w:t>
      </w:r>
    </w:p>
    <w:p>
      <w:pPr>
        <w:snapToGrid w:val="0"/>
        <w:spacing w:line="360" w:lineRule="auto"/>
        <w:ind w:firstLine="422" w:firstLineChars="200"/>
        <w:jc w:val="left"/>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A-2 设计阶段：            /             。</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22" w:firstLineChars="200"/>
        <w:rPr>
          <w:rFonts w:hint="eastAsia" w:ascii="宋体" w:hAnsi="宋体" w:eastAsia="宋体"/>
          <w:b/>
          <w:bCs/>
          <w:color w:val="auto"/>
          <w:sz w:val="21"/>
          <w:szCs w:val="21"/>
          <w:highlight w:val="none"/>
          <w:u w:val="single"/>
          <w:lang w:eastAsia="zh-CN"/>
        </w:rPr>
      </w:pPr>
      <w:r>
        <w:rPr>
          <w:rFonts w:hint="eastAsia" w:ascii="宋体" w:hAnsi="宋体" w:eastAsia="宋体"/>
          <w:b/>
          <w:bCs/>
          <w:color w:val="auto"/>
          <w:sz w:val="21"/>
          <w:szCs w:val="21"/>
          <w:highlight w:val="none"/>
          <w:u w:val="single"/>
        </w:rPr>
        <w:t xml:space="preserve">A-3 </w:t>
      </w:r>
      <w:r>
        <w:rPr>
          <w:rFonts w:hint="eastAsia"/>
          <w:b/>
          <w:bCs/>
          <w:color w:val="auto"/>
          <w:sz w:val="21"/>
          <w:szCs w:val="21"/>
          <w:highlight w:val="none"/>
          <w:u w:val="single"/>
          <w:lang w:eastAsia="zh-CN"/>
        </w:rPr>
        <w:t>施工阶段：</w:t>
      </w:r>
      <w:r>
        <w:rPr>
          <w:rFonts w:hint="eastAsia" w:ascii="宋体" w:hAnsi="宋体" w:eastAsia="宋体"/>
          <w:b/>
          <w:bCs/>
          <w:color w:val="auto"/>
          <w:sz w:val="21"/>
          <w:szCs w:val="21"/>
          <w:highlight w:val="none"/>
          <w:u w:val="single"/>
          <w:lang w:val="en-US"/>
        </w:rPr>
        <w:t>本项目所包含的全部施工（包含矿区开拓系统建设、代加工厂房建设、代加工流水线搭建、首采区清表及表土剥离、矿区施工现场周边围护建设、矿山安全设施建设、爆破施工组织设计审批等内容）、石料开采（含爆破、施工、矿区内道路修整扩建及临时电、排水、排污设施建设、场内运输等配套设施）、砂石加工（包括投料、头破、粗破、细破、整型、筛分、洗砂、机制砂石成品入库及存储，机制砂石成品装车、砂石成品出售时装车、过磅等）、宕渣回填</w:t>
      </w:r>
      <w:r>
        <w:rPr>
          <w:rFonts w:hint="eastAsia" w:ascii="宋体" w:hAnsi="宋体" w:eastAsia="宋体"/>
          <w:b/>
          <w:bCs/>
          <w:color w:val="auto"/>
          <w:sz w:val="21"/>
          <w:szCs w:val="21"/>
          <w:highlight w:val="none"/>
          <w:u w:val="single"/>
          <w:lang w:val="en-US" w:eastAsia="zh-CN"/>
        </w:rPr>
        <w:t>、水田</w:t>
      </w:r>
      <w:r>
        <w:rPr>
          <w:rFonts w:hint="eastAsia" w:ascii="宋体" w:hAnsi="宋体" w:eastAsia="宋体"/>
          <w:b/>
          <w:bCs/>
          <w:color w:val="auto"/>
          <w:sz w:val="21"/>
          <w:szCs w:val="21"/>
          <w:highlight w:val="none"/>
          <w:u w:val="single"/>
          <w:lang w:val="en-US"/>
        </w:rPr>
        <w:t>垦造</w:t>
      </w:r>
      <w:r>
        <w:rPr>
          <w:rFonts w:hint="eastAsia" w:ascii="宋体" w:hAnsi="宋体" w:eastAsia="宋体"/>
          <w:b/>
          <w:bCs/>
          <w:color w:val="auto"/>
          <w:sz w:val="21"/>
          <w:szCs w:val="21"/>
          <w:highlight w:val="none"/>
          <w:u w:val="single"/>
          <w:lang w:val="en-US" w:eastAsia="zh-CN"/>
        </w:rPr>
        <w:t>、新建灌渠河道、河道</w:t>
      </w:r>
      <w:r>
        <w:rPr>
          <w:rFonts w:hint="eastAsia" w:ascii="宋体" w:hAnsi="宋体" w:eastAsia="宋体"/>
          <w:b/>
          <w:bCs/>
          <w:color w:val="auto"/>
          <w:sz w:val="21"/>
          <w:szCs w:val="21"/>
          <w:highlight w:val="none"/>
          <w:u w:val="single"/>
          <w:lang w:val="en-US"/>
        </w:rPr>
        <w:t>驳坎</w:t>
      </w:r>
      <w:r>
        <w:rPr>
          <w:rFonts w:hint="eastAsia" w:ascii="宋体" w:hAnsi="宋体" w:eastAsia="宋体"/>
          <w:b/>
          <w:bCs/>
          <w:color w:val="auto"/>
          <w:sz w:val="21"/>
          <w:szCs w:val="21"/>
          <w:highlight w:val="none"/>
          <w:u w:val="single"/>
          <w:lang w:val="en-US" w:eastAsia="zh-CN"/>
        </w:rPr>
        <w:t>、</w:t>
      </w:r>
      <w:r>
        <w:rPr>
          <w:rFonts w:hint="eastAsia" w:ascii="宋体" w:hAnsi="宋体" w:eastAsia="宋体"/>
          <w:b/>
          <w:bCs/>
          <w:color w:val="auto"/>
          <w:sz w:val="21"/>
          <w:szCs w:val="21"/>
          <w:highlight w:val="none"/>
          <w:u w:val="single"/>
          <w:lang w:val="en-US"/>
        </w:rPr>
        <w:t xml:space="preserve">边坡治理、地质灾害的预防及治理、“绿色矿山”创建、监控、拆除、清场等工作的监理，包括项目前期准备工作、爆破安全监理、施工全过程监理、复绿工程等的监理、计量监管、配合结算审核、资料归档及保修阶段的监理。 </w:t>
      </w:r>
    </w:p>
    <w:p>
      <w:pPr>
        <w:snapToGrid w:val="0"/>
        <w:spacing w:line="360" w:lineRule="auto"/>
        <w:ind w:firstLine="422" w:firstLineChars="200"/>
        <w:jc w:val="left"/>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A-4保修阶段：检查和记录工程质量缺陷，对缺陷原因进行调查分析并确定责任归属，审核修复方案，监督修复过程并验收，审核修复费用。</w:t>
      </w:r>
    </w:p>
    <w:p>
      <w:pPr>
        <w:tabs>
          <w:tab w:val="left" w:pos="1343"/>
          <w:tab w:val="left" w:pos="2697"/>
          <w:tab w:val="left" w:pos="3264"/>
          <w:tab w:val="left" w:pos="4896"/>
          <w:tab w:val="left" w:pos="6005"/>
          <w:tab w:val="left" w:pos="7085"/>
          <w:tab w:val="left" w:pos="7498"/>
        </w:tabs>
        <w:kinsoku w:val="0"/>
        <w:adjustRightInd w:val="0"/>
        <w:snapToGrid w:val="0"/>
        <w:spacing w:line="360" w:lineRule="auto"/>
        <w:ind w:firstLine="422" w:firstLineChars="200"/>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A-</w:t>
      </w:r>
      <w:r>
        <w:rPr>
          <w:rFonts w:hint="eastAsia"/>
          <w:b/>
          <w:bCs/>
          <w:color w:val="auto"/>
          <w:sz w:val="21"/>
          <w:szCs w:val="21"/>
          <w:highlight w:val="none"/>
          <w:u w:val="single"/>
          <w:lang w:val="en-US" w:eastAsia="zh-CN"/>
        </w:rPr>
        <w:t>5</w:t>
      </w:r>
      <w:r>
        <w:rPr>
          <w:rFonts w:hint="eastAsia" w:ascii="宋体" w:hAnsi="宋体" w:eastAsia="宋体"/>
          <w:b/>
          <w:bCs/>
          <w:color w:val="auto"/>
          <w:sz w:val="21"/>
          <w:szCs w:val="21"/>
          <w:highlight w:val="none"/>
          <w:u w:val="single"/>
        </w:rPr>
        <w:t xml:space="preserve"> 其他（专业技术咨询、外部协调工作等）：协助业主做好专业技术咨询、外部协调工作等 。</w:t>
      </w:r>
    </w:p>
    <w:p>
      <w:pPr>
        <w:snapToGrid w:val="0"/>
        <w:spacing w:line="360" w:lineRule="auto"/>
        <w:ind w:firstLine="422" w:firstLineChars="200"/>
        <w:jc w:val="left"/>
        <w:rPr>
          <w:rFonts w:hint="eastAsia" w:ascii="宋体" w:hAnsi="宋体" w:eastAsia="宋体"/>
          <w:b/>
          <w:bCs/>
          <w:color w:val="auto"/>
          <w:sz w:val="21"/>
          <w:szCs w:val="21"/>
          <w:highlight w:val="none"/>
          <w:u w:val="single"/>
        </w:rPr>
      </w:pPr>
    </w:p>
    <w:p>
      <w:pPr>
        <w:pageBreakBefore/>
        <w:spacing w:line="360" w:lineRule="auto"/>
        <w:ind w:firstLine="422" w:firstLineChars="200"/>
        <w:jc w:val="left"/>
        <w:rPr>
          <w:rFonts w:hint="eastAsia" w:ascii="宋体" w:hAnsi="宋体" w:eastAsia="宋体"/>
          <w:b/>
          <w:bCs/>
          <w:color w:val="auto"/>
          <w:sz w:val="21"/>
          <w:szCs w:val="21"/>
          <w:highlight w:val="none"/>
          <w:u w:val="single"/>
        </w:rPr>
      </w:pPr>
      <w:r>
        <w:rPr>
          <w:rFonts w:hint="eastAsia" w:ascii="宋体" w:hAnsi="宋体" w:eastAsia="宋体"/>
          <w:b/>
          <w:bCs/>
          <w:color w:val="auto"/>
          <w:sz w:val="21"/>
          <w:szCs w:val="21"/>
          <w:highlight w:val="none"/>
          <w:u w:val="single"/>
        </w:rPr>
        <w:t>附录B  委托人派遣的人员和提供的房屋、资料、设备</w:t>
      </w:r>
    </w:p>
    <w:p>
      <w:pPr>
        <w:spacing w:line="360" w:lineRule="auto"/>
        <w:ind w:firstLine="422" w:firstLineChars="200"/>
        <w:jc w:val="left"/>
        <w:rPr>
          <w:rFonts w:hint="eastAsia" w:ascii="宋体" w:hAnsi="宋体" w:eastAsia="宋体"/>
          <w:b/>
          <w:color w:val="auto"/>
          <w:kern w:val="0"/>
          <w:sz w:val="21"/>
          <w:szCs w:val="21"/>
          <w:highlight w:val="none"/>
        </w:rPr>
      </w:pPr>
      <w:r>
        <w:rPr>
          <w:rFonts w:hint="eastAsia" w:ascii="宋体" w:hAnsi="宋体" w:eastAsia="宋体"/>
          <w:b/>
          <w:color w:val="auto"/>
          <w:kern w:val="0"/>
          <w:sz w:val="21"/>
          <w:szCs w:val="21"/>
          <w:highlight w:val="none"/>
        </w:rPr>
        <w:t>B-1  委托人派遣的人员</w:t>
      </w:r>
    </w:p>
    <w:tbl>
      <w:tblPr>
        <w:tblStyle w:val="90"/>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1921"/>
        <w:gridCol w:w="2311"/>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047"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名称</w:t>
            </w:r>
          </w:p>
        </w:tc>
        <w:tc>
          <w:tcPr>
            <w:tcW w:w="1921"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数量</w:t>
            </w:r>
          </w:p>
        </w:tc>
        <w:tc>
          <w:tcPr>
            <w:tcW w:w="2311"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工作要求</w:t>
            </w:r>
          </w:p>
        </w:tc>
        <w:tc>
          <w:tcPr>
            <w:tcW w:w="2274"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047"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1. 工程技术人员 </w:t>
            </w:r>
          </w:p>
        </w:tc>
        <w:tc>
          <w:tcPr>
            <w:tcW w:w="192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1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74"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047"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 辅助工作人员</w:t>
            </w:r>
          </w:p>
        </w:tc>
        <w:tc>
          <w:tcPr>
            <w:tcW w:w="192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1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74"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047"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 其他人员</w:t>
            </w:r>
          </w:p>
        </w:tc>
        <w:tc>
          <w:tcPr>
            <w:tcW w:w="192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1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74"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047"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192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11"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74"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bl>
    <w:p>
      <w:pPr>
        <w:spacing w:line="360" w:lineRule="auto"/>
        <w:ind w:firstLine="422" w:firstLineChars="200"/>
        <w:jc w:val="left"/>
        <w:rPr>
          <w:rFonts w:hint="eastAsia" w:ascii="宋体" w:hAnsi="宋体" w:eastAsia="宋体"/>
          <w:b/>
          <w:color w:val="auto"/>
          <w:kern w:val="0"/>
          <w:sz w:val="21"/>
          <w:szCs w:val="21"/>
          <w:highlight w:val="none"/>
        </w:rPr>
      </w:pPr>
      <w:r>
        <w:rPr>
          <w:rFonts w:hint="eastAsia" w:ascii="宋体" w:hAnsi="宋体" w:eastAsia="宋体"/>
          <w:b/>
          <w:color w:val="auto"/>
          <w:kern w:val="0"/>
          <w:sz w:val="21"/>
          <w:szCs w:val="21"/>
          <w:highlight w:val="none"/>
        </w:rPr>
        <w:t>B-2  委托人提供的房屋（不提供）</w:t>
      </w:r>
    </w:p>
    <w:tbl>
      <w:tblPr>
        <w:tblStyle w:val="90"/>
        <w:tblW w:w="9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1972"/>
        <w:gridCol w:w="2326"/>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02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名称</w:t>
            </w:r>
          </w:p>
        </w:tc>
        <w:tc>
          <w:tcPr>
            <w:tcW w:w="1972"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数量</w:t>
            </w:r>
          </w:p>
        </w:tc>
        <w:tc>
          <w:tcPr>
            <w:tcW w:w="2326"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面积</w:t>
            </w:r>
          </w:p>
        </w:tc>
        <w:tc>
          <w:tcPr>
            <w:tcW w:w="2212"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02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 办公用房</w:t>
            </w:r>
          </w:p>
        </w:tc>
        <w:tc>
          <w:tcPr>
            <w:tcW w:w="1972"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 </w:t>
            </w:r>
          </w:p>
        </w:tc>
        <w:tc>
          <w:tcPr>
            <w:tcW w:w="2326"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 </w:t>
            </w:r>
          </w:p>
        </w:tc>
        <w:tc>
          <w:tcPr>
            <w:tcW w:w="221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02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 生活用房</w:t>
            </w:r>
          </w:p>
        </w:tc>
        <w:tc>
          <w:tcPr>
            <w:tcW w:w="197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26"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1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028" w:type="dxa"/>
            <w:noWrap w:val="0"/>
            <w:vAlign w:val="top"/>
          </w:tcPr>
          <w:p>
            <w:pPr>
              <w:spacing w:line="360" w:lineRule="auto"/>
              <w:ind w:firstLine="420" w:firstLineChars="200"/>
              <w:jc w:val="left"/>
              <w:rPr>
                <w:rFonts w:hint="eastAsia" w:ascii="宋体" w:hAnsi="宋体" w:eastAsia="宋体"/>
                <w:dstrike/>
                <w:color w:val="auto"/>
                <w:sz w:val="21"/>
                <w:szCs w:val="21"/>
                <w:highlight w:val="none"/>
              </w:rPr>
            </w:pPr>
            <w:r>
              <w:rPr>
                <w:rFonts w:hint="eastAsia" w:ascii="宋体" w:hAnsi="宋体" w:eastAsia="宋体"/>
                <w:color w:val="auto"/>
                <w:sz w:val="21"/>
                <w:szCs w:val="21"/>
                <w:highlight w:val="none"/>
              </w:rPr>
              <w:t>3. 试验用房</w:t>
            </w:r>
          </w:p>
        </w:tc>
        <w:tc>
          <w:tcPr>
            <w:tcW w:w="197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26"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1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02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 样品用房</w:t>
            </w:r>
          </w:p>
        </w:tc>
        <w:tc>
          <w:tcPr>
            <w:tcW w:w="197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26"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1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028"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197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26"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212"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028" w:type="dxa"/>
            <w:noWrap w:val="0"/>
            <w:vAlign w:val="top"/>
          </w:tcPr>
          <w:p>
            <w:pPr>
              <w:spacing w:line="360" w:lineRule="auto"/>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用餐及其他生活条件</w:t>
            </w:r>
          </w:p>
        </w:tc>
        <w:tc>
          <w:tcPr>
            <w:tcW w:w="6510" w:type="dxa"/>
            <w:gridSpan w:val="3"/>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bl>
    <w:p>
      <w:pPr>
        <w:spacing w:line="360" w:lineRule="auto"/>
        <w:ind w:firstLine="422" w:firstLineChars="200"/>
        <w:jc w:val="left"/>
        <w:rPr>
          <w:rFonts w:hint="eastAsia" w:ascii="宋体" w:hAnsi="宋体" w:eastAsia="宋体"/>
          <w:b/>
          <w:color w:val="auto"/>
          <w:kern w:val="0"/>
          <w:sz w:val="21"/>
          <w:szCs w:val="21"/>
          <w:highlight w:val="none"/>
        </w:rPr>
      </w:pPr>
      <w:r>
        <w:rPr>
          <w:rFonts w:hint="eastAsia" w:ascii="宋体" w:hAnsi="宋体" w:eastAsia="宋体"/>
          <w:b/>
          <w:color w:val="auto"/>
          <w:kern w:val="0"/>
          <w:sz w:val="21"/>
          <w:szCs w:val="21"/>
          <w:highlight w:val="none"/>
        </w:rPr>
        <w:t>B-3  委托人提供的资料</w:t>
      </w:r>
    </w:p>
    <w:tbl>
      <w:tblPr>
        <w:tblStyle w:val="90"/>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1863"/>
        <w:gridCol w:w="2200"/>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3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名称</w:t>
            </w:r>
          </w:p>
        </w:tc>
        <w:tc>
          <w:tcPr>
            <w:tcW w:w="1863"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份数</w:t>
            </w:r>
          </w:p>
        </w:tc>
        <w:tc>
          <w:tcPr>
            <w:tcW w:w="220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提供时间</w:t>
            </w:r>
          </w:p>
        </w:tc>
        <w:tc>
          <w:tcPr>
            <w:tcW w:w="2325"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3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1. 工程立项文件</w:t>
            </w:r>
          </w:p>
        </w:tc>
        <w:tc>
          <w:tcPr>
            <w:tcW w:w="1863"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20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325"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3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2. 工程勘察文件</w:t>
            </w:r>
          </w:p>
        </w:tc>
        <w:tc>
          <w:tcPr>
            <w:tcW w:w="1863"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20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325"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3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3. 工程设计及施工图纸</w:t>
            </w:r>
          </w:p>
        </w:tc>
        <w:tc>
          <w:tcPr>
            <w:tcW w:w="1863"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20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325"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3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4. 工程承包合同及其他相关合同</w:t>
            </w:r>
          </w:p>
        </w:tc>
        <w:tc>
          <w:tcPr>
            <w:tcW w:w="1863"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20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325"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3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5. 施工许可文件</w:t>
            </w:r>
          </w:p>
        </w:tc>
        <w:tc>
          <w:tcPr>
            <w:tcW w:w="1863"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20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325"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3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6. 其他文件</w:t>
            </w:r>
          </w:p>
        </w:tc>
        <w:tc>
          <w:tcPr>
            <w:tcW w:w="1863"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200"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c>
          <w:tcPr>
            <w:tcW w:w="2325" w:type="dxa"/>
            <w:noWrap w:val="0"/>
            <w:vAlign w:val="top"/>
          </w:tcPr>
          <w:p>
            <w:pPr>
              <w:spacing w:line="360" w:lineRule="auto"/>
              <w:ind w:firstLine="420" w:firstLineChars="200"/>
              <w:jc w:val="left"/>
              <w:rPr>
                <w:rFonts w:hint="eastAsia" w:ascii="宋体" w:hAnsi="宋体" w:eastAsia="宋体"/>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130" w:type="dxa"/>
            <w:noWrap w:val="0"/>
            <w:vAlign w:val="top"/>
          </w:tcPr>
          <w:p>
            <w:pPr>
              <w:spacing w:line="360" w:lineRule="auto"/>
              <w:ind w:firstLine="420" w:firstLineChars="200"/>
              <w:jc w:val="left"/>
              <w:rPr>
                <w:rFonts w:hint="eastAsia" w:ascii="宋体" w:hAnsi="宋体" w:eastAsia="宋体" w:cs="宋体"/>
                <w:color w:val="auto"/>
                <w:kern w:val="0"/>
                <w:sz w:val="21"/>
                <w:szCs w:val="21"/>
                <w:highlight w:val="none"/>
              </w:rPr>
            </w:pPr>
          </w:p>
        </w:tc>
        <w:tc>
          <w:tcPr>
            <w:tcW w:w="1863" w:type="dxa"/>
            <w:noWrap w:val="0"/>
            <w:vAlign w:val="top"/>
          </w:tcPr>
          <w:p>
            <w:pPr>
              <w:spacing w:line="360" w:lineRule="auto"/>
              <w:ind w:firstLine="420" w:firstLineChars="200"/>
              <w:jc w:val="left"/>
              <w:rPr>
                <w:rFonts w:hint="eastAsia" w:ascii="宋体" w:hAnsi="宋体" w:eastAsia="宋体" w:cs="宋体"/>
                <w:color w:val="auto"/>
                <w:kern w:val="0"/>
                <w:sz w:val="21"/>
                <w:szCs w:val="21"/>
                <w:highlight w:val="none"/>
              </w:rPr>
            </w:pPr>
          </w:p>
        </w:tc>
        <w:tc>
          <w:tcPr>
            <w:tcW w:w="2200" w:type="dxa"/>
            <w:noWrap w:val="0"/>
            <w:vAlign w:val="top"/>
          </w:tcPr>
          <w:p>
            <w:pPr>
              <w:spacing w:line="360" w:lineRule="auto"/>
              <w:ind w:firstLine="420" w:firstLineChars="200"/>
              <w:jc w:val="left"/>
              <w:rPr>
                <w:rFonts w:hint="eastAsia" w:ascii="宋体" w:hAnsi="宋体" w:eastAsia="宋体" w:cs="宋体"/>
                <w:color w:val="auto"/>
                <w:kern w:val="0"/>
                <w:sz w:val="21"/>
                <w:szCs w:val="21"/>
                <w:highlight w:val="none"/>
              </w:rPr>
            </w:pPr>
          </w:p>
        </w:tc>
        <w:tc>
          <w:tcPr>
            <w:tcW w:w="2325" w:type="dxa"/>
            <w:noWrap w:val="0"/>
            <w:vAlign w:val="top"/>
          </w:tcPr>
          <w:p>
            <w:pPr>
              <w:spacing w:line="360" w:lineRule="auto"/>
              <w:ind w:firstLine="420" w:firstLineChars="200"/>
              <w:jc w:val="left"/>
              <w:rPr>
                <w:rFonts w:hint="eastAsia" w:ascii="宋体" w:hAnsi="宋体" w:eastAsia="宋体" w:cs="宋体"/>
                <w:color w:val="auto"/>
                <w:kern w:val="0"/>
                <w:sz w:val="21"/>
                <w:szCs w:val="21"/>
                <w:highlight w:val="none"/>
              </w:rPr>
            </w:pPr>
          </w:p>
        </w:tc>
      </w:tr>
    </w:tbl>
    <w:p>
      <w:pPr>
        <w:spacing w:line="360" w:lineRule="auto"/>
        <w:ind w:firstLine="422" w:firstLineChars="200"/>
        <w:jc w:val="left"/>
        <w:rPr>
          <w:rFonts w:hint="eastAsia" w:ascii="宋体" w:hAnsi="宋体" w:eastAsia="宋体"/>
          <w:b/>
          <w:color w:val="auto"/>
          <w:kern w:val="0"/>
          <w:sz w:val="21"/>
          <w:szCs w:val="21"/>
          <w:highlight w:val="none"/>
        </w:rPr>
      </w:pPr>
      <w:r>
        <w:rPr>
          <w:rFonts w:hint="eastAsia" w:ascii="宋体" w:hAnsi="宋体" w:eastAsia="宋体"/>
          <w:b/>
          <w:color w:val="auto"/>
          <w:kern w:val="0"/>
          <w:sz w:val="21"/>
          <w:szCs w:val="21"/>
          <w:highlight w:val="none"/>
        </w:rPr>
        <w:t>B-4 委托人提供的设备（不提供）</w:t>
      </w:r>
    </w:p>
    <w:tbl>
      <w:tblPr>
        <w:tblStyle w:val="90"/>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890"/>
        <w:gridCol w:w="219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名称</w:t>
            </w:r>
          </w:p>
        </w:tc>
        <w:tc>
          <w:tcPr>
            <w:tcW w:w="1890"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数量</w:t>
            </w:r>
          </w:p>
        </w:tc>
        <w:tc>
          <w:tcPr>
            <w:tcW w:w="2190"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型号与规格</w:t>
            </w:r>
          </w:p>
        </w:tc>
        <w:tc>
          <w:tcPr>
            <w:tcW w:w="2385"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 通讯设备</w:t>
            </w:r>
          </w:p>
        </w:tc>
        <w:tc>
          <w:tcPr>
            <w:tcW w:w="18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1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85"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2. 办公设备</w:t>
            </w:r>
          </w:p>
        </w:tc>
        <w:tc>
          <w:tcPr>
            <w:tcW w:w="18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1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85"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 交通工具</w:t>
            </w:r>
          </w:p>
        </w:tc>
        <w:tc>
          <w:tcPr>
            <w:tcW w:w="18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1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85"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noWrap w:val="0"/>
            <w:vAlign w:val="top"/>
          </w:tcPr>
          <w:p>
            <w:pPr>
              <w:spacing w:line="360" w:lineRule="auto"/>
              <w:ind w:firstLine="420" w:firstLineChars="200"/>
              <w:jc w:val="left"/>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 检测和试验设备</w:t>
            </w:r>
          </w:p>
        </w:tc>
        <w:tc>
          <w:tcPr>
            <w:tcW w:w="18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1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85"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18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190"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c>
          <w:tcPr>
            <w:tcW w:w="2385" w:type="dxa"/>
            <w:noWrap w:val="0"/>
            <w:vAlign w:val="top"/>
          </w:tcPr>
          <w:p>
            <w:pPr>
              <w:spacing w:line="360" w:lineRule="auto"/>
              <w:ind w:firstLine="420" w:firstLineChars="200"/>
              <w:jc w:val="left"/>
              <w:rPr>
                <w:rFonts w:hint="eastAsia" w:ascii="宋体" w:hAnsi="宋体" w:eastAsia="宋体"/>
                <w:color w:val="auto"/>
                <w:sz w:val="21"/>
                <w:szCs w:val="21"/>
                <w:highlight w:val="none"/>
              </w:rPr>
            </w:pPr>
          </w:p>
        </w:tc>
      </w:tr>
    </w:tbl>
    <w:p>
      <w:pPr>
        <w:widowControl/>
        <w:spacing w:line="360" w:lineRule="auto"/>
        <w:ind w:firstLine="482" w:firstLineChars="200"/>
        <w:jc w:val="center"/>
        <w:rPr>
          <w:rFonts w:ascii="Times New Roman" w:hAnsi="Times New Roman" w:cs="Times New Roman" w:eastAsiaTheme="minorEastAsia"/>
          <w:snapToGrid w:val="0"/>
          <w:sz w:val="32"/>
          <w:szCs w:val="32"/>
          <w:lang w:val="en-US" w:bidi="ar-SA"/>
        </w:rPr>
      </w:pPr>
      <w:r>
        <w:rPr>
          <w:rFonts w:ascii="Times New Roman" w:hAnsi="Times New Roman" w:cs="Times New Roman" w:eastAsiaTheme="minorEastAsia"/>
          <w:b/>
          <w:bCs/>
          <w:snapToGrid w:val="0"/>
          <w:sz w:val="24"/>
          <w:szCs w:val="24"/>
          <w:lang w:val="en-US" w:bidi="ar-SA"/>
        </w:rPr>
        <w:br w:type="page"/>
      </w:r>
      <w:r>
        <w:rPr>
          <w:rFonts w:ascii="Times New Roman" w:hAnsi="Times New Roman" w:cs="Times New Roman" w:eastAsiaTheme="minorEastAsia"/>
          <w:b/>
          <w:bCs/>
          <w:snapToGrid w:val="0"/>
          <w:sz w:val="24"/>
          <w:szCs w:val="24"/>
          <w:lang w:val="en-US" w:bidi="ar-SA"/>
        </w:rPr>
        <w:t xml:space="preserve">    </w:t>
      </w:r>
      <w:r>
        <w:rPr>
          <w:rFonts w:ascii="Times New Roman" w:hAnsi="Times New Roman" w:cs="Times New Roman" w:eastAsiaTheme="minorEastAsia"/>
          <w:b/>
          <w:bCs/>
          <w:snapToGrid w:val="0"/>
          <w:sz w:val="32"/>
          <w:szCs w:val="32"/>
          <w:lang w:val="en-US" w:bidi="ar-SA"/>
        </w:rPr>
        <w:t>第四部分  工程监理廉政责任书</w:t>
      </w:r>
    </w:p>
    <w:p>
      <w:pPr>
        <w:rPr>
          <w:rFonts w:ascii="Times New Roman" w:hAnsi="Times New Roman" w:cs="Times New Roman" w:eastAsiaTheme="minorEastAsia"/>
          <w:snapToGrid w:val="0"/>
          <w:sz w:val="24"/>
        </w:rPr>
      </w:pPr>
    </w:p>
    <w:p>
      <w:pPr>
        <w:snapToGrid w:val="0"/>
        <w:spacing w:after="50" w:line="288" w:lineRule="auto"/>
        <w:ind w:firstLine="330" w:firstLineChars="150"/>
        <w:rPr>
          <w:rFonts w:hint="eastAsia" w:ascii="Times New Roman" w:hAnsi="Times New Roman" w:cs="Times New Roman" w:eastAsiaTheme="minorEastAsia"/>
          <w:snapToGrid w:val="0"/>
          <w:lang w:eastAsia="zh-CN"/>
        </w:rPr>
      </w:pPr>
      <w:r>
        <w:rPr>
          <w:rFonts w:ascii="Times New Roman" w:hAnsi="Times New Roman" w:cs="Times New Roman" w:eastAsiaTheme="minorEastAsia"/>
          <w:snapToGrid w:val="0"/>
        </w:rPr>
        <w:t>工程项目名称：</w:t>
      </w:r>
      <w:r>
        <w:rPr>
          <w:rFonts w:hint="eastAsia" w:ascii="Times New Roman" w:hAnsi="Times New Roman" w:cs="Times New Roman" w:eastAsiaTheme="minorEastAsia"/>
          <w:snapToGrid w:val="0"/>
          <w:u w:val="single"/>
          <w:lang w:eastAsia="zh-CN"/>
        </w:rPr>
        <w:t>三门县下银岩山建筑用石料（凝灰岩）矿开发项目及三门县大周塘片区土地整治提升项目（监理）</w:t>
      </w:r>
    </w:p>
    <w:p>
      <w:pPr>
        <w:snapToGrid w:val="0"/>
        <w:spacing w:after="50" w:line="288" w:lineRule="auto"/>
        <w:ind w:firstLine="440" w:firstLineChars="200"/>
        <w:rPr>
          <w:rFonts w:hint="default" w:ascii="Times New Roman" w:hAnsi="Times New Roman" w:cs="Times New Roman" w:eastAsiaTheme="minorEastAsia"/>
          <w:snapToGrid w:val="0"/>
          <w:lang w:val="en-US" w:eastAsia="zh-CN"/>
        </w:rPr>
      </w:pPr>
      <w:r>
        <w:rPr>
          <w:rFonts w:ascii="Times New Roman" w:hAnsi="Times New Roman" w:cs="Times New Roman" w:eastAsiaTheme="minorEastAsia"/>
          <w:snapToGrid w:val="0"/>
        </w:rPr>
        <w:t>工程地点：</w:t>
      </w:r>
      <w:r>
        <w:rPr>
          <w:rFonts w:ascii="Times New Roman" w:hAnsi="Times New Roman" w:cs="Times New Roman" w:eastAsiaTheme="minorEastAsia"/>
          <w:snapToGrid w:val="0"/>
          <w:u w:val="single"/>
        </w:rPr>
        <w:t>三门县</w:t>
      </w:r>
      <w:r>
        <w:rPr>
          <w:rFonts w:hint="eastAsia" w:ascii="Times New Roman" w:hAnsi="Times New Roman" w:cs="Times New Roman" w:eastAsiaTheme="minorEastAsia"/>
          <w:snapToGrid w:val="0"/>
          <w:u w:val="single"/>
          <w:lang w:val="en-US" w:eastAsia="zh-CN"/>
        </w:rPr>
        <w:t xml:space="preserve">    </w:t>
      </w:r>
    </w:p>
    <w:p>
      <w:pPr>
        <w:snapToGrid w:val="0"/>
        <w:spacing w:after="50" w:line="288" w:lineRule="auto"/>
        <w:ind w:firstLine="330" w:firstLineChars="150"/>
        <w:rPr>
          <w:rFonts w:hint="eastAsia" w:ascii="Times New Roman" w:hAnsi="Times New Roman" w:cs="Times New Roman" w:eastAsiaTheme="minorEastAsia"/>
          <w:snapToGrid w:val="0"/>
          <w:szCs w:val="21"/>
          <w:u w:val="single"/>
          <w:lang w:eastAsia="zh-CN"/>
        </w:rPr>
      </w:pP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t>预报业监理工程师（总监不得兼任）：市政</w:t>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vanish/>
          <w:szCs w:val="18"/>
          <w:u w:val="single"/>
        </w:rPr>
        <w:pgNum/>
      </w:r>
      <w:r>
        <w:rPr>
          <w:rFonts w:ascii="Times New Roman" w:hAnsi="Times New Roman" w:cs="Times New Roman" w:eastAsiaTheme="minorEastAsia"/>
          <w:snapToGrid w:val="0"/>
          <w:szCs w:val="21"/>
        </w:rPr>
        <w:t>建设单位（甲方）：</w:t>
      </w:r>
      <w:r>
        <w:rPr>
          <w:rFonts w:hint="eastAsia" w:ascii="Times New Roman" w:hAnsi="Times New Roman" w:cs="Times New Roman" w:eastAsiaTheme="minorEastAsia"/>
          <w:snapToGrid w:val="0"/>
          <w:szCs w:val="21"/>
          <w:u w:val="single"/>
          <w:lang w:eastAsia="zh-CN"/>
        </w:rPr>
        <w:t>三门县荆港矿业开发有限公司、三门县港城农业发展有限公司</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监理单位（乙方）：</w:t>
      </w:r>
      <w:r>
        <w:rPr>
          <w:rFonts w:ascii="Times New Roman" w:hAnsi="Times New Roman" w:cs="Times New Roman" w:eastAsiaTheme="minorEastAsia"/>
          <w:snapToGrid w:val="0"/>
          <w:u w:val="single"/>
        </w:rPr>
        <w:t xml:space="preserve">      </w:t>
      </w:r>
      <w:r>
        <w:rPr>
          <w:rFonts w:ascii="Times New Roman" w:hAnsi="Times New Roman" w:cs="Times New Roman" w:eastAsiaTheme="minorEastAsia"/>
          <w:snapToGrid w:val="0"/>
          <w:u w:val="single"/>
          <w:lang w:val="en-US"/>
        </w:rPr>
        <w:t xml:space="preserve">      </w:t>
      </w:r>
      <w:r>
        <w:rPr>
          <w:rFonts w:ascii="Times New Roman" w:hAnsi="Times New Roman" w:cs="Times New Roman" w:eastAsiaTheme="minorEastAsia"/>
          <w:snapToGrid w:val="0"/>
          <w:u w:val="single"/>
        </w:rPr>
        <w:t xml:space="preserve">                    </w:t>
      </w:r>
      <w:r>
        <w:rPr>
          <w:rFonts w:ascii="Times New Roman" w:hAnsi="Times New Roman" w:cs="Times New Roman" w:eastAsiaTheme="minorEastAsia"/>
          <w:snapToGrid w:val="0"/>
          <w:u w:val="single"/>
          <w:lang w:val="en-US"/>
        </w:rPr>
        <w:t xml:space="preserve">  </w:t>
      </w:r>
      <w:r>
        <w:rPr>
          <w:rFonts w:ascii="Times New Roman" w:hAnsi="Times New Roman" w:cs="Times New Roman" w:eastAsiaTheme="minorEastAsia"/>
          <w:snapToGrid w:val="0"/>
          <w:u w:val="single"/>
        </w:rPr>
        <w:t xml:space="preserve">  </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为加强工程建设中的廉政建设，规范工程建设监理委托与被委托双方的各项活动，防止发生各种谋取不正当利益的违法违纪行为，保护国家、集体和当事人的合法权益，根据国家有关工程建设的法律法规和廉政建设责任制规定，特订立本廉政责任书。</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第一条　甲乙双方的责任</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（一）应严格遵守国家关于市场准入、项目招标投标、工程建设、工程监理和市场活动的有关法律、法规，相关政策，以及廉政建设的各项规定。</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（二）严格执行建设工程项目监理合同文件，自觉按合同办事。</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（三）业务活动必须坚持公开、公平、公正、诚信、透明的原则（除法律法规另有规定者外），不得为获取不正当的利益，损害国家、集体和对方利益，不得违反工程建设管理、建设监理的规章制度。</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（四）发现对方在业务活动中有违规、违纪、违法行为的，应及时提醒对方，情节严重的，应向其上级主管部门或纪检监察、司法等有关机关举报。</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第二条　甲方的责任</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甲方的领导和从事该建设工程项目的工作人员在工程建设的事前、事中、事后应遵守以下规定：</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（一）不准向乙方和相关单位索要或接受回扣、礼金、有价证券、贵重物品和好处费、感谢费等。</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（二）不准在乙方和相关单位报销任何应由甲方或个人支付的费用。</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（三）不准要求、暗示或接受乙方和相关单位为个人装修住房、婚丧嫁娶、配偶子女的工作安排以及出国（境）、旅游等提供方便。</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（四）不准参加有可能影响公正执行公务的乙方和相关单位的宴请、健身、娱乐等活动。</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五）不准向乙方和相关单位介绍或为配偶、子女、亲属参与同甲方工程项目合同有关的监理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第三条　乙方的责任</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 xml:space="preserve">应与甲方和相关单位保持正常的业务交往，按照有关法律法规和程序开展业务工作，严格执行工程建设的方针、政策，尤其是有关勘察设计、建筑施工安装的强制性标准和规范，以及监理法规，认真履行监理职责，并遵守以下规定： </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（一）不准以任何理由向甲方和相关单位及其工作人员索要、接受或赠送礼金、有价证券、贵重物品及回扣、好处费、感谢费等。</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（二）不准以任何理由为甲方和相关单位报销应由对方或个人支付的费用。</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（三）不准接受或暗示为甲方、相关单位或个人装修住房、婚丧嫁娶、配偶子女的工作安排以及出国（境）、旅游等提供方便。</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（四）不准违反合同约定而使用甲方、相关单位提供的通信、交通工具和高档办公用品。</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（五）不准以任何理由为甲方、相关单位或个人组织有可能影响公正执行公务的宴请、健身、娱乐等活动。</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（六）不准接受受监理单位的宴请、健身、娱乐等活动。</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第四条　违约责任</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（三）乙方工作人员有违反本责任书第三条责任行为中任何一条规定的，每次罚款人民币1000元。</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第五条　本责任书作为工程监理合同的附件，与工程监理合同具有同等法律效力。经双方签署后立即生效。</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第六条　本责任书的有效期为双方签署之日起至该工程项目竣工验收合格时止。</w:t>
      </w:r>
    </w:p>
    <w:p>
      <w:pPr>
        <w:snapToGrid w:val="0"/>
        <w:spacing w:after="50" w:line="288" w:lineRule="auto"/>
        <w:ind w:firstLine="330" w:firstLineChars="150"/>
        <w:rPr>
          <w:rFonts w:ascii="Times New Roman" w:hAnsi="Times New Roman" w:cs="Times New Roman" w:eastAsiaTheme="minorEastAsia"/>
          <w:snapToGrid w:val="0"/>
        </w:rPr>
      </w:pPr>
      <w:r>
        <w:rPr>
          <w:rFonts w:ascii="Times New Roman" w:hAnsi="Times New Roman" w:cs="Times New Roman" w:eastAsiaTheme="minorEastAsia"/>
          <w:snapToGrid w:val="0"/>
        </w:rPr>
        <w:t>第七条　本责任书</w:t>
      </w:r>
      <w:r>
        <w:rPr>
          <w:rFonts w:ascii="Times New Roman" w:hAnsi="Times New Roman" w:cs="Times New Roman" w:eastAsiaTheme="minorEastAsia"/>
          <w:snapToGrid w:val="0"/>
          <w:lang w:val="en-US"/>
        </w:rPr>
        <w:t>份数同合同份数</w:t>
      </w:r>
      <w:r>
        <w:rPr>
          <w:rFonts w:ascii="Times New Roman" w:hAnsi="Times New Roman" w:cs="Times New Roman" w:eastAsiaTheme="minorEastAsia"/>
          <w:snapToGrid w:val="0"/>
        </w:rPr>
        <w:t>。</w:t>
      </w:r>
    </w:p>
    <w:p>
      <w:pPr>
        <w:snapToGrid w:val="0"/>
        <w:spacing w:after="50" w:line="288" w:lineRule="auto"/>
        <w:ind w:firstLine="330" w:firstLineChars="150"/>
        <w:rPr>
          <w:rFonts w:ascii="Times New Roman" w:hAnsi="Times New Roman" w:cs="Times New Roman" w:eastAsiaTheme="minorEastAsia"/>
          <w:snapToGrid w:val="0"/>
        </w:rPr>
      </w:pPr>
    </w:p>
    <w:tbl>
      <w:tblPr>
        <w:tblStyle w:val="90"/>
        <w:tblpPr w:leftFromText="180" w:rightFromText="180" w:vertAnchor="text" w:horzAnchor="margin" w:tblpXSpec="center" w:tblpY="162"/>
        <w:tblW w:w="0" w:type="auto"/>
        <w:tblInd w:w="0" w:type="dxa"/>
        <w:tblLayout w:type="fixed"/>
        <w:tblCellMar>
          <w:top w:w="0" w:type="dxa"/>
          <w:left w:w="108" w:type="dxa"/>
          <w:bottom w:w="0" w:type="dxa"/>
          <w:right w:w="108" w:type="dxa"/>
        </w:tblCellMar>
      </w:tblPr>
      <w:tblGrid>
        <w:gridCol w:w="4778"/>
        <w:gridCol w:w="4562"/>
      </w:tblGrid>
      <w:tr>
        <w:tblPrEx>
          <w:tblCellMar>
            <w:top w:w="0" w:type="dxa"/>
            <w:left w:w="108" w:type="dxa"/>
            <w:bottom w:w="0" w:type="dxa"/>
            <w:right w:w="108" w:type="dxa"/>
          </w:tblCellMar>
        </w:tblPrEx>
        <w:trPr>
          <w:trHeight w:val="3138" w:hRule="atLeast"/>
        </w:trPr>
        <w:tc>
          <w:tcPr>
            <w:tcW w:w="4778" w:type="dxa"/>
            <w:tcBorders>
              <w:tl2br w:val="nil"/>
              <w:tr2bl w:val="nil"/>
            </w:tcBorders>
          </w:tcPr>
          <w:p>
            <w:pPr>
              <w:spacing w:line="360" w:lineRule="auto"/>
              <w:ind w:firstLine="440" w:firstLineChars="200"/>
              <w:rPr>
                <w:rFonts w:ascii="Times New Roman" w:hAnsi="Times New Roman" w:cs="Times New Roman" w:eastAsiaTheme="minorEastAsia"/>
                <w:snapToGrid w:val="0"/>
              </w:rPr>
            </w:pP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lang w:val="en-US"/>
              </w:rPr>
              <w:t>甲方单位</w:t>
            </w:r>
            <w:r>
              <w:rPr>
                <w:rFonts w:ascii="Times New Roman" w:hAnsi="Times New Roman" w:cs="Times New Roman" w:eastAsiaTheme="minorEastAsia"/>
                <w:snapToGrid w:val="0"/>
              </w:rPr>
              <w:t>： （公章）</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法定代表人（签字</w:t>
            </w:r>
            <w:r>
              <w:rPr>
                <w:rFonts w:ascii="Times New Roman" w:hAnsi="Times New Roman" w:cs="Times New Roman" w:eastAsiaTheme="minorEastAsia"/>
                <w:snapToGrid w:val="0"/>
                <w:lang w:val="en-US"/>
              </w:rPr>
              <w:t>或盖章</w:t>
            </w:r>
            <w:r>
              <w:rPr>
                <w:rFonts w:ascii="Times New Roman" w:hAnsi="Times New Roman" w:cs="Times New Roman" w:eastAsiaTheme="minorEastAsia"/>
                <w:snapToGrid w:val="0"/>
              </w:rPr>
              <w:t>）：</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地  址：</w:t>
            </w:r>
            <w:r>
              <w:rPr>
                <w:rFonts w:ascii="Times New Roman" w:hAnsi="Times New Roman" w:cs="Times New Roman" w:eastAsiaTheme="minorEastAsia"/>
                <w:bCs/>
                <w:snapToGrid w:val="0"/>
                <w:szCs w:val="21"/>
                <w:u w:val="single"/>
              </w:rPr>
              <w:t xml:space="preserve">                    </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电  话：</w:t>
            </w:r>
            <w:r>
              <w:rPr>
                <w:rFonts w:ascii="Times New Roman" w:hAnsi="Times New Roman" w:cs="Times New Roman" w:eastAsiaTheme="minorEastAsia"/>
                <w:bCs/>
                <w:snapToGrid w:val="0"/>
                <w:szCs w:val="21"/>
                <w:u w:val="single"/>
              </w:rPr>
              <w:t xml:space="preserve">                    </w:t>
            </w:r>
          </w:p>
          <w:p>
            <w:pPr>
              <w:spacing w:line="360" w:lineRule="auto"/>
              <w:ind w:firstLine="440" w:firstLineChars="200"/>
              <w:rPr>
                <w:rFonts w:ascii="Times New Roman" w:hAnsi="Times New Roman" w:cs="Times New Roman" w:eastAsiaTheme="minorEastAsia"/>
                <w:snapToGrid w:val="0"/>
                <w:lang w:val="en-US"/>
              </w:rPr>
            </w:pPr>
            <w:r>
              <w:rPr>
                <w:rFonts w:ascii="Times New Roman" w:hAnsi="Times New Roman" w:cs="Times New Roman" w:eastAsiaTheme="minorEastAsia"/>
                <w:snapToGrid w:val="0"/>
                <w:lang w:val="en-US"/>
              </w:rPr>
              <w:t>2023年     月      日</w:t>
            </w:r>
          </w:p>
        </w:tc>
        <w:tc>
          <w:tcPr>
            <w:tcW w:w="4562" w:type="dxa"/>
            <w:tcBorders>
              <w:tl2br w:val="nil"/>
              <w:tr2bl w:val="nil"/>
            </w:tcBorders>
          </w:tcPr>
          <w:p>
            <w:pPr>
              <w:spacing w:line="360" w:lineRule="auto"/>
              <w:ind w:firstLine="440" w:firstLineChars="200"/>
              <w:rPr>
                <w:rFonts w:ascii="Times New Roman" w:hAnsi="Times New Roman" w:cs="Times New Roman" w:eastAsiaTheme="minorEastAsia"/>
                <w:snapToGrid w:val="0"/>
              </w:rPr>
            </w:pP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lang w:val="en-US"/>
              </w:rPr>
              <w:t>乙方单位</w:t>
            </w:r>
            <w:r>
              <w:rPr>
                <w:rFonts w:ascii="Times New Roman" w:hAnsi="Times New Roman" w:cs="Times New Roman" w:eastAsiaTheme="minorEastAsia"/>
                <w:snapToGrid w:val="0"/>
              </w:rPr>
              <w:t>： （公章）</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rPr>
              <w:t>法定代表人（签字</w:t>
            </w:r>
            <w:r>
              <w:rPr>
                <w:rFonts w:ascii="Times New Roman" w:hAnsi="Times New Roman" w:cs="Times New Roman" w:eastAsiaTheme="minorEastAsia"/>
                <w:snapToGrid w:val="0"/>
                <w:lang w:val="en-US"/>
              </w:rPr>
              <w:t>或盖章</w:t>
            </w:r>
            <w:r>
              <w:rPr>
                <w:rFonts w:ascii="Times New Roman" w:hAnsi="Times New Roman" w:cs="Times New Roman" w:eastAsiaTheme="minorEastAsia"/>
                <w:snapToGrid w:val="0"/>
              </w:rPr>
              <w:t>）：</w:t>
            </w:r>
          </w:p>
          <w:p>
            <w:pPr>
              <w:spacing w:line="360"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地  址：</w:t>
            </w:r>
            <w:r>
              <w:rPr>
                <w:rFonts w:ascii="Times New Roman" w:hAnsi="Times New Roman" w:cs="Times New Roman" w:eastAsiaTheme="minorEastAsia"/>
                <w:bCs/>
                <w:snapToGrid w:val="0"/>
                <w:szCs w:val="21"/>
                <w:u w:val="single"/>
              </w:rPr>
              <w:t xml:space="preserve">                    </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szCs w:val="21"/>
              </w:rPr>
              <w:t>电  话：</w:t>
            </w:r>
            <w:r>
              <w:rPr>
                <w:rFonts w:ascii="Times New Roman" w:hAnsi="Times New Roman" w:cs="Times New Roman" w:eastAsiaTheme="minorEastAsia"/>
                <w:bCs/>
                <w:snapToGrid w:val="0"/>
                <w:szCs w:val="21"/>
                <w:u w:val="single"/>
              </w:rPr>
              <w:t xml:space="preserve">                    </w:t>
            </w:r>
          </w:p>
          <w:p>
            <w:pPr>
              <w:spacing w:line="360" w:lineRule="auto"/>
              <w:ind w:firstLine="440" w:firstLineChars="200"/>
              <w:rPr>
                <w:rFonts w:ascii="Times New Roman" w:hAnsi="Times New Roman" w:cs="Times New Roman" w:eastAsiaTheme="minorEastAsia"/>
                <w:snapToGrid w:val="0"/>
              </w:rPr>
            </w:pPr>
            <w:r>
              <w:rPr>
                <w:rFonts w:ascii="Times New Roman" w:hAnsi="Times New Roman" w:cs="Times New Roman" w:eastAsiaTheme="minorEastAsia"/>
                <w:snapToGrid w:val="0"/>
                <w:lang w:val="en-US"/>
              </w:rPr>
              <w:t>2023年     月      日</w:t>
            </w:r>
          </w:p>
        </w:tc>
      </w:tr>
      <w:bookmarkEnd w:id="843"/>
      <w:bookmarkEnd w:id="844"/>
      <w:bookmarkEnd w:id="845"/>
      <w:bookmarkEnd w:id="846"/>
      <w:bookmarkEnd w:id="847"/>
      <w:bookmarkEnd w:id="848"/>
      <w:bookmarkEnd w:id="849"/>
    </w:tbl>
    <w:p>
      <w:pPr>
        <w:rPr>
          <w:rFonts w:ascii="Times New Roman" w:hAnsi="Times New Roman" w:cs="Times New Roman" w:eastAsiaTheme="minorEastAsia"/>
          <w:snapToGrid w:val="0"/>
        </w:rPr>
      </w:pPr>
      <w:bookmarkStart w:id="883" w:name="_TOC_250006"/>
      <w:bookmarkEnd w:id="883"/>
    </w:p>
    <w:p>
      <w:pPr>
        <w:pStyle w:val="24"/>
        <w:ind w:left="440"/>
        <w:rPr>
          <w:rFonts w:ascii="Times New Roman" w:hAnsi="Times New Roman" w:cs="Times New Roman" w:eastAsiaTheme="minorEastAsia"/>
          <w:snapToGrid w:val="0"/>
        </w:rPr>
      </w:pPr>
    </w:p>
    <w:p>
      <w:pPr>
        <w:pStyle w:val="23"/>
        <w:ind w:firstLine="440"/>
        <w:rPr>
          <w:rFonts w:ascii="Times New Roman" w:hAnsi="Times New Roman" w:cs="Times New Roman" w:eastAsiaTheme="minorEastAsia"/>
          <w:snapToGrid w:val="0"/>
        </w:rPr>
      </w:pPr>
    </w:p>
    <w:p>
      <w:pPr>
        <w:pStyle w:val="24"/>
        <w:ind w:left="440"/>
        <w:rPr>
          <w:rFonts w:ascii="Times New Roman" w:hAnsi="Times New Roman" w:cs="Times New Roman" w:eastAsiaTheme="minorEastAsia"/>
          <w:snapToGrid w:val="0"/>
        </w:rPr>
      </w:pPr>
    </w:p>
    <w:p>
      <w:pPr>
        <w:pStyle w:val="23"/>
        <w:ind w:firstLine="440"/>
        <w:rPr>
          <w:rFonts w:ascii="Times New Roman" w:hAnsi="Times New Roman" w:cs="Times New Roman" w:eastAsiaTheme="minorEastAsia"/>
          <w:snapToGrid w:val="0"/>
        </w:rPr>
      </w:pPr>
    </w:p>
    <w:p>
      <w:pPr>
        <w:widowControl/>
        <w:autoSpaceDE/>
        <w:autoSpaceDN/>
        <w:rPr>
          <w:rFonts w:ascii="Times New Roman" w:hAnsi="Times New Roman" w:cs="Times New Roman" w:eastAsiaTheme="minorEastAsia"/>
          <w:snapToGrid w:val="0"/>
          <w:sz w:val="32"/>
          <w:szCs w:val="44"/>
        </w:rPr>
      </w:pPr>
      <w:r>
        <w:rPr>
          <w:rFonts w:ascii="Times New Roman" w:hAnsi="Times New Roman" w:cs="Times New Roman" w:eastAsiaTheme="minorEastAsia"/>
          <w:snapToGrid w:val="0"/>
          <w:sz w:val="32"/>
          <w:szCs w:val="44"/>
        </w:rPr>
        <w:br w:type="page"/>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附件：</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jc w:val="center"/>
        <w:rPr>
          <w:rFonts w:hint="eastAsia" w:ascii="仿宋" w:hAnsi="仿宋" w:eastAsia="仿宋" w:cs="仿宋"/>
          <w:b/>
          <w:color w:val="auto"/>
          <w:sz w:val="44"/>
          <w:szCs w:val="44"/>
          <w:highlight w:val="none"/>
        </w:rPr>
      </w:pPr>
      <w:r>
        <w:rPr>
          <w:rFonts w:hint="eastAsia" w:ascii="宋体" w:hAnsi="宋体" w:eastAsia="宋体" w:cs="宋体"/>
          <w:b/>
          <w:color w:val="auto"/>
          <w:sz w:val="32"/>
          <w:szCs w:val="32"/>
          <w:highlight w:val="none"/>
        </w:rPr>
        <w:t>安全生产目标责任书</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认真贯彻“安全第一、预防为主”的方针，加强工程建设安全生产监督管理，做到安全施工管理工作的标准化与规范化，确保建设工程项目安全、优质、按期完成，同时为进一步明确有关各方的安全职责，防止和减少安全生产事故，保障人民群众生命和财产安全，根据《中华人民共和国安全生产法》、《建设工程安全生产管理条列》（国务院令第393号）、《市政工程施工安全检查标准》（CJJ/T275-2018）等法律、法规，进一步加强市政工程安全生产管理，明确责任，切实做好市政工程建设安全生产工作，结合市政工程的特点，建设单位和监理单位签订本《市政工程安全生产目标责任书》，明确各方职责，作为安全管理的指导与检查执行依据。</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工程名称：</w:t>
      </w:r>
      <w:r>
        <w:rPr>
          <w:rFonts w:hint="eastAsia" w:ascii="宋体" w:hAnsi="宋体" w:cs="宋体"/>
          <w:color w:val="auto"/>
          <w:sz w:val="21"/>
          <w:szCs w:val="21"/>
          <w:highlight w:val="none"/>
          <w:u w:val="single"/>
          <w:lang w:eastAsia="zh-CN"/>
        </w:rPr>
        <w:t>三门县下银岩山建筑用石料（凝灰岩）矿开发项目及三门县大周塘片区土地整治提升项目</w:t>
      </w:r>
      <w:r>
        <w:rPr>
          <w:rFonts w:hint="eastAsia" w:ascii="宋体" w:hAnsi="宋体" w:eastAsia="宋体" w:cs="宋体"/>
          <w:color w:val="auto"/>
          <w:sz w:val="21"/>
          <w:szCs w:val="21"/>
          <w:highlight w:val="none"/>
          <w:u w:val="single"/>
          <w:lang w:eastAsia="zh-CN"/>
        </w:rPr>
        <w:t>（监理）</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ind w:firstLine="420"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工程地点：</w:t>
      </w:r>
      <w:r>
        <w:rPr>
          <w:rFonts w:hint="eastAsia" w:ascii="宋体" w:hAnsi="宋体" w:eastAsia="宋体" w:cs="宋体"/>
          <w:color w:val="auto"/>
          <w:sz w:val="21"/>
          <w:szCs w:val="21"/>
          <w:highlight w:val="none"/>
          <w:u w:val="single"/>
        </w:rPr>
        <w:t xml:space="preserve">                                             </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一、安全生产控制目标</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严格执行国家、地方、行业的各项健康、安全、环境法律法规、标准规范、规定、安全操作规程和招标人的HSE规章制度，实现工程“零事故、零伤害、零污染”。</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二、建设单位安全责任</w:t>
      </w:r>
    </w:p>
    <w:p>
      <w:pPr>
        <w:pStyle w:val="83"/>
        <w:tabs>
          <w:tab w:val="left" w:pos="916"/>
          <w:tab w:val="left" w:pos="1832"/>
          <w:tab w:val="left" w:pos="2748"/>
          <w:tab w:val="left" w:pos="3664"/>
          <w:tab w:val="left" w:pos="4580"/>
          <w:tab w:val="left" w:pos="5496"/>
          <w:tab w:val="left" w:pos="6412"/>
          <w:tab w:val="left" w:pos="7328"/>
          <w:tab w:val="left" w:pos="8244"/>
          <w:tab w:val="left" w:pos="9160"/>
          <w:tab w:val="left" w:pos="9353"/>
          <w:tab w:val="left" w:pos="13740"/>
          <w:tab w:val="left" w:pos="14656"/>
        </w:tabs>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1、根据国家有关安全生产法令、法规，选择符合安全资质、安全信誉良好的施工企业承包施工。</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2、根据招投标的有关规定，履行合同约定的义务，不得任意压级压价、拖欠工程款，为确保安全措施经费足够到位创造条件。</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3、工程开工前，应当向施工企业提供与施工现场相关的地下线管等各类隐蔽资料，积极配合施工企业做好安全准备工作。</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4、督促监理单位、施工企业加强安全管理。鼓励监理单位、施工企业加大安全投入，自觉执行国家及行业安全管理的先进技术标准，争创一流企业。</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三、监理单位安全责任</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1、受业主委托，负责对新建、改建、扩建工程施工现场安全生产的监督检查工作，对工程施工过程中违反安全生产的法律、法令、法规的行为予以查处。</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2、在工程开工前，应当就落实保证安全生产的措施进行全面系统的布置，明确施工单位的安全生产责任。</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3、应随时督促施工企业加强安全管理，按操作规范与规程作业，对施工现场存在的安全隐患应及时通知施工单位处理整改。</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4、根据《中华人民共和国安全生产法》、《建设工程安全生产管理条列》、《市政工程施工安全检查标准》（CJJ/T275-2018）等法律、法规进行管理，要求施工单位努力提高安全管理水平。</w:t>
      </w:r>
    </w:p>
    <w:p>
      <w:pPr>
        <w:adjustRightInd w:val="0"/>
        <w:snapToGrid w:val="0"/>
        <w:spacing w:line="360"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四、本《安全生产目标责任书》自签订之日起生效。</w:t>
      </w:r>
    </w:p>
    <w:p>
      <w:pPr>
        <w:tabs>
          <w:tab w:val="left" w:pos="1215"/>
        </w:tabs>
        <w:spacing w:line="380" w:lineRule="atLeast"/>
        <w:rPr>
          <w:rFonts w:hint="eastAsia" w:ascii="宋体" w:hAnsi="宋体" w:eastAsia="宋体" w:cs="宋体"/>
          <w:color w:val="auto"/>
          <w:kern w:val="1"/>
          <w:sz w:val="21"/>
          <w:szCs w:val="21"/>
          <w:highlight w:val="none"/>
          <w:u w:val="single"/>
        </w:rPr>
      </w:pPr>
    </w:p>
    <w:p>
      <w:pPr>
        <w:tabs>
          <w:tab w:val="left" w:pos="1215"/>
        </w:tabs>
        <w:spacing w:line="380" w:lineRule="atLeast"/>
        <w:rPr>
          <w:rFonts w:hint="eastAsia" w:ascii="宋体" w:hAnsi="宋体" w:eastAsia="宋体" w:cs="宋体"/>
          <w:color w:val="auto"/>
          <w:kern w:val="1"/>
          <w:sz w:val="21"/>
          <w:szCs w:val="21"/>
          <w:highlight w:val="none"/>
          <w:u w:val="single"/>
          <w:lang w:eastAsia="zh-CN"/>
        </w:rPr>
      </w:pPr>
      <w:r>
        <w:rPr>
          <w:rFonts w:hint="eastAsia" w:ascii="宋体" w:hAnsi="宋体" w:eastAsia="宋体" w:cs="宋体"/>
          <w:color w:val="auto"/>
          <w:kern w:val="1"/>
          <w:sz w:val="21"/>
          <w:szCs w:val="21"/>
          <w:highlight w:val="none"/>
        </w:rPr>
        <w:t>建设单位：</w:t>
      </w:r>
      <w:r>
        <w:rPr>
          <w:rFonts w:hint="eastAsia" w:ascii="宋体" w:hAnsi="宋体" w:eastAsia="宋体" w:cs="宋体"/>
          <w:color w:val="auto"/>
          <w:kern w:val="1"/>
          <w:sz w:val="21"/>
          <w:szCs w:val="21"/>
          <w:highlight w:val="none"/>
          <w:u w:val="single"/>
          <w:lang w:eastAsia="zh-CN"/>
        </w:rPr>
        <w:t>三门县荆港矿业开发有限公司</w:t>
      </w:r>
      <w:r>
        <w:rPr>
          <w:rFonts w:hint="eastAsia" w:cs="宋体"/>
          <w:color w:val="auto"/>
          <w:kern w:val="1"/>
          <w:sz w:val="21"/>
          <w:szCs w:val="21"/>
          <w:highlight w:val="none"/>
          <w:u w:val="single"/>
          <w:lang w:val="en-US" w:eastAsia="zh-CN"/>
        </w:rPr>
        <w:t xml:space="preserve"> </w:t>
      </w:r>
      <w:r>
        <w:rPr>
          <w:rFonts w:hint="eastAsia" w:cs="宋体"/>
          <w:color w:val="auto"/>
          <w:kern w:val="1"/>
          <w:sz w:val="21"/>
          <w:szCs w:val="21"/>
          <w:highlight w:val="none"/>
          <w:u w:val="none"/>
          <w:lang w:val="en-US" w:eastAsia="zh-CN"/>
        </w:rPr>
        <w:t xml:space="preserve">     </w:t>
      </w:r>
      <w:r>
        <w:rPr>
          <w:rFonts w:hint="eastAsia" w:ascii="宋体" w:hAnsi="宋体" w:eastAsia="宋体" w:cs="宋体"/>
          <w:color w:val="auto"/>
          <w:kern w:val="1"/>
          <w:sz w:val="21"/>
          <w:szCs w:val="21"/>
          <w:highlight w:val="none"/>
        </w:rPr>
        <w:t>法定代表人（或授权代表）：</w:t>
      </w:r>
      <w:r>
        <w:rPr>
          <w:rFonts w:hint="eastAsia" w:ascii="宋体" w:hAnsi="宋体" w:eastAsia="宋体" w:cs="宋体"/>
          <w:color w:val="auto"/>
          <w:kern w:val="1"/>
          <w:sz w:val="21"/>
          <w:szCs w:val="21"/>
          <w:highlight w:val="none"/>
          <w:u w:val="single"/>
        </w:rPr>
        <w:t xml:space="preserve">                        </w:t>
      </w:r>
    </w:p>
    <w:p>
      <w:pPr>
        <w:tabs>
          <w:tab w:val="left" w:pos="1215"/>
        </w:tabs>
        <w:spacing w:line="380" w:lineRule="atLeast"/>
        <w:ind w:firstLine="1050" w:firstLineChars="500"/>
        <w:rPr>
          <w:rFonts w:hint="eastAsia" w:ascii="宋体" w:hAnsi="宋体" w:eastAsia="宋体" w:cs="宋体"/>
          <w:color w:val="auto"/>
          <w:kern w:val="1"/>
          <w:sz w:val="21"/>
          <w:szCs w:val="21"/>
          <w:highlight w:val="none"/>
          <w:u w:val="single"/>
        </w:rPr>
      </w:pPr>
      <w:r>
        <w:rPr>
          <w:rFonts w:hint="eastAsia" w:ascii="宋体" w:hAnsi="宋体" w:eastAsia="宋体" w:cs="宋体"/>
          <w:color w:val="auto"/>
          <w:kern w:val="1"/>
          <w:sz w:val="21"/>
          <w:szCs w:val="21"/>
          <w:highlight w:val="none"/>
          <w:u w:val="single"/>
          <w:lang w:eastAsia="zh-CN"/>
        </w:rPr>
        <w:t>三门县港城农业发展有限公司</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u w:val="none"/>
        </w:rPr>
        <w:t xml:space="preserve">            </w:t>
      </w:r>
    </w:p>
    <w:p>
      <w:pPr>
        <w:tabs>
          <w:tab w:val="left" w:pos="1215"/>
        </w:tabs>
        <w:spacing w:line="380" w:lineRule="atLeast"/>
        <w:ind w:firstLine="1050" w:firstLineChars="500"/>
        <w:rPr>
          <w:rFonts w:hint="eastAsia" w:ascii="宋体" w:hAnsi="宋体" w:eastAsia="宋体" w:cs="宋体"/>
          <w:color w:val="auto"/>
          <w:kern w:val="1"/>
          <w:sz w:val="21"/>
          <w:szCs w:val="21"/>
          <w:highlight w:val="none"/>
          <w:u w:val="single"/>
        </w:rPr>
      </w:pPr>
      <w:r>
        <w:rPr>
          <w:rFonts w:hint="eastAsia" w:ascii="宋体" w:hAnsi="宋体" w:eastAsia="宋体" w:cs="宋体"/>
          <w:color w:val="auto"/>
          <w:kern w:val="1"/>
          <w:sz w:val="21"/>
          <w:szCs w:val="21"/>
          <w:highlight w:val="none"/>
        </w:rPr>
        <w:t xml:space="preserve">（盖章）                                       （签字） </w:t>
      </w:r>
    </w:p>
    <w:p>
      <w:pPr>
        <w:tabs>
          <w:tab w:val="left" w:pos="1075"/>
          <w:tab w:val="center" w:pos="4153"/>
        </w:tabs>
        <w:spacing w:line="380" w:lineRule="atLeast"/>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ab/>
      </w:r>
      <w:r>
        <w:rPr>
          <w:rFonts w:hint="eastAsia" w:ascii="宋体" w:hAnsi="宋体" w:eastAsia="宋体" w:cs="宋体"/>
          <w:color w:val="auto"/>
          <w:kern w:val="1"/>
          <w:sz w:val="21"/>
          <w:szCs w:val="21"/>
          <w:highlight w:val="none"/>
        </w:rPr>
        <w:tab/>
      </w:r>
      <w:r>
        <w:rPr>
          <w:rFonts w:hint="eastAsia" w:ascii="宋体" w:hAnsi="宋体" w:eastAsia="宋体" w:cs="宋体"/>
          <w:color w:val="auto"/>
          <w:kern w:val="1"/>
          <w:sz w:val="21"/>
          <w:szCs w:val="21"/>
          <w:highlight w:val="none"/>
        </w:rPr>
        <w:t xml:space="preserve">        </w:t>
      </w:r>
    </w:p>
    <w:p>
      <w:pPr>
        <w:spacing w:line="380" w:lineRule="atLeast"/>
        <w:rPr>
          <w:rFonts w:hint="eastAsia" w:ascii="宋体" w:hAnsi="宋体" w:eastAsia="宋体" w:cs="宋体"/>
          <w:color w:val="auto"/>
          <w:kern w:val="1"/>
          <w:sz w:val="21"/>
          <w:szCs w:val="21"/>
          <w:highlight w:val="none"/>
          <w:u w:val="single"/>
        </w:rPr>
      </w:pPr>
      <w:r>
        <w:rPr>
          <w:rFonts w:hint="eastAsia" w:ascii="宋体" w:hAnsi="宋体" w:eastAsia="宋体" w:cs="宋体"/>
          <w:color w:val="auto"/>
          <w:kern w:val="1"/>
          <w:sz w:val="21"/>
          <w:szCs w:val="21"/>
          <w:highlight w:val="none"/>
        </w:rPr>
        <w:t>监理单位：</w:t>
      </w:r>
      <w:r>
        <w:rPr>
          <w:rFonts w:hint="eastAsia" w:ascii="宋体" w:hAnsi="宋体" w:eastAsia="宋体" w:cs="宋体"/>
          <w:color w:val="auto"/>
          <w:kern w:val="1"/>
          <w:sz w:val="21"/>
          <w:szCs w:val="21"/>
          <w:highlight w:val="none"/>
          <w:u w:val="single"/>
        </w:rPr>
        <w:t xml:space="preserve">                        </w:t>
      </w:r>
      <w:r>
        <w:rPr>
          <w:rFonts w:hint="eastAsia" w:ascii="宋体" w:hAnsi="宋体" w:eastAsia="宋体" w:cs="宋体"/>
          <w:color w:val="auto"/>
          <w:kern w:val="1"/>
          <w:sz w:val="21"/>
          <w:szCs w:val="21"/>
          <w:highlight w:val="none"/>
        </w:rPr>
        <w:t>法定代表人（或授权代表）：</w:t>
      </w:r>
      <w:r>
        <w:rPr>
          <w:rFonts w:hint="eastAsia" w:ascii="宋体" w:hAnsi="宋体" w:eastAsia="宋体" w:cs="宋体"/>
          <w:color w:val="auto"/>
          <w:kern w:val="1"/>
          <w:sz w:val="21"/>
          <w:szCs w:val="21"/>
          <w:highlight w:val="none"/>
          <w:u w:val="single"/>
        </w:rPr>
        <w:t xml:space="preserve">                            </w:t>
      </w:r>
    </w:p>
    <w:p>
      <w:pPr>
        <w:spacing w:line="380" w:lineRule="atLeast"/>
        <w:ind w:firstLine="1050" w:firstLineChars="500"/>
        <w:rPr>
          <w:rFonts w:hint="eastAsia" w:ascii="宋体" w:hAnsi="宋体" w:eastAsia="宋体" w:cs="宋体"/>
          <w:color w:val="auto"/>
          <w:kern w:val="1"/>
          <w:sz w:val="21"/>
          <w:szCs w:val="21"/>
          <w:highlight w:val="none"/>
          <w:u w:val="single"/>
        </w:rPr>
      </w:pPr>
      <w:r>
        <w:rPr>
          <w:rFonts w:hint="eastAsia" w:ascii="宋体" w:hAnsi="宋体" w:eastAsia="宋体" w:cs="宋体"/>
          <w:color w:val="auto"/>
          <w:kern w:val="1"/>
          <w:sz w:val="21"/>
          <w:szCs w:val="21"/>
          <w:highlight w:val="none"/>
        </w:rPr>
        <w:t>（盖章）                                        （签字）</w:t>
      </w:r>
    </w:p>
    <w:p>
      <w:pPr>
        <w:tabs>
          <w:tab w:val="left" w:pos="1075"/>
          <w:tab w:val="center" w:pos="4153"/>
        </w:tabs>
        <w:spacing w:line="380" w:lineRule="atLeast"/>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 xml:space="preserve">         </w:t>
      </w:r>
      <w:r>
        <w:rPr>
          <w:rFonts w:hint="eastAsia" w:ascii="宋体" w:hAnsi="宋体" w:eastAsia="宋体" w:cs="宋体"/>
          <w:color w:val="auto"/>
          <w:kern w:val="1"/>
          <w:sz w:val="21"/>
          <w:szCs w:val="21"/>
          <w:highlight w:val="none"/>
        </w:rPr>
        <w:tab/>
      </w:r>
      <w:r>
        <w:rPr>
          <w:rFonts w:hint="eastAsia" w:ascii="宋体" w:hAnsi="宋体" w:eastAsia="宋体" w:cs="宋体"/>
          <w:color w:val="auto"/>
          <w:kern w:val="1"/>
          <w:sz w:val="21"/>
          <w:szCs w:val="21"/>
          <w:highlight w:val="none"/>
        </w:rPr>
        <w:t xml:space="preserve">        </w:t>
      </w:r>
    </w:p>
    <w:p>
      <w:pPr>
        <w:spacing w:line="288" w:lineRule="auto"/>
        <w:ind w:firstLine="420" w:firstLineChars="200"/>
        <w:rPr>
          <w:rFonts w:hint="eastAsia" w:ascii="宋体" w:hAnsi="宋体" w:eastAsia="宋体" w:cs="宋体"/>
          <w:color w:val="auto"/>
          <w:kern w:val="1"/>
          <w:sz w:val="21"/>
          <w:szCs w:val="21"/>
          <w:highlight w:val="none"/>
        </w:rPr>
      </w:pPr>
      <w:r>
        <w:rPr>
          <w:rFonts w:hint="eastAsia" w:ascii="宋体" w:hAnsi="宋体" w:eastAsia="宋体" w:cs="宋体"/>
          <w:color w:val="auto"/>
          <w:kern w:val="1"/>
          <w:sz w:val="21"/>
          <w:szCs w:val="21"/>
          <w:highlight w:val="none"/>
        </w:rPr>
        <w:t xml:space="preserve">          </w:t>
      </w:r>
    </w:p>
    <w:p>
      <w:pPr>
        <w:snapToGrid w:val="0"/>
        <w:spacing w:after="50" w:line="288" w:lineRule="auto"/>
        <w:ind w:firstLine="525" w:firstLineChars="250"/>
        <w:rPr>
          <w:color w:val="auto"/>
          <w:sz w:val="24"/>
          <w:szCs w:val="24"/>
          <w:highlight w:val="none"/>
        </w:rPr>
      </w:pPr>
      <w:r>
        <w:rPr>
          <w:rFonts w:hint="eastAsia" w:ascii="宋体" w:hAnsi="宋体" w:eastAsia="宋体" w:cs="宋体"/>
          <w:color w:val="auto"/>
          <w:kern w:val="1"/>
          <w:sz w:val="21"/>
          <w:szCs w:val="21"/>
          <w:highlight w:val="none"/>
        </w:rPr>
        <w:t>签订日期：       年  　月  　日</w:t>
      </w: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3"/>
        <w:rPr>
          <w:rFonts w:hint="eastAsia"/>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eastAsia="zh-CN"/>
        </w:rPr>
      </w:pPr>
    </w:p>
    <w:p>
      <w:pPr>
        <w:pStyle w:val="24"/>
        <w:ind w:left="0" w:leftChars="0" w:firstLine="0" w:firstLineChars="0"/>
        <w:jc w:val="left"/>
        <w:rPr>
          <w:rFonts w:hint="eastAsia" w:ascii="Times New Roman" w:hAnsi="Times New Roman" w:cs="Times New Roman" w:eastAsiaTheme="minorEastAsia"/>
          <w:snapToGrid w:val="0"/>
          <w:sz w:val="22"/>
          <w:szCs w:val="32"/>
          <w:lang w:val="en-US" w:eastAsia="zh-CN"/>
        </w:rPr>
      </w:pPr>
      <w:r>
        <w:rPr>
          <w:rFonts w:hint="eastAsia" w:ascii="Times New Roman" w:hAnsi="Times New Roman" w:cs="Times New Roman" w:eastAsiaTheme="minorEastAsia"/>
          <w:snapToGrid w:val="0"/>
          <w:sz w:val="22"/>
          <w:szCs w:val="32"/>
          <w:lang w:eastAsia="zh-CN"/>
        </w:rPr>
        <w:t>附件</w:t>
      </w:r>
      <w:r>
        <w:rPr>
          <w:rFonts w:hint="eastAsia" w:ascii="Times New Roman" w:hAnsi="Times New Roman" w:cs="Times New Roman" w:eastAsiaTheme="minorEastAsia"/>
          <w:snapToGrid w:val="0"/>
          <w:sz w:val="22"/>
          <w:szCs w:val="32"/>
          <w:lang w:val="en-US" w:eastAsia="zh-CN"/>
        </w:rPr>
        <w:t>1</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履约保函（独立保函）</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编号：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申请人：                       地址：</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                       地址：</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开立人：                       地址：</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（受益人名称）：</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鉴于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（以下简称“受益人”）与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（以下简称“申请人”）于</w:t>
      </w:r>
      <w:r>
        <w:rPr>
          <w:rFonts w:ascii="Times New Roman" w:hAnsi="Times New Roman"/>
          <w:snapToGrid w:val="0"/>
          <w:color w:val="auto"/>
          <w:spacing w:val="15"/>
          <w:sz w:val="21"/>
          <w:szCs w:val="21"/>
          <w:u w:val="single"/>
          <w:shd w:val="clear" w:color="auto" w:fill="FFFFFF"/>
        </w:rPr>
        <w:t>   年   月   </w:t>
      </w:r>
      <w:r>
        <w:rPr>
          <w:rFonts w:ascii="Times New Roman" w:hAnsi="Times New Roman"/>
          <w:snapToGrid w:val="0"/>
          <w:color w:val="auto"/>
          <w:spacing w:val="15"/>
          <w:sz w:val="21"/>
          <w:szCs w:val="21"/>
          <w:shd w:val="clear" w:color="auto" w:fill="FFFFFF"/>
        </w:rPr>
        <w:t>日就</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 工程（以下简称“本工程”）施工和有关事项协商一致共同签订《</w:t>
      </w:r>
      <w:r>
        <w:rPr>
          <w:rFonts w:ascii="Times New Roman" w:hAnsi="Times New Roman"/>
          <w:snapToGrid w:val="0"/>
          <w:color w:val="auto"/>
          <w:spacing w:val="15"/>
          <w:sz w:val="21"/>
          <w:szCs w:val="21"/>
          <w:u w:val="single"/>
          <w:shd w:val="clear" w:color="auto" w:fill="FFFFFF"/>
        </w:rPr>
        <w:t xml:space="preserve">        </w:t>
      </w:r>
      <w:r>
        <w:rPr>
          <w:rFonts w:ascii="Times New Roman" w:hAnsi="Times New Roman"/>
          <w:snapToGrid w:val="0"/>
          <w:color w:val="auto"/>
          <w:spacing w:val="15"/>
          <w:sz w:val="21"/>
          <w:szCs w:val="21"/>
          <w:shd w:val="clear" w:color="auto" w:fill="FFFFFF"/>
        </w:rPr>
        <w:t>》（以下简称“基础合同”），我方（即“开立人”）根据基础合同了解到申请人为基础合同项下之承包人，受益人为基础合同项下之发包人，基于申请人的请求，我方同意就申请人履行与贵方签订的基础合同项下的义务，向贵方提供不可撤销、不可转让的见索即付独立保函（以下简称“本保函”）。</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一、本保函担保范围：承包人未按照基础合同的约定履行义务，应当向贵方承担的违约责任和赔偿因此造成的损失、利息、律师费、诉讼费用等实现债权的费用。</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二、本保函担保金额最高不超过人民币（大写）</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 元（¥</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三、本保函有效期自开立之日起至基础合同约定的缺陷责任期后   日止，最迟不超</w:t>
      </w:r>
      <w:r>
        <w:rPr>
          <w:rFonts w:ascii="Times New Roman" w:hAnsi="Times New Roman"/>
          <w:snapToGrid w:val="0"/>
          <w:color w:val="auto"/>
          <w:spacing w:val="15"/>
          <w:sz w:val="21"/>
          <w:szCs w:val="21"/>
          <w:u w:val="single"/>
          <w:shd w:val="clear" w:color="auto" w:fill="FFFFFF"/>
        </w:rPr>
        <w:t>过    年    月    日</w:t>
      </w:r>
      <w:r>
        <w:rPr>
          <w:rFonts w:ascii="Times New Roman" w:hAnsi="Times New Roman"/>
          <w:snapToGrid w:val="0"/>
          <w:color w:val="auto"/>
          <w:spacing w:val="15"/>
          <w:sz w:val="21"/>
          <w:szCs w:val="21"/>
          <w:shd w:val="clear" w:color="auto" w:fill="FFFFFF"/>
        </w:rPr>
        <w:t>。</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四、我方承诺，在收到受益人发来的书面付款通知后的</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日内无条件支付，前述书面付款通知即为付款要求之单据，且应满足以下要求：</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（1）付款通知到达的日期在本保函的有效期内；</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（2）载明要求支付的金额；</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（3）载明申请人违反合同义务的条款和内容；</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（4）声明不存在合同文件约定或我国法律规定免除申请人或开立人支付责任的情形；</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（5）付款通知应在本保函有效期内到达的地址是：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受益人发出的书面付款通知应由其为鉴明受益人法定代表人（负责人）或授权代理人签字并加盖公章。</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五、本保函项下的权利不得转让，不得设定担保。贵方未经我方书面同意转 让本保函或其项下任何权利，对我方不发生法律效力。</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六、与本保函有关的基础合同不成立、不生效、无效、被撤销、被解除，不影响本保函的独立有效。</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七、贵方应在本保函到期后的七日内将本保函正本退回我方注销，但是不论贵方是否按此要求将本保函正本退回我方，我方在本保函项下的义务和责任均在保函有效期到期后自动消灭。</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八、本保函适用的法律为中华人民共和国法律，争议裁判管辖地为中华人民共和国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九、本保函自我方法定代表人或授权代表签字并加盖公章之日起生效。</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 立 人：                       （公章）</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法定代表人（或授权代表）：               （签字）</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地    址：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邮政编码：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电    话：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传    真：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开立时间：      年      月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z w:val="21"/>
          <w:szCs w:val="21"/>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Style w:val="352"/>
          <w:rFonts w:hint="eastAsia"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Style w:val="352"/>
          <w:rFonts w:ascii="Times New Roman" w:hAnsi="Times New Roman"/>
          <w:snapToGrid w:val="0"/>
          <w:color w:val="auto"/>
          <w:spacing w:val="15"/>
          <w:sz w:val="21"/>
          <w:szCs w:val="21"/>
          <w:shd w:val="clear" w:color="auto" w:fill="FFFFFF"/>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履约保函</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（非独立保函）</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center"/>
        <w:rPr>
          <w:rFonts w:ascii="Times New Roman" w:hAnsi="Times New Roman"/>
          <w:snapToGrid w:val="0"/>
          <w:color w:val="auto"/>
          <w:sz w:val="21"/>
          <w:szCs w:val="21"/>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right"/>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编号：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承包人：                                  地址：</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担保权人/发包人：                          地址：</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保证人：                                   地址：</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（发包人名称）：</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鉴于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（以下简称“发包人”）与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（以下简称“承包人”）于</w:t>
      </w:r>
      <w:r>
        <w:rPr>
          <w:rFonts w:ascii="Times New Roman" w:hAnsi="Times New Roman"/>
          <w:snapToGrid w:val="0"/>
          <w:color w:val="auto"/>
          <w:spacing w:val="15"/>
          <w:sz w:val="21"/>
          <w:szCs w:val="21"/>
          <w:u w:val="single"/>
          <w:shd w:val="clear" w:color="auto" w:fill="FFFFFF"/>
        </w:rPr>
        <w:t>   年   月   日就           </w:t>
      </w:r>
      <w:r>
        <w:rPr>
          <w:rFonts w:ascii="Times New Roman" w:hAnsi="Times New Roman"/>
          <w:snapToGrid w:val="0"/>
          <w:color w:val="auto"/>
          <w:spacing w:val="15"/>
          <w:sz w:val="21"/>
          <w:szCs w:val="21"/>
          <w:shd w:val="clear" w:color="auto" w:fill="FFFFFF"/>
        </w:rPr>
        <w:t>工程（以下简称“本工程”）施工和有关事项协商一致共同签订《</w:t>
      </w:r>
      <w:r>
        <w:rPr>
          <w:rFonts w:ascii="Times New Roman" w:hAnsi="Times New Roman"/>
          <w:snapToGrid w:val="0"/>
          <w:color w:val="auto"/>
          <w:spacing w:val="15"/>
          <w:sz w:val="21"/>
          <w:szCs w:val="21"/>
          <w:u w:val="single"/>
          <w:shd w:val="clear" w:color="auto" w:fill="FFFFFF"/>
        </w:rPr>
        <w:t xml:space="preserve">        </w:t>
      </w:r>
      <w:r>
        <w:rPr>
          <w:rFonts w:ascii="Times New Roman" w:hAnsi="Times New Roman"/>
          <w:snapToGrid w:val="0"/>
          <w:color w:val="auto"/>
          <w:spacing w:val="15"/>
          <w:sz w:val="21"/>
          <w:szCs w:val="21"/>
          <w:shd w:val="clear" w:color="auto" w:fill="FFFFFF"/>
        </w:rPr>
        <w:t>》（以下简称“主合同”），我方即保证人基于承包人的请求，同意就承包人履行与贵方签订的主合同项下的义务，向贵方提供如下保证担保（以下简称“本保证担保”）。</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    </w:t>
      </w:r>
      <w:r>
        <w:rPr>
          <w:rStyle w:val="352"/>
          <w:rFonts w:ascii="Times New Roman" w:hAnsi="Times New Roman"/>
          <w:snapToGrid w:val="0"/>
          <w:color w:val="auto"/>
          <w:spacing w:val="15"/>
          <w:sz w:val="21"/>
          <w:szCs w:val="21"/>
          <w:shd w:val="clear" w:color="auto" w:fill="FFFFFF"/>
        </w:rPr>
        <w:t>一、保证担保的范围及保证担保金额</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1.保证担保范围：承包人未按照主合同的约定履行义务，应当向贵方承担的违约责任和赔偿因此造成的损失、利息、律师费、诉讼费用等实现债权的费用。</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2.保证担保金额最高不超过人民币（大写</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元（¥</w:t>
      </w:r>
      <w:r>
        <w:rPr>
          <w:rFonts w:ascii="Times New Roman" w:hAnsi="Times New Roman"/>
          <w:snapToGrid w:val="0"/>
          <w:color w:val="auto"/>
          <w:spacing w:val="15"/>
          <w:sz w:val="21"/>
          <w:szCs w:val="21"/>
          <w:u w:val="single"/>
          <w:shd w:val="clear" w:color="auto" w:fill="FFFFFF"/>
        </w:rPr>
        <w:t>      元 </w:t>
      </w:r>
      <w:r>
        <w:rPr>
          <w:rFonts w:ascii="Times New Roman" w:hAnsi="Times New Roman"/>
          <w:snapToGrid w:val="0"/>
          <w:color w:val="auto"/>
          <w:spacing w:val="15"/>
          <w:sz w:val="21"/>
          <w:szCs w:val="21"/>
          <w:shd w:val="clear" w:color="auto" w:fill="FFFFFF"/>
        </w:rPr>
        <w:t>）。</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二、保证担保的方式及保证期间</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1.保证担保方式：连带责任保证。</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2.保证期间：自出具之日起至主合同约定的缺陷责任期后</w:t>
      </w:r>
      <w:r>
        <w:rPr>
          <w:rFonts w:ascii="Times New Roman" w:hAnsi="Times New Roman"/>
          <w:snapToGrid w:val="0"/>
          <w:color w:val="auto"/>
          <w:spacing w:val="15"/>
          <w:sz w:val="21"/>
          <w:szCs w:val="21"/>
          <w:u w:val="single"/>
          <w:shd w:val="clear" w:color="auto" w:fill="FFFFFF"/>
        </w:rPr>
        <w:t>   </w:t>
      </w:r>
      <w:r>
        <w:rPr>
          <w:rFonts w:ascii="Times New Roman" w:hAnsi="Times New Roman"/>
          <w:snapToGrid w:val="0"/>
          <w:color w:val="auto"/>
          <w:spacing w:val="15"/>
          <w:sz w:val="21"/>
          <w:szCs w:val="21"/>
          <w:shd w:val="clear" w:color="auto" w:fill="FFFFFF"/>
        </w:rPr>
        <w:t>日止，最迟不超过</w:t>
      </w:r>
      <w:r>
        <w:rPr>
          <w:rFonts w:ascii="Times New Roman" w:hAnsi="Times New Roman"/>
          <w:snapToGrid w:val="0"/>
          <w:color w:val="auto"/>
          <w:spacing w:val="15"/>
          <w:sz w:val="21"/>
          <w:szCs w:val="21"/>
          <w:u w:val="single"/>
          <w:shd w:val="clear" w:color="auto" w:fill="FFFFFF"/>
        </w:rPr>
        <w:t>    年    月    </w:t>
      </w:r>
      <w:r>
        <w:rPr>
          <w:rFonts w:ascii="Times New Roman" w:hAnsi="Times New Roman"/>
          <w:snapToGrid w:val="0"/>
          <w:color w:val="auto"/>
          <w:spacing w:val="15"/>
          <w:sz w:val="21"/>
          <w:szCs w:val="21"/>
          <w:shd w:val="clear" w:color="auto" w:fill="FFFFFF"/>
        </w:rPr>
        <w:t>日。</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三、承担保证担保责任的形式</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我方按照贵方的要求以下列方式之一承担保证担保责任：</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1.向承包人资金、设备或者技术援助，使其能继续履行合同义务；</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2.直接接管该项工程或者委托经贵方同意的其他承包商，继续履行合同义务；</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3.在保证担保金额最高限额内，按照合同约定，向贵方承担违约责任和赔偿因此造成的损失，以及利息和律师费、诉讼费用等实现债权的费用。</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四、代偿的安排</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贵方要求我方承担保证责任的，应向我方发出书面索赔通知及承包人未履行主合同约定义务的证明材料。索赔通知应写明要求索赔的金额，支付款项应到达的帐号，并附有说明承包人违反主合同造成贵方损失情况的证明材料。</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2.贵方以工程质量不符合主合同约定标准为由，向我方提出违约索赔的，还需同时提供符合相应条件要求的工程质量检测部门出具的质量说明材料。</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3.我方收到贵方的书面索赔通知及相应证明材料后，在   工作日内进行核定后按照本保函的承诺承担保证责任。</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五、保证担保责任的解除</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1.保证期间届满贵方未向我方书面主张保证责任的，自保证期间届满次日起，我方解除保证责任。</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2.我方按照本保证担保向贵方履行了保证担保责任后，自我方向贵方支付的金额达到最高保证担保金额之日起，保证担保责任解除。</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3.按照法律法规的规定应解除我方保证担保责任的其它情形的，我方在本保证担保项下的保证担保责任亦解除。</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4.我方解除保证责任后，贵方应按上述约定，自我方保证担保责任解除之日起七日内，将本保证担保原件返还我方。但是不论贵方是否按此要求将本保证担保原件退回我方，我方在本保证担保项下的义务和责任均自保证担保责任解除之日自动消灭。</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六、免责条款</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1.因贵方原因致使承包人未按照主合同约定履行义务的，我方不承担保证担保责任。</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2.依照法律规定或贵方与发包人的另行约定，免除承包人部分或全部义务的，我方亦免除其相应的保证担保责任。</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3.因不可抗力造成承包人未按照主合同约定履行义务的，我方不承担保证担保责任。</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Style w:val="352"/>
          <w:rFonts w:ascii="Times New Roman" w:hAnsi="Times New Roman"/>
          <w:snapToGrid w:val="0"/>
          <w:color w:val="auto"/>
          <w:spacing w:val="15"/>
          <w:sz w:val="21"/>
          <w:szCs w:val="21"/>
          <w:shd w:val="clear" w:color="auto" w:fill="FFFFFF"/>
        </w:rPr>
      </w:pPr>
      <w:r>
        <w:rPr>
          <w:rStyle w:val="352"/>
          <w:rFonts w:ascii="Times New Roman" w:hAnsi="Times New Roman"/>
          <w:snapToGrid w:val="0"/>
          <w:color w:val="auto"/>
          <w:spacing w:val="15"/>
          <w:sz w:val="21"/>
          <w:szCs w:val="21"/>
          <w:shd w:val="clear" w:color="auto" w:fill="FFFFFF"/>
        </w:rPr>
        <w:t>七、其他</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1.本保证担保项下的权利不得转让，不得设定担保。贵方未经我方书面同意转让本保证担保或其项下任何权利，对我方不发生法律效力。</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2.本保证担保适用的法律为中华人民共和国法律，争议裁判管辖地为中华人民共和国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3.本保证担保自我方法定代表人或授权代表签字并加盖公章之日起生效。</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z w:val="21"/>
          <w:szCs w:val="21"/>
        </w:rPr>
      </w:pP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保 证 人：                      （公章）</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法定代表人（或授权代表）：               （签字）</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地    址：                               邮政编码：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电    话：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传    真：                </w:t>
      </w:r>
    </w:p>
    <w:p>
      <w:pPr>
        <w:pStyle w:val="351"/>
        <w:pBdr>
          <w:top w:val="none" w:color="000000" w:sz="0" w:space="0"/>
          <w:left w:val="none" w:color="000000" w:sz="0" w:space="0"/>
          <w:bottom w:val="none" w:color="000000" w:sz="0" w:space="0"/>
          <w:right w:val="none" w:color="000000" w:sz="0" w:space="0"/>
        </w:pBdr>
        <w:spacing w:before="0" w:beforeAutospacing="0" w:after="0" w:afterAutospacing="0" w:line="360" w:lineRule="auto"/>
        <w:ind w:firstLine="480"/>
        <w:jc w:val="both"/>
        <w:rPr>
          <w:rFonts w:ascii="Times New Roman" w:hAnsi="Times New Roman"/>
          <w:snapToGrid w:val="0"/>
          <w:color w:val="auto"/>
          <w:spacing w:val="15"/>
          <w:sz w:val="21"/>
          <w:szCs w:val="21"/>
          <w:shd w:val="clear" w:color="auto" w:fill="FFFFFF"/>
        </w:rPr>
      </w:pPr>
      <w:r>
        <w:rPr>
          <w:rFonts w:ascii="Times New Roman" w:hAnsi="Times New Roman"/>
          <w:snapToGrid w:val="0"/>
          <w:color w:val="auto"/>
          <w:spacing w:val="15"/>
          <w:sz w:val="21"/>
          <w:szCs w:val="21"/>
          <w:shd w:val="clear" w:color="auto" w:fill="FFFFFF"/>
        </w:rPr>
        <w:t>时    间：      年      月        日</w:t>
      </w:r>
    </w:p>
    <w:p>
      <w:pPr>
        <w:pStyle w:val="23"/>
        <w:ind w:left="0" w:leftChars="0" w:firstLine="0" w:firstLineChars="0"/>
      </w:pPr>
    </w:p>
    <w:p>
      <w:pPr>
        <w:pStyle w:val="24"/>
      </w:pPr>
    </w:p>
    <w:p>
      <w:pPr>
        <w:pStyle w:val="23"/>
      </w:pPr>
    </w:p>
    <w:p>
      <w:pPr>
        <w:pStyle w:val="24"/>
        <w:rPr>
          <w:rFonts w:ascii="Times New Roman" w:hAnsi="Times New Roman" w:cs="Times New Roman" w:eastAsiaTheme="minorEastAsia"/>
          <w:snapToGrid w:val="0"/>
          <w:sz w:val="32"/>
          <w:szCs w:val="44"/>
        </w:rPr>
      </w:pPr>
    </w:p>
    <w:p>
      <w:pPr>
        <w:pStyle w:val="24"/>
        <w:ind w:left="440"/>
        <w:jc w:val="center"/>
        <w:rPr>
          <w:rFonts w:ascii="Times New Roman" w:hAnsi="Times New Roman" w:cs="Times New Roman" w:eastAsiaTheme="minorEastAsia"/>
          <w:snapToGrid w:val="0"/>
        </w:rPr>
      </w:pPr>
      <w:r>
        <w:rPr>
          <w:rFonts w:ascii="Times New Roman" w:hAnsi="Times New Roman" w:cs="Times New Roman" w:eastAsiaTheme="minorEastAsia"/>
          <w:snapToGrid w:val="0"/>
          <w:sz w:val="32"/>
          <w:szCs w:val="44"/>
        </w:rPr>
        <w:t>第二卷</w:t>
      </w:r>
    </w:p>
    <w:p>
      <w:pPr>
        <w:pStyle w:val="23"/>
        <w:ind w:firstLine="440"/>
        <w:rPr>
          <w:rFonts w:ascii="Times New Roman" w:hAnsi="Times New Roman" w:cs="Times New Roman" w:eastAsiaTheme="minorEastAsia"/>
          <w:snapToGrid w:val="0"/>
        </w:rPr>
      </w:pPr>
    </w:p>
    <w:p>
      <w:pPr>
        <w:pStyle w:val="24"/>
        <w:ind w:left="440"/>
        <w:rPr>
          <w:rFonts w:ascii="Times New Roman" w:hAnsi="Times New Roman" w:cs="Times New Roman" w:eastAsiaTheme="minorEastAsia"/>
          <w:snapToGrid w:val="0"/>
        </w:rPr>
      </w:pPr>
    </w:p>
    <w:p>
      <w:pPr>
        <w:spacing w:line="360" w:lineRule="auto"/>
        <w:jc w:val="center"/>
        <w:outlineLvl w:val="0"/>
        <w:rPr>
          <w:rFonts w:ascii="Times New Roman" w:hAnsi="Times New Roman" w:cs="Times New Roman" w:eastAsiaTheme="minorEastAsia"/>
          <w:b/>
          <w:snapToGrid w:val="0"/>
          <w:sz w:val="44"/>
        </w:rPr>
      </w:pPr>
      <w:bookmarkStart w:id="884" w:name="_Toc12137"/>
      <w:bookmarkStart w:id="885" w:name="_Toc496809365"/>
      <w:bookmarkStart w:id="886" w:name="_Toc424138758"/>
      <w:bookmarkStart w:id="887" w:name="_Toc11459"/>
      <w:bookmarkStart w:id="888" w:name="_Toc4956"/>
      <w:bookmarkStart w:id="889" w:name="_Toc21055"/>
      <w:bookmarkStart w:id="890" w:name="_Toc89960473"/>
      <w:bookmarkStart w:id="891" w:name="_Toc21302"/>
      <w:bookmarkStart w:id="892" w:name="_Toc146952585"/>
      <w:bookmarkStart w:id="893" w:name="_Toc872"/>
      <w:bookmarkStart w:id="894" w:name="_Toc29026"/>
      <w:r>
        <w:rPr>
          <w:rFonts w:ascii="Times New Roman" w:hAnsi="Times New Roman" w:cs="Times New Roman" w:eastAsiaTheme="minorEastAsia"/>
          <w:b/>
          <w:snapToGrid w:val="0"/>
          <w:sz w:val="44"/>
        </w:rPr>
        <w:t xml:space="preserve">第五章 </w:t>
      </w:r>
      <w:bookmarkEnd w:id="884"/>
      <w:bookmarkEnd w:id="885"/>
      <w:bookmarkEnd w:id="886"/>
      <w:bookmarkEnd w:id="887"/>
      <w:bookmarkEnd w:id="888"/>
      <w:bookmarkEnd w:id="889"/>
      <w:bookmarkEnd w:id="890"/>
      <w:bookmarkEnd w:id="891"/>
      <w:r>
        <w:rPr>
          <w:rFonts w:ascii="Times New Roman" w:hAnsi="Times New Roman" w:cs="Times New Roman" w:eastAsiaTheme="minorEastAsia"/>
          <w:b/>
          <w:snapToGrid w:val="0"/>
          <w:sz w:val="44"/>
        </w:rPr>
        <w:t>图  纸</w:t>
      </w:r>
      <w:bookmarkEnd w:id="892"/>
      <w:bookmarkEnd w:id="893"/>
      <w:bookmarkEnd w:id="894"/>
    </w:p>
    <w:p>
      <w:pPr>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1．图纸目录</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17"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序号</w:t>
            </w:r>
          </w:p>
        </w:tc>
        <w:tc>
          <w:tcPr>
            <w:tcW w:w="1417"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图名</w:t>
            </w:r>
          </w:p>
        </w:tc>
        <w:tc>
          <w:tcPr>
            <w:tcW w:w="1417"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图号</w:t>
            </w:r>
          </w:p>
        </w:tc>
        <w:tc>
          <w:tcPr>
            <w:tcW w:w="1417"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版本</w:t>
            </w:r>
          </w:p>
        </w:tc>
        <w:tc>
          <w:tcPr>
            <w:tcW w:w="1417"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出图日期</w:t>
            </w:r>
          </w:p>
        </w:tc>
        <w:tc>
          <w:tcPr>
            <w:tcW w:w="2030"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1417" w:type="dxa"/>
            <w:vAlign w:val="center"/>
          </w:tcPr>
          <w:p>
            <w:pPr>
              <w:ind w:firstLine="540"/>
              <w:rPr>
                <w:rFonts w:ascii="Times New Roman" w:hAnsi="Times New Roman" w:cs="Times New Roman" w:eastAsiaTheme="minorEastAsia"/>
                <w:snapToGrid w:val="0"/>
                <w:sz w:val="27"/>
                <w:szCs w:val="27"/>
              </w:rPr>
            </w:pPr>
          </w:p>
        </w:tc>
        <w:tc>
          <w:tcPr>
            <w:tcW w:w="2030" w:type="dxa"/>
            <w:vAlign w:val="center"/>
          </w:tcPr>
          <w:p>
            <w:pPr>
              <w:ind w:firstLine="540"/>
              <w:rPr>
                <w:rFonts w:ascii="Times New Roman" w:hAnsi="Times New Roman" w:cs="Times New Roman" w:eastAsiaTheme="minorEastAsia"/>
                <w:snapToGrid w:val="0"/>
                <w:sz w:val="27"/>
                <w:szCs w:val="27"/>
              </w:rPr>
            </w:pPr>
          </w:p>
        </w:tc>
      </w:tr>
    </w:tbl>
    <w:p>
      <w:pPr>
        <w:rPr>
          <w:rFonts w:ascii="Times New Roman" w:hAnsi="Times New Roman" w:cs="Times New Roman" w:eastAsiaTheme="minorEastAsia"/>
          <w:snapToGrid w:val="0"/>
          <w:sz w:val="28"/>
          <w:szCs w:val="28"/>
        </w:rPr>
      </w:pPr>
    </w:p>
    <w:p>
      <w:pPr>
        <w:pStyle w:val="3"/>
        <w:ind w:firstLine="210"/>
        <w:rPr>
          <w:snapToGrid w:val="0"/>
        </w:rPr>
      </w:pPr>
      <w:r>
        <w:rPr>
          <w:snapToGrid w:val="0"/>
        </w:rPr>
        <w:br w:type="page"/>
      </w:r>
    </w:p>
    <w:p>
      <w:pPr>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2．图纸</w:t>
      </w:r>
    </w:p>
    <w:p>
      <w:pPr>
        <w:spacing w:line="440" w:lineRule="exact"/>
        <w:jc w:val="center"/>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详见三门县公共资源交易中心网站施工图纸</w:t>
      </w:r>
    </w:p>
    <w:p>
      <w:pPr>
        <w:spacing w:line="440" w:lineRule="exact"/>
        <w:jc w:val="center"/>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三门县公共资源交易网（网址：jyzx.sanmen.gov.cn）</w:t>
      </w:r>
    </w:p>
    <w:p>
      <w:pPr>
        <w:rPr>
          <w:rFonts w:ascii="Times New Roman" w:hAnsi="Times New Roman" w:cs="Times New Roman" w:eastAsiaTheme="minorEastAsia"/>
          <w:snapToGrid w:val="0"/>
        </w:rPr>
      </w:pPr>
      <w:r>
        <w:rPr>
          <w:rFonts w:ascii="Times New Roman" w:hAnsi="Times New Roman" w:cs="Times New Roman" w:eastAsiaTheme="minorEastAsia"/>
          <w:snapToGrid w:val="0"/>
        </w:rPr>
        <w:br w:type="page"/>
      </w:r>
    </w:p>
    <w:p>
      <w:pPr>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rPr>
          <w:rFonts w:ascii="Times New Roman" w:hAnsi="Times New Roman" w:cs="Times New Roman" w:eastAsiaTheme="minorEastAsia"/>
          <w:snapToGrid w:val="0"/>
        </w:rPr>
      </w:pPr>
    </w:p>
    <w:p>
      <w:pPr>
        <w:jc w:val="center"/>
        <w:rPr>
          <w:rFonts w:ascii="Times New Roman" w:hAnsi="Times New Roman" w:cs="Times New Roman" w:eastAsiaTheme="minorEastAsia"/>
          <w:snapToGrid w:val="0"/>
        </w:rPr>
      </w:pPr>
      <w:r>
        <w:rPr>
          <w:rFonts w:ascii="Times New Roman" w:hAnsi="Times New Roman" w:cs="Times New Roman" w:eastAsiaTheme="minorEastAsia"/>
          <w:snapToGrid w:val="0"/>
          <w:sz w:val="32"/>
          <w:szCs w:val="44"/>
        </w:rPr>
        <w:t>第三卷</w:t>
      </w:r>
    </w:p>
    <w:p>
      <w:pPr>
        <w:rPr>
          <w:rFonts w:ascii="Times New Roman" w:hAnsi="Times New Roman" w:cs="Times New Roman" w:eastAsiaTheme="minorEastAsia"/>
          <w:snapToGrid w:val="0"/>
        </w:rPr>
      </w:pPr>
    </w:p>
    <w:p>
      <w:pPr>
        <w:tabs>
          <w:tab w:val="left" w:pos="1820"/>
        </w:tabs>
        <w:rPr>
          <w:rFonts w:ascii="Times New Roman" w:hAnsi="Times New Roman" w:cs="Times New Roman" w:eastAsiaTheme="minorEastAsia"/>
          <w:b/>
          <w:snapToGrid w:val="0"/>
          <w:sz w:val="21"/>
          <w:szCs w:val="21"/>
        </w:rPr>
      </w:pPr>
      <w:bookmarkStart w:id="895" w:name="_TOC_250005"/>
      <w:bookmarkEnd w:id="895"/>
      <w:bookmarkStart w:id="896" w:name="_TOC_250002"/>
      <w:bookmarkEnd w:id="896"/>
      <w:bookmarkStart w:id="897" w:name="_TOC_250001"/>
      <w:bookmarkEnd w:id="897"/>
    </w:p>
    <w:p>
      <w:pPr>
        <w:tabs>
          <w:tab w:val="left" w:pos="1820"/>
        </w:tabs>
        <w:rPr>
          <w:rFonts w:ascii="Times New Roman" w:hAnsi="Times New Roman" w:cs="Times New Roman" w:eastAsiaTheme="minorEastAsia"/>
          <w:b/>
          <w:snapToGrid w:val="0"/>
          <w:sz w:val="21"/>
          <w:szCs w:val="21"/>
        </w:rPr>
      </w:pPr>
    </w:p>
    <w:p>
      <w:pPr>
        <w:tabs>
          <w:tab w:val="left" w:pos="1820"/>
        </w:tabs>
        <w:rPr>
          <w:rFonts w:ascii="Times New Roman" w:hAnsi="Times New Roman" w:cs="Times New Roman" w:eastAsiaTheme="minorEastAsia"/>
          <w:b/>
          <w:snapToGrid w:val="0"/>
          <w:sz w:val="21"/>
          <w:szCs w:val="21"/>
        </w:rPr>
      </w:pPr>
    </w:p>
    <w:p>
      <w:pPr>
        <w:pStyle w:val="2"/>
        <w:rPr>
          <w:rFonts w:ascii="Times New Roman" w:hAnsi="Times New Roman" w:cs="Times New Roman" w:eastAsiaTheme="minorEastAsia"/>
          <w:snapToGrid w:val="0"/>
        </w:rPr>
      </w:pPr>
    </w:p>
    <w:p>
      <w:pPr>
        <w:pStyle w:val="2"/>
        <w:rPr>
          <w:rFonts w:ascii="Times New Roman" w:hAnsi="Times New Roman" w:cs="Times New Roman" w:eastAsiaTheme="minorEastAsia"/>
          <w:snapToGrid w:val="0"/>
        </w:rPr>
      </w:pPr>
    </w:p>
    <w:p>
      <w:pPr>
        <w:pStyle w:val="2"/>
        <w:rPr>
          <w:rFonts w:ascii="Times New Roman" w:hAnsi="Times New Roman" w:cs="Times New Roman" w:eastAsiaTheme="minorEastAsia"/>
          <w:snapToGrid w:val="0"/>
        </w:rPr>
      </w:pPr>
    </w:p>
    <w:p>
      <w:pPr>
        <w:widowControl/>
        <w:autoSpaceDE/>
        <w:autoSpaceDN/>
        <w:rPr>
          <w:rFonts w:ascii="Times New Roman" w:hAnsi="Times New Roman" w:cs="Times New Roman" w:eastAsiaTheme="minorEastAsia"/>
          <w:b/>
          <w:snapToGrid w:val="0"/>
          <w:sz w:val="44"/>
        </w:rPr>
      </w:pPr>
      <w:bookmarkStart w:id="898" w:name="_Toc26526"/>
      <w:r>
        <w:rPr>
          <w:rFonts w:ascii="Times New Roman" w:hAnsi="Times New Roman" w:cs="Times New Roman" w:eastAsiaTheme="minorEastAsia"/>
          <w:b/>
          <w:snapToGrid w:val="0"/>
          <w:sz w:val="44"/>
        </w:rPr>
        <w:br w:type="page"/>
      </w:r>
    </w:p>
    <w:p>
      <w:pPr>
        <w:spacing w:line="360" w:lineRule="auto"/>
        <w:jc w:val="center"/>
        <w:outlineLvl w:val="0"/>
        <w:rPr>
          <w:rFonts w:ascii="Times New Roman" w:hAnsi="Times New Roman" w:cs="Times New Roman" w:eastAsiaTheme="minorEastAsia"/>
          <w:b/>
          <w:snapToGrid w:val="0"/>
          <w:sz w:val="44"/>
        </w:rPr>
      </w:pPr>
      <w:bookmarkStart w:id="899" w:name="_Toc12282"/>
      <w:bookmarkStart w:id="900" w:name="_Toc146952586"/>
      <w:r>
        <w:rPr>
          <w:rFonts w:ascii="Times New Roman" w:hAnsi="Times New Roman" w:cs="Times New Roman" w:eastAsiaTheme="minorEastAsia"/>
          <w:b/>
          <w:snapToGrid w:val="0"/>
          <w:sz w:val="44"/>
        </w:rPr>
        <w:t>第六章  投标文件格式</w:t>
      </w:r>
      <w:bookmarkEnd w:id="898"/>
      <w:bookmarkEnd w:id="899"/>
      <w:bookmarkStart w:id="901" w:name="_TOC_250000"/>
      <w:bookmarkEnd w:id="901"/>
      <w:bookmarkStart w:id="902" w:name="_Toc237769323"/>
      <w:bookmarkStart w:id="903" w:name="_Toc144974856"/>
      <w:bookmarkStart w:id="904" w:name="_Toc152042576"/>
      <w:bookmarkStart w:id="905" w:name="_Toc283886278"/>
      <w:bookmarkStart w:id="906" w:name="_Toc283976568"/>
      <w:bookmarkStart w:id="907" w:name="_Toc282596333"/>
      <w:bookmarkStart w:id="908" w:name="_Toc152045787"/>
    </w:p>
    <w:bookmarkEnd w:id="900"/>
    <w:bookmarkEnd w:id="902"/>
    <w:bookmarkEnd w:id="903"/>
    <w:bookmarkEnd w:id="904"/>
    <w:bookmarkEnd w:id="905"/>
    <w:bookmarkEnd w:id="906"/>
    <w:bookmarkEnd w:id="907"/>
    <w:bookmarkEnd w:id="908"/>
    <w:p>
      <w:pPr>
        <w:spacing w:line="540" w:lineRule="exact"/>
        <w:rPr>
          <w:rFonts w:ascii="Times New Roman" w:hAnsi="Times New Roman" w:cs="Times New Roman" w:eastAsiaTheme="minorEastAsia"/>
          <w:snapToGrid w:val="0"/>
        </w:rPr>
      </w:pPr>
      <w:bookmarkStart w:id="909" w:name="_Toc228163259"/>
    </w:p>
    <w:p>
      <w:pPr>
        <w:spacing w:line="540" w:lineRule="exact"/>
        <w:rPr>
          <w:rFonts w:ascii="Times New Roman" w:hAnsi="Times New Roman" w:cs="Times New Roman" w:eastAsiaTheme="minorEastAsia"/>
          <w:snapToGrid w:val="0"/>
          <w:szCs w:val="28"/>
        </w:rPr>
      </w:pPr>
    </w:p>
    <w:p>
      <w:pPr>
        <w:widowControl/>
        <w:autoSpaceDE/>
        <w:autoSpaceDN/>
        <w:rPr>
          <w:rFonts w:ascii="Times New Roman" w:hAnsi="Times New Roman" w:cs="Times New Roman" w:eastAsiaTheme="minorEastAsia"/>
          <w:b/>
          <w:bCs/>
          <w:snapToGrid w:val="0"/>
          <w:sz w:val="28"/>
          <w:szCs w:val="28"/>
          <w:lang w:val="en-US" w:bidi="ar-SA"/>
        </w:rPr>
      </w:pPr>
      <w:r>
        <w:rPr>
          <w:rFonts w:ascii="Times New Roman" w:hAnsi="Times New Roman" w:cs="Times New Roman" w:eastAsiaTheme="minorEastAsia"/>
          <w:snapToGrid w:val="0"/>
          <w:sz w:val="28"/>
          <w:szCs w:val="28"/>
          <w:lang w:val="en-US" w:bidi="ar-SA"/>
        </w:rPr>
        <w:br w:type="page"/>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jc w:val="left"/>
        <w:textAlignment w:val="auto"/>
        <w:rPr>
          <w:rFonts w:ascii="Times New Roman" w:hAnsi="Times New Roman" w:cs="Times New Roman" w:eastAsiaTheme="minorEastAsia"/>
          <w:snapToGrid w:val="0"/>
          <w:sz w:val="28"/>
          <w:szCs w:val="28"/>
          <w:lang w:val="en-US" w:bidi="ar-SA"/>
        </w:rPr>
      </w:pPr>
      <w:bookmarkStart w:id="910" w:name="_Toc1944"/>
      <w:r>
        <w:rPr>
          <w:rFonts w:ascii="Times New Roman" w:hAnsi="Times New Roman" w:cs="Times New Roman" w:eastAsiaTheme="minorEastAsia"/>
          <w:snapToGrid w:val="0"/>
          <w:sz w:val="28"/>
          <w:szCs w:val="28"/>
          <w:lang w:val="en-US" w:bidi="ar-SA"/>
        </w:rPr>
        <w:t>附件一：</w:t>
      </w:r>
      <w:bookmarkEnd w:id="910"/>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Times New Roman" w:hAnsi="Times New Roman" w:cs="Times New Roman" w:eastAsiaTheme="minorEastAsia"/>
          <w:snapToGrid w:val="0"/>
          <w:sz w:val="32"/>
          <w:szCs w:val="32"/>
          <w:u w:val="single"/>
          <w:lang w:eastAsia="zh-CN"/>
        </w:rPr>
      </w:pPr>
      <w:r>
        <w:rPr>
          <w:rFonts w:hint="eastAsia" w:ascii="Times New Roman" w:hAnsi="Times New Roman" w:cs="Times New Roman" w:eastAsiaTheme="minorEastAsia"/>
          <w:snapToGrid w:val="0"/>
          <w:sz w:val="32"/>
          <w:szCs w:val="32"/>
          <w:u w:val="single"/>
          <w:lang w:eastAsia="zh-CN"/>
        </w:rPr>
        <w:t>三门县下银岩山建筑用石料（凝灰岩）矿开发项目及三门县大周塘片区土地整治提升项目（监理）</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cs="Times New Roman" w:eastAsiaTheme="minorEastAsia"/>
          <w:snapToGrid w:val="0"/>
          <w:sz w:val="36"/>
          <w:szCs w:val="36"/>
        </w:rPr>
      </w:pPr>
      <w:bookmarkStart w:id="911" w:name="_Toc29199"/>
      <w:bookmarkStart w:id="912" w:name="_Toc146952587"/>
      <w:r>
        <w:rPr>
          <w:rFonts w:ascii="Times New Roman" w:hAnsi="Times New Roman" w:cs="Times New Roman" w:eastAsiaTheme="minorEastAsia"/>
          <w:snapToGrid w:val="0"/>
          <w:sz w:val="36"/>
          <w:szCs w:val="36"/>
        </w:rPr>
        <w:t>投标函</w:t>
      </w:r>
      <w:bookmarkEnd w:id="911"/>
      <w:bookmarkEnd w:id="912"/>
    </w:p>
    <w:p>
      <w:pPr>
        <w:pStyle w:val="51"/>
        <w:spacing w:before="240" w:line="360" w:lineRule="auto"/>
        <w:ind w:left="103" w:leftChars="47"/>
        <w:jc w:val="left"/>
        <w:rPr>
          <w:rFonts w:eastAsiaTheme="minorEastAsia"/>
          <w:snapToGrid w:val="0"/>
          <w:kern w:val="0"/>
          <w:sz w:val="28"/>
          <w:szCs w:val="28"/>
          <w:u w:val="single"/>
        </w:rPr>
      </w:pPr>
      <w:r>
        <w:rPr>
          <w:rFonts w:hint="eastAsia" w:eastAsiaTheme="minorEastAsia"/>
          <w:snapToGrid w:val="0"/>
          <w:kern w:val="0"/>
          <w:sz w:val="28"/>
          <w:szCs w:val="28"/>
          <w:u w:val="single"/>
          <w:lang w:eastAsia="zh-CN"/>
        </w:rPr>
        <w:t>三门县资源和能源集团有限公司</w:t>
      </w:r>
      <w:r>
        <w:rPr>
          <w:rFonts w:eastAsiaTheme="minorEastAsia"/>
          <w:bCs/>
          <w:snapToGrid w:val="0"/>
          <w:kern w:val="0"/>
          <w:sz w:val="28"/>
          <w:szCs w:val="28"/>
          <w:u w:val="single"/>
        </w:rPr>
        <w:t>（招标人）</w:t>
      </w:r>
      <w:r>
        <w:rPr>
          <w:rFonts w:eastAsiaTheme="minorEastAsia"/>
          <w:snapToGrid w:val="0"/>
          <w:kern w:val="0"/>
          <w:sz w:val="28"/>
          <w:szCs w:val="28"/>
        </w:rPr>
        <w:t>：</w:t>
      </w:r>
    </w:p>
    <w:p>
      <w:pPr>
        <w:autoSpaceDE/>
        <w:autoSpaceDN/>
        <w:spacing w:line="360" w:lineRule="auto"/>
        <w:ind w:firstLine="560" w:firstLineChars="200"/>
        <w:rPr>
          <w:rFonts w:ascii="Times New Roman" w:hAnsi="Times New Roman" w:cs="Times New Roman" w:eastAsiaTheme="minorEastAsia"/>
          <w:snapToGrid w:val="0"/>
          <w:sz w:val="28"/>
        </w:rPr>
      </w:pPr>
      <w:r>
        <w:rPr>
          <w:rFonts w:ascii="Times New Roman" w:hAnsi="Times New Roman" w:cs="Times New Roman" w:eastAsiaTheme="minorEastAsia"/>
          <w:snapToGrid w:val="0"/>
          <w:sz w:val="28"/>
        </w:rPr>
        <w:t>一、根据己收到的</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u w:val="single"/>
          <w:lang w:val="en-US"/>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（监理）招标文件，我单位经考察现场和研究上述项目的招标文件后，我方愿以监理费总报价¥</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元（保留整数），大写金额人民币</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u w:val="single"/>
          <w:lang w:val="en-US"/>
        </w:rPr>
        <w:t xml:space="preserve"> </w:t>
      </w:r>
      <w:r>
        <w:rPr>
          <w:rFonts w:hint="eastAsia" w:ascii="Times New Roman" w:hAnsi="Times New Roman" w:cs="Times New Roman" w:eastAsiaTheme="minorEastAsia"/>
          <w:snapToGrid w:val="0"/>
          <w:sz w:val="28"/>
          <w:u w:val="single"/>
          <w:lang w:val="en-US" w:eastAsia="zh-CN"/>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佰</w:t>
      </w:r>
      <w:r>
        <w:rPr>
          <w:rFonts w:ascii="Times New Roman" w:hAnsi="Times New Roman" w:cs="Times New Roman" w:eastAsiaTheme="minorEastAsia"/>
          <w:snapToGrid w:val="0"/>
          <w:sz w:val="28"/>
          <w:u w:val="single"/>
        </w:rPr>
        <w:t xml:space="preserve">  </w:t>
      </w:r>
      <w:r>
        <w:rPr>
          <w:rFonts w:hint="eastAsia" w:ascii="Times New Roman" w:hAnsi="Times New Roman" w:cs="Times New Roman" w:eastAsiaTheme="minorEastAsia"/>
          <w:snapToGrid w:val="0"/>
          <w:sz w:val="28"/>
          <w:u w:val="single"/>
          <w:lang w:val="en-US" w:eastAsia="zh-CN"/>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拾</w:t>
      </w:r>
      <w:r>
        <w:rPr>
          <w:rFonts w:ascii="Times New Roman" w:hAnsi="Times New Roman" w:cs="Times New Roman" w:eastAsiaTheme="minorEastAsia"/>
          <w:snapToGrid w:val="0"/>
          <w:sz w:val="28"/>
          <w:u w:val="single"/>
        </w:rPr>
        <w:t xml:space="preserve"> </w:t>
      </w:r>
      <w:r>
        <w:rPr>
          <w:rFonts w:hint="eastAsia" w:ascii="Times New Roman" w:hAnsi="Times New Roman" w:cs="Times New Roman" w:eastAsiaTheme="minorEastAsia"/>
          <w:snapToGrid w:val="0"/>
          <w:sz w:val="28"/>
          <w:u w:val="single"/>
          <w:lang w:val="en-US" w:eastAsia="zh-CN"/>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万</w:t>
      </w:r>
      <w:r>
        <w:rPr>
          <w:rFonts w:ascii="Times New Roman" w:hAnsi="Times New Roman" w:cs="Times New Roman" w:eastAsiaTheme="minorEastAsia"/>
          <w:snapToGrid w:val="0"/>
          <w:sz w:val="28"/>
          <w:u w:val="single"/>
        </w:rPr>
        <w:t xml:space="preserve">  </w:t>
      </w:r>
      <w:r>
        <w:rPr>
          <w:rFonts w:hint="eastAsia" w:ascii="Times New Roman" w:hAnsi="Times New Roman" w:cs="Times New Roman" w:eastAsiaTheme="minorEastAsia"/>
          <w:snapToGrid w:val="0"/>
          <w:sz w:val="28"/>
          <w:u w:val="single"/>
          <w:lang w:val="en-US" w:eastAsia="zh-CN"/>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仟</w:t>
      </w:r>
      <w:r>
        <w:rPr>
          <w:rFonts w:ascii="Times New Roman" w:hAnsi="Times New Roman" w:cs="Times New Roman" w:eastAsiaTheme="minorEastAsia"/>
          <w:snapToGrid w:val="0"/>
          <w:sz w:val="28"/>
          <w:u w:val="single"/>
        </w:rPr>
        <w:t xml:space="preserve"> </w:t>
      </w:r>
      <w:r>
        <w:rPr>
          <w:rFonts w:hint="eastAsia" w:ascii="Times New Roman" w:hAnsi="Times New Roman" w:cs="Times New Roman" w:eastAsiaTheme="minorEastAsia"/>
          <w:snapToGrid w:val="0"/>
          <w:sz w:val="28"/>
          <w:u w:val="single"/>
          <w:lang w:val="en-US" w:eastAsia="zh-CN"/>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佰</w:t>
      </w:r>
      <w:r>
        <w:rPr>
          <w:rFonts w:ascii="Times New Roman" w:hAnsi="Times New Roman" w:cs="Times New Roman" w:eastAsiaTheme="minorEastAsia"/>
          <w:snapToGrid w:val="0"/>
          <w:sz w:val="28"/>
          <w:u w:val="single"/>
        </w:rPr>
        <w:t xml:space="preserve"> </w:t>
      </w:r>
      <w:r>
        <w:rPr>
          <w:rFonts w:hint="eastAsia" w:ascii="Times New Roman" w:hAnsi="Times New Roman" w:cs="Times New Roman" w:eastAsiaTheme="minorEastAsia"/>
          <w:snapToGrid w:val="0"/>
          <w:sz w:val="28"/>
          <w:u w:val="single"/>
          <w:lang w:val="en-US" w:eastAsia="zh-CN"/>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拾</w:t>
      </w:r>
      <w:r>
        <w:rPr>
          <w:rFonts w:ascii="Times New Roman" w:hAnsi="Times New Roman" w:cs="Times New Roman" w:eastAsiaTheme="minorEastAsia"/>
          <w:snapToGrid w:val="0"/>
          <w:sz w:val="28"/>
          <w:u w:val="single"/>
        </w:rPr>
        <w:t xml:space="preserve"> </w:t>
      </w:r>
      <w:r>
        <w:rPr>
          <w:rFonts w:hint="eastAsia" w:ascii="Times New Roman" w:hAnsi="Times New Roman" w:cs="Times New Roman" w:eastAsiaTheme="minorEastAsia"/>
          <w:snapToGrid w:val="0"/>
          <w:sz w:val="28"/>
          <w:u w:val="single"/>
          <w:lang w:val="en-US" w:eastAsia="zh-CN"/>
        </w:rPr>
        <w:t xml:space="preserve"> </w:t>
      </w:r>
      <w:r>
        <w:rPr>
          <w:rFonts w:ascii="Times New Roman" w:hAnsi="Times New Roman" w:cs="Times New Roman" w:eastAsiaTheme="minorEastAsia"/>
          <w:snapToGrid w:val="0"/>
          <w:sz w:val="28"/>
          <w:u w:val="single"/>
        </w:rPr>
        <w:t xml:space="preserve">  </w:t>
      </w:r>
      <w:r>
        <w:rPr>
          <w:rFonts w:ascii="Times New Roman" w:hAnsi="Times New Roman" w:cs="Times New Roman" w:eastAsiaTheme="minorEastAsia"/>
          <w:snapToGrid w:val="0"/>
          <w:sz w:val="28"/>
        </w:rPr>
        <w:t>元，承担上述项目的监理。</w:t>
      </w:r>
    </w:p>
    <w:p>
      <w:pPr>
        <w:autoSpaceDE/>
        <w:autoSpaceDN/>
        <w:spacing w:line="360" w:lineRule="auto"/>
        <w:ind w:firstLine="560" w:firstLineChars="200"/>
        <w:rPr>
          <w:rFonts w:ascii="Times New Roman" w:hAnsi="Times New Roman" w:cs="Times New Roman" w:eastAsiaTheme="minorEastAsia"/>
          <w:snapToGrid w:val="0"/>
          <w:sz w:val="28"/>
        </w:rPr>
      </w:pPr>
      <w:r>
        <w:rPr>
          <w:rFonts w:ascii="Times New Roman" w:hAnsi="Times New Roman" w:cs="Times New Roman" w:eastAsiaTheme="minorEastAsia"/>
          <w:snapToGrid w:val="0"/>
          <w:sz w:val="28"/>
        </w:rPr>
        <w:t>二、一旦我方中标，我方在全部同意招标文件内容前提下，并保证人员设备按</w:t>
      </w:r>
      <w:r>
        <w:rPr>
          <w:rFonts w:ascii="Times New Roman" w:hAnsi="Times New Roman" w:cs="Times New Roman" w:eastAsiaTheme="minorEastAsia"/>
          <w:snapToGrid w:val="0"/>
          <w:sz w:val="28"/>
          <w:lang w:val="en-GB"/>
        </w:rPr>
        <w:t>监理大纲的部署</w:t>
      </w:r>
      <w:r>
        <w:rPr>
          <w:rFonts w:ascii="Times New Roman" w:hAnsi="Times New Roman" w:cs="Times New Roman" w:eastAsiaTheme="minorEastAsia"/>
          <w:snapToGrid w:val="0"/>
          <w:sz w:val="28"/>
        </w:rPr>
        <w:t>及时到位。保证总监与监理</w:t>
      </w:r>
      <w:r>
        <w:rPr>
          <w:rFonts w:ascii="Times New Roman" w:hAnsi="Times New Roman" w:cs="Times New Roman" w:eastAsiaTheme="minorEastAsia"/>
          <w:snapToGrid w:val="0"/>
          <w:sz w:val="28"/>
          <w:lang w:val="en-US"/>
        </w:rPr>
        <w:t>人员</w:t>
      </w:r>
      <w:r>
        <w:rPr>
          <w:rFonts w:ascii="Times New Roman" w:hAnsi="Times New Roman" w:cs="Times New Roman" w:eastAsiaTheme="minorEastAsia"/>
          <w:snapToGrid w:val="0"/>
          <w:sz w:val="28"/>
        </w:rPr>
        <w:t>的到位率达到招标文件要求，同时保证本投标文件的所有资料真实有效，如有虚假成份，愿承担一切后果。</w:t>
      </w:r>
    </w:p>
    <w:p>
      <w:pPr>
        <w:autoSpaceDE/>
        <w:autoSpaceDN/>
        <w:spacing w:line="360" w:lineRule="auto"/>
        <w:ind w:firstLine="560" w:firstLineChars="200"/>
        <w:rPr>
          <w:rFonts w:ascii="Times New Roman" w:hAnsi="Times New Roman" w:cs="Times New Roman" w:eastAsiaTheme="minorEastAsia"/>
          <w:snapToGrid w:val="0"/>
          <w:sz w:val="28"/>
        </w:rPr>
      </w:pPr>
      <w:r>
        <w:rPr>
          <w:rFonts w:ascii="Times New Roman" w:hAnsi="Times New Roman" w:cs="Times New Roman" w:eastAsiaTheme="minorEastAsia"/>
          <w:snapToGrid w:val="0"/>
          <w:sz w:val="28"/>
        </w:rPr>
        <w:t>三、除非另外达成协议并生效，你方的中标通知书和本投标文件将构成约束我们双方的合同。</w:t>
      </w:r>
    </w:p>
    <w:p>
      <w:pPr>
        <w:autoSpaceDE/>
        <w:autoSpaceDN/>
        <w:spacing w:line="360" w:lineRule="auto"/>
        <w:ind w:firstLine="560" w:firstLineChars="200"/>
        <w:rPr>
          <w:rFonts w:ascii="Times New Roman" w:hAnsi="Times New Roman" w:cs="Times New Roman" w:eastAsiaTheme="minorEastAsia"/>
          <w:snapToGrid w:val="0"/>
          <w:sz w:val="28"/>
        </w:rPr>
      </w:pPr>
      <w:r>
        <w:rPr>
          <w:rFonts w:ascii="Times New Roman" w:hAnsi="Times New Roman" w:cs="Times New Roman" w:eastAsiaTheme="minorEastAsia"/>
          <w:snapToGrid w:val="0"/>
          <w:sz w:val="28"/>
        </w:rPr>
        <w:t>四、我方的投标担保已按招标文件的要求递交。</w:t>
      </w:r>
    </w:p>
    <w:p>
      <w:pPr>
        <w:ind w:firstLine="480"/>
        <w:jc w:val="right"/>
        <w:rPr>
          <w:rFonts w:ascii="Times New Roman" w:hAnsi="Times New Roman" w:cs="Times New Roman" w:eastAsiaTheme="minorEastAsia"/>
          <w:snapToGrid w:val="0"/>
          <w:sz w:val="24"/>
          <w:szCs w:val="21"/>
        </w:rPr>
      </w:pPr>
      <w:r>
        <w:rPr>
          <w:rFonts w:ascii="Times New Roman" w:hAnsi="Times New Roman" w:cs="Times New Roman" w:eastAsiaTheme="minorEastAsia"/>
          <w:snapToGrid w:val="0"/>
          <w:sz w:val="24"/>
          <w:szCs w:val="21"/>
        </w:rPr>
        <w:t xml:space="preserve">                                               </w:t>
      </w:r>
    </w:p>
    <w:p>
      <w:pPr>
        <w:rPr>
          <w:rFonts w:ascii="Times New Roman" w:hAnsi="Times New Roman" w:cs="Times New Roman" w:eastAsiaTheme="minorEastAsia"/>
          <w:snapToGrid w:val="0"/>
          <w:sz w:val="28"/>
          <w:szCs w:val="22"/>
        </w:rPr>
      </w:pPr>
      <w:r>
        <w:rPr>
          <w:rFonts w:ascii="Times New Roman" w:hAnsi="Times New Roman" w:cs="Times New Roman" w:eastAsiaTheme="minorEastAsia"/>
          <w:snapToGrid w:val="0"/>
          <w:sz w:val="28"/>
          <w:szCs w:val="22"/>
        </w:rPr>
        <w:t xml:space="preserve">法定代表人（签字或盖章）：     </w:t>
      </w:r>
    </w:p>
    <w:p>
      <w:pPr>
        <w:rPr>
          <w:rFonts w:ascii="Times New Roman" w:hAnsi="Times New Roman" w:cs="Times New Roman" w:eastAsiaTheme="minorEastAsia"/>
          <w:snapToGrid w:val="0"/>
          <w:sz w:val="28"/>
          <w:szCs w:val="22"/>
        </w:rPr>
      </w:pPr>
    </w:p>
    <w:p>
      <w:pPr>
        <w:rPr>
          <w:rFonts w:ascii="Times New Roman" w:hAnsi="Times New Roman" w:cs="Times New Roman" w:eastAsiaTheme="minorEastAsia"/>
          <w:snapToGrid w:val="0"/>
          <w:sz w:val="28"/>
          <w:szCs w:val="22"/>
        </w:rPr>
      </w:pPr>
    </w:p>
    <w:p>
      <w:pPr>
        <w:rPr>
          <w:rFonts w:ascii="Times New Roman" w:hAnsi="Times New Roman" w:cs="Times New Roman" w:eastAsiaTheme="minorEastAsia"/>
          <w:snapToGrid w:val="0"/>
          <w:sz w:val="28"/>
          <w:szCs w:val="22"/>
        </w:rPr>
      </w:pPr>
      <w:r>
        <w:rPr>
          <w:rFonts w:ascii="Times New Roman" w:hAnsi="Times New Roman" w:cs="Times New Roman" w:eastAsiaTheme="minorEastAsia"/>
          <w:snapToGrid w:val="0"/>
          <w:sz w:val="28"/>
          <w:szCs w:val="22"/>
        </w:rPr>
        <w:t>投标人（盖章）：</w:t>
      </w:r>
    </w:p>
    <w:p>
      <w:pPr>
        <w:jc w:val="right"/>
        <w:rPr>
          <w:rFonts w:ascii="Times New Roman" w:hAnsi="Times New Roman" w:cs="Times New Roman" w:eastAsiaTheme="minorEastAsia"/>
          <w:snapToGrid w:val="0"/>
          <w:sz w:val="28"/>
          <w:szCs w:val="22"/>
        </w:rPr>
      </w:pPr>
    </w:p>
    <w:p>
      <w:pPr>
        <w:jc w:val="right"/>
        <w:rPr>
          <w:rFonts w:ascii="Times New Roman" w:hAnsi="Times New Roman" w:cs="Times New Roman" w:eastAsiaTheme="minorEastAsia"/>
          <w:snapToGrid w:val="0"/>
          <w:sz w:val="28"/>
          <w:szCs w:val="22"/>
        </w:rPr>
      </w:pPr>
    </w:p>
    <w:p>
      <w:pPr>
        <w:spacing w:line="360" w:lineRule="auto"/>
        <w:jc w:val="right"/>
        <w:rPr>
          <w:rFonts w:ascii="Times New Roman" w:hAnsi="Times New Roman" w:cs="Times New Roman" w:eastAsiaTheme="minorEastAsia"/>
          <w:snapToGrid w:val="0"/>
          <w:sz w:val="28"/>
          <w:szCs w:val="22"/>
        </w:rPr>
      </w:pPr>
      <w:r>
        <w:rPr>
          <w:rFonts w:ascii="Times New Roman" w:hAnsi="Times New Roman" w:cs="Times New Roman" w:eastAsiaTheme="minorEastAsia"/>
          <w:snapToGrid w:val="0"/>
          <w:sz w:val="28"/>
          <w:szCs w:val="22"/>
        </w:rPr>
        <w:t xml:space="preserve">     年 </w:t>
      </w:r>
      <w:r>
        <w:rPr>
          <w:rFonts w:hint="eastAsia" w:ascii="Times New Roman" w:hAnsi="Times New Roman" w:cs="Times New Roman" w:eastAsiaTheme="minorEastAsia"/>
          <w:snapToGrid w:val="0"/>
          <w:sz w:val="28"/>
          <w:szCs w:val="22"/>
          <w:lang w:val="en-US" w:eastAsia="zh-CN"/>
        </w:rPr>
        <w:t xml:space="preserve"> </w:t>
      </w:r>
      <w:r>
        <w:rPr>
          <w:rFonts w:ascii="Times New Roman" w:hAnsi="Times New Roman" w:cs="Times New Roman" w:eastAsiaTheme="minorEastAsia"/>
          <w:snapToGrid w:val="0"/>
          <w:sz w:val="28"/>
          <w:szCs w:val="22"/>
        </w:rPr>
        <w:t xml:space="preserve">  月   </w:t>
      </w:r>
      <w:r>
        <w:rPr>
          <w:rFonts w:hint="eastAsia" w:ascii="Times New Roman" w:hAnsi="Times New Roman" w:cs="Times New Roman" w:eastAsiaTheme="minorEastAsia"/>
          <w:snapToGrid w:val="0"/>
          <w:sz w:val="28"/>
          <w:szCs w:val="22"/>
          <w:lang w:val="en-US" w:eastAsia="zh-CN"/>
        </w:rPr>
        <w:t xml:space="preserve"> </w:t>
      </w:r>
      <w:r>
        <w:rPr>
          <w:rFonts w:ascii="Times New Roman" w:hAnsi="Times New Roman" w:cs="Times New Roman" w:eastAsiaTheme="minorEastAsia"/>
          <w:snapToGrid w:val="0"/>
          <w:sz w:val="28"/>
          <w:szCs w:val="22"/>
        </w:rPr>
        <w:t>日</w:t>
      </w:r>
      <w:bookmarkStart w:id="913" w:name="_Toc427131797"/>
      <w:bookmarkStart w:id="914" w:name="_Toc427133060"/>
    </w:p>
    <w:p>
      <w:pPr>
        <w:pStyle w:val="3"/>
        <w:ind w:firstLine="210"/>
        <w:rPr>
          <w:snapToGrid w:val="0"/>
        </w:rPr>
      </w:pPr>
      <w:r>
        <w:rPr>
          <w:snapToGrid w:val="0"/>
        </w:rPr>
        <w:br w:type="page"/>
      </w:r>
    </w:p>
    <w:p>
      <w:pPr>
        <w:pStyle w:val="6"/>
        <w:ind w:left="0"/>
        <w:jc w:val="left"/>
        <w:rPr>
          <w:rFonts w:hint="eastAsia" w:ascii="Times New Roman" w:hAnsi="Times New Roman" w:cs="Times New Roman" w:eastAsiaTheme="minorEastAsia"/>
          <w:snapToGrid w:val="0"/>
          <w:sz w:val="28"/>
          <w:szCs w:val="28"/>
          <w:lang w:val="en-US" w:eastAsia="zh-CN" w:bidi="ar-SA"/>
        </w:rPr>
      </w:pPr>
      <w:bookmarkStart w:id="915" w:name="_Toc7484"/>
      <w:bookmarkStart w:id="916" w:name="_Toc3394"/>
      <w:r>
        <w:rPr>
          <w:rFonts w:hint="eastAsia" w:ascii="Times New Roman" w:hAnsi="Times New Roman" w:cs="Times New Roman" w:eastAsiaTheme="minorEastAsia"/>
          <w:snapToGrid w:val="0"/>
          <w:sz w:val="28"/>
          <w:szCs w:val="28"/>
          <w:lang w:val="en-US" w:eastAsia="zh-CN" w:bidi="ar-SA"/>
        </w:rPr>
        <w:t>附件二：</w:t>
      </w:r>
      <w:bookmarkEnd w:id="915"/>
      <w:bookmarkEnd w:id="916"/>
    </w:p>
    <w:p>
      <w:pPr>
        <w:pStyle w:val="84"/>
        <w:spacing w:before="0" w:beforeAutospacing="0" w:after="0" w:afterAutospacing="0"/>
        <w:jc w:val="center"/>
        <w:rPr>
          <w:rFonts w:hint="eastAsia" w:cs="宋体"/>
          <w:b/>
          <w:bCs/>
          <w:color w:val="000000"/>
          <w:sz w:val="28"/>
          <w:szCs w:val="24"/>
          <w:u w:val="none"/>
          <w:lang w:val="en-US" w:eastAsia="zh-CN"/>
        </w:rPr>
      </w:pPr>
      <w:r>
        <w:rPr>
          <w:rFonts w:hint="eastAsia" w:cs="宋体"/>
          <w:b/>
          <w:bCs/>
          <w:color w:val="000000"/>
          <w:sz w:val="28"/>
          <w:szCs w:val="24"/>
          <w:u w:val="single"/>
          <w:lang w:val="en-US" w:eastAsia="zh-CN"/>
        </w:rPr>
        <w:t>三门县下银岩山建筑用石料（凝灰岩）矿开发项目及三门县大周塘片区土地整治提升项目（监理）</w:t>
      </w:r>
    </w:p>
    <w:p>
      <w:pPr>
        <w:pStyle w:val="84"/>
        <w:spacing w:before="0" w:beforeAutospacing="0" w:after="0" w:afterAutospacing="0"/>
        <w:ind w:firstLine="2570" w:firstLineChars="800"/>
        <w:jc w:val="both"/>
        <w:rPr>
          <w:rFonts w:hint="eastAsia" w:cs="宋体"/>
          <w:b/>
          <w:bCs/>
          <w:color w:val="000000"/>
          <w:sz w:val="32"/>
          <w:szCs w:val="32"/>
        </w:rPr>
      </w:pPr>
      <w:r>
        <w:rPr>
          <w:rFonts w:hint="eastAsia" w:cs="宋体"/>
          <w:b/>
          <w:bCs/>
          <w:color w:val="000000"/>
          <w:sz w:val="32"/>
          <w:szCs w:val="32"/>
        </w:rPr>
        <w:t>监理费用报价分析汇总表</w:t>
      </w:r>
    </w:p>
    <w:p>
      <w:pPr>
        <w:pStyle w:val="84"/>
        <w:spacing w:before="0" w:beforeAutospacing="0" w:after="0" w:afterAutospacing="0"/>
        <w:rPr>
          <w:rFonts w:hint="eastAsia" w:cs="宋体"/>
          <w:b/>
          <w:bCs/>
          <w:color w:val="000000"/>
          <w:sz w:val="32"/>
          <w:szCs w:val="32"/>
        </w:rPr>
      </w:pPr>
    </w:p>
    <w:tbl>
      <w:tblPr>
        <w:tblStyle w:val="90"/>
        <w:tblW w:w="92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2799"/>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费用名称</w:t>
            </w:r>
          </w:p>
        </w:tc>
        <w:tc>
          <w:tcPr>
            <w:tcW w:w="531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计算过程（元）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（一）</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工资</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w:t>
            </w:r>
            <w:r>
              <w:rPr>
                <w:rFonts w:ascii="宋体" w:hAnsi="宋体" w:eastAsia="宋体"/>
                <w:color w:val="000000"/>
                <w:sz w:val="24"/>
                <w:szCs w:val="24"/>
              </w:rPr>
              <w:t>1</w:t>
            </w:r>
            <w:r>
              <w:rPr>
                <w:rFonts w:hint="eastAsia" w:ascii="宋体" w:hAnsi="宋体" w:eastAsia="宋体"/>
                <w:color w:val="000000"/>
                <w:sz w:val="24"/>
                <w:szCs w:val="24"/>
              </w:rPr>
              <w:t>）</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总监</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w:t>
            </w:r>
            <w:r>
              <w:rPr>
                <w:rFonts w:ascii="宋体" w:hAnsi="宋体" w:eastAsia="宋体"/>
                <w:color w:val="000000"/>
                <w:sz w:val="24"/>
                <w:szCs w:val="24"/>
              </w:rPr>
              <w:t>2</w:t>
            </w:r>
            <w:r>
              <w:rPr>
                <w:rFonts w:hint="eastAsia" w:ascii="宋体" w:hAnsi="宋体" w:eastAsia="宋体"/>
                <w:color w:val="000000"/>
                <w:sz w:val="24"/>
                <w:szCs w:val="24"/>
              </w:rPr>
              <w:t>）</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监理工程师</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w:t>
            </w:r>
            <w:r>
              <w:rPr>
                <w:rFonts w:ascii="宋体" w:hAnsi="宋体" w:eastAsia="宋体"/>
                <w:color w:val="000000"/>
                <w:sz w:val="24"/>
                <w:szCs w:val="24"/>
              </w:rPr>
              <w:t>3</w:t>
            </w:r>
            <w:r>
              <w:rPr>
                <w:rFonts w:hint="eastAsia" w:ascii="宋体" w:hAnsi="宋体" w:eastAsia="宋体"/>
                <w:color w:val="000000"/>
                <w:sz w:val="24"/>
                <w:szCs w:val="24"/>
              </w:rPr>
              <w:t>）</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监理员</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w:t>
            </w:r>
            <w:r>
              <w:rPr>
                <w:rFonts w:ascii="宋体" w:hAnsi="宋体" w:eastAsia="宋体"/>
                <w:color w:val="000000"/>
                <w:sz w:val="24"/>
                <w:szCs w:val="24"/>
              </w:rPr>
              <w:t>4</w:t>
            </w:r>
            <w:r>
              <w:rPr>
                <w:rFonts w:hint="eastAsia" w:ascii="宋体" w:hAnsi="宋体" w:eastAsia="宋体"/>
                <w:color w:val="000000"/>
                <w:sz w:val="24"/>
                <w:szCs w:val="24"/>
              </w:rPr>
              <w:t>）</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造价人员</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（二）</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交通费</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（三）</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住宿费</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（四）</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办公通讯费</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（五）</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社保福利费</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trPr>
        <w:tc>
          <w:tcPr>
            <w:tcW w:w="1120"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（六）</w:t>
            </w:r>
          </w:p>
        </w:tc>
        <w:tc>
          <w:tcPr>
            <w:tcW w:w="2799" w:type="dxa"/>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其他费用</w:t>
            </w:r>
          </w:p>
          <w:p>
            <w:pPr>
              <w:jc w:val="center"/>
              <w:rPr>
                <w:rFonts w:ascii="宋体" w:hAnsi="宋体" w:eastAsia="宋体"/>
                <w:color w:val="000000"/>
                <w:sz w:val="24"/>
                <w:szCs w:val="24"/>
              </w:rPr>
            </w:pPr>
          </w:p>
          <w:p>
            <w:pPr>
              <w:jc w:val="center"/>
              <w:rPr>
                <w:rFonts w:ascii="宋体" w:hAnsi="宋体" w:eastAsia="宋体"/>
                <w:color w:val="000000"/>
                <w:sz w:val="24"/>
                <w:szCs w:val="24"/>
                <w:u w:val="single"/>
              </w:rPr>
            </w:pPr>
          </w:p>
        </w:tc>
        <w:tc>
          <w:tcPr>
            <w:tcW w:w="5319" w:type="dxa"/>
            <w:noWrap w:val="0"/>
            <w:vAlign w:val="center"/>
          </w:tcPr>
          <w:p>
            <w:pPr>
              <w:jc w:val="center"/>
              <w:rPr>
                <w:rFonts w:ascii="宋体" w:hAnsi="宋体" w:eastAsia="宋体"/>
                <w:color w:val="000000"/>
                <w:sz w:val="24"/>
                <w:szCs w:val="24"/>
              </w:rPr>
            </w:pPr>
          </w:p>
          <w:p>
            <w:pPr>
              <w:jc w:val="center"/>
              <w:rPr>
                <w:rFonts w:ascii="宋体" w:hAnsi="宋体" w:eastAsia="宋体"/>
                <w:color w:val="000000"/>
                <w:sz w:val="24"/>
                <w:szCs w:val="24"/>
              </w:rPr>
            </w:pPr>
          </w:p>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3919" w:type="dxa"/>
            <w:gridSpan w:val="2"/>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管理费</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3919" w:type="dxa"/>
            <w:gridSpan w:val="2"/>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利润</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3919" w:type="dxa"/>
            <w:gridSpan w:val="2"/>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税金</w:t>
            </w:r>
          </w:p>
        </w:tc>
        <w:tc>
          <w:tcPr>
            <w:tcW w:w="5319" w:type="dxa"/>
            <w:noWrap w:val="0"/>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exact"/>
        </w:trPr>
        <w:tc>
          <w:tcPr>
            <w:tcW w:w="3919" w:type="dxa"/>
            <w:gridSpan w:val="2"/>
            <w:noWrap w:val="0"/>
            <w:vAlign w:val="center"/>
          </w:tcPr>
          <w:p>
            <w:pPr>
              <w:jc w:val="center"/>
              <w:rPr>
                <w:rFonts w:ascii="宋体" w:hAnsi="宋体" w:eastAsia="宋体"/>
                <w:color w:val="000000"/>
                <w:sz w:val="24"/>
                <w:szCs w:val="24"/>
              </w:rPr>
            </w:pPr>
            <w:r>
              <w:rPr>
                <w:rFonts w:hint="eastAsia" w:ascii="宋体" w:hAnsi="宋体" w:eastAsia="宋体"/>
                <w:color w:val="000000"/>
                <w:sz w:val="24"/>
                <w:szCs w:val="24"/>
              </w:rPr>
              <w:t>合计（结转至附件一）</w:t>
            </w:r>
          </w:p>
        </w:tc>
        <w:tc>
          <w:tcPr>
            <w:tcW w:w="5319" w:type="dxa"/>
            <w:noWrap w:val="0"/>
            <w:vAlign w:val="center"/>
          </w:tcPr>
          <w:p>
            <w:pPr>
              <w:ind w:firstLine="1680" w:firstLineChars="700"/>
              <w:rPr>
                <w:rFonts w:hint="eastAsia" w:ascii="宋体" w:hAnsi="宋体" w:eastAsia="宋体"/>
                <w:color w:val="000000"/>
                <w:sz w:val="24"/>
                <w:szCs w:val="24"/>
              </w:rPr>
            </w:pPr>
            <w:r>
              <w:rPr>
                <w:rFonts w:hint="eastAsia" w:ascii="宋体" w:hAnsi="宋体" w:eastAsia="宋体"/>
                <w:color w:val="000000"/>
                <w:sz w:val="24"/>
                <w:szCs w:val="24"/>
              </w:rPr>
              <w:t>元</w:t>
            </w:r>
          </w:p>
          <w:p>
            <w:pPr>
              <w:rPr>
                <w:rFonts w:ascii="宋体" w:hAnsi="宋体" w:eastAsia="宋体"/>
                <w:color w:val="000000"/>
                <w:sz w:val="24"/>
                <w:szCs w:val="24"/>
              </w:rPr>
            </w:pPr>
            <w:r>
              <w:rPr>
                <w:rFonts w:hint="eastAsia" w:ascii="宋体" w:hAnsi="宋体" w:eastAsia="宋体"/>
                <w:snapToGrid w:val="0"/>
                <w:color w:val="000000"/>
                <w:kern w:val="0"/>
                <w:sz w:val="24"/>
                <w:szCs w:val="24"/>
              </w:rPr>
              <w:t>（</w:t>
            </w:r>
            <w:r>
              <w:rPr>
                <w:rFonts w:hint="eastAsia" w:ascii="宋体" w:hAnsi="宋体" w:eastAsia="宋体"/>
                <w:color w:val="000000"/>
                <w:sz w:val="24"/>
                <w:szCs w:val="24"/>
              </w:rPr>
              <w:t>以元为单位，保留整数，小数点后四舍五入）</w:t>
            </w:r>
          </w:p>
        </w:tc>
      </w:tr>
    </w:tbl>
    <w:p>
      <w:pPr>
        <w:pStyle w:val="84"/>
        <w:spacing w:before="0" w:beforeAutospacing="0" w:after="0" w:afterAutospacing="0"/>
        <w:ind w:firstLine="420" w:firstLineChars="200"/>
        <w:rPr>
          <w:rFonts w:hint="eastAsia" w:cs="宋体"/>
          <w:snapToGrid w:val="0"/>
          <w:color w:val="000000"/>
          <w:sz w:val="21"/>
          <w:szCs w:val="21"/>
        </w:rPr>
      </w:pPr>
    </w:p>
    <w:p>
      <w:pPr>
        <w:rPr>
          <w:rFonts w:hint="eastAsia" w:ascii="宋体" w:hAnsi="宋体" w:eastAsia="宋体" w:cs="宋体"/>
          <w:snapToGrid w:val="0"/>
          <w:color w:val="000000"/>
          <w:sz w:val="21"/>
          <w:szCs w:val="21"/>
        </w:rPr>
      </w:pPr>
    </w:p>
    <w:p>
      <w:pPr>
        <w:spacing w:line="440" w:lineRule="exact"/>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 xml:space="preserve">法定代表人（签字或盖章）：  </w:t>
      </w:r>
    </w:p>
    <w:p>
      <w:pPr>
        <w:pStyle w:val="3"/>
        <w:rPr>
          <w:sz w:val="22"/>
          <w:szCs w:val="28"/>
        </w:rPr>
      </w:pPr>
    </w:p>
    <w:p>
      <w:pPr>
        <w:spacing w:line="440" w:lineRule="exact"/>
        <w:ind w:left="5880" w:hanging="5880" w:hangingChars="2100"/>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投  标  人（盖章）：                                                                年    月    日</w:t>
      </w:r>
    </w:p>
    <w:p>
      <w:pPr>
        <w:pStyle w:val="3"/>
        <w:ind w:firstLine="210"/>
        <w:rPr>
          <w:rFonts w:hint="eastAsia" w:ascii="宋体" w:hAnsi="宋体" w:eastAsia="宋体" w:cs="宋体"/>
          <w:color w:val="000000"/>
          <w:sz w:val="21"/>
          <w:szCs w:val="21"/>
        </w:rPr>
      </w:pPr>
      <w:r>
        <w:rPr>
          <w:snapToGrid w:val="0"/>
        </w:rPr>
        <w:br w:type="page"/>
      </w:r>
    </w:p>
    <w:p>
      <w:pPr>
        <w:pStyle w:val="6"/>
        <w:ind w:left="0"/>
        <w:jc w:val="left"/>
        <w:rPr>
          <w:rFonts w:ascii="Times New Roman" w:hAnsi="Times New Roman" w:cs="Times New Roman" w:eastAsiaTheme="minorEastAsia"/>
          <w:snapToGrid w:val="0"/>
          <w:sz w:val="28"/>
          <w:szCs w:val="28"/>
          <w:lang w:val="en-US" w:bidi="ar-SA"/>
        </w:rPr>
      </w:pPr>
      <w:bookmarkStart w:id="917" w:name="_Toc17094"/>
      <w:r>
        <w:rPr>
          <w:rFonts w:ascii="Times New Roman" w:hAnsi="Times New Roman" w:cs="Times New Roman" w:eastAsiaTheme="minorEastAsia"/>
          <w:snapToGrid w:val="0"/>
          <w:sz w:val="28"/>
          <w:szCs w:val="28"/>
          <w:lang w:val="en-US" w:bidi="ar-SA"/>
        </w:rPr>
        <w:t>附件</w:t>
      </w:r>
      <w:r>
        <w:rPr>
          <w:rFonts w:hint="eastAsia" w:ascii="Times New Roman" w:hAnsi="Times New Roman" w:cs="Times New Roman" w:eastAsiaTheme="minorEastAsia"/>
          <w:snapToGrid w:val="0"/>
          <w:sz w:val="28"/>
          <w:szCs w:val="28"/>
          <w:lang w:val="en-US" w:eastAsia="zh-CN" w:bidi="ar-SA"/>
        </w:rPr>
        <w:t>三</w:t>
      </w:r>
      <w:r>
        <w:rPr>
          <w:rFonts w:ascii="Times New Roman" w:hAnsi="Times New Roman" w:cs="Times New Roman" w:eastAsiaTheme="minorEastAsia"/>
          <w:snapToGrid w:val="0"/>
          <w:sz w:val="28"/>
          <w:szCs w:val="28"/>
          <w:lang w:val="en-US" w:bidi="ar-SA"/>
        </w:rPr>
        <w:t>：</w:t>
      </w:r>
      <w:bookmarkEnd w:id="913"/>
      <w:bookmarkEnd w:id="914"/>
      <w:bookmarkEnd w:id="917"/>
    </w:p>
    <w:p>
      <w:pPr>
        <w:spacing w:before="120" w:beforeLines="50" w:after="120" w:afterLines="50"/>
        <w:jc w:val="center"/>
        <w:rPr>
          <w:rFonts w:hint="eastAsia" w:ascii="Times New Roman" w:hAnsi="Times New Roman" w:cs="Times New Roman" w:eastAsiaTheme="minorEastAsia"/>
          <w:snapToGrid w:val="0"/>
          <w:sz w:val="32"/>
          <w:szCs w:val="32"/>
          <w:u w:val="single"/>
          <w:lang w:eastAsia="zh-CN"/>
        </w:rPr>
      </w:pPr>
      <w:r>
        <w:rPr>
          <w:rFonts w:hint="eastAsia" w:ascii="Times New Roman" w:hAnsi="Times New Roman" w:cs="Times New Roman" w:eastAsiaTheme="minorEastAsia"/>
          <w:snapToGrid w:val="0"/>
          <w:sz w:val="32"/>
          <w:szCs w:val="32"/>
          <w:u w:val="single"/>
          <w:lang w:eastAsia="zh-CN"/>
        </w:rPr>
        <w:t>三门县下银岩山建筑用石料（凝灰岩）矿开发项目及三门县大周塘片区土地整治提升项目（监理）</w:t>
      </w:r>
    </w:p>
    <w:p>
      <w:pPr>
        <w:spacing w:before="120" w:beforeLines="50" w:after="120" w:afterLines="50"/>
        <w:jc w:val="center"/>
        <w:rPr>
          <w:rFonts w:ascii="Times New Roman" w:hAnsi="Times New Roman" w:cs="Times New Roman" w:eastAsiaTheme="minorEastAsia"/>
          <w:snapToGrid w:val="0"/>
          <w:szCs w:val="36"/>
        </w:rPr>
      </w:pPr>
      <w:r>
        <w:rPr>
          <w:rFonts w:ascii="Times New Roman" w:hAnsi="Times New Roman" w:cs="Times New Roman" w:eastAsiaTheme="minorEastAsia"/>
          <w:b/>
          <w:bCs/>
          <w:snapToGrid w:val="0"/>
          <w:sz w:val="40"/>
          <w:szCs w:val="40"/>
        </w:rPr>
        <w:t>台州市建设工程投标人资格自查表</w:t>
      </w:r>
    </w:p>
    <w:tbl>
      <w:tblPr>
        <w:tblStyle w:val="90"/>
        <w:tblW w:w="987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922"/>
        <w:gridCol w:w="1543"/>
        <w:gridCol w:w="77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2" w:type="dxa"/>
            <w:vAlign w:val="center"/>
          </w:tcPr>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序号</w:t>
            </w:r>
          </w:p>
        </w:tc>
        <w:tc>
          <w:tcPr>
            <w:tcW w:w="5922" w:type="dxa"/>
            <w:vAlign w:val="center"/>
          </w:tcPr>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自查内容</w:t>
            </w:r>
          </w:p>
        </w:tc>
        <w:tc>
          <w:tcPr>
            <w:tcW w:w="1543" w:type="dxa"/>
            <w:vAlign w:val="center"/>
          </w:tcPr>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招标文件</w:t>
            </w:r>
          </w:p>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条款号</w:t>
            </w:r>
          </w:p>
        </w:tc>
        <w:tc>
          <w:tcPr>
            <w:tcW w:w="770" w:type="dxa"/>
            <w:vAlign w:val="center"/>
          </w:tcPr>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投标</w:t>
            </w:r>
          </w:p>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要求</w:t>
            </w:r>
          </w:p>
        </w:tc>
        <w:tc>
          <w:tcPr>
            <w:tcW w:w="771" w:type="dxa"/>
            <w:vAlign w:val="center"/>
          </w:tcPr>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自查</w:t>
            </w:r>
          </w:p>
          <w:p>
            <w:pPr>
              <w:spacing w:line="360" w:lineRule="auto"/>
              <w:jc w:val="center"/>
              <w:rPr>
                <w:rFonts w:ascii="Times New Roman" w:hAnsi="Times New Roman" w:cs="Times New Roman" w:eastAsiaTheme="minorEastAsia"/>
                <w:b/>
                <w:snapToGrid w:val="0"/>
                <w:sz w:val="24"/>
              </w:rPr>
            </w:pPr>
            <w:r>
              <w:rPr>
                <w:rFonts w:ascii="Times New Roman" w:hAnsi="Times New Roman" w:cs="Times New Roman" w:eastAsiaTheme="minorEastAsia"/>
                <w:b/>
                <w:snapToGrid w:val="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投标人资质条件是否符合</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1.4.1（1）</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是否为招标人不具有独立法人资格的附属机构（单位）</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（1）</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3</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是否为本工程提供招标代理业务</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2</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4</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是否为本工程的代建人</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3</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5</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是否为本工程的施工承包人</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4</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6</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是否与本工程的代建人或招标代理机构同为一个法定代表人</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5</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7</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是否与本工程的代建人或招标代理机构相互任职或工作</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6</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8</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是否与本工程的代建人或招标代理机构相互控股或参股</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7</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9</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是否被责令停业</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8</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10</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是否被暂停或取消投标资格</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9</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11</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是否存在投标人（包括法定代表人）有行贿犯罪记录的（由投标文件提交截止之日上溯3年，行贿犯罪记录日期以法院判决生效日期为准）</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10</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trPr>
        <w:tc>
          <w:tcPr>
            <w:tcW w:w="87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12</w:t>
            </w:r>
          </w:p>
        </w:tc>
        <w:tc>
          <w:tcPr>
            <w:tcW w:w="5922" w:type="dxa"/>
            <w:vAlign w:val="center"/>
          </w:tcPr>
          <w:p>
            <w:pP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是否存在浙江省外企业《省外企业进浙承接业务备案证明》超出有效期或未能在“浙江省建筑市场监管公共服务系统”对外发布形成的备案信息中显示的或已注销的</w:t>
            </w:r>
          </w:p>
        </w:tc>
        <w:tc>
          <w:tcPr>
            <w:tcW w:w="1543"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11</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872" w:type="dxa"/>
            <w:vAlign w:val="center"/>
          </w:tcPr>
          <w:p>
            <w:pPr>
              <w:spacing w:line="360" w:lineRule="auto"/>
              <w:jc w:val="center"/>
              <w:rPr>
                <w:rFonts w:ascii="Times New Roman" w:hAnsi="Times New Roman" w:cs="Times New Roman" w:eastAsiaTheme="minorEastAsia"/>
                <w:snapToGrid w:val="0"/>
                <w:szCs w:val="21"/>
                <w:lang w:val="en-US"/>
              </w:rPr>
            </w:pPr>
            <w:r>
              <w:rPr>
                <w:rFonts w:ascii="Times New Roman" w:hAnsi="Times New Roman" w:cs="Times New Roman" w:eastAsiaTheme="minorEastAsia"/>
                <w:snapToGrid w:val="0"/>
                <w:szCs w:val="21"/>
                <w:lang w:val="en-US"/>
              </w:rPr>
              <w:t>13</w:t>
            </w:r>
          </w:p>
        </w:tc>
        <w:tc>
          <w:tcPr>
            <w:tcW w:w="5922" w:type="dxa"/>
            <w:vAlign w:val="center"/>
          </w:tcPr>
          <w:p>
            <w:pPr>
              <w:rPr>
                <w:rFonts w:ascii="Times New Roman" w:hAnsi="Times New Roman" w:cs="Times New Roman" w:eastAsiaTheme="minorEastAsia"/>
                <w:snapToGrid w:val="0"/>
                <w:szCs w:val="21"/>
                <w:lang w:val="en-US"/>
              </w:rPr>
            </w:pPr>
            <w:r>
              <w:rPr>
                <w:rFonts w:ascii="Times New Roman" w:hAnsi="Times New Roman" w:cs="Times New Roman" w:eastAsiaTheme="minorEastAsia"/>
                <w:snapToGrid w:val="0"/>
                <w:szCs w:val="21"/>
                <w:lang w:val="en-US"/>
              </w:rPr>
              <w:t>主导专业监理工程师、监理员、造价人员证书上的企业名称是否与投标人不一致</w:t>
            </w:r>
          </w:p>
        </w:tc>
        <w:tc>
          <w:tcPr>
            <w:tcW w:w="1543" w:type="dxa"/>
            <w:vAlign w:val="center"/>
          </w:tcPr>
          <w:p>
            <w:pPr>
              <w:spacing w:line="360" w:lineRule="auto"/>
              <w:jc w:val="center"/>
              <w:rPr>
                <w:rFonts w:ascii="Times New Roman" w:hAnsi="Times New Roman" w:cs="Times New Roman" w:eastAsiaTheme="minorEastAsia"/>
                <w:snapToGrid w:val="0"/>
                <w:szCs w:val="21"/>
                <w:lang w:val="en-US"/>
              </w:rPr>
            </w:pPr>
            <w:r>
              <w:rPr>
                <w:rFonts w:ascii="Times New Roman" w:hAnsi="Times New Roman" w:cs="Times New Roman" w:eastAsiaTheme="minorEastAsia"/>
                <w:snapToGrid w:val="0"/>
                <w:szCs w:val="21"/>
                <w:lang w:val="en-US"/>
              </w:rPr>
              <w:t>1.4.2</w:t>
            </w:r>
            <w:r>
              <w:rPr>
                <w:rFonts w:ascii="Times New Roman" w:hAnsi="Times New Roman" w:cs="Times New Roman" w:eastAsiaTheme="minorEastAsia"/>
                <w:snapToGrid w:val="0"/>
                <w:szCs w:val="21"/>
              </w:rPr>
              <w:t>（</w:t>
            </w:r>
            <w:r>
              <w:rPr>
                <w:rFonts w:ascii="Times New Roman" w:hAnsi="Times New Roman" w:cs="Times New Roman" w:eastAsiaTheme="minorEastAsia"/>
                <w:snapToGrid w:val="0"/>
                <w:szCs w:val="21"/>
                <w:lang w:val="en-US"/>
              </w:rPr>
              <w:t>12</w:t>
            </w:r>
            <w:r>
              <w:rPr>
                <w:rFonts w:ascii="Times New Roman" w:hAnsi="Times New Roman" w:cs="Times New Roman" w:eastAsiaTheme="minorEastAsia"/>
                <w:snapToGrid w:val="0"/>
                <w:szCs w:val="21"/>
              </w:rPr>
              <w:t>）</w:t>
            </w:r>
          </w:p>
        </w:tc>
        <w:tc>
          <w:tcPr>
            <w:tcW w:w="77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771" w:type="dxa"/>
            <w:vAlign w:val="center"/>
          </w:tcPr>
          <w:p>
            <w:pPr>
              <w:spacing w:line="360" w:lineRule="auto"/>
              <w:jc w:val="center"/>
              <w:rPr>
                <w:rFonts w:ascii="Times New Roman" w:hAnsi="Times New Roman" w:cs="Times New Roman" w:eastAsiaTheme="minorEastAsia"/>
                <w:snapToGrid w:val="0"/>
                <w:szCs w:val="21"/>
              </w:rPr>
            </w:pPr>
          </w:p>
        </w:tc>
      </w:tr>
    </w:tbl>
    <w:p>
      <w:pPr>
        <w:spacing w:line="440" w:lineRule="exact"/>
        <w:rPr>
          <w:rFonts w:ascii="Times New Roman" w:hAnsi="Times New Roman" w:cs="Times New Roman" w:eastAsiaTheme="minorEastAsia"/>
          <w:snapToGrid w:val="0"/>
          <w:sz w:val="28"/>
          <w:szCs w:val="28"/>
        </w:rPr>
      </w:pPr>
    </w:p>
    <w:p>
      <w:pPr>
        <w:spacing w:line="440" w:lineRule="exact"/>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 xml:space="preserve">法定代表人（签字或盖章）：  </w:t>
      </w:r>
    </w:p>
    <w:p>
      <w:pPr>
        <w:spacing w:line="440" w:lineRule="exact"/>
        <w:ind w:left="5880" w:hanging="5880" w:hangingChars="2100"/>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投  标  人（盖章）：                                                                年    月    日</w:t>
      </w:r>
      <w:bookmarkStart w:id="918" w:name="_Toc427131798"/>
      <w:bookmarkStart w:id="919" w:name="_Toc427133061"/>
    </w:p>
    <w:p>
      <w:pPr>
        <w:pStyle w:val="3"/>
        <w:ind w:firstLine="210"/>
        <w:rPr>
          <w:snapToGrid w:val="0"/>
        </w:rPr>
      </w:pPr>
      <w:r>
        <w:rPr>
          <w:snapToGrid w:val="0"/>
        </w:rPr>
        <w:br w:type="page"/>
      </w:r>
    </w:p>
    <w:p>
      <w:pPr>
        <w:pStyle w:val="6"/>
        <w:ind w:left="0"/>
        <w:jc w:val="left"/>
        <w:rPr>
          <w:rFonts w:ascii="Times New Roman" w:hAnsi="Times New Roman" w:cs="Times New Roman" w:eastAsiaTheme="minorEastAsia"/>
          <w:snapToGrid w:val="0"/>
          <w:sz w:val="28"/>
          <w:szCs w:val="28"/>
          <w:lang w:val="en-US" w:bidi="ar-SA"/>
        </w:rPr>
      </w:pPr>
      <w:bookmarkStart w:id="920" w:name="_Toc10999"/>
      <w:r>
        <w:rPr>
          <w:rFonts w:ascii="Times New Roman" w:hAnsi="Times New Roman" w:cs="Times New Roman" w:eastAsiaTheme="minorEastAsia"/>
          <w:snapToGrid w:val="0"/>
          <w:sz w:val="28"/>
          <w:szCs w:val="28"/>
          <w:lang w:val="en-US" w:bidi="ar-SA"/>
        </w:rPr>
        <w:t>附件</w:t>
      </w:r>
      <w:r>
        <w:rPr>
          <w:rFonts w:hint="eastAsia" w:ascii="Times New Roman" w:hAnsi="Times New Roman" w:cs="Times New Roman" w:eastAsiaTheme="minorEastAsia"/>
          <w:snapToGrid w:val="0"/>
          <w:sz w:val="28"/>
          <w:szCs w:val="28"/>
          <w:lang w:val="en-US" w:eastAsia="zh-CN" w:bidi="ar-SA"/>
        </w:rPr>
        <w:t>四</w:t>
      </w:r>
      <w:r>
        <w:rPr>
          <w:rFonts w:ascii="Times New Roman" w:hAnsi="Times New Roman" w:cs="Times New Roman" w:eastAsiaTheme="minorEastAsia"/>
          <w:snapToGrid w:val="0"/>
          <w:sz w:val="28"/>
          <w:szCs w:val="28"/>
          <w:lang w:val="en-US" w:bidi="ar-SA"/>
        </w:rPr>
        <w:t>：</w:t>
      </w:r>
      <w:bookmarkEnd w:id="918"/>
      <w:bookmarkEnd w:id="919"/>
      <w:bookmarkEnd w:id="920"/>
    </w:p>
    <w:p>
      <w:pPr>
        <w:spacing w:before="120" w:beforeLines="50" w:after="120" w:afterLines="50"/>
        <w:jc w:val="center"/>
        <w:rPr>
          <w:rFonts w:hint="eastAsia" w:ascii="Times New Roman" w:hAnsi="Times New Roman" w:cs="Times New Roman" w:eastAsiaTheme="minorEastAsia"/>
          <w:snapToGrid w:val="0"/>
          <w:sz w:val="32"/>
          <w:szCs w:val="32"/>
          <w:u w:val="single"/>
          <w:lang w:eastAsia="zh-CN"/>
        </w:rPr>
      </w:pPr>
      <w:r>
        <w:rPr>
          <w:rFonts w:hint="eastAsia" w:ascii="Times New Roman" w:hAnsi="Times New Roman" w:cs="Times New Roman" w:eastAsiaTheme="minorEastAsia"/>
          <w:snapToGrid w:val="0"/>
          <w:sz w:val="32"/>
          <w:szCs w:val="32"/>
          <w:u w:val="single"/>
          <w:lang w:eastAsia="zh-CN"/>
        </w:rPr>
        <w:t>三门县下银岩山建筑用石料（凝灰岩）矿开发项目及三门县大周塘片区土地整治提升项目（监理）</w:t>
      </w:r>
    </w:p>
    <w:p>
      <w:pPr>
        <w:spacing w:before="120" w:beforeLines="50" w:after="120" w:afterLines="50"/>
        <w:jc w:val="center"/>
        <w:rPr>
          <w:rFonts w:ascii="Times New Roman" w:hAnsi="Times New Roman" w:cs="Times New Roman" w:eastAsiaTheme="minorEastAsia"/>
          <w:b/>
          <w:bCs/>
          <w:snapToGrid w:val="0"/>
          <w:sz w:val="40"/>
          <w:szCs w:val="40"/>
        </w:rPr>
      </w:pPr>
      <w:r>
        <w:rPr>
          <w:rFonts w:ascii="Times New Roman" w:hAnsi="Times New Roman" w:cs="Times New Roman" w:eastAsiaTheme="minorEastAsia"/>
          <w:b/>
          <w:bCs/>
          <w:snapToGrid w:val="0"/>
          <w:sz w:val="40"/>
          <w:szCs w:val="40"/>
          <w:lang w:val="en-US"/>
        </w:rPr>
        <w:t>台州市建设工程总监资格自查表</w:t>
      </w:r>
    </w:p>
    <w:tbl>
      <w:tblPr>
        <w:tblStyle w:val="90"/>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5803"/>
        <w:gridCol w:w="1352"/>
        <w:gridCol w:w="108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37" w:type="dxa"/>
            <w:vAlign w:val="center"/>
          </w:tcPr>
          <w:p>
            <w:pPr>
              <w:adjustRightInd w:val="0"/>
              <w:snapToGrid w:val="0"/>
              <w:jc w:val="center"/>
              <w:rPr>
                <w:rFonts w:ascii="Times New Roman" w:hAnsi="Times New Roman" w:cs="Times New Roman" w:eastAsiaTheme="minorEastAsia"/>
                <w:snapToGrid w:val="0"/>
                <w:sz w:val="24"/>
              </w:rPr>
            </w:pPr>
            <w:r>
              <w:rPr>
                <w:rFonts w:ascii="Times New Roman" w:hAnsi="Times New Roman" w:cs="Times New Roman" w:eastAsiaTheme="minorEastAsia"/>
                <w:snapToGrid w:val="0"/>
                <w:sz w:val="24"/>
              </w:rPr>
              <w:t>序号</w:t>
            </w:r>
          </w:p>
        </w:tc>
        <w:tc>
          <w:tcPr>
            <w:tcW w:w="5803" w:type="dxa"/>
            <w:vAlign w:val="center"/>
          </w:tcPr>
          <w:p>
            <w:pPr>
              <w:adjustRightInd w:val="0"/>
              <w:snapToGrid w:val="0"/>
              <w:jc w:val="center"/>
              <w:rPr>
                <w:rFonts w:ascii="Times New Roman" w:hAnsi="Times New Roman" w:cs="Times New Roman" w:eastAsiaTheme="minorEastAsia"/>
                <w:snapToGrid w:val="0"/>
                <w:sz w:val="24"/>
              </w:rPr>
            </w:pPr>
            <w:r>
              <w:rPr>
                <w:rFonts w:ascii="Times New Roman" w:hAnsi="Times New Roman" w:cs="Times New Roman" w:eastAsiaTheme="minorEastAsia"/>
                <w:snapToGrid w:val="0"/>
                <w:sz w:val="24"/>
              </w:rPr>
              <w:t>自查内容</w:t>
            </w:r>
          </w:p>
        </w:tc>
        <w:tc>
          <w:tcPr>
            <w:tcW w:w="1352" w:type="dxa"/>
            <w:vAlign w:val="center"/>
          </w:tcPr>
          <w:p>
            <w:pPr>
              <w:adjustRightInd w:val="0"/>
              <w:snapToGrid w:val="0"/>
              <w:jc w:val="center"/>
              <w:rPr>
                <w:rFonts w:ascii="Times New Roman" w:hAnsi="Times New Roman" w:cs="Times New Roman" w:eastAsiaTheme="minorEastAsia"/>
                <w:snapToGrid w:val="0"/>
                <w:sz w:val="24"/>
              </w:rPr>
            </w:pPr>
            <w:r>
              <w:rPr>
                <w:rFonts w:ascii="Times New Roman" w:hAnsi="Times New Roman" w:cs="Times New Roman" w:eastAsiaTheme="minorEastAsia"/>
                <w:snapToGrid w:val="0"/>
                <w:sz w:val="24"/>
              </w:rPr>
              <w:t>招标文件条款号</w:t>
            </w:r>
          </w:p>
        </w:tc>
        <w:tc>
          <w:tcPr>
            <w:tcW w:w="1080" w:type="dxa"/>
            <w:vAlign w:val="center"/>
          </w:tcPr>
          <w:p>
            <w:pPr>
              <w:adjustRightInd w:val="0"/>
              <w:snapToGrid w:val="0"/>
              <w:jc w:val="center"/>
              <w:rPr>
                <w:rFonts w:ascii="Times New Roman" w:hAnsi="Times New Roman" w:cs="Times New Roman" w:eastAsiaTheme="minorEastAsia"/>
                <w:snapToGrid w:val="0"/>
                <w:sz w:val="24"/>
              </w:rPr>
            </w:pPr>
            <w:r>
              <w:rPr>
                <w:rFonts w:ascii="Times New Roman" w:hAnsi="Times New Roman" w:cs="Times New Roman" w:eastAsiaTheme="minorEastAsia"/>
                <w:snapToGrid w:val="0"/>
                <w:sz w:val="24"/>
              </w:rPr>
              <w:t>投标要求</w:t>
            </w:r>
          </w:p>
        </w:tc>
        <w:tc>
          <w:tcPr>
            <w:tcW w:w="1126" w:type="dxa"/>
            <w:vAlign w:val="center"/>
          </w:tcPr>
          <w:p>
            <w:pPr>
              <w:adjustRightInd w:val="0"/>
              <w:snapToGrid w:val="0"/>
              <w:jc w:val="center"/>
              <w:rPr>
                <w:rFonts w:ascii="Times New Roman" w:hAnsi="Times New Roman" w:cs="Times New Roman" w:eastAsiaTheme="minorEastAsia"/>
                <w:snapToGrid w:val="0"/>
                <w:sz w:val="24"/>
              </w:rPr>
            </w:pPr>
            <w:r>
              <w:rPr>
                <w:rFonts w:ascii="Times New Roman" w:hAnsi="Times New Roman" w:cs="Times New Roman" w:eastAsiaTheme="minorEastAsia"/>
                <w:snapToGrid w:val="0"/>
                <w:sz w:val="24"/>
              </w:rPr>
              <w:t>自查</w:t>
            </w:r>
          </w:p>
          <w:p>
            <w:pPr>
              <w:adjustRightInd w:val="0"/>
              <w:snapToGrid w:val="0"/>
              <w:jc w:val="center"/>
              <w:rPr>
                <w:rFonts w:ascii="Times New Roman" w:hAnsi="Times New Roman" w:cs="Times New Roman" w:eastAsiaTheme="minorEastAsia"/>
                <w:snapToGrid w:val="0"/>
                <w:sz w:val="24"/>
              </w:rPr>
            </w:pPr>
            <w:r>
              <w:rPr>
                <w:rFonts w:ascii="Times New Roman" w:hAnsi="Times New Roman" w:cs="Times New Roman" w:eastAsiaTheme="minorEastAsia"/>
                <w:snapToGrid w:val="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37" w:type="dxa"/>
            <w:vAlign w:val="center"/>
          </w:tcPr>
          <w:p>
            <w:pPr>
              <w:adjustRightInd w:val="0"/>
              <w:snapToGrid w:val="0"/>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w:t>
            </w:r>
          </w:p>
        </w:tc>
        <w:tc>
          <w:tcPr>
            <w:tcW w:w="5803" w:type="dxa"/>
            <w:vAlign w:val="center"/>
          </w:tcPr>
          <w:p>
            <w:pPr>
              <w:adjustRightInd w:val="0"/>
              <w:snapToGrid w:val="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投标项目总监专业和等级是否符合</w:t>
            </w:r>
          </w:p>
        </w:tc>
        <w:tc>
          <w:tcPr>
            <w:tcW w:w="1352" w:type="dxa"/>
            <w:vAlign w:val="center"/>
          </w:tcPr>
          <w:p>
            <w:pPr>
              <w:adjustRightInd w:val="0"/>
              <w:snapToGrid w:val="0"/>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1.4.1（2）</w:t>
            </w:r>
          </w:p>
        </w:tc>
        <w:tc>
          <w:tcPr>
            <w:tcW w:w="1080" w:type="dxa"/>
            <w:vAlign w:val="center"/>
          </w:tcPr>
          <w:p>
            <w:pPr>
              <w:adjustRightInd w:val="0"/>
              <w:snapToGrid w:val="0"/>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是</w:t>
            </w:r>
          </w:p>
        </w:tc>
        <w:tc>
          <w:tcPr>
            <w:tcW w:w="1126" w:type="dxa"/>
          </w:tcPr>
          <w:p>
            <w:pPr>
              <w:adjustRightInd w:val="0"/>
              <w:snapToGrid w:val="0"/>
              <w:rPr>
                <w:rFonts w:ascii="Times New Roman" w:hAnsi="Times New Roman" w:cs="Times New Roman" w:eastAsiaTheme="minorEastAsia"/>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3" w:hRule="atLeast"/>
          <w:jc w:val="center"/>
        </w:trPr>
        <w:tc>
          <w:tcPr>
            <w:tcW w:w="737" w:type="dxa"/>
            <w:vAlign w:val="center"/>
          </w:tcPr>
          <w:p>
            <w:pPr>
              <w:spacing w:line="360" w:lineRule="auto"/>
              <w:jc w:val="center"/>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2</w:t>
            </w:r>
          </w:p>
        </w:tc>
        <w:tc>
          <w:tcPr>
            <w:tcW w:w="5803" w:type="dxa"/>
            <w:vAlign w:val="center"/>
          </w:tcPr>
          <w:p>
            <w:pPr>
              <w:adjustRightInd w:val="0"/>
              <w:snapToGrid w:val="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投标项目总监在监状态存在下列情形，符合本项目招标文件规定：</w:t>
            </w:r>
          </w:p>
          <w:p>
            <w:pPr>
              <w:adjustRightInd w:val="0"/>
              <w:snapToGrid w:val="0"/>
              <w:ind w:firstLine="431" w:firstLineChars="196"/>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（1）无在监项目担任总监理工程师；</w:t>
            </w:r>
          </w:p>
          <w:p>
            <w:pPr>
              <w:adjustRightInd w:val="0"/>
              <w:snapToGrid w:val="0"/>
              <w:ind w:firstLine="431" w:firstLineChars="196"/>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（2）在</w:t>
            </w:r>
            <w:r>
              <w:rPr>
                <w:rFonts w:ascii="Times New Roman" w:hAnsi="Times New Roman" w:cs="Times New Roman" w:eastAsiaTheme="minorEastAsia"/>
                <w:snapToGrid w:val="0"/>
                <w:sz w:val="21"/>
                <w:szCs w:val="21"/>
              </w:rPr>
              <w:t>三门县范围内</w:t>
            </w:r>
            <w:r>
              <w:rPr>
                <w:rFonts w:ascii="Times New Roman" w:hAnsi="Times New Roman" w:cs="Times New Roman" w:eastAsiaTheme="minorEastAsia"/>
                <w:snapToGrid w:val="0"/>
                <w:szCs w:val="21"/>
              </w:rPr>
              <w:t>有在监项目担任总监理工程师，但不超过2个；</w:t>
            </w:r>
          </w:p>
          <w:p>
            <w:pPr>
              <w:spacing w:line="288" w:lineRule="auto"/>
              <w:ind w:firstLine="440" w:firstLineChars="20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（3）有下列情形之一，</w:t>
            </w:r>
            <w:r>
              <w:rPr>
                <w:rFonts w:ascii="Times New Roman" w:hAnsi="Times New Roman" w:cs="Times New Roman" w:eastAsiaTheme="minorEastAsia"/>
                <w:b/>
                <w:snapToGrid w:val="0"/>
                <w:szCs w:val="21"/>
              </w:rPr>
              <w:t>且经原项目建设单位书面同意可承接其他项目的</w:t>
            </w:r>
            <w:r>
              <w:rPr>
                <w:rFonts w:ascii="Times New Roman" w:hAnsi="Times New Roman" w:cs="Times New Roman" w:eastAsiaTheme="minorEastAsia"/>
                <w:snapToGrid w:val="0"/>
                <w:szCs w:val="21"/>
              </w:rPr>
              <w:t>，视为总监理工程师该项目不在监：</w:t>
            </w:r>
          </w:p>
          <w:p>
            <w:pPr>
              <w:spacing w:line="288" w:lineRule="auto"/>
              <w:ind w:firstLine="440" w:firstLineChars="200"/>
              <w:rPr>
                <w:rFonts w:ascii="Times New Roman" w:hAnsi="Times New Roman" w:cs="Times New Roman" w:eastAsiaTheme="minorEastAsia"/>
                <w:b/>
                <w:snapToGrid w:val="0"/>
                <w:szCs w:val="21"/>
              </w:rPr>
            </w:pPr>
            <w:r>
              <w:rPr>
                <w:rFonts w:hint="eastAsia"/>
                <w:snapToGrid w:val="0"/>
                <w:szCs w:val="21"/>
              </w:rPr>
              <w:t>①</w:t>
            </w:r>
            <w:r>
              <w:rPr>
                <w:rFonts w:ascii="Times New Roman" w:hAnsi="Times New Roman" w:cs="Times New Roman" w:eastAsiaTheme="minorEastAsia"/>
                <w:snapToGrid w:val="0"/>
                <w:szCs w:val="21"/>
              </w:rPr>
              <w:t>合同约定的工程已完工，施工承包方向建设单位提交竣工（交工）报告时间已超过90天（含）</w:t>
            </w:r>
            <w:r>
              <w:rPr>
                <w:rFonts w:ascii="Times New Roman" w:hAnsi="Times New Roman" w:cs="Times New Roman" w:eastAsiaTheme="minorEastAsia"/>
                <w:b/>
                <w:snapToGrid w:val="0"/>
                <w:szCs w:val="21"/>
              </w:rPr>
              <w:t>（须提供经工程所在地建设行政主管部门书面证明（</w:t>
            </w:r>
            <w:r>
              <w:rPr>
                <w:rFonts w:ascii="Times New Roman" w:hAnsi="Times New Roman" w:cs="Times New Roman" w:eastAsiaTheme="minorEastAsia"/>
                <w:b/>
                <w:snapToGrid w:val="0"/>
              </w:rPr>
              <w:t>格式详见附件</w:t>
            </w:r>
            <w:r>
              <w:rPr>
                <w:rFonts w:ascii="Times New Roman" w:hAnsi="Times New Roman" w:cs="Times New Roman" w:eastAsiaTheme="minorEastAsia"/>
                <w:b/>
                <w:snapToGrid w:val="0"/>
                <w:lang w:val="en-US"/>
              </w:rPr>
              <w:t>七</w:t>
            </w:r>
            <w:r>
              <w:rPr>
                <w:rFonts w:ascii="Times New Roman" w:hAnsi="Times New Roman" w:cs="Times New Roman" w:eastAsiaTheme="minorEastAsia"/>
                <w:b/>
                <w:snapToGrid w:val="0"/>
                <w:szCs w:val="21"/>
              </w:rPr>
              <w:t>））</w:t>
            </w:r>
          </w:p>
          <w:p>
            <w:pPr>
              <w:spacing w:line="288" w:lineRule="auto"/>
              <w:ind w:firstLine="440" w:firstLineChars="200"/>
              <w:rPr>
                <w:rFonts w:ascii="Times New Roman" w:hAnsi="Times New Roman" w:cs="Times New Roman" w:eastAsiaTheme="minorEastAsia"/>
                <w:b/>
                <w:snapToGrid w:val="0"/>
                <w:szCs w:val="21"/>
              </w:rPr>
            </w:pPr>
            <w:r>
              <w:rPr>
                <w:rFonts w:hint="eastAsia"/>
                <w:snapToGrid w:val="0"/>
                <w:szCs w:val="21"/>
              </w:rPr>
              <w:t>②</w:t>
            </w:r>
            <w:r>
              <w:rPr>
                <w:rFonts w:ascii="Times New Roman" w:hAnsi="Times New Roman" w:cs="Times New Roman" w:eastAsiaTheme="minorEastAsia"/>
                <w:snapToGrid w:val="0"/>
                <w:szCs w:val="21"/>
              </w:rPr>
              <w:t>工程因故停工达3个月以上的</w:t>
            </w:r>
            <w:r>
              <w:rPr>
                <w:rFonts w:ascii="Times New Roman" w:hAnsi="Times New Roman" w:cs="Times New Roman" w:eastAsiaTheme="minorEastAsia"/>
                <w:b/>
                <w:snapToGrid w:val="0"/>
                <w:szCs w:val="21"/>
              </w:rPr>
              <w:t>（须提供经工程所在地建设行政主管部门书面证明（</w:t>
            </w:r>
            <w:r>
              <w:rPr>
                <w:rFonts w:ascii="Times New Roman" w:hAnsi="Times New Roman" w:cs="Times New Roman" w:eastAsiaTheme="minorEastAsia"/>
                <w:b/>
                <w:snapToGrid w:val="0"/>
              </w:rPr>
              <w:t>格式详见附件</w:t>
            </w:r>
            <w:r>
              <w:rPr>
                <w:rFonts w:ascii="Times New Roman" w:hAnsi="Times New Roman" w:cs="Times New Roman" w:eastAsiaTheme="minorEastAsia"/>
                <w:b/>
                <w:snapToGrid w:val="0"/>
                <w:lang w:val="en-US"/>
              </w:rPr>
              <w:t>六</w:t>
            </w:r>
            <w:r>
              <w:rPr>
                <w:rFonts w:ascii="Times New Roman" w:hAnsi="Times New Roman" w:cs="Times New Roman" w:eastAsiaTheme="minorEastAsia"/>
                <w:b/>
                <w:snapToGrid w:val="0"/>
                <w:szCs w:val="21"/>
              </w:rPr>
              <w:t xml:space="preserve">））； </w:t>
            </w:r>
          </w:p>
          <w:p>
            <w:pPr>
              <w:spacing w:line="288" w:lineRule="auto"/>
              <w:ind w:firstLine="440" w:firstLineChars="200"/>
              <w:rPr>
                <w:rFonts w:ascii="Times New Roman" w:hAnsi="Times New Roman" w:cs="Times New Roman" w:eastAsiaTheme="minorEastAsia"/>
                <w:snapToGrid w:val="0"/>
                <w:szCs w:val="21"/>
              </w:rPr>
            </w:pPr>
            <w:r>
              <w:rPr>
                <w:rFonts w:hint="eastAsia"/>
                <w:snapToGrid w:val="0"/>
                <w:szCs w:val="21"/>
              </w:rPr>
              <w:t>③</w:t>
            </w:r>
            <w:r>
              <w:rPr>
                <w:rFonts w:ascii="Times New Roman" w:hAnsi="Times New Roman" w:cs="Times New Roman" w:eastAsiaTheme="minorEastAsia"/>
                <w:snapToGrid w:val="0"/>
                <w:szCs w:val="21"/>
              </w:rPr>
              <w:t>工程申领《建筑工程施工许可证》后未开工达3个月以上的</w:t>
            </w:r>
            <w:r>
              <w:rPr>
                <w:rFonts w:ascii="Times New Roman" w:hAnsi="Times New Roman" w:cs="Times New Roman" w:eastAsiaTheme="minorEastAsia"/>
                <w:b/>
                <w:snapToGrid w:val="0"/>
                <w:szCs w:val="21"/>
              </w:rPr>
              <w:t>（须提供经工程所在地建设行政主管部门书面证明（</w:t>
            </w:r>
            <w:r>
              <w:rPr>
                <w:rFonts w:ascii="Times New Roman" w:hAnsi="Times New Roman" w:cs="Times New Roman" w:eastAsiaTheme="minorEastAsia"/>
                <w:b/>
                <w:snapToGrid w:val="0"/>
              </w:rPr>
              <w:t>格式详见附件</w:t>
            </w:r>
            <w:r>
              <w:rPr>
                <w:rFonts w:ascii="Times New Roman" w:hAnsi="Times New Roman" w:cs="Times New Roman" w:eastAsiaTheme="minorEastAsia"/>
                <w:b/>
                <w:snapToGrid w:val="0"/>
                <w:lang w:val="en-US"/>
              </w:rPr>
              <w:t>九</w:t>
            </w:r>
            <w:r>
              <w:rPr>
                <w:rFonts w:ascii="Times New Roman" w:hAnsi="Times New Roman" w:cs="Times New Roman" w:eastAsiaTheme="minorEastAsia"/>
                <w:b/>
                <w:snapToGrid w:val="0"/>
                <w:szCs w:val="21"/>
              </w:rPr>
              <w:t>））</w:t>
            </w:r>
            <w:r>
              <w:rPr>
                <w:rFonts w:ascii="Times New Roman" w:hAnsi="Times New Roman" w:cs="Times New Roman" w:eastAsiaTheme="minorEastAsia"/>
                <w:snapToGrid w:val="0"/>
                <w:szCs w:val="21"/>
              </w:rPr>
              <w:t>；</w:t>
            </w:r>
          </w:p>
          <w:p>
            <w:pPr>
              <w:adjustRightInd w:val="0"/>
              <w:snapToGrid w:val="0"/>
              <w:ind w:firstLine="433" w:firstLineChars="196"/>
              <w:rPr>
                <w:rFonts w:ascii="Times New Roman" w:hAnsi="Times New Roman" w:cs="Times New Roman" w:eastAsiaTheme="minorEastAsia"/>
                <w:snapToGrid w:val="0"/>
                <w:szCs w:val="21"/>
              </w:rPr>
            </w:pPr>
            <w:r>
              <w:rPr>
                <w:rFonts w:ascii="Times New Roman" w:hAnsi="Times New Roman" w:cs="Times New Roman" w:eastAsiaTheme="minorEastAsia"/>
                <w:b/>
                <w:bCs/>
                <w:snapToGrid w:val="0"/>
                <w:szCs w:val="21"/>
              </w:rPr>
              <w:t>属上述（3）-</w:t>
            </w:r>
            <w:r>
              <w:rPr>
                <w:rFonts w:hint="eastAsia"/>
                <w:b/>
                <w:bCs/>
                <w:snapToGrid w:val="0"/>
                <w:szCs w:val="21"/>
              </w:rPr>
              <w:t>①</w:t>
            </w:r>
            <w:r>
              <w:rPr>
                <w:rFonts w:ascii="Times New Roman" w:hAnsi="Times New Roman" w:cs="Times New Roman" w:eastAsiaTheme="minorEastAsia"/>
                <w:b/>
                <w:bCs/>
                <w:snapToGrid w:val="0"/>
                <w:szCs w:val="21"/>
              </w:rPr>
              <w:t>、（3）-</w:t>
            </w:r>
            <w:r>
              <w:rPr>
                <w:rFonts w:hint="eastAsia"/>
                <w:b/>
                <w:bCs/>
                <w:snapToGrid w:val="0"/>
                <w:szCs w:val="21"/>
              </w:rPr>
              <w:t>②</w:t>
            </w:r>
            <w:r>
              <w:rPr>
                <w:rFonts w:ascii="Times New Roman" w:hAnsi="Times New Roman" w:cs="Times New Roman" w:eastAsiaTheme="minorEastAsia"/>
                <w:b/>
                <w:bCs/>
                <w:snapToGrid w:val="0"/>
                <w:szCs w:val="21"/>
              </w:rPr>
              <w:t>或（3）-</w:t>
            </w:r>
            <w:r>
              <w:rPr>
                <w:rFonts w:hint="eastAsia"/>
                <w:b/>
                <w:bCs/>
                <w:snapToGrid w:val="0"/>
                <w:szCs w:val="21"/>
              </w:rPr>
              <w:t>③</w:t>
            </w:r>
            <w:r>
              <w:rPr>
                <w:rFonts w:ascii="Times New Roman" w:hAnsi="Times New Roman" w:cs="Times New Roman" w:eastAsiaTheme="minorEastAsia"/>
                <w:b/>
                <w:bCs/>
                <w:snapToGrid w:val="0"/>
                <w:szCs w:val="21"/>
              </w:rPr>
              <w:t>情形的，投标人应在投标文件中提交有关书面证明材料（以电子文档形式随资信标上传）</w:t>
            </w:r>
            <w:r>
              <w:rPr>
                <w:rFonts w:ascii="Times New Roman" w:hAnsi="Times New Roman" w:cs="Times New Roman" w:eastAsiaTheme="minorEastAsia"/>
                <w:snapToGrid w:val="0"/>
                <w:szCs w:val="21"/>
              </w:rPr>
              <w:t>。</w:t>
            </w:r>
          </w:p>
        </w:tc>
        <w:tc>
          <w:tcPr>
            <w:tcW w:w="135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1.4.1（3）</w:t>
            </w:r>
          </w:p>
        </w:tc>
        <w:tc>
          <w:tcPr>
            <w:tcW w:w="1080" w:type="dxa"/>
            <w:vAlign w:val="center"/>
          </w:tcPr>
          <w:p>
            <w:pPr>
              <w:spacing w:line="360" w:lineRule="auto"/>
              <w:rPr>
                <w:rFonts w:ascii="Times New Roman" w:hAnsi="Times New Roman" w:cs="Times New Roman" w:eastAsiaTheme="minorEastAsia"/>
                <w:snapToGrid w:val="0"/>
                <w:szCs w:val="21"/>
              </w:rPr>
            </w:pPr>
            <w:r>
              <w:rPr>
                <w:rFonts w:ascii="Times New Roman" w:hAnsi="Times New Roman" w:cs="Times New Roman" w:eastAsiaTheme="minorEastAsia"/>
                <w:b/>
                <w:snapToGrid w:val="0"/>
                <w:szCs w:val="21"/>
              </w:rPr>
              <w:t>应是（1）～（3）一种或多种情形。自查应填写属何种情形</w:t>
            </w:r>
          </w:p>
        </w:tc>
        <w:tc>
          <w:tcPr>
            <w:tcW w:w="1126" w:type="dxa"/>
            <w:vAlign w:val="center"/>
          </w:tcPr>
          <w:p>
            <w:pPr>
              <w:spacing w:line="360" w:lineRule="auto"/>
              <w:rPr>
                <w:rFonts w:ascii="Times New Roman" w:hAnsi="Times New Roman" w:cs="Times New Roman" w:eastAsiaTheme="minorEastAsia"/>
                <w:snapToGrid w:val="0"/>
                <w:szCs w:val="21"/>
                <w:u w:val="single"/>
              </w:rPr>
            </w:pPr>
            <w:r>
              <w:rPr>
                <w:rFonts w:ascii="Times New Roman" w:hAnsi="Times New Roman" w:cs="Times New Roman" w:eastAsiaTheme="minorEastAsia"/>
                <w:snapToGrid w:val="0"/>
                <w:szCs w:val="21"/>
              </w:rPr>
              <w:t>属</w:t>
            </w:r>
            <w:r>
              <w:rPr>
                <w:rFonts w:ascii="Times New Roman" w:hAnsi="Times New Roman" w:cs="Times New Roman" w:eastAsiaTheme="minorEastAsia"/>
                <w:snapToGrid w:val="0"/>
                <w:szCs w:val="21"/>
                <w:u w:val="single"/>
              </w:rPr>
              <w:t xml:space="preserve">      </w:t>
            </w:r>
          </w:p>
          <w:p>
            <w:pPr>
              <w:spacing w:line="360" w:lineRule="auto"/>
              <w:rPr>
                <w:rFonts w:ascii="Times New Roman" w:hAnsi="Times New Roman" w:cs="Times New Roman" w:eastAsiaTheme="minorEastAsia"/>
                <w:b/>
                <w:snapToGrid w:val="0"/>
                <w:szCs w:val="21"/>
              </w:rPr>
            </w:pPr>
            <w:r>
              <w:rPr>
                <w:rFonts w:ascii="Times New Roman" w:hAnsi="Times New Roman" w:cs="Times New Roman" w:eastAsiaTheme="minorEastAsia"/>
                <w:snapToGrid w:val="0"/>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jc w:val="center"/>
        </w:trPr>
        <w:tc>
          <w:tcPr>
            <w:tcW w:w="737" w:type="dxa"/>
            <w:vAlign w:val="center"/>
          </w:tcPr>
          <w:p>
            <w:pPr>
              <w:spacing w:line="360" w:lineRule="auto"/>
              <w:jc w:val="center"/>
              <w:rPr>
                <w:rFonts w:ascii="Times New Roman" w:hAnsi="Times New Roman" w:cs="Times New Roman" w:eastAsiaTheme="minorEastAsia"/>
                <w:b/>
                <w:snapToGrid w:val="0"/>
                <w:szCs w:val="21"/>
              </w:rPr>
            </w:pPr>
            <w:r>
              <w:rPr>
                <w:rFonts w:ascii="Times New Roman" w:hAnsi="Times New Roman" w:cs="Times New Roman" w:eastAsiaTheme="minorEastAsia"/>
                <w:b/>
                <w:snapToGrid w:val="0"/>
                <w:szCs w:val="21"/>
              </w:rPr>
              <w:t>3</w:t>
            </w:r>
          </w:p>
        </w:tc>
        <w:tc>
          <w:tcPr>
            <w:tcW w:w="5803" w:type="dxa"/>
            <w:vAlign w:val="center"/>
          </w:tcPr>
          <w:p>
            <w:pPr>
              <w:adjustRightInd w:val="0"/>
              <w:snapToGrid w:val="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投标项目总监是否同时在两个或者两个以上单位受聘或者执业（仅指总监不得同时是其他单位的公务员或者事业单位在编人员，涉及到其他情形的，投标资格不受影响）。</w:t>
            </w:r>
          </w:p>
        </w:tc>
        <w:tc>
          <w:tcPr>
            <w:tcW w:w="1352"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1.4.1（3）2）</w:t>
            </w:r>
          </w:p>
        </w:tc>
        <w:tc>
          <w:tcPr>
            <w:tcW w:w="108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1126"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37" w:type="dxa"/>
            <w:vAlign w:val="center"/>
          </w:tcPr>
          <w:p>
            <w:pPr>
              <w:adjustRightInd w:val="0"/>
              <w:snapToGrid w:val="0"/>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4</w:t>
            </w:r>
          </w:p>
        </w:tc>
        <w:tc>
          <w:tcPr>
            <w:tcW w:w="5803" w:type="dxa"/>
            <w:vAlign w:val="center"/>
          </w:tcPr>
          <w:p>
            <w:pPr>
              <w:adjustRightInd w:val="0"/>
              <w:snapToGrid w:val="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投标项目总监是否被暂停或取消投标资格</w:t>
            </w:r>
          </w:p>
        </w:tc>
        <w:tc>
          <w:tcPr>
            <w:tcW w:w="1352" w:type="dxa"/>
            <w:vAlign w:val="center"/>
          </w:tcPr>
          <w:p>
            <w:pPr>
              <w:adjustRightInd w:val="0"/>
              <w:snapToGrid w:val="0"/>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1.4.2（9）</w:t>
            </w:r>
          </w:p>
        </w:tc>
        <w:tc>
          <w:tcPr>
            <w:tcW w:w="1080" w:type="dxa"/>
            <w:vAlign w:val="center"/>
          </w:tcPr>
          <w:p>
            <w:pPr>
              <w:adjustRightInd w:val="0"/>
              <w:snapToGrid w:val="0"/>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1126"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37"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5</w:t>
            </w:r>
          </w:p>
        </w:tc>
        <w:tc>
          <w:tcPr>
            <w:tcW w:w="5803" w:type="dxa"/>
            <w:vAlign w:val="center"/>
          </w:tcPr>
          <w:p>
            <w:pPr>
              <w:adjustRightInd w:val="0"/>
              <w:snapToGrid w:val="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投标项目总监是否有行贿犯罪记录的（由投标文件提交截止之日上溯3年，行贿犯罪记录日期以法院判决生效日期为准）</w:t>
            </w:r>
          </w:p>
        </w:tc>
        <w:tc>
          <w:tcPr>
            <w:tcW w:w="1352" w:type="dxa"/>
            <w:vAlign w:val="center"/>
          </w:tcPr>
          <w:p>
            <w:pPr>
              <w:spacing w:line="360" w:lineRule="auto"/>
              <w:ind w:left="466" w:hanging="466" w:hangingChars="212"/>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1.4.2（10）</w:t>
            </w:r>
          </w:p>
        </w:tc>
        <w:tc>
          <w:tcPr>
            <w:tcW w:w="108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1126" w:type="dxa"/>
            <w:vAlign w:val="center"/>
          </w:tcPr>
          <w:p>
            <w:pPr>
              <w:spacing w:line="360" w:lineRule="auto"/>
              <w:jc w:val="center"/>
              <w:rPr>
                <w:rFonts w:ascii="Times New Roman" w:hAnsi="Times New Roman" w:cs="Times New Roman" w:eastAsiaTheme="minorEastAsia"/>
                <w:b/>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37" w:type="dxa"/>
            <w:vAlign w:val="center"/>
          </w:tcPr>
          <w:p>
            <w:pPr>
              <w:spacing w:line="360" w:lineRule="auto"/>
              <w:jc w:val="center"/>
              <w:rPr>
                <w:rFonts w:ascii="Times New Roman" w:hAnsi="Times New Roman" w:cs="Times New Roman" w:eastAsiaTheme="minorEastAsia"/>
                <w:snapToGrid w:val="0"/>
                <w:szCs w:val="21"/>
                <w:lang w:val="en-US"/>
              </w:rPr>
            </w:pPr>
            <w:r>
              <w:rPr>
                <w:rFonts w:ascii="Times New Roman" w:hAnsi="Times New Roman" w:cs="Times New Roman" w:eastAsiaTheme="minorEastAsia"/>
                <w:snapToGrid w:val="0"/>
                <w:szCs w:val="21"/>
                <w:lang w:val="en-US"/>
              </w:rPr>
              <w:t>6</w:t>
            </w:r>
          </w:p>
        </w:tc>
        <w:tc>
          <w:tcPr>
            <w:tcW w:w="5803" w:type="dxa"/>
            <w:vAlign w:val="center"/>
          </w:tcPr>
          <w:p>
            <w:pPr>
              <w:adjustRightInd w:val="0"/>
              <w:snapToGrid w:val="0"/>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lang w:val="en-US"/>
              </w:rPr>
              <w:t>投标项目总监证书上的企业名称是否与投标人不一致</w:t>
            </w:r>
          </w:p>
        </w:tc>
        <w:tc>
          <w:tcPr>
            <w:tcW w:w="1352" w:type="dxa"/>
            <w:vAlign w:val="center"/>
          </w:tcPr>
          <w:p>
            <w:pPr>
              <w:spacing w:line="360" w:lineRule="auto"/>
              <w:ind w:left="466" w:hanging="466" w:hangingChars="212"/>
              <w:jc w:val="center"/>
              <w:rPr>
                <w:rFonts w:ascii="Times New Roman" w:hAnsi="Times New Roman" w:cs="Times New Roman" w:eastAsiaTheme="minorEastAsia"/>
                <w:snapToGrid w:val="0"/>
                <w:szCs w:val="21"/>
                <w:lang w:val="en-US"/>
              </w:rPr>
            </w:pPr>
            <w:r>
              <w:rPr>
                <w:rFonts w:ascii="Times New Roman" w:hAnsi="Times New Roman" w:cs="Times New Roman" w:eastAsiaTheme="minorEastAsia"/>
                <w:snapToGrid w:val="0"/>
                <w:szCs w:val="21"/>
                <w:lang w:val="en-US"/>
              </w:rPr>
              <w:t>1.4.2（12）</w:t>
            </w:r>
          </w:p>
        </w:tc>
        <w:tc>
          <w:tcPr>
            <w:tcW w:w="1080" w:type="dxa"/>
            <w:vAlign w:val="center"/>
          </w:tcPr>
          <w:p>
            <w:pPr>
              <w:spacing w:line="360" w:lineRule="auto"/>
              <w:jc w:val="center"/>
              <w:rPr>
                <w:rFonts w:ascii="Times New Roman" w:hAnsi="Times New Roman" w:cs="Times New Roman" w:eastAsiaTheme="minorEastAsia"/>
                <w:snapToGrid w:val="0"/>
                <w:szCs w:val="21"/>
              </w:rPr>
            </w:pPr>
            <w:r>
              <w:rPr>
                <w:rFonts w:ascii="Times New Roman" w:hAnsi="Times New Roman" w:cs="Times New Roman" w:eastAsiaTheme="minorEastAsia"/>
                <w:snapToGrid w:val="0"/>
                <w:szCs w:val="21"/>
              </w:rPr>
              <w:t>否</w:t>
            </w:r>
          </w:p>
        </w:tc>
        <w:tc>
          <w:tcPr>
            <w:tcW w:w="1126" w:type="dxa"/>
            <w:vAlign w:val="center"/>
          </w:tcPr>
          <w:p>
            <w:pPr>
              <w:spacing w:line="360" w:lineRule="auto"/>
              <w:jc w:val="center"/>
              <w:rPr>
                <w:rFonts w:ascii="Times New Roman" w:hAnsi="Times New Roman" w:cs="Times New Roman" w:eastAsiaTheme="minorEastAsia"/>
                <w:b/>
                <w:snapToGrid w:val="0"/>
                <w:szCs w:val="21"/>
              </w:rPr>
            </w:pPr>
          </w:p>
        </w:tc>
      </w:tr>
    </w:tbl>
    <w:p>
      <w:pPr>
        <w:adjustRightInd w:val="0"/>
        <w:snapToGrid w:val="0"/>
        <w:spacing w:line="360" w:lineRule="auto"/>
        <w:rPr>
          <w:rFonts w:ascii="Times New Roman" w:hAnsi="Times New Roman" w:cs="Times New Roman" w:eastAsiaTheme="minorEastAsia"/>
          <w:snapToGrid w:val="0"/>
          <w:szCs w:val="21"/>
        </w:rPr>
      </w:pPr>
    </w:p>
    <w:p>
      <w:pPr>
        <w:adjustRightInd w:val="0"/>
        <w:snapToGrid w:val="0"/>
        <w:spacing w:line="360" w:lineRule="auto"/>
        <w:ind w:firstLine="554" w:firstLineChars="198"/>
        <w:rPr>
          <w:rFonts w:ascii="Times New Roman" w:hAnsi="Times New Roman" w:cs="Times New Roman" w:eastAsiaTheme="minorEastAsia"/>
          <w:snapToGrid w:val="0"/>
          <w:sz w:val="28"/>
          <w:szCs w:val="24"/>
        </w:rPr>
      </w:pPr>
      <w:r>
        <w:rPr>
          <w:rFonts w:ascii="Times New Roman" w:hAnsi="Times New Roman" w:cs="Times New Roman" w:eastAsiaTheme="minorEastAsia"/>
          <w:snapToGrid w:val="0"/>
          <w:sz w:val="28"/>
          <w:szCs w:val="24"/>
        </w:rPr>
        <w:t xml:space="preserve">法定代表人（签字或盖章）：                </w:t>
      </w:r>
    </w:p>
    <w:p>
      <w:pPr>
        <w:jc w:val="right"/>
        <w:rPr>
          <w:rFonts w:ascii="Times New Roman" w:hAnsi="Times New Roman" w:cs="Times New Roman" w:eastAsiaTheme="minorEastAsia"/>
          <w:snapToGrid w:val="0"/>
          <w:sz w:val="28"/>
          <w:szCs w:val="24"/>
        </w:rPr>
      </w:pPr>
      <w:r>
        <w:rPr>
          <w:rFonts w:ascii="Times New Roman" w:hAnsi="Times New Roman" w:cs="Times New Roman" w:eastAsiaTheme="minorEastAsia"/>
          <w:snapToGrid w:val="0"/>
          <w:sz w:val="28"/>
          <w:szCs w:val="24"/>
        </w:rPr>
        <w:t>投  标  人（盖章）：                                   年    月    日</w:t>
      </w:r>
    </w:p>
    <w:p>
      <w:pPr>
        <w:pStyle w:val="6"/>
        <w:ind w:left="0"/>
        <w:jc w:val="left"/>
        <w:rPr>
          <w:rFonts w:ascii="Times New Roman" w:hAnsi="Times New Roman" w:cs="Times New Roman" w:eastAsiaTheme="minorEastAsia"/>
          <w:snapToGrid w:val="0"/>
          <w:sz w:val="28"/>
          <w:szCs w:val="28"/>
          <w:lang w:val="en-US" w:bidi="ar-SA"/>
        </w:rPr>
      </w:pPr>
      <w:r>
        <w:rPr>
          <w:rFonts w:ascii="Times New Roman" w:hAnsi="Times New Roman" w:cs="Times New Roman" w:eastAsiaTheme="minorEastAsia"/>
          <w:snapToGrid w:val="0"/>
          <w:sz w:val="21"/>
          <w:szCs w:val="21"/>
        </w:rPr>
        <w:br w:type="page"/>
      </w:r>
      <w:bookmarkStart w:id="921" w:name="_Toc868"/>
      <w:bookmarkStart w:id="922" w:name="_Toc427133063"/>
      <w:bookmarkStart w:id="923" w:name="_Toc427131800"/>
      <w:r>
        <w:rPr>
          <w:rFonts w:ascii="Times New Roman" w:hAnsi="Times New Roman" w:cs="Times New Roman" w:eastAsiaTheme="minorEastAsia"/>
          <w:snapToGrid w:val="0"/>
          <w:sz w:val="28"/>
          <w:szCs w:val="28"/>
          <w:lang w:val="en-US" w:bidi="ar-SA"/>
        </w:rPr>
        <w:t>附件</w:t>
      </w:r>
      <w:r>
        <w:rPr>
          <w:rFonts w:hint="eastAsia" w:ascii="Times New Roman" w:hAnsi="Times New Roman" w:cs="Times New Roman" w:eastAsiaTheme="minorEastAsia"/>
          <w:snapToGrid w:val="0"/>
          <w:sz w:val="28"/>
          <w:szCs w:val="28"/>
          <w:lang w:val="en-US" w:eastAsia="zh-CN" w:bidi="ar-SA"/>
        </w:rPr>
        <w:t>五</w:t>
      </w:r>
      <w:r>
        <w:rPr>
          <w:rFonts w:ascii="Times New Roman" w:hAnsi="Times New Roman" w:cs="Times New Roman" w:eastAsiaTheme="minorEastAsia"/>
          <w:snapToGrid w:val="0"/>
          <w:sz w:val="28"/>
          <w:szCs w:val="28"/>
          <w:lang w:val="en-US" w:bidi="ar-SA"/>
        </w:rPr>
        <w:t>：</w:t>
      </w:r>
      <w:bookmarkEnd w:id="921"/>
      <w:bookmarkEnd w:id="922"/>
      <w:bookmarkEnd w:id="923"/>
    </w:p>
    <w:p>
      <w:pPr>
        <w:jc w:val="center"/>
        <w:rPr>
          <w:rFonts w:ascii="Times New Roman" w:hAnsi="Times New Roman" w:cs="Times New Roman" w:eastAsiaTheme="minorEastAsia"/>
          <w:snapToGrid w:val="0"/>
          <w:sz w:val="32"/>
          <w:szCs w:val="32"/>
          <w:u w:val="single"/>
        </w:rPr>
      </w:pPr>
      <w:r>
        <w:rPr>
          <w:rFonts w:ascii="Times New Roman" w:hAnsi="Times New Roman" w:cs="Times New Roman" w:eastAsiaTheme="minorEastAsia"/>
          <w:snapToGrid w:val="0"/>
          <w:sz w:val="32"/>
          <w:szCs w:val="32"/>
          <w:u w:val="single"/>
        </w:rPr>
        <w:t>台州市建设工程诚信投标承诺书</w:t>
      </w:r>
    </w:p>
    <w:p>
      <w:pPr>
        <w:adjustRightInd w:val="0"/>
        <w:snapToGrid w:val="0"/>
        <w:spacing w:line="360" w:lineRule="auto"/>
        <w:ind w:firstLine="482"/>
        <w:rPr>
          <w:rFonts w:ascii="Times New Roman" w:hAnsi="Times New Roman" w:cs="Times New Roman" w:eastAsiaTheme="minorEastAsia"/>
          <w:snapToGrid w:val="0"/>
          <w:sz w:val="24"/>
        </w:rPr>
      </w:pPr>
    </w:p>
    <w:p>
      <w:pPr>
        <w:adjustRightInd w:val="0"/>
        <w:snapToGrid w:val="0"/>
        <w:spacing w:line="360" w:lineRule="auto"/>
        <w:ind w:firstLine="574" w:firstLineChars="205"/>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本人以企业法定代表人的身份郑重承诺：</w:t>
      </w:r>
    </w:p>
    <w:p>
      <w:pPr>
        <w:adjustRightInd w:val="0"/>
        <w:snapToGrid w:val="0"/>
        <w:spacing w:line="360" w:lineRule="auto"/>
        <w:ind w:firstLine="599" w:firstLineChars="214"/>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一、将遵循公开、公平、公正和诚实信用的原则参加</w:t>
      </w:r>
      <w:r>
        <w:rPr>
          <w:rFonts w:ascii="Times New Roman" w:hAnsi="Times New Roman" w:cs="Times New Roman" w:eastAsiaTheme="minorEastAsia"/>
          <w:snapToGrid w:val="0"/>
          <w:sz w:val="28"/>
          <w:szCs w:val="28"/>
          <w:u w:val="single"/>
        </w:rPr>
        <w:t xml:space="preserve">             </w:t>
      </w:r>
      <w:r>
        <w:rPr>
          <w:rFonts w:ascii="Times New Roman" w:hAnsi="Times New Roman" w:cs="Times New Roman" w:eastAsiaTheme="minorEastAsia"/>
          <w:snapToGrid w:val="0"/>
          <w:sz w:val="28"/>
          <w:szCs w:val="28"/>
        </w:rPr>
        <w:t>（工程项目名称）的投标；</w:t>
      </w:r>
    </w:p>
    <w:p>
      <w:pPr>
        <w:adjustRightInd w:val="0"/>
        <w:snapToGrid w:val="0"/>
        <w:spacing w:line="360" w:lineRule="auto"/>
        <w:ind w:firstLine="610" w:firstLineChars="218"/>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二、所提供的一切材料都是真实、有效、合法的；</w:t>
      </w:r>
    </w:p>
    <w:p>
      <w:pPr>
        <w:adjustRightInd w:val="0"/>
        <w:snapToGrid w:val="0"/>
        <w:spacing w:line="360" w:lineRule="auto"/>
        <w:ind w:firstLine="624" w:firstLineChars="223"/>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三、本公司的投标资格已按照《台州市建设工程投标人资格自查表》和《台州市建设工程总监资格自查表》逐条自查，并如实填写；</w:t>
      </w:r>
    </w:p>
    <w:p>
      <w:pPr>
        <w:adjustRightInd w:val="0"/>
        <w:snapToGrid w:val="0"/>
        <w:spacing w:line="360" w:lineRule="auto"/>
        <w:ind w:firstLine="560" w:firstLineChars="200"/>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四、不存在串通投标行为（包括不存在招标文件第三章“评标办法”第3.1.2和3.1.3项规定的情形）；</w:t>
      </w:r>
    </w:p>
    <w:p>
      <w:pPr>
        <w:adjustRightInd w:val="0"/>
        <w:snapToGrid w:val="0"/>
        <w:spacing w:line="360" w:lineRule="auto"/>
        <w:ind w:firstLine="599" w:firstLineChars="214"/>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五、不存在他人以本公司名义投标或者不存在以其他方式弄虚作假的行为；</w:t>
      </w:r>
    </w:p>
    <w:p>
      <w:pPr>
        <w:adjustRightInd w:val="0"/>
        <w:snapToGrid w:val="0"/>
        <w:spacing w:line="360" w:lineRule="auto"/>
        <w:ind w:firstLine="599" w:firstLineChars="214"/>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六、不存在向招标人或者评标委员会成员行贿以牟取中标的行为。</w:t>
      </w:r>
    </w:p>
    <w:p>
      <w:pPr>
        <w:adjustRightInd w:val="0"/>
        <w:snapToGrid w:val="0"/>
        <w:spacing w:line="360" w:lineRule="auto"/>
        <w:ind w:firstLine="599" w:firstLineChars="214"/>
        <w:rPr>
          <w:rFonts w:ascii="Times New Roman" w:hAnsi="Times New Roman" w:cs="Times New Roman" w:eastAsiaTheme="minorEastAsia"/>
          <w:snapToGrid w:val="0"/>
          <w:sz w:val="28"/>
          <w:szCs w:val="28"/>
        </w:rPr>
      </w:pPr>
    </w:p>
    <w:p>
      <w:pPr>
        <w:adjustRightInd w:val="0"/>
        <w:snapToGrid w:val="0"/>
        <w:spacing w:line="360" w:lineRule="auto"/>
        <w:ind w:firstLine="599" w:firstLineChars="214"/>
        <w:rPr>
          <w:rFonts w:ascii="Times New Roman" w:hAnsi="Times New Roman" w:cs="Times New Roman" w:eastAsiaTheme="minorEastAsia"/>
          <w:snapToGrid w:val="0"/>
          <w:sz w:val="28"/>
          <w:szCs w:val="28"/>
          <w:u w:val="single"/>
        </w:rPr>
      </w:pPr>
      <w:r>
        <w:rPr>
          <w:rFonts w:ascii="Times New Roman" w:hAnsi="Times New Roman" w:cs="Times New Roman" w:eastAsiaTheme="minorEastAsia"/>
          <w:snapToGrid w:val="0"/>
          <w:sz w:val="28"/>
          <w:szCs w:val="28"/>
        </w:rPr>
        <w:t>如招标人需要调查了解的，本公司负责本次投标的主管人员（分管经营的副总）将积极配合。主管人员：</w:t>
      </w:r>
      <w:r>
        <w:rPr>
          <w:rFonts w:ascii="Times New Roman" w:hAnsi="Times New Roman" w:cs="Times New Roman" w:eastAsiaTheme="minorEastAsia"/>
          <w:snapToGrid w:val="0"/>
          <w:sz w:val="28"/>
          <w:szCs w:val="28"/>
          <w:u w:val="single"/>
        </w:rPr>
        <w:t xml:space="preserve">            </w:t>
      </w:r>
      <w:r>
        <w:rPr>
          <w:rFonts w:ascii="Times New Roman" w:hAnsi="Times New Roman" w:cs="Times New Roman" w:eastAsiaTheme="minorEastAsia"/>
          <w:snapToGrid w:val="0"/>
          <w:sz w:val="28"/>
          <w:szCs w:val="28"/>
        </w:rPr>
        <w:t xml:space="preserve">      手机：</w:t>
      </w:r>
      <w:r>
        <w:rPr>
          <w:rFonts w:ascii="Times New Roman" w:hAnsi="Times New Roman" w:cs="Times New Roman" w:eastAsiaTheme="minorEastAsia"/>
          <w:snapToGrid w:val="0"/>
          <w:sz w:val="28"/>
          <w:szCs w:val="28"/>
          <w:u w:val="single"/>
        </w:rPr>
        <w:t xml:space="preserve">                </w:t>
      </w:r>
    </w:p>
    <w:p>
      <w:pPr>
        <w:adjustRightInd w:val="0"/>
        <w:snapToGrid w:val="0"/>
        <w:spacing w:line="360" w:lineRule="auto"/>
        <w:ind w:firstLine="562" w:firstLineChars="200"/>
        <w:rPr>
          <w:rFonts w:ascii="Times New Roman" w:hAnsi="Times New Roman" w:cs="Times New Roman" w:eastAsiaTheme="minorEastAsia"/>
          <w:b/>
          <w:snapToGrid w:val="0"/>
          <w:sz w:val="28"/>
          <w:szCs w:val="28"/>
        </w:rPr>
      </w:pPr>
      <w:r>
        <w:rPr>
          <w:rFonts w:ascii="Times New Roman" w:hAnsi="Times New Roman" w:cs="Times New Roman" w:eastAsiaTheme="minorEastAsia"/>
          <w:b/>
          <w:snapToGrid w:val="0"/>
          <w:sz w:val="28"/>
          <w:szCs w:val="28"/>
        </w:rPr>
        <w:t>本公司若有违反本承诺内容的行为，愿意按招标文件规定接受投标担保的处理。如已中标的，自动放弃中标资格；给招标人造成损失的，依法承担赔偿责任。</w:t>
      </w:r>
    </w:p>
    <w:p>
      <w:pPr>
        <w:adjustRightInd w:val="0"/>
        <w:snapToGrid w:val="0"/>
        <w:spacing w:line="480" w:lineRule="auto"/>
        <w:rPr>
          <w:rFonts w:ascii="Times New Roman" w:hAnsi="Times New Roman" w:cs="Times New Roman" w:eastAsiaTheme="minorEastAsia"/>
          <w:snapToGrid w:val="0"/>
          <w:sz w:val="28"/>
          <w:szCs w:val="28"/>
        </w:rPr>
      </w:pPr>
    </w:p>
    <w:p>
      <w:pPr>
        <w:adjustRightInd w:val="0"/>
        <w:snapToGrid w:val="0"/>
        <w:spacing w:line="360" w:lineRule="auto"/>
        <w:jc w:val="both"/>
        <w:rPr>
          <w:rFonts w:ascii="Times New Roman" w:hAnsi="Times New Roman" w:cs="Times New Roman" w:eastAsiaTheme="minorEastAsia"/>
          <w:snapToGrid w:val="0"/>
          <w:sz w:val="28"/>
          <w:szCs w:val="22"/>
        </w:rPr>
      </w:pPr>
      <w:r>
        <w:rPr>
          <w:rFonts w:ascii="Times New Roman" w:hAnsi="Times New Roman" w:cs="Times New Roman" w:eastAsiaTheme="minorEastAsia"/>
          <w:snapToGrid w:val="0"/>
          <w:sz w:val="28"/>
          <w:szCs w:val="22"/>
        </w:rPr>
        <w:t>法定代表人（签字或盖章）：</w:t>
      </w:r>
    </w:p>
    <w:p>
      <w:pPr>
        <w:adjustRightInd w:val="0"/>
        <w:snapToGrid w:val="0"/>
        <w:spacing w:line="480" w:lineRule="auto"/>
        <w:ind w:firstLine="482"/>
        <w:jc w:val="both"/>
        <w:rPr>
          <w:rFonts w:ascii="Times New Roman" w:hAnsi="Times New Roman" w:cs="Times New Roman" w:eastAsiaTheme="minorEastAsia"/>
          <w:snapToGrid w:val="0"/>
          <w:sz w:val="28"/>
          <w:szCs w:val="28"/>
        </w:rPr>
      </w:pPr>
      <w:r>
        <w:rPr>
          <w:rFonts w:ascii="Times New Roman" w:hAnsi="Times New Roman" w:cs="Times New Roman" w:eastAsiaTheme="minorEastAsia"/>
          <w:snapToGrid w:val="0"/>
          <w:sz w:val="28"/>
          <w:szCs w:val="28"/>
        </w:rPr>
        <w:t>投  标  人（盖章）：</w:t>
      </w:r>
    </w:p>
    <w:p>
      <w:pPr>
        <w:jc w:val="right"/>
        <w:rPr>
          <w:rFonts w:ascii="Times New Roman" w:hAnsi="Times New Roman" w:cs="Times New Roman" w:eastAsiaTheme="minorEastAsia"/>
          <w:bCs/>
          <w:snapToGrid w:val="0"/>
          <w:sz w:val="28"/>
          <w:szCs w:val="22"/>
        </w:rPr>
      </w:pPr>
      <w:r>
        <w:rPr>
          <w:rFonts w:ascii="Times New Roman" w:hAnsi="Times New Roman" w:cs="Times New Roman" w:eastAsiaTheme="minorEastAsia"/>
          <w:bCs/>
          <w:snapToGrid w:val="0"/>
          <w:sz w:val="28"/>
          <w:szCs w:val="22"/>
        </w:rPr>
        <w:t>年   月    日</w:t>
      </w:r>
    </w:p>
    <w:p>
      <w:pPr>
        <w:jc w:val="right"/>
        <w:rPr>
          <w:rFonts w:ascii="Times New Roman" w:hAnsi="Times New Roman" w:cs="Times New Roman" w:eastAsiaTheme="minorEastAsia"/>
          <w:b/>
          <w:snapToGrid w:val="0"/>
          <w:sz w:val="28"/>
        </w:rPr>
      </w:pPr>
    </w:p>
    <w:p>
      <w:pPr>
        <w:spacing w:line="360" w:lineRule="auto"/>
        <w:rPr>
          <w:rFonts w:ascii="Times New Roman" w:hAnsi="Times New Roman" w:cs="Times New Roman" w:eastAsiaTheme="minorEastAsia"/>
          <w:snapToGrid w:val="0"/>
          <w:szCs w:val="21"/>
        </w:rPr>
        <w:sectPr>
          <w:headerReference r:id="rId3" w:type="first"/>
          <w:footerReference r:id="rId4" w:type="default"/>
          <w:footnotePr>
            <w:numRestart w:val="eachPage"/>
          </w:footnotePr>
          <w:endnotePr>
            <w:numRestart w:val="eachSect"/>
          </w:endnotePr>
          <w:pgSz w:w="11907" w:h="16840"/>
          <w:pgMar w:top="1440" w:right="1361" w:bottom="1440" w:left="1361" w:header="851" w:footer="992" w:gutter="0"/>
          <w:cols w:space="720" w:num="1"/>
          <w:docGrid w:linePitch="435" w:charSpace="-6554"/>
        </w:sectPr>
      </w:pPr>
    </w:p>
    <w:p>
      <w:pPr>
        <w:pStyle w:val="6"/>
        <w:ind w:left="0"/>
        <w:jc w:val="left"/>
        <w:rPr>
          <w:rFonts w:ascii="Times New Roman" w:hAnsi="Times New Roman" w:cs="Times New Roman" w:eastAsiaTheme="minorEastAsia"/>
          <w:snapToGrid w:val="0"/>
          <w:sz w:val="28"/>
          <w:szCs w:val="28"/>
          <w:lang w:val="en-US" w:bidi="ar-SA"/>
        </w:rPr>
      </w:pPr>
      <w:bookmarkStart w:id="924" w:name="_Toc13519"/>
      <w:bookmarkStart w:id="925" w:name="_Toc427133093"/>
      <w:bookmarkStart w:id="926" w:name="_Toc427131830"/>
      <w:r>
        <w:rPr>
          <w:rFonts w:ascii="Times New Roman" w:hAnsi="Times New Roman" w:cs="Times New Roman" w:eastAsiaTheme="minorEastAsia"/>
          <w:snapToGrid w:val="0"/>
          <w:sz w:val="28"/>
          <w:szCs w:val="28"/>
          <w:lang w:val="en-US" w:bidi="ar-SA"/>
        </w:rPr>
        <w:t>附件</w:t>
      </w:r>
      <w:r>
        <w:rPr>
          <w:rFonts w:hint="eastAsia" w:ascii="Times New Roman" w:hAnsi="Times New Roman" w:cs="Times New Roman" w:eastAsiaTheme="minorEastAsia"/>
          <w:snapToGrid w:val="0"/>
          <w:sz w:val="28"/>
          <w:szCs w:val="28"/>
          <w:lang w:val="en-US" w:eastAsia="zh-CN" w:bidi="ar-SA"/>
        </w:rPr>
        <w:t>六</w:t>
      </w:r>
      <w:r>
        <w:rPr>
          <w:rFonts w:ascii="Times New Roman" w:hAnsi="Times New Roman" w:cs="Times New Roman" w:eastAsiaTheme="minorEastAsia"/>
          <w:snapToGrid w:val="0"/>
          <w:sz w:val="28"/>
          <w:szCs w:val="28"/>
          <w:lang w:val="en-US" w:bidi="ar-SA"/>
        </w:rPr>
        <w:t>：</w:t>
      </w:r>
      <w:bookmarkEnd w:id="924"/>
      <w:bookmarkEnd w:id="925"/>
      <w:bookmarkEnd w:id="926"/>
    </w:p>
    <w:p>
      <w:pPr>
        <w:adjustRightInd w:val="0"/>
        <w:snapToGrid w:val="0"/>
        <w:spacing w:before="120" w:beforeLines="50" w:line="360" w:lineRule="auto"/>
        <w:jc w:val="center"/>
        <w:rPr>
          <w:rFonts w:ascii="Times New Roman" w:hAnsi="Times New Roman" w:cs="Times New Roman"/>
          <w:sz w:val="44"/>
        </w:rPr>
      </w:pPr>
      <w:r>
        <w:rPr>
          <w:rFonts w:ascii="Times New Roman" w:hAnsi="Times New Roman" w:cs="Times New Roman"/>
          <w:sz w:val="44"/>
        </w:rPr>
        <w:t>法定代表人授权委托书</w:t>
      </w:r>
    </w:p>
    <w:p>
      <w:pPr>
        <w:rPr>
          <w:rFonts w:ascii="Times New Roman" w:hAnsi="Times New Roman" w:cs="Times New Roman"/>
        </w:rPr>
      </w:pPr>
    </w:p>
    <w:p>
      <w:pPr>
        <w:adjustRightInd w:val="0"/>
        <w:snapToGrid w:val="0"/>
        <w:spacing w:before="120" w:beforeLines="50" w:line="360" w:lineRule="auto"/>
        <w:ind w:left="1131" w:leftChars="514" w:firstLine="560" w:firstLineChars="200"/>
        <w:rPr>
          <w:rFonts w:ascii="Times New Roman" w:hAnsi="Times New Roman" w:cs="Times New Roman"/>
          <w:sz w:val="28"/>
        </w:rPr>
      </w:pPr>
    </w:p>
    <w:p>
      <w:pPr>
        <w:adjustRightInd w:val="0"/>
        <w:snapToGrid w:val="0"/>
        <w:spacing w:before="120" w:beforeLines="50" w:line="360" w:lineRule="auto"/>
        <w:ind w:firstLine="600"/>
        <w:rPr>
          <w:rFonts w:ascii="Times New Roman" w:hAnsi="Times New Roman" w:cs="Times New Roman"/>
          <w:sz w:val="28"/>
          <w:u w:val="single"/>
        </w:rPr>
      </w:pPr>
      <w:r>
        <w:rPr>
          <w:rFonts w:ascii="Times New Roman" w:hAnsi="Times New Roman" w:cs="Times New Roman"/>
          <w:sz w:val="28"/>
        </w:rPr>
        <w:t>本授权委托书声明：我</w:t>
      </w:r>
      <w:r>
        <w:rPr>
          <w:rFonts w:ascii="Times New Roman" w:hAnsi="Times New Roman" w:cs="Times New Roman"/>
          <w:sz w:val="28"/>
          <w:u w:val="single"/>
        </w:rPr>
        <w:t xml:space="preserve">         </w:t>
      </w:r>
      <w:r>
        <w:rPr>
          <w:rFonts w:ascii="Times New Roman" w:hAnsi="Times New Roman" w:cs="Times New Roman"/>
          <w:sz w:val="28"/>
        </w:rPr>
        <w:t>（姓名）系</w:t>
      </w:r>
      <w:r>
        <w:rPr>
          <w:rFonts w:ascii="Times New Roman" w:hAnsi="Times New Roman" w:cs="Times New Roman"/>
          <w:sz w:val="28"/>
          <w:u w:val="single"/>
        </w:rPr>
        <w:t xml:space="preserve">               </w:t>
      </w:r>
      <w:r>
        <w:rPr>
          <w:rFonts w:ascii="Times New Roman" w:hAnsi="Times New Roman" w:cs="Times New Roman"/>
          <w:sz w:val="28"/>
          <w:u w:val="single"/>
          <w:lang w:val="en-US"/>
        </w:rPr>
        <w:t xml:space="preserve">       </w:t>
      </w:r>
      <w:r>
        <w:rPr>
          <w:rFonts w:ascii="Times New Roman" w:hAnsi="Times New Roman" w:cs="Times New Roman"/>
          <w:sz w:val="28"/>
          <w:u w:val="single"/>
        </w:rPr>
        <w:t xml:space="preserve">  </w:t>
      </w:r>
    </w:p>
    <w:p>
      <w:pPr>
        <w:adjustRightInd w:val="0"/>
        <w:snapToGrid w:val="0"/>
        <w:spacing w:before="120" w:beforeLines="50" w:line="360" w:lineRule="auto"/>
        <w:rPr>
          <w:rFonts w:ascii="Times New Roman" w:hAnsi="Times New Roman" w:cs="Times New Roman"/>
          <w:sz w:val="28"/>
        </w:rPr>
      </w:pPr>
      <w:r>
        <w:rPr>
          <w:rFonts w:ascii="Times New Roman" w:hAnsi="Times New Roman" w:cs="Times New Roman"/>
          <w:sz w:val="28"/>
          <w:u w:val="single"/>
        </w:rPr>
        <w:t xml:space="preserve">        </w:t>
      </w:r>
      <w:r>
        <w:rPr>
          <w:rFonts w:ascii="Times New Roman" w:hAnsi="Times New Roman" w:cs="Times New Roman"/>
          <w:sz w:val="28"/>
        </w:rPr>
        <w:t>（投标人）的法定代表人，现授权委托我单位</w:t>
      </w:r>
      <w:r>
        <w:rPr>
          <w:rFonts w:ascii="Times New Roman" w:hAnsi="Times New Roman" w:cs="Times New Roman"/>
          <w:sz w:val="28"/>
          <w:u w:val="single"/>
        </w:rPr>
        <w:t xml:space="preserve">        </w:t>
      </w:r>
      <w:r>
        <w:rPr>
          <w:rFonts w:ascii="Times New Roman" w:hAnsi="Times New Roman" w:cs="Times New Roman"/>
          <w:sz w:val="28"/>
        </w:rPr>
        <w:t>（姓名）为我的代理人，以本单位的名义参加</w:t>
      </w:r>
      <w:r>
        <w:rPr>
          <w:rFonts w:ascii="Times New Roman" w:hAnsi="Times New Roman" w:cs="Times New Roman"/>
          <w:sz w:val="28"/>
          <w:u w:val="single"/>
        </w:rPr>
        <w:t xml:space="preserve">          </w:t>
      </w:r>
      <w:r>
        <w:rPr>
          <w:rFonts w:ascii="Times New Roman" w:hAnsi="Times New Roman" w:cs="Times New Roman"/>
          <w:sz w:val="28"/>
        </w:rPr>
        <w:t>（招标人）的</w:t>
      </w:r>
      <w:r>
        <w:rPr>
          <w:rFonts w:ascii="Times New Roman" w:hAnsi="Times New Roman" w:cs="Times New Roman"/>
          <w:sz w:val="28"/>
          <w:u w:val="single"/>
        </w:rPr>
        <w:t xml:space="preserve">        </w:t>
      </w:r>
      <w:r>
        <w:rPr>
          <w:rFonts w:ascii="Times New Roman" w:hAnsi="Times New Roman" w:cs="Times New Roman"/>
          <w:sz w:val="28"/>
        </w:rPr>
        <w:t>（工程名称）的投标。代理人在该工程招投标活动中的一切事务，我均予以承认。</w:t>
      </w:r>
    </w:p>
    <w:p>
      <w:pPr>
        <w:adjustRightInd w:val="0"/>
        <w:snapToGrid w:val="0"/>
        <w:spacing w:before="120" w:beforeLines="50" w:line="360" w:lineRule="auto"/>
        <w:ind w:firstLine="560" w:firstLineChars="200"/>
        <w:rPr>
          <w:rFonts w:ascii="Times New Roman" w:hAnsi="Times New Roman" w:cs="Times New Roman"/>
          <w:sz w:val="28"/>
        </w:rPr>
      </w:pPr>
      <w:r>
        <w:rPr>
          <w:rFonts w:ascii="Times New Roman" w:hAnsi="Times New Roman" w:cs="Times New Roman"/>
          <w:sz w:val="28"/>
        </w:rPr>
        <w:t>代理人无转委权，特此委托。</w:t>
      </w:r>
    </w:p>
    <w:p>
      <w:pPr>
        <w:adjustRightInd w:val="0"/>
        <w:snapToGrid w:val="0"/>
        <w:spacing w:before="120" w:beforeLines="50" w:line="360" w:lineRule="auto"/>
        <w:rPr>
          <w:rFonts w:ascii="Times New Roman" w:hAnsi="Times New Roman" w:cs="Times New Roman"/>
          <w:sz w:val="28"/>
        </w:rPr>
      </w:pPr>
    </w:p>
    <w:p>
      <w:pPr>
        <w:adjustRightInd w:val="0"/>
        <w:snapToGrid w:val="0"/>
        <w:spacing w:before="120" w:beforeLines="50" w:line="360" w:lineRule="auto"/>
        <w:rPr>
          <w:rFonts w:ascii="Times New Roman" w:hAnsi="Times New Roman" w:cs="Times New Roman"/>
          <w:sz w:val="28"/>
        </w:rPr>
      </w:pPr>
      <w:r>
        <w:rPr>
          <w:rFonts w:ascii="Times New Roman" w:hAnsi="Times New Roman" w:cs="Times New Roman"/>
          <w:sz w:val="28"/>
        </w:rPr>
        <w:t>投标人（盖章）：</w:t>
      </w:r>
      <w:r>
        <w:rPr>
          <w:rFonts w:ascii="Times New Roman" w:hAnsi="Times New Roman" w:cs="Times New Roman"/>
          <w:sz w:val="28"/>
          <w:u w:val="single"/>
        </w:rPr>
        <w:t xml:space="preserve">                                         </w:t>
      </w:r>
    </w:p>
    <w:p>
      <w:pPr>
        <w:adjustRightInd w:val="0"/>
        <w:snapToGrid w:val="0"/>
        <w:spacing w:before="120" w:beforeLines="50" w:line="360" w:lineRule="auto"/>
        <w:rPr>
          <w:rFonts w:ascii="Times New Roman" w:hAnsi="Times New Roman" w:cs="Times New Roman"/>
          <w:sz w:val="28"/>
        </w:rPr>
      </w:pPr>
      <w:r>
        <w:rPr>
          <w:rFonts w:ascii="Times New Roman" w:hAnsi="Times New Roman" w:cs="Times New Roman"/>
          <w:sz w:val="28"/>
        </w:rPr>
        <w:t>法定代表人（盖章）：</w:t>
      </w:r>
      <w:r>
        <w:rPr>
          <w:rFonts w:ascii="Times New Roman" w:hAnsi="Times New Roman" w:cs="Times New Roman"/>
          <w:sz w:val="28"/>
          <w:u w:val="single"/>
        </w:rPr>
        <w:t xml:space="preserve">                                     </w:t>
      </w:r>
    </w:p>
    <w:p>
      <w:pPr>
        <w:adjustRightInd w:val="0"/>
        <w:snapToGrid w:val="0"/>
        <w:spacing w:before="120" w:beforeLines="50" w:line="360" w:lineRule="auto"/>
        <w:rPr>
          <w:rFonts w:ascii="Times New Roman" w:hAnsi="Times New Roman" w:cs="Times New Roman"/>
          <w:sz w:val="28"/>
          <w:u w:val="single"/>
        </w:rPr>
      </w:pPr>
      <w:r>
        <w:rPr>
          <w:rFonts w:ascii="Times New Roman" w:hAnsi="Times New Roman" w:cs="Times New Roman"/>
          <w:sz w:val="28"/>
        </w:rPr>
        <w:t>代理人：</w:t>
      </w:r>
      <w:r>
        <w:rPr>
          <w:rFonts w:ascii="Times New Roman" w:hAnsi="Times New Roman" w:cs="Times New Roman"/>
          <w:sz w:val="28"/>
          <w:u w:val="single"/>
        </w:rPr>
        <w:t xml:space="preserve">              </w:t>
      </w:r>
      <w:r>
        <w:rPr>
          <w:rFonts w:ascii="Times New Roman" w:hAnsi="Times New Roman" w:cs="Times New Roman"/>
          <w:sz w:val="28"/>
        </w:rPr>
        <w:t>性别：</w:t>
      </w:r>
      <w:r>
        <w:rPr>
          <w:rFonts w:ascii="Times New Roman" w:hAnsi="Times New Roman" w:cs="Times New Roman"/>
          <w:sz w:val="28"/>
          <w:u w:val="single"/>
        </w:rPr>
        <w:t xml:space="preserve">              </w:t>
      </w:r>
      <w:r>
        <w:rPr>
          <w:rFonts w:ascii="Times New Roman" w:hAnsi="Times New Roman" w:cs="Times New Roman"/>
          <w:sz w:val="28"/>
        </w:rPr>
        <w:t>年龄</w:t>
      </w:r>
      <w:r>
        <w:rPr>
          <w:rFonts w:ascii="Times New Roman" w:hAnsi="Times New Roman" w:cs="Times New Roman"/>
          <w:sz w:val="28"/>
          <w:u w:val="single"/>
        </w:rPr>
        <w:t xml:space="preserve">          </w:t>
      </w:r>
    </w:p>
    <w:p>
      <w:pPr>
        <w:adjustRightInd w:val="0"/>
        <w:snapToGrid w:val="0"/>
        <w:spacing w:before="120" w:beforeLines="50" w:line="360" w:lineRule="auto"/>
        <w:rPr>
          <w:rFonts w:ascii="Times New Roman" w:hAnsi="Times New Roman" w:cs="Times New Roman"/>
          <w:sz w:val="28"/>
          <w:u w:val="single"/>
        </w:rPr>
      </w:pPr>
      <w:r>
        <w:rPr>
          <w:rFonts w:ascii="Times New Roman" w:hAnsi="Times New Roman" w:cs="Times New Roman"/>
          <w:sz w:val="28"/>
        </w:rPr>
        <w:t>身份证号码：</w:t>
      </w:r>
      <w:r>
        <w:rPr>
          <w:rFonts w:ascii="Times New Roman" w:hAnsi="Times New Roman" w:cs="Times New Roman"/>
          <w:sz w:val="28"/>
          <w:u w:val="single"/>
        </w:rPr>
        <w:t xml:space="preserve">                  </w:t>
      </w:r>
      <w:r>
        <w:rPr>
          <w:rFonts w:ascii="Times New Roman" w:hAnsi="Times New Roman" w:cs="Times New Roman"/>
          <w:sz w:val="28"/>
        </w:rPr>
        <w:t>职务：</w:t>
      </w:r>
      <w:r>
        <w:rPr>
          <w:rFonts w:ascii="Times New Roman" w:hAnsi="Times New Roman" w:cs="Times New Roman"/>
          <w:sz w:val="28"/>
          <w:u w:val="single"/>
        </w:rPr>
        <w:t xml:space="preserve">                    </w:t>
      </w:r>
    </w:p>
    <w:p>
      <w:pPr>
        <w:adjustRightInd w:val="0"/>
        <w:snapToGrid w:val="0"/>
        <w:spacing w:before="120" w:beforeLines="50" w:line="360" w:lineRule="auto"/>
        <w:rPr>
          <w:rFonts w:ascii="Times New Roman" w:hAnsi="Times New Roman" w:cs="Times New Roman"/>
          <w:sz w:val="28"/>
          <w:lang w:val="en-US"/>
        </w:rPr>
      </w:pPr>
      <w:r>
        <w:rPr>
          <w:rFonts w:ascii="Times New Roman" w:hAnsi="Times New Roman" w:cs="Times New Roman"/>
          <w:sz w:val="28"/>
          <w:szCs w:val="28"/>
        </w:rPr>
        <w:t>联系电话：</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电子邮箱号：</w:t>
      </w:r>
      <w:r>
        <w:rPr>
          <w:rFonts w:ascii="Times New Roman" w:hAnsi="Times New Roman" w:cs="Times New Roman"/>
          <w:sz w:val="28"/>
          <w:szCs w:val="28"/>
          <w:u w:val="single"/>
          <w:lang w:val="en-US"/>
        </w:rPr>
        <w:t xml:space="preserve">                 </w:t>
      </w:r>
    </w:p>
    <w:p>
      <w:pPr>
        <w:adjustRightInd w:val="0"/>
        <w:snapToGrid w:val="0"/>
        <w:spacing w:before="120" w:beforeLines="50" w:line="360" w:lineRule="auto"/>
        <w:rPr>
          <w:rFonts w:ascii="Times New Roman" w:hAnsi="Times New Roman" w:cs="Times New Roman"/>
          <w:sz w:val="28"/>
        </w:rPr>
      </w:pPr>
      <w:r>
        <w:rPr>
          <w:rFonts w:ascii="Times New Roman" w:hAnsi="Times New Roman" w:cs="Times New Roman"/>
          <w:sz w:val="28"/>
        </w:rPr>
        <w:t>授权委托日期：</w:t>
      </w:r>
      <w:r>
        <w:rPr>
          <w:rFonts w:ascii="Times New Roman" w:hAnsi="Times New Roman" w:cs="Times New Roman"/>
          <w:sz w:val="28"/>
          <w:u w:val="single"/>
        </w:rPr>
        <w:t xml:space="preserve">            </w:t>
      </w:r>
      <w:r>
        <w:rPr>
          <w:rFonts w:ascii="Times New Roman" w:hAnsi="Times New Roman" w:cs="Times New Roman"/>
          <w:sz w:val="28"/>
        </w:rPr>
        <w:t>年</w:t>
      </w:r>
      <w:r>
        <w:rPr>
          <w:rFonts w:ascii="Times New Roman" w:hAnsi="Times New Roman" w:cs="Times New Roman"/>
          <w:sz w:val="28"/>
          <w:u w:val="single"/>
        </w:rPr>
        <w:t xml:space="preserve">            </w:t>
      </w:r>
      <w:r>
        <w:rPr>
          <w:rFonts w:ascii="Times New Roman" w:hAnsi="Times New Roman" w:cs="Times New Roman"/>
          <w:sz w:val="28"/>
        </w:rPr>
        <w:t>月</w:t>
      </w:r>
      <w:r>
        <w:rPr>
          <w:rFonts w:ascii="Times New Roman" w:hAnsi="Times New Roman" w:cs="Times New Roman"/>
          <w:sz w:val="28"/>
          <w:u w:val="single"/>
        </w:rPr>
        <w:t xml:space="preserve">             </w:t>
      </w:r>
      <w:r>
        <w:rPr>
          <w:rFonts w:ascii="Times New Roman" w:hAnsi="Times New Roman" w:cs="Times New Roman"/>
          <w:sz w:val="28"/>
        </w:rPr>
        <w:t>日</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eastAsiaTheme="minorEastAsia"/>
          <w:b/>
          <w:snapToGrid w:val="0"/>
          <w:sz w:val="28"/>
          <w:szCs w:val="28"/>
        </w:rPr>
      </w:pPr>
    </w:p>
    <w:p>
      <w:pPr>
        <w:rPr>
          <w:rFonts w:ascii="Times New Roman" w:hAnsi="Times New Roman" w:cs="Times New Roman" w:eastAsiaTheme="minorEastAsia"/>
          <w:b/>
          <w:snapToGrid w:val="0"/>
          <w:sz w:val="28"/>
          <w:szCs w:val="28"/>
        </w:rPr>
      </w:pPr>
    </w:p>
    <w:p>
      <w:pPr>
        <w:widowControl/>
        <w:autoSpaceDE/>
        <w:autoSpaceDN/>
        <w:rPr>
          <w:rFonts w:ascii="Times New Roman" w:hAnsi="Times New Roman" w:cs="Times New Roman" w:eastAsiaTheme="minorEastAsia"/>
          <w:snapToGrid w:val="0"/>
          <w:sz w:val="28"/>
          <w:szCs w:val="28"/>
        </w:rPr>
      </w:pPr>
      <w:bookmarkStart w:id="927" w:name="_Toc6704"/>
      <w:bookmarkStart w:id="928" w:name="_Toc146952588"/>
      <w:r>
        <w:rPr>
          <w:rFonts w:ascii="Times New Roman" w:hAnsi="Times New Roman" w:cs="Times New Roman" w:eastAsiaTheme="minorEastAsia"/>
          <w:b/>
          <w:snapToGrid w:val="0"/>
          <w:sz w:val="28"/>
          <w:szCs w:val="28"/>
        </w:rPr>
        <w:br w:type="page"/>
      </w:r>
    </w:p>
    <w:p>
      <w:pPr>
        <w:pStyle w:val="87"/>
        <w:autoSpaceDE/>
        <w:autoSpaceDN/>
        <w:spacing w:before="0" w:after="0"/>
        <w:jc w:val="both"/>
        <w:outlineLvl w:val="1"/>
        <w:rPr>
          <w:rFonts w:ascii="Times New Roman" w:hAnsi="Times New Roman" w:cs="Times New Roman" w:eastAsiaTheme="minorEastAsia"/>
          <w:b w:val="0"/>
          <w:snapToGrid w:val="0"/>
          <w:sz w:val="28"/>
          <w:szCs w:val="28"/>
        </w:rPr>
      </w:pPr>
      <w:bookmarkStart w:id="929" w:name="_Toc26475"/>
      <w:r>
        <w:rPr>
          <w:rFonts w:ascii="Times New Roman" w:hAnsi="Times New Roman" w:cs="Times New Roman" w:eastAsiaTheme="minorEastAsia"/>
          <w:b w:val="0"/>
          <w:snapToGrid w:val="0"/>
          <w:sz w:val="28"/>
          <w:szCs w:val="28"/>
        </w:rPr>
        <w:t>附件</w:t>
      </w:r>
      <w:r>
        <w:rPr>
          <w:rFonts w:hint="eastAsia" w:ascii="Times New Roman" w:hAnsi="Times New Roman" w:cs="Times New Roman" w:eastAsiaTheme="minorEastAsia"/>
          <w:b w:val="0"/>
          <w:snapToGrid w:val="0"/>
          <w:sz w:val="28"/>
          <w:szCs w:val="28"/>
          <w:lang w:val="en-US" w:eastAsia="zh-CN"/>
        </w:rPr>
        <w:t>七</w:t>
      </w:r>
      <w:r>
        <w:rPr>
          <w:rFonts w:ascii="Times New Roman" w:hAnsi="Times New Roman" w:cs="Times New Roman" w:eastAsiaTheme="minorEastAsia"/>
          <w:b w:val="0"/>
          <w:snapToGrid w:val="0"/>
          <w:sz w:val="28"/>
          <w:szCs w:val="28"/>
        </w:rPr>
        <w:t>：</w:t>
      </w:r>
      <w:bookmarkEnd w:id="927"/>
      <w:bookmarkEnd w:id="928"/>
      <w:bookmarkEnd w:id="929"/>
    </w:p>
    <w:p>
      <w:pPr>
        <w:jc w:val="center"/>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 w:val="32"/>
          <w:szCs w:val="32"/>
        </w:rPr>
        <w:t>停工证明</w:t>
      </w:r>
    </w:p>
    <w:tbl>
      <w:tblPr>
        <w:tblStyle w:val="91"/>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8" w:hRule="atLeast"/>
        </w:trPr>
        <w:tc>
          <w:tcPr>
            <w:tcW w:w="9420" w:type="dxa"/>
          </w:tcPr>
          <w:p>
            <w:pPr>
              <w:autoSpaceDE/>
              <w:autoSpaceDN/>
              <w:spacing w:line="360" w:lineRule="auto"/>
              <w:jc w:val="left"/>
              <w:rPr>
                <w:rFonts w:ascii="Times New Roman" w:hAnsi="Times New Roman" w:cs="Times New Roman"/>
                <w:sz w:val="28"/>
                <w:szCs w:val="28"/>
                <w:lang w:val="en-US"/>
              </w:rPr>
            </w:pPr>
          </w:p>
          <w:p>
            <w:pPr>
              <w:autoSpaceDE/>
              <w:autoSpaceDN/>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____________(原建设单位）：</w:t>
            </w:r>
          </w:p>
          <w:p>
            <w:pPr>
              <w:autoSpaceDE/>
              <w:autoSpaceDN/>
              <w:spacing w:line="360" w:lineRule="auto"/>
              <w:ind w:firstLine="560" w:firstLineChars="200"/>
              <w:jc w:val="left"/>
              <w:rPr>
                <w:rFonts w:ascii="Times New Roman" w:hAnsi="Times New Roman" w:cs="Times New Roman"/>
                <w:sz w:val="28"/>
                <w:szCs w:val="28"/>
                <w:lang w:val="en-US"/>
              </w:rPr>
            </w:pPr>
            <w:r>
              <w:rPr>
                <w:rFonts w:ascii="Times New Roman" w:hAnsi="Times New Roman" w:cs="Times New Roman"/>
                <w:sz w:val="28"/>
                <w:szCs w:val="28"/>
                <w:lang w:val="en-US"/>
              </w:rPr>
              <w:t>我公司承接的贵单位____________(原工程项目名称），于___年___月___日取得施工许可证，并于___年___月___日开工。但因非施工承包人原因自___年___月___日至今，已连续停工超过3个月。特申请同意我公司总监理工程师__________（项目总监名字）承接其他项目。</w:t>
            </w:r>
          </w:p>
          <w:p>
            <w:pPr>
              <w:autoSpaceDE/>
              <w:autoSpaceDN/>
              <w:spacing w:line="360" w:lineRule="auto"/>
              <w:ind w:firstLine="560" w:firstLineChars="200"/>
              <w:jc w:val="left"/>
              <w:rPr>
                <w:rFonts w:ascii="Times New Roman" w:hAnsi="Times New Roman" w:cs="Times New Roman"/>
                <w:sz w:val="28"/>
                <w:szCs w:val="28"/>
                <w:lang w:val="en-US"/>
              </w:rPr>
            </w:pPr>
            <w:r>
              <w:rPr>
                <w:rFonts w:ascii="Times New Roman" w:hAnsi="Times New Roman" w:cs="Times New Roman"/>
                <w:sz w:val="28"/>
                <w:szCs w:val="28"/>
                <w:lang w:val="en-US"/>
              </w:rPr>
              <w:t>特此报告。</w:t>
            </w:r>
          </w:p>
          <w:p>
            <w:pPr>
              <w:autoSpaceDE/>
              <w:autoSpaceDN/>
              <w:spacing w:line="360" w:lineRule="auto"/>
              <w:ind w:firstLine="560" w:firstLineChars="200"/>
              <w:jc w:val="right"/>
              <w:rPr>
                <w:rFonts w:ascii="Times New Roman" w:hAnsi="Times New Roman" w:cs="Times New Roman"/>
                <w:sz w:val="28"/>
                <w:szCs w:val="28"/>
                <w:lang w:val="en-US"/>
              </w:rPr>
            </w:pPr>
            <w:r>
              <w:rPr>
                <w:rFonts w:ascii="Times New Roman" w:hAnsi="Times New Roman" w:cs="Times New Roman"/>
                <w:sz w:val="28"/>
                <w:szCs w:val="28"/>
                <w:lang w:val="en-US"/>
              </w:rPr>
              <w:t>监理人（盖章）</w:t>
            </w:r>
          </w:p>
          <w:p>
            <w:pPr>
              <w:autoSpaceDE/>
              <w:autoSpaceDN/>
              <w:spacing w:line="360" w:lineRule="auto"/>
              <w:ind w:firstLine="560" w:firstLineChars="200"/>
              <w:jc w:val="right"/>
              <w:rPr>
                <w:rFonts w:ascii="Times New Roman" w:hAnsi="Times New Roman" w:cs="Times New Roman"/>
                <w:lang w:val="en-US"/>
              </w:rPr>
            </w:pPr>
            <w:r>
              <w:rPr>
                <w:rFonts w:ascii="Times New Roman" w:hAnsi="Times New Roman" w:cs="Times New Roman"/>
                <w:sz w:val="28"/>
                <w:szCs w:val="28"/>
                <w:lang w:val="en-US"/>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trPr>
        <w:tc>
          <w:tcPr>
            <w:tcW w:w="9420" w:type="dxa"/>
          </w:tcPr>
          <w:p>
            <w:pPr>
              <w:autoSpaceDE/>
              <w:autoSpaceDN/>
              <w:spacing w:line="360" w:lineRule="auto"/>
              <w:jc w:val="left"/>
              <w:rPr>
                <w:rFonts w:ascii="Times New Roman" w:hAnsi="Times New Roman" w:cs="Times New Roman"/>
                <w:sz w:val="28"/>
                <w:szCs w:val="28"/>
                <w:lang w:val="en-US"/>
              </w:rPr>
            </w:pPr>
          </w:p>
          <w:p>
            <w:pPr>
              <w:autoSpaceDE/>
              <w:autoSpaceDN/>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原建设单位意见：</w:t>
            </w:r>
          </w:p>
          <w:p>
            <w:pPr>
              <w:autoSpaceDE/>
              <w:autoSpaceDN/>
              <w:spacing w:line="360" w:lineRule="auto"/>
              <w:jc w:val="left"/>
              <w:rPr>
                <w:rFonts w:ascii="Times New Roman" w:hAnsi="Times New Roman" w:cs="Times New Roman"/>
                <w:sz w:val="28"/>
                <w:szCs w:val="28"/>
                <w:lang w:val="en-US"/>
              </w:rPr>
            </w:pPr>
          </w:p>
          <w:p>
            <w:pPr>
              <w:autoSpaceDE/>
              <w:autoSpaceDN/>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原建设单位（盖章）：</w:t>
            </w:r>
          </w:p>
          <w:p>
            <w:pPr>
              <w:autoSpaceDE/>
              <w:autoSpaceDN/>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___年___月___日</w:t>
            </w:r>
          </w:p>
          <w:p>
            <w:pPr>
              <w:autoSpaceDE/>
              <w:autoSpaceDN/>
              <w:spacing w:line="360" w:lineRule="auto"/>
              <w:jc w:val="left"/>
              <w:rPr>
                <w:rFonts w:ascii="Times New Roman" w:hAnsi="Times New Roman"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0" w:hRule="atLeast"/>
        </w:trPr>
        <w:tc>
          <w:tcPr>
            <w:tcW w:w="9420" w:type="dxa"/>
          </w:tcPr>
          <w:p>
            <w:pPr>
              <w:autoSpaceDE/>
              <w:autoSpaceDN/>
              <w:spacing w:line="360" w:lineRule="auto"/>
              <w:jc w:val="left"/>
              <w:rPr>
                <w:rFonts w:ascii="Times New Roman" w:hAnsi="Times New Roman" w:cs="Times New Roman"/>
                <w:sz w:val="28"/>
                <w:szCs w:val="28"/>
                <w:lang w:val="en-US"/>
              </w:rPr>
            </w:pPr>
          </w:p>
          <w:p>
            <w:pPr>
              <w:autoSpaceDE/>
              <w:autoSpaceDN/>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行政主管部门证明：</w:t>
            </w:r>
          </w:p>
          <w:p>
            <w:pPr>
              <w:autoSpaceDE/>
              <w:autoSpaceDN/>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自___年___月___日开始停工，至今已超过3个月。情况属实。</w:t>
            </w:r>
          </w:p>
          <w:p>
            <w:pPr>
              <w:autoSpaceDE/>
              <w:autoSpaceDN/>
              <w:spacing w:line="360" w:lineRule="auto"/>
              <w:jc w:val="right"/>
              <w:rPr>
                <w:rFonts w:ascii="Times New Roman" w:hAnsi="Times New Roman" w:cs="Times New Roman"/>
                <w:sz w:val="28"/>
                <w:szCs w:val="28"/>
                <w:lang w:val="en-US"/>
              </w:rPr>
            </w:pPr>
          </w:p>
          <w:p>
            <w:pPr>
              <w:autoSpaceDE/>
              <w:autoSpaceDN/>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行政主管部门（盖章）：</w:t>
            </w:r>
          </w:p>
          <w:p>
            <w:pPr>
              <w:autoSpaceDE/>
              <w:autoSpaceDN/>
              <w:spacing w:line="360" w:lineRule="auto"/>
              <w:jc w:val="right"/>
              <w:rPr>
                <w:rFonts w:ascii="Times New Roman" w:hAnsi="Times New Roman" w:cs="Times New Roman"/>
                <w:lang w:val="en-US"/>
              </w:rPr>
            </w:pPr>
            <w:r>
              <w:rPr>
                <w:rFonts w:ascii="Times New Roman" w:hAnsi="Times New Roman" w:cs="Times New Roman"/>
                <w:sz w:val="28"/>
                <w:szCs w:val="28"/>
                <w:lang w:val="en-US"/>
              </w:rPr>
              <w:t>___年___月___日</w:t>
            </w:r>
          </w:p>
        </w:tc>
      </w:tr>
    </w:tbl>
    <w:p>
      <w:pPr>
        <w:rPr>
          <w:rFonts w:ascii="Times New Roman" w:hAnsi="Times New Roman" w:cs="Times New Roman" w:eastAsiaTheme="minorEastAsia"/>
          <w:snapToGrid w:val="0"/>
          <w:sz w:val="28"/>
          <w:szCs w:val="28"/>
        </w:rPr>
        <w:sectPr>
          <w:footnotePr>
            <w:numRestart w:val="eachPage"/>
          </w:footnotePr>
          <w:endnotePr>
            <w:numRestart w:val="eachSect"/>
          </w:endnotePr>
          <w:pgSz w:w="11907" w:h="16840"/>
          <w:pgMar w:top="1440" w:right="1418" w:bottom="1440" w:left="1418" w:header="851" w:footer="854" w:gutter="0"/>
          <w:cols w:space="720" w:num="1"/>
          <w:docGrid w:linePitch="435" w:charSpace="-6554"/>
        </w:sectPr>
      </w:pPr>
      <w:r>
        <w:rPr>
          <w:rFonts w:ascii="Times New Roman" w:hAnsi="Times New Roman" w:cs="Times New Roman" w:eastAsiaTheme="minorEastAsia"/>
          <w:snapToGrid w:val="0"/>
          <w:sz w:val="21"/>
          <w:szCs w:val="21"/>
          <w:lang w:val="en-US"/>
        </w:rPr>
        <w:t>注：在承接新项目时原承接的项目仍处于连续停工状态。若原承接项目已复工的本《证明》不得使用。</w:t>
      </w:r>
    </w:p>
    <w:p>
      <w:pPr>
        <w:pStyle w:val="87"/>
        <w:autoSpaceDE/>
        <w:autoSpaceDN/>
        <w:snapToGrid w:val="0"/>
        <w:spacing w:before="0" w:after="0"/>
        <w:jc w:val="both"/>
        <w:outlineLvl w:val="1"/>
        <w:rPr>
          <w:rFonts w:ascii="Times New Roman" w:hAnsi="Times New Roman" w:cs="Times New Roman" w:eastAsiaTheme="minorEastAsia"/>
          <w:b w:val="0"/>
          <w:snapToGrid w:val="0"/>
          <w:sz w:val="28"/>
          <w:szCs w:val="28"/>
        </w:rPr>
      </w:pPr>
      <w:bookmarkStart w:id="930" w:name="_Toc146952589"/>
      <w:bookmarkStart w:id="931" w:name="_Toc17756"/>
      <w:bookmarkStart w:id="932" w:name="_Toc22064"/>
      <w:r>
        <w:rPr>
          <w:rFonts w:ascii="Times New Roman" w:hAnsi="Times New Roman" w:cs="Times New Roman" w:eastAsiaTheme="minorEastAsia"/>
          <w:b w:val="0"/>
          <w:snapToGrid w:val="0"/>
          <w:sz w:val="28"/>
          <w:szCs w:val="28"/>
        </w:rPr>
        <w:t>附件</w:t>
      </w:r>
      <w:r>
        <w:rPr>
          <w:rFonts w:hint="eastAsia" w:ascii="Times New Roman" w:hAnsi="Times New Roman" w:cs="Times New Roman" w:eastAsiaTheme="minorEastAsia"/>
          <w:b w:val="0"/>
          <w:snapToGrid w:val="0"/>
          <w:sz w:val="28"/>
          <w:szCs w:val="28"/>
          <w:lang w:val="en-US" w:eastAsia="zh-CN"/>
        </w:rPr>
        <w:t>八</w:t>
      </w:r>
      <w:r>
        <w:rPr>
          <w:rFonts w:ascii="Times New Roman" w:hAnsi="Times New Roman" w:cs="Times New Roman" w:eastAsiaTheme="minorEastAsia"/>
          <w:b w:val="0"/>
          <w:snapToGrid w:val="0"/>
          <w:sz w:val="28"/>
          <w:szCs w:val="28"/>
        </w:rPr>
        <w:t>：</w:t>
      </w:r>
      <w:bookmarkEnd w:id="930"/>
      <w:bookmarkEnd w:id="931"/>
      <w:bookmarkEnd w:id="932"/>
    </w:p>
    <w:p>
      <w:pPr>
        <w:jc w:val="center"/>
        <w:rPr>
          <w:rFonts w:ascii="Times New Roman" w:hAnsi="Times New Roman" w:cs="Times New Roman" w:eastAsiaTheme="minorEastAsia"/>
          <w:snapToGrid w:val="0"/>
          <w:sz w:val="32"/>
          <w:szCs w:val="32"/>
        </w:rPr>
      </w:pPr>
      <w:r>
        <w:rPr>
          <w:rFonts w:ascii="Times New Roman" w:hAnsi="Times New Roman" w:cs="Times New Roman" w:eastAsiaTheme="minorEastAsia"/>
          <w:snapToGrid w:val="0"/>
          <w:sz w:val="32"/>
          <w:szCs w:val="32"/>
        </w:rPr>
        <w:t>未验收证明</w:t>
      </w:r>
    </w:p>
    <w:tbl>
      <w:tblPr>
        <w:tblStyle w:val="91"/>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8" w:hRule="atLeast"/>
        </w:trPr>
        <w:tc>
          <w:tcPr>
            <w:tcW w:w="9520" w:type="dxa"/>
          </w:tcPr>
          <w:p>
            <w:pPr>
              <w:autoSpaceDE/>
              <w:autoSpaceDN/>
              <w:spacing w:line="360" w:lineRule="auto"/>
              <w:jc w:val="left"/>
              <w:rPr>
                <w:rFonts w:ascii="Times New Roman" w:hAnsi="Times New Roman" w:cs="Times New Roman"/>
                <w:sz w:val="28"/>
                <w:szCs w:val="28"/>
                <w:lang w:val="en-US"/>
              </w:rPr>
            </w:pPr>
          </w:p>
          <w:p>
            <w:pPr>
              <w:autoSpaceDE/>
              <w:autoSpaceDN/>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____________(原建设单位）：</w:t>
            </w:r>
          </w:p>
          <w:p>
            <w:pPr>
              <w:autoSpaceDE/>
              <w:autoSpaceDN/>
              <w:spacing w:line="360" w:lineRule="auto"/>
              <w:ind w:firstLine="560" w:firstLineChars="200"/>
              <w:jc w:val="left"/>
              <w:rPr>
                <w:rFonts w:ascii="Times New Roman" w:hAnsi="Times New Roman" w:cs="Times New Roman"/>
                <w:sz w:val="28"/>
                <w:szCs w:val="28"/>
                <w:lang w:val="en-US"/>
              </w:rPr>
            </w:pPr>
            <w:r>
              <w:rPr>
                <w:rFonts w:ascii="Times New Roman" w:hAnsi="Times New Roman" w:cs="Times New Roman"/>
                <w:sz w:val="28"/>
                <w:szCs w:val="28"/>
                <w:lang w:val="en-US"/>
              </w:rPr>
              <w:t>我公司承接的____________(原工程项目名称）于___年___月___日竣工（交工），并于___年___月___日向贵单位提交竣工（交工）报告。但非施工承包人原因至今已超过90天未进行该项目的竣工（交工）验收。特申请同意我公司总监理工程师__________（总监名字）承接其他项目。</w:t>
            </w:r>
          </w:p>
          <w:p>
            <w:pPr>
              <w:autoSpaceDE/>
              <w:autoSpaceDN/>
              <w:spacing w:line="360" w:lineRule="auto"/>
              <w:ind w:firstLine="560" w:firstLineChars="200"/>
              <w:jc w:val="left"/>
              <w:rPr>
                <w:rFonts w:ascii="Times New Roman" w:hAnsi="Times New Roman" w:cs="Times New Roman"/>
                <w:sz w:val="28"/>
                <w:szCs w:val="28"/>
                <w:lang w:val="en-US"/>
              </w:rPr>
            </w:pPr>
            <w:r>
              <w:rPr>
                <w:rFonts w:ascii="Times New Roman" w:hAnsi="Times New Roman" w:cs="Times New Roman"/>
                <w:sz w:val="28"/>
                <w:szCs w:val="28"/>
                <w:lang w:val="en-US"/>
              </w:rPr>
              <w:t>特此报告。</w:t>
            </w:r>
          </w:p>
          <w:p>
            <w:pPr>
              <w:autoSpaceDE/>
              <w:autoSpaceDN/>
              <w:spacing w:line="360" w:lineRule="auto"/>
              <w:ind w:firstLine="560" w:firstLineChars="200"/>
              <w:jc w:val="right"/>
              <w:rPr>
                <w:rFonts w:ascii="Times New Roman" w:hAnsi="Times New Roman" w:cs="Times New Roman"/>
                <w:sz w:val="28"/>
                <w:szCs w:val="28"/>
                <w:lang w:val="en-US"/>
              </w:rPr>
            </w:pPr>
            <w:r>
              <w:rPr>
                <w:rFonts w:ascii="Times New Roman" w:hAnsi="Times New Roman" w:cs="Times New Roman"/>
                <w:sz w:val="28"/>
                <w:szCs w:val="28"/>
                <w:lang w:val="en-US"/>
              </w:rPr>
              <w:t>监理人（盖章）</w:t>
            </w:r>
          </w:p>
          <w:p>
            <w:pPr>
              <w:jc w:val="right"/>
              <w:rPr>
                <w:rFonts w:ascii="Times New Roman" w:hAnsi="Times New Roman" w:cs="Times New Roman" w:eastAsiaTheme="minorEastAsia"/>
                <w:snapToGrid w:val="0"/>
                <w:lang w:val="en-US"/>
              </w:rPr>
            </w:pPr>
            <w:r>
              <w:rPr>
                <w:rFonts w:ascii="Times New Roman" w:hAnsi="Times New Roman" w:cs="Times New Roman"/>
                <w:sz w:val="28"/>
                <w:szCs w:val="28"/>
                <w:lang w:val="en-US"/>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9520" w:type="dxa"/>
          </w:tcPr>
          <w:p>
            <w:pPr>
              <w:autoSpaceDE/>
              <w:autoSpaceDN/>
              <w:spacing w:line="360" w:lineRule="auto"/>
              <w:jc w:val="left"/>
              <w:rPr>
                <w:rFonts w:ascii="Times New Roman" w:hAnsi="Times New Roman" w:cs="Times New Roman"/>
                <w:sz w:val="28"/>
                <w:szCs w:val="28"/>
                <w:lang w:val="en-US"/>
              </w:rPr>
            </w:pPr>
          </w:p>
          <w:p>
            <w:pPr>
              <w:autoSpaceDE/>
              <w:autoSpaceDN/>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原建设单位意见：</w:t>
            </w:r>
          </w:p>
          <w:p>
            <w:pPr>
              <w:autoSpaceDE/>
              <w:autoSpaceDN/>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原建设单位（盖章）：</w:t>
            </w:r>
          </w:p>
          <w:p>
            <w:pPr>
              <w:autoSpaceDE/>
              <w:autoSpaceDN/>
              <w:spacing w:line="360" w:lineRule="auto"/>
              <w:jc w:val="right"/>
              <w:rPr>
                <w:rFonts w:ascii="Times New Roman" w:hAnsi="Times New Roman" w:cs="Times New Roman"/>
                <w:lang w:val="en-US"/>
              </w:rPr>
            </w:pPr>
            <w:r>
              <w:rPr>
                <w:rFonts w:ascii="Times New Roman" w:hAnsi="Times New Roman" w:cs="Times New Roman"/>
                <w:sz w:val="28"/>
                <w:szCs w:val="28"/>
                <w:lang w:val="en-US"/>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9" w:hRule="atLeast"/>
        </w:trPr>
        <w:tc>
          <w:tcPr>
            <w:tcW w:w="9520" w:type="dxa"/>
          </w:tcPr>
          <w:p>
            <w:pPr>
              <w:autoSpaceDE/>
              <w:autoSpaceDN/>
              <w:spacing w:line="360" w:lineRule="auto"/>
              <w:jc w:val="left"/>
              <w:rPr>
                <w:rFonts w:ascii="Times New Roman" w:hAnsi="Times New Roman" w:cs="Times New Roman"/>
                <w:sz w:val="28"/>
                <w:szCs w:val="28"/>
                <w:lang w:val="en-US"/>
              </w:rPr>
            </w:pPr>
          </w:p>
          <w:p>
            <w:pPr>
              <w:autoSpaceDE/>
              <w:autoSpaceDN/>
              <w:spacing w:line="360" w:lineRule="auto"/>
              <w:jc w:val="left"/>
              <w:rPr>
                <w:rFonts w:ascii="Times New Roman" w:hAnsi="Times New Roman" w:cs="Times New Roman"/>
                <w:sz w:val="28"/>
                <w:szCs w:val="28"/>
                <w:lang w:val="en-US"/>
              </w:rPr>
            </w:pPr>
            <w:r>
              <w:rPr>
                <w:rFonts w:ascii="Times New Roman" w:hAnsi="Times New Roman" w:cs="Times New Roman"/>
                <w:sz w:val="28"/>
                <w:szCs w:val="28"/>
                <w:lang w:val="en-US"/>
              </w:rPr>
              <w:t>行政主管部门证明：</w:t>
            </w:r>
          </w:p>
          <w:p>
            <w:pPr>
              <w:autoSpaceDE/>
              <w:autoSpaceDN/>
              <w:spacing w:line="360" w:lineRule="auto"/>
              <w:ind w:firstLine="560" w:firstLineChars="200"/>
              <w:jc w:val="left"/>
              <w:rPr>
                <w:rFonts w:ascii="Times New Roman" w:hAnsi="Times New Roman" w:cs="Times New Roman"/>
                <w:sz w:val="28"/>
                <w:szCs w:val="28"/>
                <w:lang w:val="en-US"/>
              </w:rPr>
            </w:pPr>
            <w:r>
              <w:rPr>
                <w:rFonts w:ascii="Times New Roman" w:hAnsi="Times New Roman" w:cs="Times New Roman"/>
                <w:sz w:val="28"/>
                <w:szCs w:val="28"/>
                <w:lang w:val="en-US"/>
              </w:rPr>
              <w:t>施工承包人向原建设单位提交了竣工（交工）报告至今已超过90天。情况属实。</w:t>
            </w:r>
          </w:p>
          <w:p>
            <w:pPr>
              <w:autoSpaceDE/>
              <w:autoSpaceDN/>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行政主管部门（盖章）：</w:t>
            </w:r>
          </w:p>
          <w:p>
            <w:pPr>
              <w:autoSpaceDE/>
              <w:autoSpaceDN/>
              <w:spacing w:line="360" w:lineRule="auto"/>
              <w:jc w:val="right"/>
              <w:rPr>
                <w:rFonts w:ascii="Times New Roman" w:hAnsi="Times New Roman" w:cs="Times New Roman"/>
                <w:lang w:val="en-US"/>
              </w:rPr>
            </w:pPr>
            <w:r>
              <w:rPr>
                <w:rFonts w:ascii="Times New Roman" w:hAnsi="Times New Roman" w:cs="Times New Roman"/>
                <w:sz w:val="28"/>
                <w:szCs w:val="28"/>
                <w:lang w:val="en-US"/>
              </w:rPr>
              <w:t>___年___月___日</w:t>
            </w:r>
          </w:p>
        </w:tc>
      </w:tr>
    </w:tbl>
    <w:p>
      <w:pPr>
        <w:rPr>
          <w:rFonts w:ascii="Times New Roman" w:hAnsi="Times New Roman" w:cs="Times New Roman" w:eastAsiaTheme="minorEastAsia"/>
          <w:snapToGrid w:val="0"/>
          <w:sz w:val="24"/>
          <w:szCs w:val="24"/>
          <w:lang w:val="en-US"/>
        </w:rPr>
      </w:pPr>
      <w:r>
        <w:rPr>
          <w:rFonts w:ascii="Times New Roman" w:hAnsi="Times New Roman" w:cs="Times New Roman" w:eastAsiaTheme="minorEastAsia"/>
          <w:snapToGrid w:val="0"/>
          <w:sz w:val="24"/>
          <w:szCs w:val="24"/>
          <w:lang w:val="en-US"/>
        </w:rPr>
        <w:t>注：在承接新项目时原承接的项目已经竣工验收的，本《证明》不得使用。</w:t>
      </w:r>
    </w:p>
    <w:p>
      <w:pPr>
        <w:widowControl/>
        <w:autoSpaceDE/>
        <w:autoSpaceDN/>
        <w:rPr>
          <w:rFonts w:ascii="Times New Roman" w:hAnsi="Times New Roman" w:cs="Times New Roman" w:eastAsiaTheme="minorEastAsia"/>
          <w:b/>
          <w:bCs/>
          <w:snapToGrid w:val="0"/>
          <w:sz w:val="28"/>
          <w:szCs w:val="28"/>
        </w:rPr>
      </w:pPr>
      <w:r>
        <w:rPr>
          <w:rFonts w:ascii="Times New Roman" w:hAnsi="Times New Roman" w:cs="Times New Roman" w:eastAsiaTheme="minorEastAsia"/>
          <w:snapToGrid w:val="0"/>
          <w:sz w:val="28"/>
          <w:szCs w:val="28"/>
        </w:rPr>
        <w:br w:type="page"/>
      </w:r>
    </w:p>
    <w:p>
      <w:pPr>
        <w:pStyle w:val="6"/>
        <w:ind w:left="0"/>
        <w:jc w:val="left"/>
        <w:rPr>
          <w:rFonts w:ascii="Times New Roman" w:hAnsi="Times New Roman" w:cs="Times New Roman" w:eastAsiaTheme="minorEastAsia"/>
          <w:snapToGrid w:val="0"/>
          <w:sz w:val="28"/>
          <w:szCs w:val="28"/>
        </w:rPr>
      </w:pPr>
      <w:bookmarkStart w:id="933" w:name="_Toc9349"/>
      <w:r>
        <w:rPr>
          <w:rFonts w:ascii="Times New Roman" w:hAnsi="Times New Roman" w:cs="Times New Roman" w:eastAsiaTheme="minorEastAsia"/>
          <w:snapToGrid w:val="0"/>
          <w:sz w:val="28"/>
          <w:szCs w:val="28"/>
        </w:rPr>
        <w:t>附件</w:t>
      </w:r>
      <w:r>
        <w:rPr>
          <w:rFonts w:hint="eastAsia" w:ascii="Times New Roman" w:hAnsi="Times New Roman" w:cs="Times New Roman" w:eastAsiaTheme="minorEastAsia"/>
          <w:snapToGrid w:val="0"/>
          <w:sz w:val="28"/>
          <w:szCs w:val="28"/>
          <w:lang w:val="en-US" w:eastAsia="zh-CN"/>
        </w:rPr>
        <w:t>九</w:t>
      </w:r>
      <w:r>
        <w:rPr>
          <w:rFonts w:ascii="Times New Roman" w:hAnsi="Times New Roman" w:cs="Times New Roman" w:eastAsiaTheme="minorEastAsia"/>
          <w:snapToGrid w:val="0"/>
          <w:sz w:val="28"/>
          <w:szCs w:val="28"/>
        </w:rPr>
        <w:t>：</w:t>
      </w:r>
      <w:bookmarkEnd w:id="933"/>
    </w:p>
    <w:bookmarkEnd w:id="909"/>
    <w:p>
      <w:pPr>
        <w:widowControl/>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法定代表人身份证明</w:t>
      </w:r>
    </w:p>
    <w:p>
      <w:pPr>
        <w:widowControl/>
        <w:spacing w:line="360" w:lineRule="auto"/>
        <w:jc w:val="center"/>
        <w:rPr>
          <w:rFonts w:ascii="Times New Roman" w:hAnsi="Times New Roman" w:cs="Times New Roman"/>
          <w:sz w:val="44"/>
          <w:szCs w:val="44"/>
        </w:rPr>
      </w:pPr>
    </w:p>
    <w:p>
      <w:pPr>
        <w:adjustRightInd w:val="0"/>
        <w:snapToGrid w:val="0"/>
        <w:spacing w:line="360" w:lineRule="auto"/>
        <w:ind w:firstLine="560" w:firstLineChars="200"/>
        <w:textAlignment w:val="baseline"/>
        <w:rPr>
          <w:rFonts w:ascii="Times New Roman" w:hAnsi="Times New Roman" w:cs="Times New Roman"/>
          <w:sz w:val="28"/>
          <w:szCs w:val="28"/>
          <w:u w:val="single"/>
        </w:rPr>
      </w:pPr>
      <w:r>
        <w:rPr>
          <w:rFonts w:ascii="Times New Roman" w:hAnsi="Times New Roman" w:cs="Times New Roman"/>
          <w:sz w:val="28"/>
          <w:szCs w:val="28"/>
        </w:rPr>
        <w:t>投标人名称：</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rPr>
      </w:pPr>
      <w:r>
        <w:rPr>
          <w:rFonts w:ascii="Times New Roman" w:hAnsi="Times New Roman" w:cs="Times New Roman"/>
          <w:sz w:val="28"/>
          <w:szCs w:val="28"/>
        </w:rPr>
        <w:t>单位性质：</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u w:val="single"/>
        </w:rPr>
      </w:pPr>
      <w:r>
        <w:rPr>
          <w:rFonts w:ascii="Times New Roman" w:hAnsi="Times New Roman" w:cs="Times New Roman"/>
          <w:sz w:val="28"/>
          <w:szCs w:val="28"/>
        </w:rPr>
        <w:t>地址：</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rPr>
      </w:pPr>
      <w:r>
        <w:rPr>
          <w:rFonts w:ascii="Times New Roman" w:hAnsi="Times New Roman" w:cs="Times New Roman"/>
          <w:sz w:val="28"/>
          <w:szCs w:val="28"/>
        </w:rPr>
        <w:t>成立时间：</w:t>
      </w:r>
      <w:r>
        <w:rPr>
          <w:rFonts w:ascii="Times New Roman" w:hAnsi="Times New Roman" w:cs="Times New Roman"/>
          <w:sz w:val="28"/>
          <w:szCs w:val="28"/>
          <w:u w:val="single"/>
        </w:rPr>
        <w:t xml:space="preserve">       </w:t>
      </w:r>
      <w:r>
        <w:rPr>
          <w:rFonts w:ascii="Times New Roman" w:hAnsi="Times New Roman" w:cs="Times New Roman"/>
          <w:sz w:val="28"/>
          <w:szCs w:val="28"/>
        </w:rPr>
        <w:t>年</w:t>
      </w:r>
      <w:r>
        <w:rPr>
          <w:rFonts w:ascii="Times New Roman" w:hAnsi="Times New Roman" w:cs="Times New Roman"/>
          <w:sz w:val="28"/>
          <w:szCs w:val="28"/>
          <w:u w:val="single"/>
        </w:rPr>
        <w:t xml:space="preserve">       </w:t>
      </w:r>
      <w:r>
        <w:rPr>
          <w:rFonts w:ascii="Times New Roman" w:hAnsi="Times New Roman" w:cs="Times New Roman"/>
          <w:sz w:val="28"/>
          <w:szCs w:val="28"/>
        </w:rPr>
        <w:t>月</w:t>
      </w:r>
      <w:r>
        <w:rPr>
          <w:rFonts w:ascii="Times New Roman" w:hAnsi="Times New Roman" w:cs="Times New Roman"/>
          <w:sz w:val="28"/>
          <w:szCs w:val="28"/>
          <w:u w:val="single"/>
        </w:rPr>
        <w:t xml:space="preserve">       </w:t>
      </w:r>
      <w:r>
        <w:rPr>
          <w:rFonts w:ascii="Times New Roman" w:hAnsi="Times New Roman" w:cs="Times New Roman"/>
          <w:sz w:val="28"/>
          <w:szCs w:val="28"/>
        </w:rPr>
        <w:t>日</w:t>
      </w:r>
    </w:p>
    <w:p>
      <w:pPr>
        <w:adjustRightInd w:val="0"/>
        <w:snapToGrid w:val="0"/>
        <w:spacing w:line="360" w:lineRule="auto"/>
        <w:ind w:firstLine="560" w:firstLineChars="200"/>
        <w:textAlignment w:val="baseline"/>
        <w:rPr>
          <w:rFonts w:ascii="Times New Roman" w:hAnsi="Times New Roman" w:cs="Times New Roman"/>
          <w:sz w:val="28"/>
          <w:szCs w:val="28"/>
        </w:rPr>
      </w:pPr>
      <w:r>
        <w:rPr>
          <w:rFonts w:ascii="Times New Roman" w:hAnsi="Times New Roman" w:cs="Times New Roman"/>
          <w:sz w:val="28"/>
          <w:szCs w:val="28"/>
        </w:rPr>
        <w:t>经营期限：</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u w:val="single"/>
        </w:rPr>
      </w:pPr>
      <w:r>
        <w:rPr>
          <w:rFonts w:ascii="Times New Roman" w:hAnsi="Times New Roman" w:cs="Times New Roman"/>
          <w:sz w:val="28"/>
          <w:szCs w:val="28"/>
        </w:rPr>
        <w:t>姓名：</w:t>
      </w:r>
      <w:r>
        <w:rPr>
          <w:rFonts w:ascii="Times New Roman" w:hAnsi="Times New Roman" w:cs="Times New Roman"/>
          <w:sz w:val="28"/>
          <w:szCs w:val="28"/>
          <w:u w:val="single"/>
        </w:rPr>
        <w:t xml:space="preserve">       </w:t>
      </w:r>
      <w:r>
        <w:rPr>
          <w:rFonts w:ascii="Times New Roman" w:hAnsi="Times New Roman" w:cs="Times New Roman"/>
          <w:sz w:val="28"/>
          <w:szCs w:val="28"/>
        </w:rPr>
        <w:t>性别：</w:t>
      </w:r>
      <w:r>
        <w:rPr>
          <w:rFonts w:ascii="Times New Roman" w:hAnsi="Times New Roman" w:cs="Times New Roman"/>
          <w:sz w:val="28"/>
          <w:szCs w:val="28"/>
          <w:u w:val="single"/>
        </w:rPr>
        <w:t xml:space="preserve">       </w:t>
      </w:r>
      <w:r>
        <w:rPr>
          <w:rFonts w:ascii="Times New Roman" w:hAnsi="Times New Roman" w:cs="Times New Roman"/>
          <w:sz w:val="28"/>
          <w:szCs w:val="28"/>
        </w:rPr>
        <w:t>年龄：</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u w:val="single"/>
        </w:rPr>
      </w:pPr>
      <w:r>
        <w:rPr>
          <w:rFonts w:ascii="Times New Roman" w:hAnsi="Times New Roman" w:cs="Times New Roman"/>
          <w:sz w:val="28"/>
          <w:szCs w:val="28"/>
        </w:rPr>
        <w:t>身份证号码：</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u w:val="single"/>
        </w:rPr>
      </w:pPr>
      <w:r>
        <w:rPr>
          <w:rFonts w:ascii="Times New Roman" w:hAnsi="Times New Roman" w:cs="Times New Roman"/>
          <w:sz w:val="28"/>
          <w:szCs w:val="28"/>
        </w:rPr>
        <w:t>联系电话：</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u w:val="single"/>
        </w:rPr>
      </w:pPr>
      <w:r>
        <w:rPr>
          <w:rFonts w:ascii="Times New Roman" w:hAnsi="Times New Roman" w:cs="Times New Roman"/>
          <w:sz w:val="28"/>
          <w:szCs w:val="28"/>
        </w:rPr>
        <w:t>邮箱号：</w:t>
      </w:r>
      <w:r>
        <w:rPr>
          <w:rFonts w:ascii="Times New Roman" w:hAnsi="Times New Roman" w:cs="Times New Roman"/>
          <w:sz w:val="28"/>
          <w:szCs w:val="28"/>
          <w:u w:val="single"/>
        </w:rPr>
        <w:t xml:space="preserve">                                  </w:t>
      </w:r>
    </w:p>
    <w:p>
      <w:pPr>
        <w:adjustRightInd w:val="0"/>
        <w:snapToGrid w:val="0"/>
        <w:spacing w:line="360" w:lineRule="auto"/>
        <w:ind w:firstLine="560" w:firstLineChars="200"/>
        <w:textAlignment w:val="baseline"/>
        <w:rPr>
          <w:rFonts w:ascii="Times New Roman" w:hAnsi="Times New Roman" w:cs="Times New Roman"/>
          <w:sz w:val="28"/>
          <w:szCs w:val="28"/>
        </w:rPr>
      </w:pPr>
      <w:r>
        <w:rPr>
          <w:rFonts w:ascii="Times New Roman" w:hAnsi="Times New Roman" w:cs="Times New Roman"/>
          <w:sz w:val="28"/>
          <w:szCs w:val="28"/>
        </w:rPr>
        <w:t>职务：</w:t>
      </w:r>
      <w:r>
        <w:rPr>
          <w:rFonts w:ascii="Times New Roman" w:hAnsi="Times New Roman" w:cs="Times New Roman"/>
          <w:sz w:val="28"/>
          <w:szCs w:val="28"/>
          <w:u w:val="single"/>
        </w:rPr>
        <w:t xml:space="preserve">                </w:t>
      </w:r>
      <w:r>
        <w:rPr>
          <w:rFonts w:ascii="Times New Roman" w:hAnsi="Times New Roman" w:cs="Times New Roman"/>
          <w:sz w:val="28"/>
          <w:szCs w:val="28"/>
        </w:rPr>
        <w:t>系</w:t>
      </w:r>
      <w:r>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（投标人名称）</w:t>
      </w:r>
      <w:r>
        <w:rPr>
          <w:rFonts w:ascii="Times New Roman" w:hAnsi="Times New Roman" w:cs="Times New Roman"/>
          <w:sz w:val="28"/>
          <w:szCs w:val="28"/>
        </w:rPr>
        <w:t>的法定代表人。</w:t>
      </w:r>
    </w:p>
    <w:p>
      <w:pPr>
        <w:adjustRightInd w:val="0"/>
        <w:snapToGrid w:val="0"/>
        <w:spacing w:line="360" w:lineRule="auto"/>
        <w:ind w:firstLine="560" w:firstLineChars="200"/>
        <w:textAlignment w:val="baseline"/>
        <w:rPr>
          <w:rFonts w:ascii="Times New Roman" w:hAnsi="Times New Roman" w:cs="Times New Roman"/>
          <w:sz w:val="28"/>
          <w:szCs w:val="28"/>
        </w:rPr>
      </w:pPr>
    </w:p>
    <w:p>
      <w:pPr>
        <w:adjustRightInd w:val="0"/>
        <w:snapToGrid w:val="0"/>
        <w:spacing w:line="360" w:lineRule="auto"/>
        <w:ind w:firstLine="1120" w:firstLineChars="400"/>
        <w:textAlignment w:val="baseline"/>
        <w:rPr>
          <w:rFonts w:ascii="Times New Roman" w:hAnsi="Times New Roman" w:cs="Times New Roman"/>
          <w:sz w:val="28"/>
          <w:szCs w:val="28"/>
        </w:rPr>
      </w:pPr>
      <w:r>
        <w:rPr>
          <w:rFonts w:ascii="Times New Roman" w:hAnsi="Times New Roman" w:cs="Times New Roman"/>
          <w:sz w:val="28"/>
          <w:szCs w:val="28"/>
        </w:rPr>
        <w:t>特此证明。</w:t>
      </w:r>
    </w:p>
    <w:p>
      <w:pPr>
        <w:adjustRightInd w:val="0"/>
        <w:snapToGrid w:val="0"/>
        <w:spacing w:line="360" w:lineRule="auto"/>
        <w:ind w:firstLine="1120" w:firstLineChars="400"/>
        <w:textAlignment w:val="baseline"/>
        <w:rPr>
          <w:rFonts w:ascii="Times New Roman" w:hAnsi="Times New Roman" w:cs="Times New Roman"/>
          <w:sz w:val="28"/>
          <w:szCs w:val="28"/>
        </w:rPr>
      </w:pPr>
    </w:p>
    <w:p>
      <w:pPr>
        <w:adjustRightInd w:val="0"/>
        <w:snapToGrid w:val="0"/>
        <w:spacing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投标人：（盖单位公章）</w:t>
      </w:r>
    </w:p>
    <w:p>
      <w:pPr>
        <w:jc w:val="right"/>
        <w:rPr>
          <w:rFonts w:ascii="Times New Roman" w:hAnsi="Times New Roman" w:cs="Times New Roman"/>
          <w:sz w:val="28"/>
          <w:szCs w:val="28"/>
          <w:u w:val="single"/>
        </w:rPr>
      </w:pPr>
    </w:p>
    <w:p>
      <w:pPr>
        <w:jc w:val="right"/>
        <w:rPr>
          <w:rFonts w:ascii="Times New Roman" w:hAnsi="Times New Roman" w:cs="Times New Roman"/>
          <w:sz w:val="32"/>
          <w:szCs w:val="32"/>
        </w:rPr>
      </w:pPr>
      <w:r>
        <w:rPr>
          <w:rFonts w:ascii="Times New Roman" w:hAnsi="Times New Roman" w:cs="Times New Roman"/>
          <w:sz w:val="28"/>
          <w:szCs w:val="28"/>
          <w:u w:val="single"/>
        </w:rPr>
        <w:t xml:space="preserve">      </w:t>
      </w:r>
      <w:r>
        <w:rPr>
          <w:rFonts w:ascii="Times New Roman" w:hAnsi="Times New Roman" w:cs="Times New Roman"/>
          <w:sz w:val="28"/>
          <w:szCs w:val="28"/>
        </w:rPr>
        <w:t>年</w:t>
      </w:r>
      <w:r>
        <w:rPr>
          <w:rFonts w:ascii="Times New Roman" w:hAnsi="Times New Roman" w:cs="Times New Roman"/>
          <w:sz w:val="28"/>
          <w:szCs w:val="28"/>
          <w:u w:val="single"/>
        </w:rPr>
        <w:t xml:space="preserve">       </w:t>
      </w:r>
      <w:r>
        <w:rPr>
          <w:rFonts w:ascii="Times New Roman" w:hAnsi="Times New Roman" w:cs="Times New Roman"/>
          <w:sz w:val="28"/>
          <w:szCs w:val="28"/>
        </w:rPr>
        <w:t>月</w:t>
      </w:r>
      <w:r>
        <w:rPr>
          <w:rFonts w:ascii="Times New Roman" w:hAnsi="Times New Roman" w:cs="Times New Roman"/>
          <w:sz w:val="28"/>
          <w:szCs w:val="28"/>
          <w:u w:val="single"/>
        </w:rPr>
        <w:t xml:space="preserve">      </w:t>
      </w:r>
      <w:r>
        <w:rPr>
          <w:rFonts w:ascii="Times New Roman" w:hAnsi="Times New Roman" w:cs="Times New Roman"/>
          <w:sz w:val="28"/>
          <w:szCs w:val="28"/>
        </w:rPr>
        <w:t>日</w:t>
      </w:r>
    </w:p>
    <w:p>
      <w:pPr>
        <w:widowControl/>
        <w:autoSpaceDE/>
        <w:autoSpaceDN/>
        <w:rPr>
          <w:rFonts w:ascii="Times New Roman" w:hAnsi="Times New Roman" w:cs="Times New Roman" w:eastAsiaTheme="minorEastAsia"/>
          <w:bCs/>
          <w:snapToGrid w:val="0"/>
          <w:sz w:val="28"/>
          <w:szCs w:val="28"/>
        </w:rPr>
      </w:pPr>
      <w:r>
        <w:rPr>
          <w:rFonts w:ascii="Times New Roman" w:hAnsi="Times New Roman" w:cs="Times New Roman" w:eastAsiaTheme="minorEastAsia"/>
          <w:bCs/>
          <w:snapToGrid w:val="0"/>
          <w:sz w:val="28"/>
          <w:szCs w:val="28"/>
        </w:rPr>
        <w:br w:type="page"/>
      </w:r>
    </w:p>
    <w:p>
      <w:pPr>
        <w:autoSpaceDE/>
        <w:autoSpaceDN/>
        <w:spacing w:line="420" w:lineRule="exact"/>
        <w:outlineLvl w:val="1"/>
        <w:rPr>
          <w:rFonts w:ascii="Times New Roman" w:hAnsi="Times New Roman" w:cs="Times New Roman" w:eastAsiaTheme="minorEastAsia"/>
          <w:bCs/>
          <w:snapToGrid w:val="0"/>
          <w:sz w:val="28"/>
          <w:szCs w:val="28"/>
        </w:rPr>
      </w:pPr>
      <w:bookmarkStart w:id="934" w:name="_Toc7751"/>
      <w:r>
        <w:rPr>
          <w:rFonts w:ascii="Times New Roman" w:hAnsi="Times New Roman" w:cs="Times New Roman" w:eastAsiaTheme="minorEastAsia"/>
          <w:bCs/>
          <w:snapToGrid w:val="0"/>
          <w:sz w:val="28"/>
          <w:szCs w:val="28"/>
        </w:rPr>
        <w:t>附件</w:t>
      </w:r>
      <w:r>
        <w:rPr>
          <w:rFonts w:hint="eastAsia" w:ascii="Times New Roman" w:hAnsi="Times New Roman" w:cs="Times New Roman" w:eastAsiaTheme="minorEastAsia"/>
          <w:bCs/>
          <w:snapToGrid w:val="0"/>
          <w:sz w:val="28"/>
          <w:szCs w:val="28"/>
          <w:lang w:val="en-US" w:eastAsia="zh-CN"/>
        </w:rPr>
        <w:t>十</w:t>
      </w:r>
      <w:r>
        <w:rPr>
          <w:rFonts w:ascii="Times New Roman" w:hAnsi="Times New Roman" w:cs="Times New Roman" w:eastAsiaTheme="minorEastAsia"/>
          <w:bCs/>
          <w:snapToGrid w:val="0"/>
          <w:sz w:val="28"/>
          <w:szCs w:val="28"/>
        </w:rPr>
        <w:t>：</w:t>
      </w:r>
      <w:bookmarkEnd w:id="934"/>
    </w:p>
    <w:p>
      <w:pPr>
        <w:widowControl/>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未开工证明</w:t>
      </w:r>
    </w:p>
    <w:tbl>
      <w:tblPr>
        <w:tblStyle w:val="91"/>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7" w:hRule="atLeast"/>
        </w:trPr>
        <w:tc>
          <w:tcPr>
            <w:tcW w:w="9660" w:type="dxa"/>
          </w:tcPr>
          <w:p>
            <w:pPr>
              <w:autoSpaceDE/>
              <w:autoSpaceDN/>
              <w:spacing w:line="360" w:lineRule="auto"/>
              <w:jc w:val="lef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_____</w:t>
            </w:r>
            <w:r>
              <w:rPr>
                <w:rFonts w:hint="eastAsia" w:ascii="Times New Roman" w:hAnsi="Times New Roman" w:cs="Times New Roman" w:eastAsiaTheme="minorEastAsia"/>
                <w:snapToGrid w:val="0"/>
                <w:sz w:val="28"/>
                <w:szCs w:val="28"/>
                <w:lang w:val="en-US" w:eastAsia="zh-CN"/>
              </w:rPr>
              <w:t xml:space="preserve">  </w:t>
            </w:r>
            <w:r>
              <w:rPr>
                <w:rFonts w:ascii="Times New Roman" w:hAnsi="Times New Roman" w:cs="Times New Roman" w:eastAsiaTheme="minorEastAsia"/>
                <w:snapToGrid w:val="0"/>
                <w:sz w:val="28"/>
                <w:szCs w:val="28"/>
                <w:lang w:val="en-US"/>
              </w:rPr>
              <w:t>_______(原建设单位）：</w:t>
            </w:r>
          </w:p>
          <w:p>
            <w:pPr>
              <w:autoSpaceDE/>
              <w:autoSpaceDN/>
              <w:spacing w:line="360" w:lineRule="auto"/>
              <w:ind w:firstLine="560" w:firstLineChars="200"/>
              <w:jc w:val="lef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我公司承接的____________(原工程项目名称）于___年___月___日取得《建筑工程施工许可证》，但非施工承包人原因至今已超过3个月未开工。特申请同意我公司总监理工程师__________（总监名字）承接其他项目。</w:t>
            </w:r>
          </w:p>
          <w:p>
            <w:pPr>
              <w:autoSpaceDE/>
              <w:autoSpaceDN/>
              <w:spacing w:line="360" w:lineRule="auto"/>
              <w:ind w:firstLine="560" w:firstLineChars="200"/>
              <w:jc w:val="lef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特此报告。</w:t>
            </w:r>
          </w:p>
          <w:p>
            <w:pPr>
              <w:autoSpaceDE/>
              <w:autoSpaceDN/>
              <w:spacing w:line="360" w:lineRule="auto"/>
              <w:ind w:firstLine="560" w:firstLineChars="200"/>
              <w:jc w:val="righ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监理人（盖章）</w:t>
            </w:r>
          </w:p>
          <w:p>
            <w:pPr>
              <w:autoSpaceDE/>
              <w:autoSpaceDN/>
              <w:spacing w:line="360" w:lineRule="auto"/>
              <w:ind w:firstLine="560" w:firstLineChars="200"/>
              <w:jc w:val="right"/>
              <w:rPr>
                <w:rFonts w:ascii="Times New Roman" w:hAnsi="Times New Roman" w:cs="Times New Roman" w:eastAsiaTheme="minorEastAsia"/>
                <w:snapToGrid w:val="0"/>
                <w:lang w:val="en-US"/>
              </w:rPr>
            </w:pPr>
            <w:r>
              <w:rPr>
                <w:rFonts w:ascii="Times New Roman" w:hAnsi="Times New Roman" w:cs="Times New Roman" w:eastAsiaTheme="minorEastAsia"/>
                <w:snapToGrid w:val="0"/>
                <w:sz w:val="28"/>
                <w:szCs w:val="28"/>
                <w:lang w:val="en-US"/>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9660" w:type="dxa"/>
          </w:tcPr>
          <w:p>
            <w:pPr>
              <w:autoSpaceDE/>
              <w:autoSpaceDN/>
              <w:spacing w:line="360" w:lineRule="auto"/>
              <w:jc w:val="lef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原建设单位意见：</w:t>
            </w:r>
          </w:p>
          <w:p>
            <w:pPr>
              <w:autoSpaceDE/>
              <w:autoSpaceDN/>
              <w:spacing w:line="360" w:lineRule="auto"/>
              <w:jc w:val="left"/>
              <w:rPr>
                <w:rFonts w:ascii="Times New Roman" w:hAnsi="Times New Roman" w:cs="Times New Roman" w:eastAsiaTheme="minorEastAsia"/>
                <w:snapToGrid w:val="0"/>
                <w:sz w:val="28"/>
                <w:szCs w:val="28"/>
                <w:lang w:val="en-US"/>
              </w:rPr>
            </w:pPr>
          </w:p>
          <w:p>
            <w:pPr>
              <w:autoSpaceDE/>
              <w:autoSpaceDN/>
              <w:spacing w:line="360" w:lineRule="auto"/>
              <w:jc w:val="righ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原建设单位（盖章）：</w:t>
            </w:r>
          </w:p>
          <w:p>
            <w:pPr>
              <w:autoSpaceDE/>
              <w:autoSpaceDN/>
              <w:spacing w:line="360" w:lineRule="auto"/>
              <w:jc w:val="right"/>
              <w:rPr>
                <w:rFonts w:ascii="Times New Roman" w:hAnsi="Times New Roman" w:cs="Times New Roman" w:eastAsiaTheme="minorEastAsia"/>
                <w:snapToGrid w:val="0"/>
                <w:lang w:val="en-US"/>
              </w:rPr>
            </w:pPr>
            <w:r>
              <w:rPr>
                <w:rFonts w:ascii="Times New Roman" w:hAnsi="Times New Roman" w:cs="Times New Roman" w:eastAsiaTheme="minorEastAsia"/>
                <w:snapToGrid w:val="0"/>
                <w:sz w:val="28"/>
                <w:szCs w:val="28"/>
                <w:lang w:val="en-US"/>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trPr>
        <w:tc>
          <w:tcPr>
            <w:tcW w:w="9660" w:type="dxa"/>
          </w:tcPr>
          <w:p>
            <w:pPr>
              <w:autoSpaceDE/>
              <w:autoSpaceDN/>
              <w:spacing w:line="360" w:lineRule="auto"/>
              <w:jc w:val="lef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行政主管部门证明：</w:t>
            </w:r>
          </w:p>
          <w:p>
            <w:pPr>
              <w:autoSpaceDE/>
              <w:autoSpaceDN/>
              <w:spacing w:line="360" w:lineRule="auto"/>
              <w:ind w:firstLine="560" w:firstLineChars="200"/>
              <w:jc w:val="lef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自</w:t>
            </w:r>
            <w:r>
              <w:rPr>
                <w:rFonts w:ascii="Times New Roman" w:hAnsi="Times New Roman" w:cs="Times New Roman" w:eastAsiaTheme="minorEastAsia"/>
                <w:snapToGrid w:val="0"/>
                <w:sz w:val="28"/>
                <w:szCs w:val="28"/>
                <w:u w:val="single"/>
                <w:lang w:val="en-US"/>
              </w:rPr>
              <w:t>__</w:t>
            </w:r>
            <w:r>
              <w:rPr>
                <w:rFonts w:hint="eastAsia" w:ascii="Times New Roman" w:hAnsi="Times New Roman" w:cs="Times New Roman" w:eastAsiaTheme="minorEastAsia"/>
                <w:snapToGrid w:val="0"/>
                <w:sz w:val="28"/>
                <w:szCs w:val="28"/>
                <w:u w:val="single"/>
                <w:lang w:val="en-US" w:eastAsia="zh-CN"/>
              </w:rPr>
              <w:t xml:space="preserve">  </w:t>
            </w:r>
            <w:r>
              <w:rPr>
                <w:rFonts w:ascii="Times New Roman" w:hAnsi="Times New Roman" w:cs="Times New Roman" w:eastAsiaTheme="minorEastAsia"/>
                <w:snapToGrid w:val="0"/>
                <w:sz w:val="28"/>
                <w:szCs w:val="28"/>
                <w:lang w:val="en-US"/>
              </w:rPr>
              <w:t>年___月___日取得《建筑工程施工许可证》，至今已超过3个月未开工。情况属实。</w:t>
            </w:r>
          </w:p>
          <w:p>
            <w:pPr>
              <w:autoSpaceDE/>
              <w:autoSpaceDN/>
              <w:spacing w:line="360" w:lineRule="auto"/>
              <w:ind w:firstLine="560" w:firstLineChars="200"/>
              <w:jc w:val="left"/>
              <w:rPr>
                <w:rFonts w:ascii="Times New Roman" w:hAnsi="Times New Roman" w:cs="Times New Roman" w:eastAsiaTheme="minorEastAsia"/>
                <w:snapToGrid w:val="0"/>
                <w:sz w:val="28"/>
                <w:szCs w:val="28"/>
                <w:lang w:val="en-US"/>
              </w:rPr>
            </w:pPr>
          </w:p>
          <w:p>
            <w:pPr>
              <w:autoSpaceDE/>
              <w:autoSpaceDN/>
              <w:spacing w:line="360" w:lineRule="auto"/>
              <w:jc w:val="left"/>
              <w:rPr>
                <w:rFonts w:ascii="Times New Roman" w:hAnsi="Times New Roman" w:cs="Times New Roman" w:eastAsiaTheme="minorEastAsia"/>
                <w:snapToGrid w:val="0"/>
                <w:sz w:val="28"/>
                <w:szCs w:val="28"/>
                <w:lang w:val="en-US"/>
              </w:rPr>
            </w:pPr>
          </w:p>
          <w:p>
            <w:pPr>
              <w:autoSpaceDE/>
              <w:autoSpaceDN/>
              <w:spacing w:line="360" w:lineRule="auto"/>
              <w:jc w:val="right"/>
              <w:rPr>
                <w:rFonts w:ascii="Times New Roman" w:hAnsi="Times New Roman" w:cs="Times New Roman" w:eastAsiaTheme="minorEastAsia"/>
                <w:snapToGrid w:val="0"/>
                <w:sz w:val="28"/>
                <w:szCs w:val="28"/>
                <w:lang w:val="en-US"/>
              </w:rPr>
            </w:pPr>
            <w:r>
              <w:rPr>
                <w:rFonts w:ascii="Times New Roman" w:hAnsi="Times New Roman" w:cs="Times New Roman" w:eastAsiaTheme="minorEastAsia"/>
                <w:snapToGrid w:val="0"/>
                <w:sz w:val="28"/>
                <w:szCs w:val="28"/>
                <w:lang w:val="en-US"/>
              </w:rPr>
              <w:t>行政主管部门（盖章）：</w:t>
            </w:r>
          </w:p>
          <w:p>
            <w:pPr>
              <w:autoSpaceDE/>
              <w:autoSpaceDN/>
              <w:spacing w:line="360" w:lineRule="auto"/>
              <w:jc w:val="right"/>
              <w:rPr>
                <w:rFonts w:ascii="Times New Roman" w:hAnsi="Times New Roman" w:cs="Times New Roman" w:eastAsiaTheme="minorEastAsia"/>
                <w:snapToGrid w:val="0"/>
                <w:lang w:val="en-US"/>
              </w:rPr>
            </w:pPr>
            <w:r>
              <w:rPr>
                <w:rFonts w:ascii="Times New Roman" w:hAnsi="Times New Roman" w:cs="Times New Roman" w:eastAsiaTheme="minorEastAsia"/>
                <w:snapToGrid w:val="0"/>
                <w:sz w:val="28"/>
                <w:szCs w:val="28"/>
                <w:lang w:val="en-US"/>
              </w:rPr>
              <w:t>___年___月___日</w:t>
            </w:r>
          </w:p>
        </w:tc>
      </w:tr>
    </w:tbl>
    <w:p>
      <w:pPr>
        <w:spacing w:line="360" w:lineRule="auto"/>
        <w:rPr>
          <w:rFonts w:ascii="Times New Roman" w:hAnsi="Times New Roman" w:cs="Times New Roman" w:eastAsiaTheme="minorEastAsia"/>
          <w:snapToGrid w:val="0"/>
          <w:sz w:val="24"/>
          <w:szCs w:val="24"/>
          <w:lang w:val="en-US"/>
        </w:rPr>
      </w:pPr>
      <w:r>
        <w:rPr>
          <w:rFonts w:ascii="Times New Roman" w:hAnsi="Times New Roman" w:cs="Times New Roman" w:eastAsiaTheme="minorEastAsia"/>
          <w:snapToGrid w:val="0"/>
          <w:sz w:val="24"/>
          <w:szCs w:val="24"/>
          <w:lang w:val="en-US"/>
        </w:rPr>
        <w:t>注：在承接新项目时原承接的项目已开工的，本《证明》不得使用。</w:t>
      </w:r>
    </w:p>
    <w:p>
      <w:pPr>
        <w:widowControl/>
        <w:spacing w:line="360" w:lineRule="auto"/>
        <w:jc w:val="both"/>
        <w:rPr>
          <w:rFonts w:hint="eastAsia" w:ascii="宋体" w:hAnsi="宋体" w:eastAsia="黑体"/>
          <w:b/>
          <w:sz w:val="32"/>
          <w:szCs w:val="32"/>
        </w:rPr>
      </w:pPr>
      <w:r>
        <w:rPr>
          <w:rFonts w:hint="eastAsia"/>
          <w:b w:val="0"/>
          <w:bCs w:val="0"/>
          <w:sz w:val="28"/>
          <w:szCs w:val="28"/>
        </w:rPr>
        <w:t>附件</w:t>
      </w:r>
      <w:r>
        <w:rPr>
          <w:rFonts w:hint="eastAsia"/>
          <w:b w:val="0"/>
          <w:bCs w:val="0"/>
          <w:sz w:val="28"/>
          <w:szCs w:val="28"/>
          <w:lang w:val="en-US" w:eastAsia="zh-CN"/>
        </w:rPr>
        <w:t>十一</w:t>
      </w:r>
      <w:r>
        <w:rPr>
          <w:rFonts w:hint="eastAsia" w:eastAsia="宋体" w:cs="Times New Roman"/>
          <w:b w:val="0"/>
          <w:bCs w:val="0"/>
          <w:sz w:val="28"/>
          <w:szCs w:val="28"/>
        </w:rPr>
        <w:t>：</w:t>
      </w:r>
    </w:p>
    <w:p>
      <w:pPr>
        <w:spacing w:line="360" w:lineRule="auto"/>
        <w:ind w:left="210"/>
        <w:jc w:val="center"/>
        <w:rPr>
          <w:rFonts w:ascii="黑体" w:eastAsia="黑体"/>
          <w:sz w:val="44"/>
        </w:rPr>
      </w:pPr>
      <w:r>
        <w:rPr>
          <w:rFonts w:hint="eastAsia" w:ascii="宋体" w:hAnsi="宋体" w:eastAsia="黑体"/>
          <w:b/>
          <w:sz w:val="32"/>
          <w:szCs w:val="32"/>
        </w:rPr>
        <w:t>联合体协议书</w:t>
      </w:r>
    </w:p>
    <w:p>
      <w:pPr>
        <w:adjustRightInd w:val="0"/>
        <w:snapToGrid w:val="0"/>
        <w:spacing w:line="312" w:lineRule="auto"/>
        <w:ind w:firstLine="652" w:firstLineChars="272"/>
        <w:rPr>
          <w:rFonts w:ascii="宋体" w:hAnsi="宋体"/>
          <w:position w:val="2"/>
          <w:sz w:val="24"/>
        </w:rPr>
      </w:pPr>
      <w:r>
        <w:rPr>
          <w:rFonts w:hint="eastAsia" w:ascii="宋体" w:hAnsi="宋体"/>
          <w:position w:val="2"/>
          <w:sz w:val="24"/>
          <w:u w:val="single"/>
        </w:rPr>
        <w:t>（所有成员单位名称）</w:t>
      </w:r>
      <w:r>
        <w:rPr>
          <w:rFonts w:hint="eastAsia" w:ascii="宋体" w:hAnsi="宋体"/>
          <w:position w:val="2"/>
          <w:sz w:val="24"/>
        </w:rPr>
        <w:t>自愿组成联合体，共同参加</w:t>
      </w:r>
      <w:r>
        <w:rPr>
          <w:rFonts w:hint="eastAsia" w:cs="Times New Roman"/>
          <w:position w:val="2"/>
          <w:sz w:val="24"/>
          <w:u w:val="single"/>
          <w:lang w:eastAsia="zh-CN"/>
        </w:rPr>
        <w:t>三门县下银岩山建筑用石料（凝灰岩）矿开发项目及三门县大周塘片区土地整治提升项目</w:t>
      </w:r>
      <w:r>
        <w:rPr>
          <w:rFonts w:hint="eastAsia" w:ascii="宋体" w:hAnsi="宋体" w:cs="Times New Roman"/>
          <w:position w:val="2"/>
          <w:sz w:val="24"/>
          <w:u w:val="single"/>
          <w:lang w:eastAsia="zh-CN"/>
        </w:rPr>
        <w:t>（监理）</w:t>
      </w:r>
      <w:r>
        <w:rPr>
          <w:rFonts w:hint="eastAsia" w:ascii="宋体" w:hAnsi="宋体"/>
          <w:position w:val="2"/>
          <w:sz w:val="24"/>
        </w:rPr>
        <w:t>（以下简称本项目）的投标。现就联合体投标事宜订立如下协议。</w:t>
      </w:r>
    </w:p>
    <w:p>
      <w:pPr>
        <w:adjustRightInd w:val="0"/>
        <w:snapToGrid w:val="0"/>
        <w:spacing w:line="312" w:lineRule="auto"/>
        <w:ind w:firstLine="535" w:firstLineChars="223"/>
        <w:rPr>
          <w:rFonts w:ascii="宋体" w:hAnsi="宋体"/>
          <w:position w:val="2"/>
          <w:sz w:val="24"/>
        </w:rPr>
      </w:pPr>
      <w:r>
        <w:rPr>
          <w:rFonts w:ascii="宋体" w:hAnsi="宋体"/>
          <w:position w:val="2"/>
          <w:sz w:val="24"/>
        </w:rPr>
        <w:t>1</w:t>
      </w:r>
      <w:r>
        <w:rPr>
          <w:rFonts w:hint="eastAsia" w:ascii="宋体" w:hAnsi="宋体"/>
          <w:position w:val="2"/>
          <w:sz w:val="24"/>
        </w:rPr>
        <w:t>、</w:t>
      </w:r>
      <w:r>
        <w:rPr>
          <w:rFonts w:hint="eastAsia" w:ascii="宋体" w:hAnsi="宋体"/>
          <w:position w:val="2"/>
          <w:sz w:val="24"/>
          <w:u w:val="single"/>
        </w:rPr>
        <w:t>（某成员单位名称）</w:t>
      </w:r>
      <w:r>
        <w:rPr>
          <w:rFonts w:hint="eastAsia" w:ascii="宋体" w:hAnsi="宋体"/>
          <w:position w:val="2"/>
          <w:sz w:val="24"/>
        </w:rPr>
        <w:t>为牵头人。</w:t>
      </w:r>
    </w:p>
    <w:p>
      <w:pPr>
        <w:adjustRightInd w:val="0"/>
        <w:snapToGrid w:val="0"/>
        <w:spacing w:line="312" w:lineRule="auto"/>
        <w:ind w:firstLine="535" w:firstLineChars="223"/>
        <w:rPr>
          <w:rFonts w:ascii="宋体" w:hAnsi="宋体"/>
          <w:position w:val="2"/>
          <w:sz w:val="24"/>
        </w:rPr>
      </w:pPr>
      <w:r>
        <w:rPr>
          <w:rFonts w:ascii="宋体" w:hAnsi="宋体"/>
          <w:position w:val="2"/>
          <w:sz w:val="24"/>
        </w:rPr>
        <w:t>2</w:t>
      </w:r>
      <w:r>
        <w:rPr>
          <w:rFonts w:hint="eastAsia" w:ascii="宋体" w:hAnsi="宋体"/>
          <w:position w:val="2"/>
          <w:sz w:val="24"/>
        </w:rPr>
        <w:t>、联合体牵头人合法代表联合体各成员负责本工程投标文件编制和合同谈判活动，代表联合体提交和接收相关的资料、信息及指示，并处理与之有关的一切事务，并负责合同订立和合同实施阶段的主办、组织和协调工作。</w:t>
      </w:r>
    </w:p>
    <w:p>
      <w:pPr>
        <w:adjustRightInd w:val="0"/>
        <w:snapToGrid w:val="0"/>
        <w:spacing w:line="312" w:lineRule="auto"/>
        <w:ind w:firstLine="535" w:firstLineChars="223"/>
        <w:rPr>
          <w:rFonts w:ascii="宋体" w:hAnsi="宋体"/>
          <w:position w:val="2"/>
          <w:sz w:val="24"/>
        </w:rPr>
      </w:pPr>
      <w:r>
        <w:rPr>
          <w:rFonts w:ascii="宋体" w:hAnsi="宋体"/>
          <w:position w:val="2"/>
          <w:sz w:val="24"/>
        </w:rPr>
        <w:t>3</w:t>
      </w:r>
      <w:r>
        <w:rPr>
          <w:rFonts w:hint="eastAsia" w:ascii="宋体" w:hAnsi="宋体"/>
          <w:position w:val="2"/>
          <w:sz w:val="24"/>
        </w:rPr>
        <w:t>、联合体将严格按照招标文件的各项要求，递交投标文件，履行投标义务和中标后的合同，共同承担合同规定的一切义务和责任，联合体各成员单位按照内部职责的划分，对内承担各自所负的责任和风险，并对外承担连带责任。</w:t>
      </w:r>
    </w:p>
    <w:p>
      <w:pPr>
        <w:adjustRightInd w:val="0"/>
        <w:snapToGrid w:val="0"/>
        <w:spacing w:line="312" w:lineRule="auto"/>
        <w:ind w:firstLine="535" w:firstLineChars="223"/>
        <w:rPr>
          <w:rFonts w:ascii="宋体" w:hAnsi="宋体"/>
          <w:position w:val="2"/>
          <w:sz w:val="24"/>
        </w:rPr>
      </w:pPr>
      <w:r>
        <w:rPr>
          <w:rFonts w:ascii="宋体" w:hAnsi="宋体"/>
          <w:position w:val="2"/>
          <w:sz w:val="24"/>
        </w:rPr>
        <w:t>4</w:t>
      </w:r>
      <w:r>
        <w:rPr>
          <w:rFonts w:hint="eastAsia" w:ascii="宋体" w:hAnsi="宋体"/>
          <w:position w:val="2"/>
          <w:sz w:val="24"/>
        </w:rPr>
        <w:t>、联合体牵头人代表联合体签署投标文件的，联合体牵头人的所有承诺均认为代表了联合体各成员。</w:t>
      </w:r>
    </w:p>
    <w:p>
      <w:pPr>
        <w:adjustRightInd w:val="0"/>
        <w:snapToGrid w:val="0"/>
        <w:spacing w:line="312" w:lineRule="auto"/>
        <w:ind w:firstLine="535" w:firstLineChars="223"/>
        <w:rPr>
          <w:rFonts w:ascii="宋体" w:hAnsi="宋体"/>
          <w:position w:val="2"/>
          <w:sz w:val="24"/>
        </w:rPr>
      </w:pPr>
      <w:r>
        <w:rPr>
          <w:rFonts w:ascii="宋体" w:hAnsi="宋体"/>
          <w:position w:val="2"/>
          <w:sz w:val="24"/>
        </w:rPr>
        <w:t>5</w:t>
      </w:r>
      <w:r>
        <w:rPr>
          <w:rFonts w:hint="eastAsia" w:ascii="宋体" w:hAnsi="宋体"/>
          <w:position w:val="2"/>
          <w:sz w:val="24"/>
        </w:rPr>
        <w:t>、联合体在投标工作及中标后合同履行过程中的费用按各自承担的工作量分摊。</w:t>
      </w:r>
    </w:p>
    <w:p>
      <w:pPr>
        <w:adjustRightInd w:val="0"/>
        <w:snapToGrid w:val="0"/>
        <w:spacing w:line="312" w:lineRule="auto"/>
        <w:ind w:firstLine="535" w:firstLineChars="223"/>
        <w:rPr>
          <w:rFonts w:ascii="宋体" w:hAnsi="宋体"/>
          <w:position w:val="2"/>
          <w:sz w:val="24"/>
        </w:rPr>
      </w:pPr>
      <w:r>
        <w:rPr>
          <w:rFonts w:ascii="宋体" w:hAnsi="宋体"/>
          <w:position w:val="2"/>
          <w:sz w:val="24"/>
        </w:rPr>
        <w:t>6</w:t>
      </w:r>
      <w:r>
        <w:rPr>
          <w:rFonts w:hint="eastAsia" w:ascii="宋体" w:hAnsi="宋体"/>
          <w:position w:val="2"/>
          <w:sz w:val="24"/>
        </w:rPr>
        <w:t>、如联合体中标，本工程发生的费用将支付给联合体牵头单位。</w:t>
      </w:r>
    </w:p>
    <w:p>
      <w:pPr>
        <w:adjustRightInd w:val="0"/>
        <w:snapToGrid w:val="0"/>
        <w:spacing w:line="312" w:lineRule="auto"/>
        <w:ind w:firstLine="535" w:firstLineChars="223"/>
        <w:rPr>
          <w:rFonts w:ascii="宋体" w:hAnsi="宋体"/>
          <w:position w:val="2"/>
          <w:sz w:val="24"/>
        </w:rPr>
      </w:pPr>
      <w:r>
        <w:rPr>
          <w:rFonts w:ascii="宋体" w:hAnsi="宋体"/>
          <w:position w:val="2"/>
          <w:sz w:val="24"/>
        </w:rPr>
        <w:t>7</w:t>
      </w:r>
      <w:r>
        <w:rPr>
          <w:rFonts w:hint="eastAsia" w:ascii="宋体" w:hAnsi="宋体"/>
          <w:position w:val="2"/>
          <w:sz w:val="24"/>
        </w:rPr>
        <w:t>、如中标，联合体双方的工作须符合各自的资质要求，具体分工如下：</w:t>
      </w:r>
    </w:p>
    <w:p>
      <w:pPr>
        <w:adjustRightInd w:val="0"/>
        <w:snapToGrid w:val="0"/>
        <w:spacing w:line="312" w:lineRule="auto"/>
        <w:rPr>
          <w:rFonts w:ascii="宋体" w:hAnsi="宋体" w:eastAsia="宋体"/>
          <w:color w:val="auto"/>
          <w:spacing w:val="20"/>
          <w:position w:val="2"/>
          <w:sz w:val="24"/>
          <w:szCs w:val="24"/>
          <w:highlight w:val="none"/>
        </w:rPr>
      </w:pPr>
      <w:r>
        <w:rPr>
          <w:rFonts w:hint="eastAsia" w:ascii="宋体" w:hAnsi="宋体" w:eastAsia="宋体"/>
          <w:color w:val="auto"/>
          <w:spacing w:val="20"/>
          <w:position w:val="2"/>
          <w:sz w:val="24"/>
          <w:szCs w:val="24"/>
          <w:highlight w:val="none"/>
        </w:rPr>
        <w:t>联合体牵头人</w:t>
      </w:r>
      <w:r>
        <w:rPr>
          <w:rFonts w:ascii="宋体" w:hAnsi="宋体" w:eastAsia="宋体"/>
          <w:color w:val="auto"/>
          <w:spacing w:val="20"/>
          <w:position w:val="2"/>
          <w:sz w:val="24"/>
          <w:szCs w:val="24"/>
          <w:highlight w:val="none"/>
          <w:u w:val="single"/>
        </w:rPr>
        <w:t xml:space="preserve">       </w:t>
      </w:r>
      <w:r>
        <w:rPr>
          <w:rFonts w:hint="eastAsia"/>
          <w:color w:val="auto"/>
          <w:spacing w:val="20"/>
          <w:position w:val="2"/>
          <w:sz w:val="24"/>
          <w:szCs w:val="24"/>
          <w:highlight w:val="none"/>
          <w:u w:val="single"/>
          <w:lang w:val="en-US" w:eastAsia="zh-CN"/>
        </w:rPr>
        <w:t xml:space="preserve">  </w:t>
      </w:r>
      <w:r>
        <w:rPr>
          <w:rFonts w:ascii="宋体" w:hAnsi="宋体" w:eastAsia="宋体"/>
          <w:color w:val="auto"/>
          <w:spacing w:val="20"/>
          <w:position w:val="2"/>
          <w:sz w:val="24"/>
          <w:szCs w:val="24"/>
          <w:highlight w:val="none"/>
          <w:u w:val="single"/>
        </w:rPr>
        <w:t xml:space="preserve">  </w:t>
      </w:r>
      <w:r>
        <w:rPr>
          <w:rFonts w:hint="eastAsia" w:ascii="宋体" w:hAnsi="宋体" w:eastAsia="宋体"/>
          <w:color w:val="auto"/>
          <w:spacing w:val="20"/>
          <w:position w:val="2"/>
          <w:sz w:val="24"/>
          <w:szCs w:val="24"/>
          <w:highlight w:val="none"/>
        </w:rPr>
        <w:t>（牵头人名称）承担</w:t>
      </w:r>
      <w:r>
        <w:rPr>
          <w:rFonts w:ascii="宋体" w:hAnsi="宋体" w:eastAsia="宋体"/>
          <w:color w:val="auto"/>
          <w:spacing w:val="20"/>
          <w:position w:val="2"/>
          <w:sz w:val="24"/>
          <w:szCs w:val="24"/>
          <w:highlight w:val="none"/>
          <w:u w:val="single"/>
        </w:rPr>
        <w:t xml:space="preserve">          </w:t>
      </w:r>
      <w:r>
        <w:rPr>
          <w:rFonts w:hint="eastAsia" w:ascii="宋体" w:hAnsi="宋体" w:eastAsia="宋体"/>
          <w:color w:val="auto"/>
          <w:spacing w:val="20"/>
          <w:position w:val="2"/>
          <w:sz w:val="24"/>
          <w:szCs w:val="24"/>
          <w:highlight w:val="none"/>
        </w:rPr>
        <w:t>工作，</w:t>
      </w:r>
    </w:p>
    <w:p>
      <w:pPr>
        <w:adjustRightInd w:val="0"/>
        <w:snapToGrid w:val="0"/>
        <w:spacing w:line="312" w:lineRule="auto"/>
        <w:rPr>
          <w:rFonts w:ascii="宋体" w:hAnsi="宋体"/>
          <w:spacing w:val="20"/>
          <w:position w:val="2"/>
          <w:sz w:val="24"/>
        </w:rPr>
      </w:pPr>
      <w:r>
        <w:rPr>
          <w:rFonts w:hint="eastAsia" w:ascii="宋体" w:hAnsi="宋体" w:eastAsia="宋体"/>
          <w:color w:val="auto"/>
          <w:spacing w:val="20"/>
          <w:position w:val="2"/>
          <w:sz w:val="24"/>
          <w:szCs w:val="24"/>
          <w:highlight w:val="none"/>
        </w:rPr>
        <w:t>联合体成员</w:t>
      </w:r>
      <w:r>
        <w:rPr>
          <w:rFonts w:ascii="宋体" w:hAnsi="宋体" w:eastAsia="宋体"/>
          <w:color w:val="auto"/>
          <w:spacing w:val="20"/>
          <w:position w:val="2"/>
          <w:sz w:val="24"/>
          <w:szCs w:val="24"/>
          <w:highlight w:val="none"/>
          <w:u w:val="single"/>
        </w:rPr>
        <w:t xml:space="preserve">        </w:t>
      </w:r>
      <w:r>
        <w:rPr>
          <w:rFonts w:hint="eastAsia"/>
          <w:color w:val="auto"/>
          <w:spacing w:val="20"/>
          <w:position w:val="2"/>
          <w:sz w:val="24"/>
          <w:szCs w:val="24"/>
          <w:highlight w:val="none"/>
          <w:u w:val="single"/>
          <w:lang w:val="en-US" w:eastAsia="zh-CN"/>
        </w:rPr>
        <w:t xml:space="preserve">    </w:t>
      </w:r>
      <w:r>
        <w:rPr>
          <w:rFonts w:ascii="宋体" w:hAnsi="宋体" w:eastAsia="宋体"/>
          <w:color w:val="auto"/>
          <w:spacing w:val="20"/>
          <w:position w:val="2"/>
          <w:sz w:val="24"/>
          <w:szCs w:val="24"/>
          <w:highlight w:val="none"/>
          <w:u w:val="single"/>
        </w:rPr>
        <w:t xml:space="preserve">   </w:t>
      </w:r>
      <w:r>
        <w:rPr>
          <w:rFonts w:hint="eastAsia" w:ascii="宋体" w:hAnsi="宋体" w:eastAsia="宋体"/>
          <w:color w:val="auto"/>
          <w:spacing w:val="20"/>
          <w:position w:val="2"/>
          <w:sz w:val="24"/>
          <w:szCs w:val="24"/>
          <w:highlight w:val="none"/>
        </w:rPr>
        <w:t>（成员名称）承担</w:t>
      </w:r>
      <w:r>
        <w:rPr>
          <w:rFonts w:ascii="宋体" w:hAnsi="宋体" w:eastAsia="宋体"/>
          <w:color w:val="auto"/>
          <w:spacing w:val="20"/>
          <w:position w:val="2"/>
          <w:sz w:val="24"/>
          <w:szCs w:val="24"/>
          <w:highlight w:val="none"/>
          <w:u w:val="single"/>
        </w:rPr>
        <w:t xml:space="preserve">            </w:t>
      </w:r>
      <w:r>
        <w:rPr>
          <w:rFonts w:hint="eastAsia" w:ascii="宋体" w:hAnsi="宋体" w:eastAsia="宋体"/>
          <w:color w:val="auto"/>
          <w:spacing w:val="20"/>
          <w:position w:val="2"/>
          <w:sz w:val="24"/>
          <w:szCs w:val="24"/>
          <w:highlight w:val="none"/>
        </w:rPr>
        <w:t>工作。</w:t>
      </w:r>
    </w:p>
    <w:p>
      <w:pPr>
        <w:adjustRightInd w:val="0"/>
        <w:snapToGrid w:val="0"/>
        <w:spacing w:line="312" w:lineRule="auto"/>
        <w:ind w:firstLine="535" w:firstLineChars="223"/>
        <w:rPr>
          <w:rFonts w:ascii="宋体" w:hAnsi="宋体"/>
          <w:position w:val="2"/>
          <w:sz w:val="24"/>
        </w:rPr>
      </w:pPr>
      <w:r>
        <w:rPr>
          <w:rFonts w:ascii="宋体" w:hAnsi="宋体"/>
          <w:position w:val="2"/>
          <w:sz w:val="24"/>
        </w:rPr>
        <w:t>8</w:t>
      </w:r>
      <w:r>
        <w:rPr>
          <w:rFonts w:hint="eastAsia" w:ascii="宋体" w:hAnsi="宋体"/>
          <w:position w:val="2"/>
          <w:sz w:val="24"/>
        </w:rPr>
        <w:t>、联合体中标后，本联合体协议是承包合同的附件，对联合体各成员单位有合同约束力。</w:t>
      </w:r>
    </w:p>
    <w:p>
      <w:pPr>
        <w:adjustRightInd w:val="0"/>
        <w:snapToGrid w:val="0"/>
        <w:spacing w:line="312" w:lineRule="auto"/>
        <w:ind w:firstLine="535" w:firstLineChars="223"/>
        <w:rPr>
          <w:rFonts w:ascii="宋体" w:hAnsi="宋体"/>
          <w:position w:val="2"/>
          <w:sz w:val="24"/>
        </w:rPr>
      </w:pPr>
      <w:r>
        <w:rPr>
          <w:rFonts w:ascii="宋体" w:hAnsi="宋体"/>
          <w:position w:val="2"/>
          <w:sz w:val="24"/>
        </w:rPr>
        <w:t>9</w:t>
      </w:r>
      <w:r>
        <w:rPr>
          <w:rFonts w:hint="eastAsia" w:ascii="宋体" w:hAnsi="宋体"/>
          <w:position w:val="2"/>
          <w:sz w:val="24"/>
        </w:rPr>
        <w:t>、本协议书自签署之日起生效，如联合体未中标或者中标后合同履行完毕，本协议自动失效。</w:t>
      </w:r>
    </w:p>
    <w:p>
      <w:pPr>
        <w:adjustRightInd w:val="0"/>
        <w:snapToGrid w:val="0"/>
        <w:spacing w:line="312" w:lineRule="auto"/>
        <w:ind w:firstLine="535" w:firstLineChars="223"/>
        <w:rPr>
          <w:rFonts w:ascii="宋体" w:hAnsi="宋体"/>
          <w:position w:val="2"/>
          <w:sz w:val="24"/>
        </w:rPr>
      </w:pPr>
      <w:r>
        <w:rPr>
          <w:rFonts w:ascii="宋体" w:hAnsi="宋体"/>
          <w:position w:val="2"/>
          <w:sz w:val="24"/>
        </w:rPr>
        <w:t>10</w:t>
      </w:r>
      <w:r>
        <w:rPr>
          <w:rFonts w:hint="eastAsia" w:ascii="宋体" w:hAnsi="宋体"/>
          <w:position w:val="2"/>
          <w:sz w:val="24"/>
        </w:rPr>
        <w:t>、本协议书一式</w:t>
      </w:r>
      <w:r>
        <w:rPr>
          <w:rFonts w:hint="eastAsia" w:ascii="宋体" w:hAnsi="宋体"/>
          <w:position w:val="2"/>
          <w:sz w:val="24"/>
          <w:lang w:val="en-US" w:eastAsia="zh-CN"/>
        </w:rPr>
        <w:t>肆</w:t>
      </w:r>
      <w:r>
        <w:rPr>
          <w:rFonts w:hint="eastAsia" w:ascii="宋体" w:hAnsi="宋体"/>
          <w:position w:val="2"/>
          <w:sz w:val="24"/>
        </w:rPr>
        <w:t>份，联合体成员和招标人各执</w:t>
      </w:r>
      <w:r>
        <w:rPr>
          <w:rFonts w:hint="eastAsia" w:ascii="宋体" w:hAnsi="宋体"/>
          <w:position w:val="2"/>
          <w:sz w:val="24"/>
          <w:lang w:val="en-US" w:eastAsia="zh-CN"/>
        </w:rPr>
        <w:t>贰</w:t>
      </w:r>
      <w:r>
        <w:rPr>
          <w:rFonts w:hint="eastAsia" w:ascii="宋体" w:hAnsi="宋体"/>
          <w:position w:val="2"/>
          <w:sz w:val="24"/>
        </w:rPr>
        <w:t>份。</w:t>
      </w:r>
    </w:p>
    <w:p>
      <w:pPr>
        <w:adjustRightInd w:val="0"/>
        <w:snapToGrid w:val="0"/>
        <w:spacing w:line="312" w:lineRule="auto"/>
        <w:ind w:firstLine="535" w:firstLineChars="223"/>
        <w:rPr>
          <w:rFonts w:ascii="宋体" w:hAnsi="宋体"/>
          <w:position w:val="2"/>
          <w:sz w:val="24"/>
          <w:u w:val="single"/>
        </w:rPr>
      </w:pPr>
      <w:r>
        <w:rPr>
          <w:rFonts w:hint="eastAsia" w:ascii="宋体" w:hAnsi="宋体"/>
          <w:position w:val="2"/>
          <w:sz w:val="24"/>
        </w:rPr>
        <w:t>牵头人名称（盖章）：</w:t>
      </w:r>
    </w:p>
    <w:p>
      <w:pPr>
        <w:adjustRightInd w:val="0"/>
        <w:snapToGrid w:val="0"/>
        <w:spacing w:line="312" w:lineRule="auto"/>
        <w:ind w:firstLine="535" w:firstLineChars="223"/>
        <w:rPr>
          <w:rFonts w:ascii="宋体" w:hAnsi="宋体"/>
          <w:position w:val="2"/>
          <w:sz w:val="24"/>
        </w:rPr>
      </w:pPr>
      <w:r>
        <w:rPr>
          <w:rFonts w:hint="eastAsia" w:ascii="宋体" w:hAnsi="宋体"/>
          <w:position w:val="2"/>
          <w:sz w:val="24"/>
        </w:rPr>
        <w:t>法定代表人（签字或盖章）：</w:t>
      </w:r>
    </w:p>
    <w:p>
      <w:pPr>
        <w:adjustRightInd w:val="0"/>
        <w:snapToGrid w:val="0"/>
        <w:spacing w:line="312" w:lineRule="auto"/>
        <w:ind w:firstLine="535" w:firstLineChars="223"/>
        <w:rPr>
          <w:rFonts w:ascii="宋体" w:hAnsi="宋体"/>
          <w:position w:val="2"/>
          <w:sz w:val="24"/>
          <w:u w:val="single"/>
        </w:rPr>
      </w:pPr>
    </w:p>
    <w:p>
      <w:pPr>
        <w:adjustRightInd w:val="0"/>
        <w:snapToGrid w:val="0"/>
        <w:spacing w:line="312" w:lineRule="auto"/>
        <w:ind w:firstLine="535" w:firstLineChars="223"/>
        <w:rPr>
          <w:rFonts w:ascii="宋体" w:hAnsi="宋体"/>
          <w:position w:val="2"/>
          <w:sz w:val="24"/>
          <w:u w:val="single"/>
        </w:rPr>
      </w:pPr>
      <w:r>
        <w:rPr>
          <w:rFonts w:hint="eastAsia" w:ascii="宋体" w:hAnsi="宋体"/>
          <w:position w:val="2"/>
          <w:sz w:val="24"/>
        </w:rPr>
        <w:t>成员名称（盖章）：</w:t>
      </w:r>
    </w:p>
    <w:p>
      <w:pPr>
        <w:snapToGrid w:val="0"/>
        <w:spacing w:line="312" w:lineRule="auto"/>
        <w:ind w:firstLine="480" w:firstLineChars="200"/>
        <w:rPr>
          <w:rFonts w:ascii="宋体" w:hAnsi="宋体"/>
          <w:position w:val="2"/>
          <w:sz w:val="24"/>
        </w:rPr>
      </w:pPr>
      <w:r>
        <w:rPr>
          <w:rFonts w:hint="eastAsia" w:ascii="宋体" w:hAnsi="宋体"/>
          <w:position w:val="2"/>
          <w:sz w:val="24"/>
        </w:rPr>
        <w:t>法定代表人（签字或盖章）：</w:t>
      </w:r>
    </w:p>
    <w:p>
      <w:pPr>
        <w:adjustRightInd w:val="0"/>
        <w:snapToGrid w:val="0"/>
        <w:spacing w:line="312" w:lineRule="auto"/>
        <w:ind w:firstLine="535" w:firstLineChars="223"/>
        <w:rPr>
          <w:rFonts w:ascii="宋体" w:hAnsi="宋体"/>
          <w:position w:val="2"/>
          <w:sz w:val="24"/>
        </w:rPr>
      </w:pPr>
    </w:p>
    <w:p>
      <w:pPr>
        <w:snapToGrid w:val="0"/>
        <w:spacing w:line="312" w:lineRule="auto"/>
        <w:ind w:firstLine="480" w:firstLineChars="200"/>
        <w:jc w:val="right"/>
        <w:rPr>
          <w:rFonts w:ascii="宋体" w:hAnsi="宋体" w:cs="宋体"/>
          <w:sz w:val="30"/>
          <w:szCs w:val="30"/>
        </w:rPr>
      </w:pPr>
      <w:r>
        <w:rPr>
          <w:rFonts w:hint="eastAsia" w:ascii="宋体" w:hAnsi="宋体"/>
          <w:position w:val="2"/>
          <w:sz w:val="24"/>
        </w:rPr>
        <w:t>年</w:t>
      </w:r>
      <w:r>
        <w:rPr>
          <w:rFonts w:hint="eastAsia" w:ascii="宋体" w:hAnsi="宋体"/>
          <w:position w:val="2"/>
          <w:sz w:val="24"/>
          <w:lang w:val="en-US" w:eastAsia="zh-CN"/>
        </w:rPr>
        <w:t xml:space="preserve">  </w:t>
      </w:r>
      <w:r>
        <w:rPr>
          <w:rFonts w:hint="eastAsia" w:ascii="宋体" w:hAnsi="宋体"/>
          <w:position w:val="2"/>
          <w:sz w:val="24"/>
        </w:rPr>
        <w:t>月</w:t>
      </w:r>
      <w:r>
        <w:rPr>
          <w:rFonts w:hint="eastAsia" w:ascii="宋体" w:hAnsi="宋体"/>
          <w:position w:val="2"/>
          <w:sz w:val="24"/>
          <w:lang w:val="en-US" w:eastAsia="zh-CN"/>
        </w:rPr>
        <w:t xml:space="preserve">  </w:t>
      </w:r>
      <w:r>
        <w:rPr>
          <w:rFonts w:hint="eastAsia" w:ascii="宋体" w:hAnsi="宋体"/>
          <w:position w:val="2"/>
          <w:sz w:val="24"/>
        </w:rPr>
        <w:t>日</w:t>
      </w:r>
    </w:p>
    <w:p>
      <w:pPr>
        <w:pStyle w:val="87"/>
        <w:jc w:val="both"/>
        <w:rPr>
          <w:rFonts w:hint="eastAsia"/>
          <w:b w:val="0"/>
          <w:bCs w:val="0"/>
          <w:sz w:val="28"/>
          <w:szCs w:val="28"/>
          <w:lang w:val="en-US"/>
        </w:rPr>
      </w:pPr>
    </w:p>
    <w:sectPr>
      <w:pgSz w:w="11906" w:h="16838"/>
      <w:pgMar w:top="1440"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Microsoft YaHei UI">
    <w:altName w:val="宋体"/>
    <w:panose1 w:val="020B0503020204020204"/>
    <w:charset w:val="86"/>
    <w:family w:val="swiss"/>
    <w:pitch w:val="default"/>
    <w:sig w:usb0="00000000" w:usb1="00000000" w:usb2="00000016" w:usb3="00000000" w:csb0="0004001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272901"/>
    </w:sdtPr>
    <w:sdtContent>
      <w:p>
        <w:pPr>
          <w:pStyle w:val="56"/>
          <w:jc w:val="center"/>
        </w:pPr>
        <w:r>
          <w:fldChar w:fldCharType="begin"/>
        </w:r>
        <w:r>
          <w:instrText xml:space="preserve">PAGE   \* MERGEFORMAT</w:instrText>
        </w:r>
        <w:r>
          <w:fldChar w:fldCharType="separate"/>
        </w:r>
        <w:r>
          <w:t>42</w:t>
        </w:r>
        <w:r>
          <w:fldChar w:fldCharType="end"/>
        </w:r>
      </w:p>
    </w:sdtContent>
  </w:sdt>
  <w:p>
    <w:pPr>
      <w:pStyle w:val="5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single" w:color="auto" w:sz="6" w:space="2"/>
      </w:pBdr>
      <w:wordWrap w:val="0"/>
      <w:jc w:val="right"/>
    </w:pPr>
    <w:r>
      <w:rPr>
        <w:rFonts w:hint="eastAsia"/>
        <w:u w:val="single"/>
      </w:rP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104" w:hanging="529"/>
      </w:pPr>
      <w:rPr>
        <w:rFonts w:hint="default" w:ascii="宋体" w:hAnsi="宋体" w:eastAsia="宋体" w:cs="宋体"/>
        <w:b/>
        <w:bCs/>
        <w:spacing w:val="-53"/>
        <w:w w:val="100"/>
        <w:sz w:val="19"/>
        <w:szCs w:val="19"/>
        <w:lang w:val="zh-CN" w:eastAsia="zh-CN" w:bidi="zh-CN"/>
      </w:rPr>
    </w:lvl>
    <w:lvl w:ilvl="1" w:tentative="0">
      <w:start w:val="0"/>
      <w:numFmt w:val="bullet"/>
      <w:lvlText w:val="•"/>
      <w:lvlJc w:val="left"/>
      <w:pPr>
        <w:ind w:left="661" w:hanging="529"/>
      </w:pPr>
      <w:rPr>
        <w:rFonts w:hint="default"/>
        <w:lang w:val="zh-CN" w:eastAsia="zh-CN" w:bidi="zh-CN"/>
      </w:rPr>
    </w:lvl>
    <w:lvl w:ilvl="2" w:tentative="0">
      <w:start w:val="0"/>
      <w:numFmt w:val="bullet"/>
      <w:pStyle w:val="327"/>
      <w:lvlText w:val="•"/>
      <w:lvlJc w:val="left"/>
      <w:pPr>
        <w:ind w:left="1223" w:hanging="529"/>
      </w:pPr>
      <w:rPr>
        <w:rFonts w:hint="default"/>
        <w:lang w:val="zh-CN" w:eastAsia="zh-CN" w:bidi="zh-CN"/>
      </w:rPr>
    </w:lvl>
    <w:lvl w:ilvl="3" w:tentative="0">
      <w:start w:val="0"/>
      <w:numFmt w:val="bullet"/>
      <w:pStyle w:val="345"/>
      <w:lvlText w:val="•"/>
      <w:lvlJc w:val="left"/>
      <w:pPr>
        <w:ind w:left="1784" w:hanging="529"/>
      </w:pPr>
      <w:rPr>
        <w:rFonts w:hint="default"/>
        <w:lang w:val="zh-CN" w:eastAsia="zh-CN" w:bidi="zh-CN"/>
      </w:rPr>
    </w:lvl>
    <w:lvl w:ilvl="4" w:tentative="0">
      <w:start w:val="0"/>
      <w:numFmt w:val="bullet"/>
      <w:lvlText w:val="•"/>
      <w:lvlJc w:val="left"/>
      <w:pPr>
        <w:ind w:left="2346" w:hanging="529"/>
      </w:pPr>
      <w:rPr>
        <w:rFonts w:hint="default"/>
        <w:lang w:val="zh-CN" w:eastAsia="zh-CN" w:bidi="zh-CN"/>
      </w:rPr>
    </w:lvl>
    <w:lvl w:ilvl="5" w:tentative="0">
      <w:start w:val="0"/>
      <w:numFmt w:val="bullet"/>
      <w:lvlText w:val="•"/>
      <w:lvlJc w:val="left"/>
      <w:pPr>
        <w:ind w:left="2908" w:hanging="529"/>
      </w:pPr>
      <w:rPr>
        <w:rFonts w:hint="default"/>
        <w:lang w:val="zh-CN" w:eastAsia="zh-CN" w:bidi="zh-CN"/>
      </w:rPr>
    </w:lvl>
    <w:lvl w:ilvl="6" w:tentative="0">
      <w:start w:val="0"/>
      <w:numFmt w:val="bullet"/>
      <w:lvlText w:val="•"/>
      <w:lvlJc w:val="left"/>
      <w:pPr>
        <w:ind w:left="3469" w:hanging="529"/>
      </w:pPr>
      <w:rPr>
        <w:rFonts w:hint="default"/>
        <w:lang w:val="zh-CN" w:eastAsia="zh-CN" w:bidi="zh-CN"/>
      </w:rPr>
    </w:lvl>
    <w:lvl w:ilvl="7" w:tentative="0">
      <w:start w:val="0"/>
      <w:numFmt w:val="bullet"/>
      <w:lvlText w:val="•"/>
      <w:lvlJc w:val="left"/>
      <w:pPr>
        <w:ind w:left="4031" w:hanging="529"/>
      </w:pPr>
      <w:rPr>
        <w:rFonts w:hint="default"/>
        <w:lang w:val="zh-CN" w:eastAsia="zh-CN" w:bidi="zh-CN"/>
      </w:rPr>
    </w:lvl>
    <w:lvl w:ilvl="8" w:tentative="0">
      <w:start w:val="0"/>
      <w:numFmt w:val="bullet"/>
      <w:lvlText w:val="•"/>
      <w:lvlJc w:val="left"/>
      <w:pPr>
        <w:ind w:left="4592" w:hanging="529"/>
      </w:pPr>
      <w:rPr>
        <w:rFonts w:hint="default"/>
        <w:lang w:val="zh-CN" w:eastAsia="zh-CN" w:bidi="zh-CN"/>
      </w:rPr>
    </w:lvl>
  </w:abstractNum>
  <w:abstractNum w:abstractNumId="1">
    <w:nsid w:val="B867B550"/>
    <w:multiLevelType w:val="singleLevel"/>
    <w:tmpl w:val="B867B550"/>
    <w:lvl w:ilvl="0" w:tentative="0">
      <w:start w:val="1"/>
      <w:numFmt w:val="decimal"/>
      <w:suff w:val="nothing"/>
      <w:lvlText w:val="（%1）"/>
      <w:lvlJc w:val="left"/>
    </w:lvl>
  </w:abstractNum>
  <w:abstractNum w:abstractNumId="2">
    <w:nsid w:val="CF30D001"/>
    <w:multiLevelType w:val="singleLevel"/>
    <w:tmpl w:val="CF30D001"/>
    <w:lvl w:ilvl="0" w:tentative="0">
      <w:start w:val="1"/>
      <w:numFmt w:val="decimal"/>
      <w:suff w:val="nothing"/>
      <w:lvlText w:val="（%1）"/>
      <w:lvlJc w:val="left"/>
    </w:lvl>
  </w:abstractNum>
  <w:abstractNum w:abstractNumId="3">
    <w:nsid w:val="01097603"/>
    <w:multiLevelType w:val="multilevel"/>
    <w:tmpl w:val="01097603"/>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248C179"/>
    <w:multiLevelType w:val="multilevel"/>
    <w:tmpl w:val="0248C179"/>
    <w:lvl w:ilvl="0" w:tentative="0">
      <w:start w:val="1"/>
      <w:numFmt w:val="decimal"/>
      <w:pStyle w:val="346"/>
      <w:lvlText w:val="%1."/>
      <w:lvlJc w:val="left"/>
      <w:pPr>
        <w:ind w:left="1021" w:hanging="4"/>
      </w:pPr>
      <w:rPr>
        <w:rFonts w:hint="default" w:ascii="Times New Roman" w:hAnsi="Times New Roman" w:eastAsia="宋体" w:cs="Times New Roman"/>
        <w:w w:val="100"/>
        <w:sz w:val="28"/>
        <w:szCs w:val="28"/>
        <w:lang w:val="zh-CN" w:eastAsia="zh-CN" w:bidi="zh-CN"/>
      </w:rPr>
    </w:lvl>
    <w:lvl w:ilvl="1" w:tentative="0">
      <w:start w:val="1"/>
      <w:numFmt w:val="decimal"/>
      <w:lvlText w:val="%1.%2"/>
      <w:lvlJc w:val="left"/>
      <w:pPr>
        <w:ind w:left="1438" w:hanging="420"/>
      </w:pPr>
      <w:rPr>
        <w:rFonts w:hint="default" w:ascii="Times New Roman" w:hAnsi="Times New Roman" w:eastAsia="宋体" w:cs="Times New Roman"/>
        <w:spacing w:val="-1"/>
        <w:w w:val="100"/>
        <w:sz w:val="24"/>
        <w:szCs w:val="24"/>
        <w:lang w:val="zh-CN" w:eastAsia="zh-CN" w:bidi="zh-CN"/>
      </w:rPr>
    </w:lvl>
    <w:lvl w:ilvl="2" w:tentative="0">
      <w:start w:val="1"/>
      <w:numFmt w:val="decimal"/>
      <w:lvlText w:val="%1.%2.%3"/>
      <w:lvlJc w:val="left"/>
      <w:pPr>
        <w:ind w:left="1018" w:hanging="473"/>
      </w:pPr>
      <w:rPr>
        <w:rFonts w:hint="default"/>
        <w:w w:val="100"/>
        <w:lang w:val="zh-CN" w:eastAsia="zh-CN" w:bidi="zh-CN"/>
      </w:rPr>
    </w:lvl>
    <w:lvl w:ilvl="3" w:tentative="0">
      <w:start w:val="0"/>
      <w:numFmt w:val="bullet"/>
      <w:lvlText w:val="•"/>
      <w:lvlJc w:val="left"/>
      <w:pPr>
        <w:ind w:left="1440" w:hanging="473"/>
      </w:pPr>
      <w:rPr>
        <w:rFonts w:hint="default"/>
        <w:lang w:val="zh-CN" w:eastAsia="zh-CN" w:bidi="zh-CN"/>
      </w:rPr>
    </w:lvl>
    <w:lvl w:ilvl="4" w:tentative="0">
      <w:start w:val="0"/>
      <w:numFmt w:val="bullet"/>
      <w:lvlText w:val="•"/>
      <w:lvlJc w:val="left"/>
      <w:pPr>
        <w:ind w:left="1920" w:hanging="473"/>
      </w:pPr>
      <w:rPr>
        <w:rFonts w:hint="default"/>
        <w:lang w:val="zh-CN" w:eastAsia="zh-CN" w:bidi="zh-CN"/>
      </w:rPr>
    </w:lvl>
    <w:lvl w:ilvl="5" w:tentative="0">
      <w:start w:val="0"/>
      <w:numFmt w:val="bullet"/>
      <w:lvlText w:val="•"/>
      <w:lvlJc w:val="left"/>
      <w:pPr>
        <w:ind w:left="1960" w:hanging="473"/>
      </w:pPr>
      <w:rPr>
        <w:rFonts w:hint="default"/>
        <w:lang w:val="zh-CN" w:eastAsia="zh-CN" w:bidi="zh-CN"/>
      </w:rPr>
    </w:lvl>
    <w:lvl w:ilvl="6" w:tentative="0">
      <w:start w:val="0"/>
      <w:numFmt w:val="bullet"/>
      <w:lvlText w:val="•"/>
      <w:lvlJc w:val="left"/>
      <w:pPr>
        <w:ind w:left="3637" w:hanging="473"/>
      </w:pPr>
      <w:rPr>
        <w:rFonts w:hint="default"/>
        <w:lang w:val="zh-CN" w:eastAsia="zh-CN" w:bidi="zh-CN"/>
      </w:rPr>
    </w:lvl>
    <w:lvl w:ilvl="7" w:tentative="0">
      <w:start w:val="0"/>
      <w:numFmt w:val="bullet"/>
      <w:lvlText w:val="•"/>
      <w:lvlJc w:val="left"/>
      <w:pPr>
        <w:ind w:left="5314" w:hanging="473"/>
      </w:pPr>
      <w:rPr>
        <w:rFonts w:hint="default"/>
        <w:lang w:val="zh-CN" w:eastAsia="zh-CN" w:bidi="zh-CN"/>
      </w:rPr>
    </w:lvl>
    <w:lvl w:ilvl="8" w:tentative="0">
      <w:start w:val="0"/>
      <w:numFmt w:val="bullet"/>
      <w:lvlText w:val="•"/>
      <w:lvlJc w:val="left"/>
      <w:pPr>
        <w:ind w:left="6991" w:hanging="473"/>
      </w:pPr>
      <w:rPr>
        <w:rFonts w:hint="default"/>
        <w:lang w:val="zh-CN" w:eastAsia="zh-CN" w:bidi="zh-CN"/>
      </w:rPr>
    </w:lvl>
  </w:abstractNum>
  <w:abstractNum w:abstractNumId="5">
    <w:nsid w:val="20C891D9"/>
    <w:multiLevelType w:val="singleLevel"/>
    <w:tmpl w:val="20C891D9"/>
    <w:lvl w:ilvl="0" w:tentative="0">
      <w:start w:val="1"/>
      <w:numFmt w:val="decimal"/>
      <w:suff w:val="nothing"/>
      <w:lvlText w:val="（%1）"/>
      <w:lvlJc w:val="left"/>
      <w:pPr>
        <w:ind w:left="81"/>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1100"/>
  <w:drawingGridHorizontalSpacing w:val="110"/>
  <w:displayHorizontalDrawingGridEvery w:val="1"/>
  <w:displayVerticalDrawingGridEvery w:val="1"/>
  <w:noPunctuationKerning w:val="1"/>
  <w:characterSpacingControl w:val="doNotCompress"/>
  <w:footnotePr>
    <w:numRestart w:val="eachPage"/>
  </w:footnotePr>
  <w:endnotePr>
    <w:numRestart w:val="eachSect"/>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ZmM1MzA0YTI1NWY3ZjczZDY0NDQxYWU2NGI2NDQifQ=="/>
  </w:docVars>
  <w:rsids>
    <w:rsidRoot w:val="003349A3"/>
    <w:rsid w:val="00002E77"/>
    <w:rsid w:val="000041F5"/>
    <w:rsid w:val="0001082C"/>
    <w:rsid w:val="000165B8"/>
    <w:rsid w:val="00020EC6"/>
    <w:rsid w:val="000250AF"/>
    <w:rsid w:val="00057EE7"/>
    <w:rsid w:val="000637B9"/>
    <w:rsid w:val="0006601B"/>
    <w:rsid w:val="00074279"/>
    <w:rsid w:val="000843AA"/>
    <w:rsid w:val="00090121"/>
    <w:rsid w:val="000A2621"/>
    <w:rsid w:val="000A2B93"/>
    <w:rsid w:val="000A5509"/>
    <w:rsid w:val="000A7A6F"/>
    <w:rsid w:val="000A7C88"/>
    <w:rsid w:val="000C1062"/>
    <w:rsid w:val="000D4A66"/>
    <w:rsid w:val="000E569B"/>
    <w:rsid w:val="00103F7A"/>
    <w:rsid w:val="00105630"/>
    <w:rsid w:val="0010569A"/>
    <w:rsid w:val="0011133E"/>
    <w:rsid w:val="0011369C"/>
    <w:rsid w:val="00116334"/>
    <w:rsid w:val="00121536"/>
    <w:rsid w:val="00125BFA"/>
    <w:rsid w:val="001347A0"/>
    <w:rsid w:val="00142728"/>
    <w:rsid w:val="0014426F"/>
    <w:rsid w:val="00146A28"/>
    <w:rsid w:val="001537DA"/>
    <w:rsid w:val="00156EFA"/>
    <w:rsid w:val="001666AB"/>
    <w:rsid w:val="001675CD"/>
    <w:rsid w:val="0018785C"/>
    <w:rsid w:val="001A6EB3"/>
    <w:rsid w:val="001B478A"/>
    <w:rsid w:val="001B661E"/>
    <w:rsid w:val="00200489"/>
    <w:rsid w:val="00226BDD"/>
    <w:rsid w:val="002519CB"/>
    <w:rsid w:val="002558D1"/>
    <w:rsid w:val="00262395"/>
    <w:rsid w:val="00263CAE"/>
    <w:rsid w:val="00264805"/>
    <w:rsid w:val="00271784"/>
    <w:rsid w:val="0028067A"/>
    <w:rsid w:val="00284B09"/>
    <w:rsid w:val="00285BA7"/>
    <w:rsid w:val="002918B8"/>
    <w:rsid w:val="0029572F"/>
    <w:rsid w:val="002A020D"/>
    <w:rsid w:val="002A1AB6"/>
    <w:rsid w:val="002A3D10"/>
    <w:rsid w:val="002B423C"/>
    <w:rsid w:val="002D5B28"/>
    <w:rsid w:val="002E2037"/>
    <w:rsid w:val="002E44AC"/>
    <w:rsid w:val="002E46A2"/>
    <w:rsid w:val="003047D2"/>
    <w:rsid w:val="00305AA3"/>
    <w:rsid w:val="003079A0"/>
    <w:rsid w:val="00310D92"/>
    <w:rsid w:val="00323D42"/>
    <w:rsid w:val="0032592C"/>
    <w:rsid w:val="003322A8"/>
    <w:rsid w:val="003349A3"/>
    <w:rsid w:val="00342E10"/>
    <w:rsid w:val="00345529"/>
    <w:rsid w:val="00353A7A"/>
    <w:rsid w:val="00356C51"/>
    <w:rsid w:val="00360A63"/>
    <w:rsid w:val="00365141"/>
    <w:rsid w:val="003669DA"/>
    <w:rsid w:val="00367744"/>
    <w:rsid w:val="003721B7"/>
    <w:rsid w:val="00374CC4"/>
    <w:rsid w:val="003923EB"/>
    <w:rsid w:val="003A2995"/>
    <w:rsid w:val="003A69AD"/>
    <w:rsid w:val="003B3F7A"/>
    <w:rsid w:val="003B476B"/>
    <w:rsid w:val="003B5CB8"/>
    <w:rsid w:val="003B7DBF"/>
    <w:rsid w:val="003D36E2"/>
    <w:rsid w:val="003D370A"/>
    <w:rsid w:val="003E41FF"/>
    <w:rsid w:val="003E6AE9"/>
    <w:rsid w:val="00402449"/>
    <w:rsid w:val="00412B4B"/>
    <w:rsid w:val="00417BB1"/>
    <w:rsid w:val="00421422"/>
    <w:rsid w:val="00425877"/>
    <w:rsid w:val="004312F1"/>
    <w:rsid w:val="00437B31"/>
    <w:rsid w:val="00447F01"/>
    <w:rsid w:val="00455AD4"/>
    <w:rsid w:val="004569E9"/>
    <w:rsid w:val="00463F86"/>
    <w:rsid w:val="00464F2F"/>
    <w:rsid w:val="00473D32"/>
    <w:rsid w:val="00477C80"/>
    <w:rsid w:val="0048488A"/>
    <w:rsid w:val="0049639E"/>
    <w:rsid w:val="004A5923"/>
    <w:rsid w:val="004B2C25"/>
    <w:rsid w:val="004B68D9"/>
    <w:rsid w:val="004C04F5"/>
    <w:rsid w:val="004C2A17"/>
    <w:rsid w:val="004C2C7E"/>
    <w:rsid w:val="004C4A03"/>
    <w:rsid w:val="004D7175"/>
    <w:rsid w:val="004E3AC7"/>
    <w:rsid w:val="0052563D"/>
    <w:rsid w:val="00527E8F"/>
    <w:rsid w:val="00534246"/>
    <w:rsid w:val="0053712D"/>
    <w:rsid w:val="00542DE8"/>
    <w:rsid w:val="0055069F"/>
    <w:rsid w:val="005508DC"/>
    <w:rsid w:val="0055507D"/>
    <w:rsid w:val="005555EB"/>
    <w:rsid w:val="005604C2"/>
    <w:rsid w:val="00560680"/>
    <w:rsid w:val="00561269"/>
    <w:rsid w:val="00563CDE"/>
    <w:rsid w:val="005701A3"/>
    <w:rsid w:val="00576C5D"/>
    <w:rsid w:val="00577111"/>
    <w:rsid w:val="00591344"/>
    <w:rsid w:val="005A6C20"/>
    <w:rsid w:val="005B6B08"/>
    <w:rsid w:val="005D17E3"/>
    <w:rsid w:val="005D648B"/>
    <w:rsid w:val="005E6E8E"/>
    <w:rsid w:val="005F4B16"/>
    <w:rsid w:val="005F61C6"/>
    <w:rsid w:val="0061267E"/>
    <w:rsid w:val="006148DF"/>
    <w:rsid w:val="00621739"/>
    <w:rsid w:val="00626668"/>
    <w:rsid w:val="006267BA"/>
    <w:rsid w:val="0062793C"/>
    <w:rsid w:val="006466E4"/>
    <w:rsid w:val="006507AC"/>
    <w:rsid w:val="0065622A"/>
    <w:rsid w:val="006630CE"/>
    <w:rsid w:val="00666C59"/>
    <w:rsid w:val="00670E5B"/>
    <w:rsid w:val="00682D78"/>
    <w:rsid w:val="00683AA3"/>
    <w:rsid w:val="006860BD"/>
    <w:rsid w:val="006871B7"/>
    <w:rsid w:val="006941CC"/>
    <w:rsid w:val="00695053"/>
    <w:rsid w:val="006A2D9A"/>
    <w:rsid w:val="006B3A47"/>
    <w:rsid w:val="006B42B8"/>
    <w:rsid w:val="006C7A74"/>
    <w:rsid w:val="006D782C"/>
    <w:rsid w:val="006D7F3B"/>
    <w:rsid w:val="006E2C18"/>
    <w:rsid w:val="006F3D63"/>
    <w:rsid w:val="006F433E"/>
    <w:rsid w:val="00700170"/>
    <w:rsid w:val="0070057E"/>
    <w:rsid w:val="0070284F"/>
    <w:rsid w:val="00704336"/>
    <w:rsid w:val="007078B9"/>
    <w:rsid w:val="007224CA"/>
    <w:rsid w:val="007233E3"/>
    <w:rsid w:val="00723F65"/>
    <w:rsid w:val="007449B3"/>
    <w:rsid w:val="00754696"/>
    <w:rsid w:val="007549B7"/>
    <w:rsid w:val="00757027"/>
    <w:rsid w:val="00766167"/>
    <w:rsid w:val="00786A99"/>
    <w:rsid w:val="00791532"/>
    <w:rsid w:val="0079244E"/>
    <w:rsid w:val="007A3F61"/>
    <w:rsid w:val="007A5E6C"/>
    <w:rsid w:val="007B46C9"/>
    <w:rsid w:val="007D01A1"/>
    <w:rsid w:val="007D1AA8"/>
    <w:rsid w:val="007E0A41"/>
    <w:rsid w:val="007F119D"/>
    <w:rsid w:val="008028F0"/>
    <w:rsid w:val="008052B4"/>
    <w:rsid w:val="008118A2"/>
    <w:rsid w:val="0082216C"/>
    <w:rsid w:val="00830EAF"/>
    <w:rsid w:val="00835E15"/>
    <w:rsid w:val="008422A4"/>
    <w:rsid w:val="00844935"/>
    <w:rsid w:val="00850F18"/>
    <w:rsid w:val="00852630"/>
    <w:rsid w:val="00855E07"/>
    <w:rsid w:val="008611B9"/>
    <w:rsid w:val="008618B4"/>
    <w:rsid w:val="00867BE9"/>
    <w:rsid w:val="00871104"/>
    <w:rsid w:val="00887D34"/>
    <w:rsid w:val="008907FC"/>
    <w:rsid w:val="008A6C4A"/>
    <w:rsid w:val="008B07EE"/>
    <w:rsid w:val="008C1FD0"/>
    <w:rsid w:val="008C4748"/>
    <w:rsid w:val="008D3FD0"/>
    <w:rsid w:val="008E0DA2"/>
    <w:rsid w:val="008E5143"/>
    <w:rsid w:val="008F3994"/>
    <w:rsid w:val="00900C32"/>
    <w:rsid w:val="00922881"/>
    <w:rsid w:val="0093407F"/>
    <w:rsid w:val="009368DF"/>
    <w:rsid w:val="009448AD"/>
    <w:rsid w:val="0095418C"/>
    <w:rsid w:val="009560E5"/>
    <w:rsid w:val="00956C21"/>
    <w:rsid w:val="009623DA"/>
    <w:rsid w:val="00962D5F"/>
    <w:rsid w:val="0097436F"/>
    <w:rsid w:val="00974C82"/>
    <w:rsid w:val="009812AB"/>
    <w:rsid w:val="00984AE7"/>
    <w:rsid w:val="009942FB"/>
    <w:rsid w:val="009A2411"/>
    <w:rsid w:val="009A2952"/>
    <w:rsid w:val="009A38A3"/>
    <w:rsid w:val="009A7065"/>
    <w:rsid w:val="009B2FAB"/>
    <w:rsid w:val="009C1FAA"/>
    <w:rsid w:val="009C2556"/>
    <w:rsid w:val="009C46E4"/>
    <w:rsid w:val="009C6B2F"/>
    <w:rsid w:val="009D4243"/>
    <w:rsid w:val="009E0753"/>
    <w:rsid w:val="009F1F58"/>
    <w:rsid w:val="009F22B4"/>
    <w:rsid w:val="009F4CCC"/>
    <w:rsid w:val="009F72B2"/>
    <w:rsid w:val="00A0616C"/>
    <w:rsid w:val="00A171C7"/>
    <w:rsid w:val="00A21A40"/>
    <w:rsid w:val="00A25AFD"/>
    <w:rsid w:val="00A4303D"/>
    <w:rsid w:val="00A43F94"/>
    <w:rsid w:val="00A469FD"/>
    <w:rsid w:val="00A6095B"/>
    <w:rsid w:val="00A72702"/>
    <w:rsid w:val="00A7413D"/>
    <w:rsid w:val="00A75AE6"/>
    <w:rsid w:val="00A94261"/>
    <w:rsid w:val="00AA068C"/>
    <w:rsid w:val="00AA6575"/>
    <w:rsid w:val="00AC17EE"/>
    <w:rsid w:val="00AD758E"/>
    <w:rsid w:val="00AE2F28"/>
    <w:rsid w:val="00AE4B45"/>
    <w:rsid w:val="00AE6D81"/>
    <w:rsid w:val="00AF42FB"/>
    <w:rsid w:val="00B01B1C"/>
    <w:rsid w:val="00B119E6"/>
    <w:rsid w:val="00B13834"/>
    <w:rsid w:val="00B16072"/>
    <w:rsid w:val="00B22ADB"/>
    <w:rsid w:val="00B2353D"/>
    <w:rsid w:val="00B422A6"/>
    <w:rsid w:val="00B47B90"/>
    <w:rsid w:val="00B55CE5"/>
    <w:rsid w:val="00B6112B"/>
    <w:rsid w:val="00B6539B"/>
    <w:rsid w:val="00B71E92"/>
    <w:rsid w:val="00B73DAE"/>
    <w:rsid w:val="00B7681A"/>
    <w:rsid w:val="00B83E1C"/>
    <w:rsid w:val="00BB3989"/>
    <w:rsid w:val="00BD1230"/>
    <w:rsid w:val="00BD73C0"/>
    <w:rsid w:val="00BE0BD8"/>
    <w:rsid w:val="00BE315D"/>
    <w:rsid w:val="00BE359B"/>
    <w:rsid w:val="00BE6EF6"/>
    <w:rsid w:val="00BE716A"/>
    <w:rsid w:val="00BF30D2"/>
    <w:rsid w:val="00BF4718"/>
    <w:rsid w:val="00BF797A"/>
    <w:rsid w:val="00C01F26"/>
    <w:rsid w:val="00C023AB"/>
    <w:rsid w:val="00C26CD0"/>
    <w:rsid w:val="00C3089F"/>
    <w:rsid w:val="00C41095"/>
    <w:rsid w:val="00C45BDE"/>
    <w:rsid w:val="00C528C6"/>
    <w:rsid w:val="00C52FDB"/>
    <w:rsid w:val="00C64D98"/>
    <w:rsid w:val="00C70824"/>
    <w:rsid w:val="00C7138F"/>
    <w:rsid w:val="00C761EA"/>
    <w:rsid w:val="00C762FF"/>
    <w:rsid w:val="00C85743"/>
    <w:rsid w:val="00C866FD"/>
    <w:rsid w:val="00C87E34"/>
    <w:rsid w:val="00C91855"/>
    <w:rsid w:val="00CA0074"/>
    <w:rsid w:val="00CA3E87"/>
    <w:rsid w:val="00CC11AF"/>
    <w:rsid w:val="00CC123F"/>
    <w:rsid w:val="00CC459A"/>
    <w:rsid w:val="00CC737E"/>
    <w:rsid w:val="00CC79B1"/>
    <w:rsid w:val="00CD37D6"/>
    <w:rsid w:val="00CD7E1B"/>
    <w:rsid w:val="00CE249F"/>
    <w:rsid w:val="00CF14EE"/>
    <w:rsid w:val="00D03C5F"/>
    <w:rsid w:val="00D03E79"/>
    <w:rsid w:val="00D062A1"/>
    <w:rsid w:val="00D10A2D"/>
    <w:rsid w:val="00D16D63"/>
    <w:rsid w:val="00D16E94"/>
    <w:rsid w:val="00D21E7D"/>
    <w:rsid w:val="00D22D35"/>
    <w:rsid w:val="00D236EF"/>
    <w:rsid w:val="00D65C81"/>
    <w:rsid w:val="00D75BC6"/>
    <w:rsid w:val="00D8565B"/>
    <w:rsid w:val="00D92527"/>
    <w:rsid w:val="00DA3F3C"/>
    <w:rsid w:val="00DB0F6B"/>
    <w:rsid w:val="00DB1880"/>
    <w:rsid w:val="00DC2064"/>
    <w:rsid w:val="00DC7137"/>
    <w:rsid w:val="00DC724F"/>
    <w:rsid w:val="00DD3A9B"/>
    <w:rsid w:val="00DE0811"/>
    <w:rsid w:val="00DE61E8"/>
    <w:rsid w:val="00DF555C"/>
    <w:rsid w:val="00E14CC1"/>
    <w:rsid w:val="00E213BF"/>
    <w:rsid w:val="00E40AA6"/>
    <w:rsid w:val="00E53AF9"/>
    <w:rsid w:val="00E57B81"/>
    <w:rsid w:val="00E64E92"/>
    <w:rsid w:val="00E66350"/>
    <w:rsid w:val="00E70B65"/>
    <w:rsid w:val="00E77C7F"/>
    <w:rsid w:val="00E879BA"/>
    <w:rsid w:val="00E92659"/>
    <w:rsid w:val="00EA4DC9"/>
    <w:rsid w:val="00EB3BD5"/>
    <w:rsid w:val="00EC1E72"/>
    <w:rsid w:val="00EC7699"/>
    <w:rsid w:val="00ED0853"/>
    <w:rsid w:val="00EE5652"/>
    <w:rsid w:val="00EE6E0D"/>
    <w:rsid w:val="00EE7769"/>
    <w:rsid w:val="00EF02A1"/>
    <w:rsid w:val="00F04A80"/>
    <w:rsid w:val="00F14162"/>
    <w:rsid w:val="00F1601F"/>
    <w:rsid w:val="00F22E52"/>
    <w:rsid w:val="00F379CD"/>
    <w:rsid w:val="00F40DC9"/>
    <w:rsid w:val="00F44550"/>
    <w:rsid w:val="00F523AE"/>
    <w:rsid w:val="00F5351D"/>
    <w:rsid w:val="00F54156"/>
    <w:rsid w:val="00F54670"/>
    <w:rsid w:val="00F66A27"/>
    <w:rsid w:val="00F67089"/>
    <w:rsid w:val="00F75FB9"/>
    <w:rsid w:val="00F76A97"/>
    <w:rsid w:val="00F77F49"/>
    <w:rsid w:val="00F81E48"/>
    <w:rsid w:val="00F81FE3"/>
    <w:rsid w:val="00F83C0A"/>
    <w:rsid w:val="00F85645"/>
    <w:rsid w:val="00F959CC"/>
    <w:rsid w:val="00FA22E5"/>
    <w:rsid w:val="00FA6D59"/>
    <w:rsid w:val="00FB2CF7"/>
    <w:rsid w:val="00FB54EE"/>
    <w:rsid w:val="00FB6BA6"/>
    <w:rsid w:val="00FB7B1E"/>
    <w:rsid w:val="00FD5BDA"/>
    <w:rsid w:val="00FD76AE"/>
    <w:rsid w:val="00FD7DF9"/>
    <w:rsid w:val="00FE39A2"/>
    <w:rsid w:val="00FF3A1B"/>
    <w:rsid w:val="00FF55FA"/>
    <w:rsid w:val="01223693"/>
    <w:rsid w:val="01423F24"/>
    <w:rsid w:val="01B67BA6"/>
    <w:rsid w:val="01D44954"/>
    <w:rsid w:val="02835538"/>
    <w:rsid w:val="03D177E1"/>
    <w:rsid w:val="04385E02"/>
    <w:rsid w:val="04553F6E"/>
    <w:rsid w:val="04701D59"/>
    <w:rsid w:val="057E12A3"/>
    <w:rsid w:val="058A157F"/>
    <w:rsid w:val="05D41610"/>
    <w:rsid w:val="05D435B9"/>
    <w:rsid w:val="0607005F"/>
    <w:rsid w:val="060E30C9"/>
    <w:rsid w:val="066269F2"/>
    <w:rsid w:val="06BE0812"/>
    <w:rsid w:val="06EF751B"/>
    <w:rsid w:val="071B5DFF"/>
    <w:rsid w:val="07CD6512"/>
    <w:rsid w:val="07DA54AD"/>
    <w:rsid w:val="08316159"/>
    <w:rsid w:val="085212EA"/>
    <w:rsid w:val="09261D4A"/>
    <w:rsid w:val="092D435B"/>
    <w:rsid w:val="092F73E3"/>
    <w:rsid w:val="09846F78"/>
    <w:rsid w:val="09D65A85"/>
    <w:rsid w:val="0A1B63C5"/>
    <w:rsid w:val="0AE66F40"/>
    <w:rsid w:val="0C126A62"/>
    <w:rsid w:val="0C532B29"/>
    <w:rsid w:val="0C571737"/>
    <w:rsid w:val="0D317F1B"/>
    <w:rsid w:val="0DB311D0"/>
    <w:rsid w:val="0DF0620A"/>
    <w:rsid w:val="0E425D5A"/>
    <w:rsid w:val="0F017179"/>
    <w:rsid w:val="0F901E69"/>
    <w:rsid w:val="0FB26157"/>
    <w:rsid w:val="0FBC730D"/>
    <w:rsid w:val="0FC14530"/>
    <w:rsid w:val="0FF30DFF"/>
    <w:rsid w:val="104F7F56"/>
    <w:rsid w:val="10B03830"/>
    <w:rsid w:val="10FA2FB2"/>
    <w:rsid w:val="1247288C"/>
    <w:rsid w:val="12C533D0"/>
    <w:rsid w:val="134275DD"/>
    <w:rsid w:val="139D0860"/>
    <w:rsid w:val="146328CA"/>
    <w:rsid w:val="14F6638C"/>
    <w:rsid w:val="15340025"/>
    <w:rsid w:val="157B75AD"/>
    <w:rsid w:val="160E2ABA"/>
    <w:rsid w:val="162C55CC"/>
    <w:rsid w:val="17751364"/>
    <w:rsid w:val="17B16CE3"/>
    <w:rsid w:val="17E256C1"/>
    <w:rsid w:val="17F56055"/>
    <w:rsid w:val="184F384A"/>
    <w:rsid w:val="186D5D5D"/>
    <w:rsid w:val="18851A20"/>
    <w:rsid w:val="18C05BC8"/>
    <w:rsid w:val="19273E68"/>
    <w:rsid w:val="19405606"/>
    <w:rsid w:val="198C1E44"/>
    <w:rsid w:val="19F90FC5"/>
    <w:rsid w:val="1A2F0966"/>
    <w:rsid w:val="1B4941E3"/>
    <w:rsid w:val="1B802DBA"/>
    <w:rsid w:val="1B900AE7"/>
    <w:rsid w:val="1BF91366"/>
    <w:rsid w:val="1C0E7EC3"/>
    <w:rsid w:val="1C4126CE"/>
    <w:rsid w:val="1D140326"/>
    <w:rsid w:val="1D9B526A"/>
    <w:rsid w:val="1E2017B6"/>
    <w:rsid w:val="1E6A2317"/>
    <w:rsid w:val="1E9138F9"/>
    <w:rsid w:val="1E9A4F48"/>
    <w:rsid w:val="1EA01D36"/>
    <w:rsid w:val="1F571374"/>
    <w:rsid w:val="1F5F5F1B"/>
    <w:rsid w:val="1F86443F"/>
    <w:rsid w:val="1F912307"/>
    <w:rsid w:val="204D15DE"/>
    <w:rsid w:val="2056391B"/>
    <w:rsid w:val="207708F7"/>
    <w:rsid w:val="21632518"/>
    <w:rsid w:val="21F91F85"/>
    <w:rsid w:val="22317971"/>
    <w:rsid w:val="2232148D"/>
    <w:rsid w:val="226055BA"/>
    <w:rsid w:val="22F818CE"/>
    <w:rsid w:val="23A170F8"/>
    <w:rsid w:val="23E93C4D"/>
    <w:rsid w:val="23F41D06"/>
    <w:rsid w:val="23FF0099"/>
    <w:rsid w:val="240007DE"/>
    <w:rsid w:val="2414237A"/>
    <w:rsid w:val="245551A5"/>
    <w:rsid w:val="25A83BC7"/>
    <w:rsid w:val="25B82873"/>
    <w:rsid w:val="261E703F"/>
    <w:rsid w:val="273B4DEE"/>
    <w:rsid w:val="27705A4F"/>
    <w:rsid w:val="279F712B"/>
    <w:rsid w:val="27B76782"/>
    <w:rsid w:val="286228EF"/>
    <w:rsid w:val="289724F8"/>
    <w:rsid w:val="28CB1B1A"/>
    <w:rsid w:val="292B2E12"/>
    <w:rsid w:val="294F0DD5"/>
    <w:rsid w:val="297A7150"/>
    <w:rsid w:val="29AD6126"/>
    <w:rsid w:val="29E955EA"/>
    <w:rsid w:val="2B162707"/>
    <w:rsid w:val="2B3D4194"/>
    <w:rsid w:val="2BAA609E"/>
    <w:rsid w:val="2BB4760D"/>
    <w:rsid w:val="2CB325A0"/>
    <w:rsid w:val="2CC118F2"/>
    <w:rsid w:val="2DFB73A4"/>
    <w:rsid w:val="2E334B0F"/>
    <w:rsid w:val="2E4A5917"/>
    <w:rsid w:val="2E515797"/>
    <w:rsid w:val="2E713905"/>
    <w:rsid w:val="2EA65243"/>
    <w:rsid w:val="2F6850AF"/>
    <w:rsid w:val="3029210A"/>
    <w:rsid w:val="30E958BB"/>
    <w:rsid w:val="311347D3"/>
    <w:rsid w:val="313635B3"/>
    <w:rsid w:val="31BA7B0F"/>
    <w:rsid w:val="33874D19"/>
    <w:rsid w:val="339A16C4"/>
    <w:rsid w:val="34C93413"/>
    <w:rsid w:val="355A5E3F"/>
    <w:rsid w:val="358A2F3C"/>
    <w:rsid w:val="35BC40EE"/>
    <w:rsid w:val="36D1364D"/>
    <w:rsid w:val="36FD1BA4"/>
    <w:rsid w:val="373A55D5"/>
    <w:rsid w:val="374970B3"/>
    <w:rsid w:val="374F5685"/>
    <w:rsid w:val="378350AF"/>
    <w:rsid w:val="37C14E9C"/>
    <w:rsid w:val="38164BC6"/>
    <w:rsid w:val="38392C84"/>
    <w:rsid w:val="386F4F43"/>
    <w:rsid w:val="38A13333"/>
    <w:rsid w:val="398771A2"/>
    <w:rsid w:val="39C13674"/>
    <w:rsid w:val="3AB5241C"/>
    <w:rsid w:val="3B51299A"/>
    <w:rsid w:val="3B8F4E6E"/>
    <w:rsid w:val="3BA328EA"/>
    <w:rsid w:val="3BCA646A"/>
    <w:rsid w:val="3C971600"/>
    <w:rsid w:val="3CD967E3"/>
    <w:rsid w:val="3D04639A"/>
    <w:rsid w:val="3D0C1D7C"/>
    <w:rsid w:val="3D285365"/>
    <w:rsid w:val="3E080110"/>
    <w:rsid w:val="3E147357"/>
    <w:rsid w:val="3E89222D"/>
    <w:rsid w:val="3EAD1E7A"/>
    <w:rsid w:val="3EBE7B35"/>
    <w:rsid w:val="3EF66B94"/>
    <w:rsid w:val="3F4D3FA4"/>
    <w:rsid w:val="3FB03677"/>
    <w:rsid w:val="3FB209A5"/>
    <w:rsid w:val="40776A3F"/>
    <w:rsid w:val="409343CA"/>
    <w:rsid w:val="410D4F89"/>
    <w:rsid w:val="41604DB1"/>
    <w:rsid w:val="418541B8"/>
    <w:rsid w:val="41964A03"/>
    <w:rsid w:val="41AB59A4"/>
    <w:rsid w:val="425676F2"/>
    <w:rsid w:val="427F097F"/>
    <w:rsid w:val="430360C6"/>
    <w:rsid w:val="43C3171A"/>
    <w:rsid w:val="44A55A8C"/>
    <w:rsid w:val="44FD52F5"/>
    <w:rsid w:val="452122B5"/>
    <w:rsid w:val="45A14200"/>
    <w:rsid w:val="45C22E09"/>
    <w:rsid w:val="463D3884"/>
    <w:rsid w:val="46AB0C2E"/>
    <w:rsid w:val="46DC24DD"/>
    <w:rsid w:val="490F6CAC"/>
    <w:rsid w:val="49E80143"/>
    <w:rsid w:val="4A174DDD"/>
    <w:rsid w:val="4A6A7C68"/>
    <w:rsid w:val="4A965D14"/>
    <w:rsid w:val="4AC7262D"/>
    <w:rsid w:val="4ACD4493"/>
    <w:rsid w:val="4AFE2B77"/>
    <w:rsid w:val="4B4B7850"/>
    <w:rsid w:val="4C591A99"/>
    <w:rsid w:val="4D245859"/>
    <w:rsid w:val="4D3C38E9"/>
    <w:rsid w:val="4E2E5133"/>
    <w:rsid w:val="4F550422"/>
    <w:rsid w:val="4FD103E2"/>
    <w:rsid w:val="4FE64D0E"/>
    <w:rsid w:val="500F0E0F"/>
    <w:rsid w:val="503207F0"/>
    <w:rsid w:val="50463657"/>
    <w:rsid w:val="50630D92"/>
    <w:rsid w:val="509B37B5"/>
    <w:rsid w:val="50CC73C9"/>
    <w:rsid w:val="52AA3E9C"/>
    <w:rsid w:val="52DB5137"/>
    <w:rsid w:val="534B35B9"/>
    <w:rsid w:val="53A278EF"/>
    <w:rsid w:val="53C546E7"/>
    <w:rsid w:val="546A12DE"/>
    <w:rsid w:val="549A0414"/>
    <w:rsid w:val="551B5A24"/>
    <w:rsid w:val="551C402C"/>
    <w:rsid w:val="56935660"/>
    <w:rsid w:val="57914433"/>
    <w:rsid w:val="57F75770"/>
    <w:rsid w:val="57FA7375"/>
    <w:rsid w:val="58A65CBC"/>
    <w:rsid w:val="59307FC0"/>
    <w:rsid w:val="59385051"/>
    <w:rsid w:val="5939684E"/>
    <w:rsid w:val="597B46EF"/>
    <w:rsid w:val="599D23F0"/>
    <w:rsid w:val="59BC57BC"/>
    <w:rsid w:val="59FA59DB"/>
    <w:rsid w:val="5B150C18"/>
    <w:rsid w:val="5B2E39D5"/>
    <w:rsid w:val="5B316E22"/>
    <w:rsid w:val="5CEA020B"/>
    <w:rsid w:val="5CEB62F1"/>
    <w:rsid w:val="5DA27BC8"/>
    <w:rsid w:val="5DA8010E"/>
    <w:rsid w:val="5DDA6C69"/>
    <w:rsid w:val="5DF46060"/>
    <w:rsid w:val="5E536F77"/>
    <w:rsid w:val="5EED56FE"/>
    <w:rsid w:val="5F3457CD"/>
    <w:rsid w:val="5F696FBD"/>
    <w:rsid w:val="5FBC79C8"/>
    <w:rsid w:val="5FE91AD1"/>
    <w:rsid w:val="602E7306"/>
    <w:rsid w:val="606F72DB"/>
    <w:rsid w:val="60936B26"/>
    <w:rsid w:val="618E0F15"/>
    <w:rsid w:val="61964A95"/>
    <w:rsid w:val="6280146A"/>
    <w:rsid w:val="62CA338D"/>
    <w:rsid w:val="62D35F60"/>
    <w:rsid w:val="63355780"/>
    <w:rsid w:val="6393288B"/>
    <w:rsid w:val="6429647B"/>
    <w:rsid w:val="6503290B"/>
    <w:rsid w:val="65606345"/>
    <w:rsid w:val="65995EA2"/>
    <w:rsid w:val="65AA5C5F"/>
    <w:rsid w:val="65F944E3"/>
    <w:rsid w:val="66423801"/>
    <w:rsid w:val="664F781C"/>
    <w:rsid w:val="66797058"/>
    <w:rsid w:val="667B43E1"/>
    <w:rsid w:val="66AE5B9B"/>
    <w:rsid w:val="66AF27A2"/>
    <w:rsid w:val="66CC4A7D"/>
    <w:rsid w:val="66E815AD"/>
    <w:rsid w:val="670A0C51"/>
    <w:rsid w:val="67416CD5"/>
    <w:rsid w:val="67B542C4"/>
    <w:rsid w:val="683A4E75"/>
    <w:rsid w:val="692344FD"/>
    <w:rsid w:val="69480A64"/>
    <w:rsid w:val="69487FAE"/>
    <w:rsid w:val="696C489B"/>
    <w:rsid w:val="6AAD3E78"/>
    <w:rsid w:val="6B00125C"/>
    <w:rsid w:val="6B9323ED"/>
    <w:rsid w:val="6B96396E"/>
    <w:rsid w:val="6BA37E39"/>
    <w:rsid w:val="6BF94D0D"/>
    <w:rsid w:val="6C574F5B"/>
    <w:rsid w:val="6C587B3E"/>
    <w:rsid w:val="6C657A04"/>
    <w:rsid w:val="6CEB454E"/>
    <w:rsid w:val="6D271E1C"/>
    <w:rsid w:val="6DF63F23"/>
    <w:rsid w:val="6E2208B9"/>
    <w:rsid w:val="6E9A1B47"/>
    <w:rsid w:val="6EB91C12"/>
    <w:rsid w:val="702B2632"/>
    <w:rsid w:val="705B6F34"/>
    <w:rsid w:val="70CE5566"/>
    <w:rsid w:val="712C764A"/>
    <w:rsid w:val="7131029F"/>
    <w:rsid w:val="72132184"/>
    <w:rsid w:val="728817AF"/>
    <w:rsid w:val="72F01BB6"/>
    <w:rsid w:val="73891B3E"/>
    <w:rsid w:val="74E71D59"/>
    <w:rsid w:val="75573B34"/>
    <w:rsid w:val="756F6C3E"/>
    <w:rsid w:val="75EF0EAF"/>
    <w:rsid w:val="76626C9E"/>
    <w:rsid w:val="76BD617A"/>
    <w:rsid w:val="76EC2FDC"/>
    <w:rsid w:val="771809E7"/>
    <w:rsid w:val="777810DB"/>
    <w:rsid w:val="7791148D"/>
    <w:rsid w:val="77CD36CB"/>
    <w:rsid w:val="77EA047A"/>
    <w:rsid w:val="77EA0E90"/>
    <w:rsid w:val="792D6EB4"/>
    <w:rsid w:val="794F6457"/>
    <w:rsid w:val="79807640"/>
    <w:rsid w:val="798F0B82"/>
    <w:rsid w:val="79F1600A"/>
    <w:rsid w:val="7A062D2B"/>
    <w:rsid w:val="7A792831"/>
    <w:rsid w:val="7B304C3B"/>
    <w:rsid w:val="7C8765DC"/>
    <w:rsid w:val="7CC1140A"/>
    <w:rsid w:val="7CE534D0"/>
    <w:rsid w:val="7D0254F6"/>
    <w:rsid w:val="7D0577AF"/>
    <w:rsid w:val="7DB858B4"/>
    <w:rsid w:val="7DE927A5"/>
    <w:rsid w:val="7E0D3F64"/>
    <w:rsid w:val="7E366483"/>
    <w:rsid w:val="7E5F5C1E"/>
    <w:rsid w:val="7F435255"/>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5">
    <w:name w:val="heading 1"/>
    <w:basedOn w:val="1"/>
    <w:next w:val="1"/>
    <w:link w:val="124"/>
    <w:qFormat/>
    <w:uiPriority w:val="0"/>
    <w:pPr>
      <w:ind w:left="391"/>
      <w:jc w:val="center"/>
      <w:outlineLvl w:val="0"/>
    </w:pPr>
    <w:rPr>
      <w:b/>
      <w:bCs/>
      <w:sz w:val="44"/>
      <w:szCs w:val="44"/>
    </w:rPr>
  </w:style>
  <w:style w:type="paragraph" w:styleId="6">
    <w:name w:val="heading 2"/>
    <w:basedOn w:val="1"/>
    <w:next w:val="1"/>
    <w:link w:val="125"/>
    <w:qFormat/>
    <w:uiPriority w:val="0"/>
    <w:pPr>
      <w:ind w:left="997" w:right="998"/>
      <w:jc w:val="center"/>
      <w:outlineLvl w:val="1"/>
    </w:pPr>
    <w:rPr>
      <w:rFonts w:ascii="黑体" w:hAnsi="黑体" w:eastAsia="黑体" w:cs="黑体"/>
      <w:b/>
      <w:bCs/>
      <w:sz w:val="36"/>
      <w:szCs w:val="36"/>
    </w:rPr>
  </w:style>
  <w:style w:type="paragraph" w:styleId="7">
    <w:name w:val="heading 3"/>
    <w:basedOn w:val="1"/>
    <w:next w:val="1"/>
    <w:link w:val="126"/>
    <w:qFormat/>
    <w:uiPriority w:val="0"/>
    <w:pPr>
      <w:spacing w:before="54"/>
      <w:ind w:right="998"/>
      <w:jc w:val="center"/>
      <w:outlineLvl w:val="2"/>
    </w:pPr>
    <w:rPr>
      <w:rFonts w:ascii="黑体" w:hAnsi="黑体" w:eastAsia="黑体" w:cs="黑体"/>
      <w:b/>
      <w:bCs/>
      <w:sz w:val="32"/>
      <w:szCs w:val="32"/>
    </w:rPr>
  </w:style>
  <w:style w:type="paragraph" w:styleId="8">
    <w:name w:val="heading 4"/>
    <w:basedOn w:val="1"/>
    <w:next w:val="1"/>
    <w:link w:val="127"/>
    <w:qFormat/>
    <w:uiPriority w:val="0"/>
    <w:pPr>
      <w:spacing w:before="54"/>
      <w:ind w:left="998" w:right="870"/>
      <w:jc w:val="center"/>
      <w:outlineLvl w:val="3"/>
    </w:pPr>
    <w:rPr>
      <w:rFonts w:ascii="黑体" w:hAnsi="黑体" w:eastAsia="黑体" w:cs="黑体"/>
      <w:sz w:val="32"/>
      <w:szCs w:val="32"/>
    </w:rPr>
  </w:style>
  <w:style w:type="paragraph" w:styleId="9">
    <w:name w:val="heading 5"/>
    <w:basedOn w:val="1"/>
    <w:next w:val="1"/>
    <w:link w:val="128"/>
    <w:qFormat/>
    <w:uiPriority w:val="0"/>
    <w:pPr>
      <w:ind w:left="523"/>
      <w:outlineLvl w:val="4"/>
    </w:pPr>
    <w:rPr>
      <w:b/>
      <w:bCs/>
      <w:sz w:val="28"/>
      <w:szCs w:val="28"/>
    </w:rPr>
  </w:style>
  <w:style w:type="paragraph" w:styleId="10">
    <w:name w:val="heading 6"/>
    <w:basedOn w:val="1"/>
    <w:next w:val="1"/>
    <w:link w:val="129"/>
    <w:qFormat/>
    <w:uiPriority w:val="0"/>
    <w:pPr>
      <w:ind w:left="1018"/>
      <w:outlineLvl w:val="5"/>
    </w:pPr>
    <w:rPr>
      <w:sz w:val="28"/>
      <w:szCs w:val="28"/>
    </w:rPr>
  </w:style>
  <w:style w:type="paragraph" w:styleId="11">
    <w:name w:val="heading 7"/>
    <w:basedOn w:val="1"/>
    <w:next w:val="1"/>
    <w:link w:val="130"/>
    <w:qFormat/>
    <w:uiPriority w:val="0"/>
    <w:pPr>
      <w:ind w:left="581" w:right="585"/>
      <w:outlineLvl w:val="6"/>
    </w:pPr>
    <w:rPr>
      <w:b/>
      <w:bCs/>
      <w:sz w:val="24"/>
      <w:szCs w:val="24"/>
    </w:rPr>
  </w:style>
  <w:style w:type="paragraph" w:styleId="12">
    <w:name w:val="heading 8"/>
    <w:basedOn w:val="1"/>
    <w:next w:val="1"/>
    <w:link w:val="131"/>
    <w:qFormat/>
    <w:uiPriority w:val="0"/>
    <w:pPr>
      <w:ind w:left="1438" w:hanging="420"/>
      <w:outlineLvl w:val="7"/>
    </w:pPr>
    <w:rPr>
      <w:sz w:val="24"/>
      <w:szCs w:val="24"/>
    </w:rPr>
  </w:style>
  <w:style w:type="paragraph" w:styleId="13">
    <w:name w:val="heading 9"/>
    <w:basedOn w:val="1"/>
    <w:next w:val="1"/>
    <w:link w:val="132"/>
    <w:qFormat/>
    <w:uiPriority w:val="0"/>
    <w:pPr>
      <w:ind w:left="1394"/>
      <w:outlineLvl w:val="8"/>
    </w:pPr>
    <w:rPr>
      <w:b/>
      <w:bCs/>
      <w:sz w:val="21"/>
      <w:szCs w:val="21"/>
      <w:u w:val="single" w:color="000000"/>
    </w:rPr>
  </w:style>
  <w:style w:type="character" w:default="1" w:styleId="92">
    <w:name w:val="Default Paragraph Font"/>
    <w:semiHidden/>
    <w:unhideWhenUsed/>
    <w:qFormat/>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09"/>
    <w:qFormat/>
    <w:uiPriority w:val="0"/>
    <w:rPr>
      <w:sz w:val="21"/>
      <w:szCs w:val="21"/>
    </w:rPr>
  </w:style>
  <w:style w:type="paragraph" w:styleId="3">
    <w:name w:val="Body Text First Indent"/>
    <w:basedOn w:val="2"/>
    <w:next w:val="1"/>
    <w:link w:val="110"/>
    <w:qFormat/>
    <w:uiPriority w:val="0"/>
    <w:pPr>
      <w:autoSpaceDE/>
      <w:autoSpaceDN/>
      <w:spacing w:after="120"/>
      <w:ind w:firstLine="420" w:firstLineChars="100"/>
      <w:jc w:val="both"/>
    </w:pPr>
    <w:rPr>
      <w:rFonts w:ascii="Times New Roman" w:hAnsi="Times New Roman" w:cs="Times New Roman"/>
      <w:kern w:val="2"/>
      <w:szCs w:val="24"/>
      <w:lang w:val="en-US" w:bidi="ar-SA"/>
    </w:rPr>
  </w:style>
  <w:style w:type="paragraph" w:styleId="4">
    <w:name w:val="macro"/>
    <w:link w:val="20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14">
    <w:name w:val="List 3"/>
    <w:basedOn w:val="1"/>
    <w:qFormat/>
    <w:uiPriority w:val="0"/>
    <w:pPr>
      <w:autoSpaceDE/>
      <w:autoSpaceDN/>
      <w:ind w:left="100" w:leftChars="400" w:hanging="200" w:hangingChars="200"/>
      <w:jc w:val="both"/>
    </w:pPr>
    <w:rPr>
      <w:rFonts w:ascii="Times New Roman" w:hAnsi="Times New Roman" w:cs="Times New Roman"/>
      <w:kern w:val="2"/>
      <w:sz w:val="21"/>
      <w:szCs w:val="20"/>
      <w:lang w:val="en-US" w:bidi="ar-SA"/>
    </w:rPr>
  </w:style>
  <w:style w:type="paragraph" w:styleId="15">
    <w:name w:val="toc 7"/>
    <w:basedOn w:val="1"/>
    <w:next w:val="1"/>
    <w:qFormat/>
    <w:uiPriority w:val="39"/>
    <w:pPr>
      <w:spacing w:before="139"/>
      <w:ind w:left="1438"/>
    </w:pPr>
    <w:rPr>
      <w:sz w:val="21"/>
      <w:szCs w:val="21"/>
    </w:rPr>
  </w:style>
  <w:style w:type="paragraph" w:styleId="16">
    <w:name w:val="List Number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17">
    <w:name w:val="table of authorities"/>
    <w:basedOn w:val="1"/>
    <w:next w:val="1"/>
    <w:qFormat/>
    <w:uiPriority w:val="0"/>
    <w:pPr>
      <w:autoSpaceDE/>
      <w:autoSpaceDN/>
      <w:ind w:left="420" w:leftChars="200"/>
      <w:jc w:val="both"/>
    </w:pPr>
    <w:rPr>
      <w:rFonts w:ascii="Times New Roman" w:hAnsi="Times New Roman" w:cs="Times New Roman"/>
      <w:kern w:val="2"/>
      <w:sz w:val="21"/>
      <w:szCs w:val="20"/>
      <w:lang w:val="en-US" w:bidi="ar-SA"/>
    </w:rPr>
  </w:style>
  <w:style w:type="paragraph" w:styleId="18">
    <w:name w:val="Note Heading"/>
    <w:basedOn w:val="1"/>
    <w:next w:val="1"/>
    <w:link w:val="211"/>
    <w:qFormat/>
    <w:uiPriority w:val="0"/>
    <w:pPr>
      <w:autoSpaceDE/>
      <w:autoSpaceDN/>
      <w:jc w:val="center"/>
    </w:pPr>
    <w:rPr>
      <w:rFonts w:ascii="Times New Roman" w:hAnsi="Times New Roman" w:cs="Times New Roman"/>
      <w:kern w:val="2"/>
      <w:sz w:val="21"/>
      <w:szCs w:val="20"/>
      <w:lang w:val="en-US" w:bidi="ar-SA"/>
    </w:rPr>
  </w:style>
  <w:style w:type="paragraph" w:styleId="19">
    <w:name w:val="List Bullet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20">
    <w:name w:val="index 8"/>
    <w:basedOn w:val="1"/>
    <w:next w:val="1"/>
    <w:qFormat/>
    <w:uiPriority w:val="0"/>
    <w:pPr>
      <w:autoSpaceDE/>
      <w:autoSpaceDN/>
      <w:ind w:left="1400" w:leftChars="1400"/>
      <w:jc w:val="both"/>
    </w:pPr>
    <w:rPr>
      <w:rFonts w:ascii="Times New Roman" w:hAnsi="Times New Roman" w:cs="Times New Roman"/>
      <w:kern w:val="2"/>
      <w:sz w:val="21"/>
      <w:szCs w:val="20"/>
      <w:lang w:val="en-US" w:bidi="ar-SA"/>
    </w:rPr>
  </w:style>
  <w:style w:type="paragraph" w:styleId="21">
    <w:name w:val="E-mail Signature"/>
    <w:basedOn w:val="1"/>
    <w:link w:val="206"/>
    <w:qFormat/>
    <w:uiPriority w:val="0"/>
    <w:pPr>
      <w:autoSpaceDE/>
      <w:autoSpaceDN/>
      <w:jc w:val="both"/>
    </w:pPr>
    <w:rPr>
      <w:rFonts w:ascii="Times New Roman" w:hAnsi="Times New Roman" w:cs="Times New Roman"/>
      <w:kern w:val="2"/>
      <w:sz w:val="21"/>
      <w:szCs w:val="20"/>
      <w:lang w:val="en-US" w:bidi="ar-SA"/>
    </w:rPr>
  </w:style>
  <w:style w:type="paragraph" w:styleId="22">
    <w:name w:val="List Number"/>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3">
    <w:name w:val="Normal Indent"/>
    <w:basedOn w:val="1"/>
    <w:next w:val="24"/>
    <w:link w:val="163"/>
    <w:qFormat/>
    <w:uiPriority w:val="0"/>
    <w:pPr>
      <w:ind w:firstLine="420" w:firstLineChars="200"/>
    </w:pPr>
  </w:style>
  <w:style w:type="paragraph" w:styleId="24">
    <w:name w:val="Body Text Indent"/>
    <w:basedOn w:val="1"/>
    <w:next w:val="1"/>
    <w:link w:val="231"/>
    <w:qFormat/>
    <w:uiPriority w:val="0"/>
    <w:pPr>
      <w:spacing w:after="120"/>
      <w:ind w:left="420" w:leftChars="200"/>
    </w:pPr>
  </w:style>
  <w:style w:type="paragraph" w:styleId="25">
    <w:name w:val="caption"/>
    <w:basedOn w:val="1"/>
    <w:next w:val="1"/>
    <w:qFormat/>
    <w:uiPriority w:val="0"/>
    <w:pPr>
      <w:autoSpaceDE/>
      <w:autoSpaceDN/>
      <w:jc w:val="both"/>
    </w:pPr>
    <w:rPr>
      <w:rFonts w:ascii="Arial" w:hAnsi="Arial" w:eastAsia="黑体" w:cs="Times New Roman"/>
      <w:kern w:val="2"/>
      <w:sz w:val="20"/>
      <w:szCs w:val="20"/>
      <w:lang w:val="en-US" w:bidi="ar-SA"/>
    </w:rPr>
  </w:style>
  <w:style w:type="paragraph" w:styleId="26">
    <w:name w:val="index 5"/>
    <w:basedOn w:val="1"/>
    <w:next w:val="1"/>
    <w:qFormat/>
    <w:uiPriority w:val="0"/>
    <w:pPr>
      <w:autoSpaceDE/>
      <w:autoSpaceDN/>
      <w:ind w:left="800" w:leftChars="800"/>
      <w:jc w:val="both"/>
    </w:pPr>
    <w:rPr>
      <w:rFonts w:ascii="Times New Roman" w:hAnsi="Times New Roman" w:cs="Times New Roman"/>
      <w:kern w:val="2"/>
      <w:sz w:val="21"/>
      <w:szCs w:val="20"/>
      <w:lang w:val="en-US" w:bidi="ar-SA"/>
    </w:rPr>
  </w:style>
  <w:style w:type="paragraph" w:styleId="27">
    <w:name w:val="List Bullet"/>
    <w:basedOn w:val="1"/>
    <w:qFormat/>
    <w:uiPriority w:val="0"/>
    <w:pPr>
      <w:tabs>
        <w:tab w:val="left" w:pos="360"/>
      </w:tabs>
      <w:autoSpaceDE/>
      <w:autoSpaceDN/>
      <w:ind w:left="360" w:hanging="360"/>
      <w:jc w:val="both"/>
    </w:pPr>
    <w:rPr>
      <w:rFonts w:ascii="Times New Roman" w:hAnsi="Times New Roman" w:cs="Times New Roman"/>
      <w:kern w:val="2"/>
      <w:sz w:val="21"/>
      <w:szCs w:val="20"/>
      <w:lang w:val="en-US" w:bidi="ar-SA"/>
    </w:rPr>
  </w:style>
  <w:style w:type="paragraph" w:styleId="28">
    <w:name w:val="envelope address"/>
    <w:basedOn w:val="1"/>
    <w:qFormat/>
    <w:uiPriority w:val="0"/>
    <w:pPr>
      <w:autoSpaceDE/>
      <w:autoSpaceDN/>
      <w:snapToGrid w:val="0"/>
      <w:ind w:left="100" w:leftChars="1400"/>
      <w:jc w:val="both"/>
    </w:pPr>
    <w:rPr>
      <w:rFonts w:ascii="Arial" w:hAnsi="Arial" w:cs="Times New Roman"/>
      <w:kern w:val="2"/>
      <w:sz w:val="24"/>
      <w:szCs w:val="20"/>
      <w:lang w:val="en-US" w:bidi="ar-SA"/>
    </w:rPr>
  </w:style>
  <w:style w:type="paragraph" w:styleId="29">
    <w:name w:val="Document Map"/>
    <w:basedOn w:val="1"/>
    <w:link w:val="165"/>
    <w:qFormat/>
    <w:uiPriority w:val="0"/>
    <w:pPr>
      <w:shd w:val="clear" w:color="auto" w:fill="000080"/>
      <w:autoSpaceDE/>
      <w:autoSpaceDN/>
      <w:jc w:val="both"/>
    </w:pPr>
    <w:rPr>
      <w:rFonts w:ascii="Times New Roman" w:hAnsi="Times New Roman" w:cs="Times New Roman"/>
      <w:kern w:val="2"/>
      <w:sz w:val="21"/>
      <w:szCs w:val="20"/>
      <w:lang w:val="en-US" w:bidi="ar-SA"/>
    </w:rPr>
  </w:style>
  <w:style w:type="paragraph" w:styleId="30">
    <w:name w:val="toa heading"/>
    <w:basedOn w:val="1"/>
    <w:next w:val="1"/>
    <w:qFormat/>
    <w:uiPriority w:val="0"/>
    <w:pPr>
      <w:autoSpaceDE/>
      <w:autoSpaceDN/>
      <w:spacing w:before="120"/>
      <w:jc w:val="both"/>
    </w:pPr>
    <w:rPr>
      <w:rFonts w:ascii="Arial" w:hAnsi="Arial" w:cs="Times New Roman"/>
      <w:kern w:val="2"/>
      <w:sz w:val="24"/>
      <w:szCs w:val="20"/>
      <w:lang w:val="en-US" w:bidi="ar-SA"/>
    </w:rPr>
  </w:style>
  <w:style w:type="paragraph" w:styleId="31">
    <w:name w:val="annotation text"/>
    <w:basedOn w:val="1"/>
    <w:link w:val="149"/>
    <w:qFormat/>
    <w:uiPriority w:val="0"/>
    <w:pPr>
      <w:autoSpaceDE/>
      <w:autoSpaceDN/>
      <w:jc w:val="both"/>
    </w:pPr>
    <w:rPr>
      <w:rFonts w:ascii="Times New Roman" w:hAnsi="Times New Roman" w:cs="Times New Roman"/>
      <w:kern w:val="2"/>
      <w:sz w:val="21"/>
      <w:szCs w:val="20"/>
      <w:lang w:val="en-US" w:bidi="ar-SA"/>
    </w:rPr>
  </w:style>
  <w:style w:type="paragraph" w:styleId="32">
    <w:name w:val="index 6"/>
    <w:basedOn w:val="1"/>
    <w:next w:val="1"/>
    <w:qFormat/>
    <w:uiPriority w:val="0"/>
    <w:pPr>
      <w:autoSpaceDE/>
      <w:autoSpaceDN/>
      <w:ind w:left="1000" w:leftChars="1000"/>
      <w:jc w:val="both"/>
    </w:pPr>
    <w:rPr>
      <w:rFonts w:ascii="Times New Roman" w:hAnsi="Times New Roman" w:cs="Times New Roman"/>
      <w:kern w:val="2"/>
      <w:sz w:val="21"/>
      <w:szCs w:val="20"/>
      <w:lang w:val="en-US" w:bidi="ar-SA"/>
    </w:rPr>
  </w:style>
  <w:style w:type="paragraph" w:styleId="33">
    <w:name w:val="Salutation"/>
    <w:basedOn w:val="1"/>
    <w:next w:val="1"/>
    <w:link w:val="212"/>
    <w:qFormat/>
    <w:uiPriority w:val="0"/>
    <w:pPr>
      <w:autoSpaceDE/>
      <w:autoSpaceDN/>
      <w:jc w:val="both"/>
    </w:pPr>
    <w:rPr>
      <w:rFonts w:hAnsi="Times New Roman" w:cs="Times New Roman"/>
      <w:kern w:val="2"/>
      <w:sz w:val="28"/>
      <w:szCs w:val="20"/>
      <w:lang w:val="en-US" w:bidi="ar-SA"/>
    </w:rPr>
  </w:style>
  <w:style w:type="paragraph" w:styleId="34">
    <w:name w:val="Body Text 3"/>
    <w:basedOn w:val="1"/>
    <w:link w:val="199"/>
    <w:qFormat/>
    <w:uiPriority w:val="0"/>
    <w:pPr>
      <w:widowControl/>
      <w:autoSpaceDE/>
      <w:autoSpaceDN/>
      <w:spacing w:line="400" w:lineRule="atLeast"/>
      <w:jc w:val="both"/>
    </w:pPr>
    <w:rPr>
      <w:rFonts w:ascii="Times New Roman" w:hAnsi="Times New Roman" w:cs="Times New Roman"/>
      <w:color w:val="FF0000"/>
      <w:kern w:val="2"/>
      <w:sz w:val="24"/>
      <w:szCs w:val="20"/>
      <w:lang w:val="en-US" w:bidi="ar-SA"/>
    </w:rPr>
  </w:style>
  <w:style w:type="paragraph" w:styleId="35">
    <w:name w:val="Closing"/>
    <w:basedOn w:val="1"/>
    <w:link w:val="204"/>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36">
    <w:name w:val="List Bullet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37">
    <w:name w:val="List Number 3"/>
    <w:basedOn w:val="1"/>
    <w:qFormat/>
    <w:uiPriority w:val="0"/>
    <w:pPr>
      <w:tabs>
        <w:tab w:val="left" w:pos="1200"/>
      </w:tabs>
      <w:autoSpaceDE/>
      <w:autoSpaceDN/>
      <w:ind w:left="1200" w:hanging="360"/>
      <w:jc w:val="both"/>
    </w:pPr>
    <w:rPr>
      <w:rFonts w:ascii="Times New Roman" w:hAnsi="Times New Roman" w:cs="Times New Roman"/>
      <w:kern w:val="2"/>
      <w:sz w:val="21"/>
      <w:szCs w:val="20"/>
      <w:lang w:val="en-US" w:bidi="ar-SA"/>
    </w:rPr>
  </w:style>
  <w:style w:type="paragraph" w:styleId="38">
    <w:name w:val="List 2"/>
    <w:basedOn w:val="1"/>
    <w:qFormat/>
    <w:uiPriority w:val="0"/>
    <w:pPr>
      <w:autoSpaceDE/>
      <w:autoSpaceDN/>
      <w:ind w:left="100" w:leftChars="200" w:hanging="200" w:hangingChars="200"/>
      <w:jc w:val="both"/>
    </w:pPr>
    <w:rPr>
      <w:rFonts w:ascii="Times New Roman" w:hAnsi="Times New Roman" w:cs="Times New Roman"/>
      <w:kern w:val="2"/>
      <w:sz w:val="21"/>
      <w:szCs w:val="20"/>
      <w:lang w:val="en-US" w:bidi="ar-SA"/>
    </w:rPr>
  </w:style>
  <w:style w:type="paragraph" w:styleId="39">
    <w:name w:val="List Continue"/>
    <w:basedOn w:val="1"/>
    <w:qFormat/>
    <w:uiPriority w:val="0"/>
    <w:pPr>
      <w:autoSpaceDE/>
      <w:autoSpaceDN/>
      <w:spacing w:after="120"/>
      <w:ind w:left="420" w:leftChars="200"/>
      <w:jc w:val="both"/>
    </w:pPr>
    <w:rPr>
      <w:rFonts w:ascii="Times New Roman" w:hAnsi="Times New Roman" w:cs="Times New Roman"/>
      <w:kern w:val="2"/>
      <w:sz w:val="21"/>
      <w:szCs w:val="20"/>
      <w:lang w:val="en-US" w:bidi="ar-SA"/>
    </w:rPr>
  </w:style>
  <w:style w:type="paragraph" w:styleId="40">
    <w:name w:val="Block Text"/>
    <w:basedOn w:val="1"/>
    <w:qFormat/>
    <w:uiPriority w:val="0"/>
    <w:pPr>
      <w:autoSpaceDE/>
      <w:autoSpaceDN/>
      <w:spacing w:line="240" w:lineRule="exact"/>
      <w:ind w:left="475" w:leftChars="240" w:right="292" w:rightChars="292" w:firstLine="473"/>
      <w:jc w:val="both"/>
    </w:pPr>
    <w:rPr>
      <w:rFonts w:cs="Times New Roman"/>
      <w:spacing w:val="-6"/>
      <w:kern w:val="2"/>
      <w:sz w:val="21"/>
      <w:szCs w:val="20"/>
      <w:lang w:val="en-US" w:bidi="ar-SA"/>
    </w:rPr>
  </w:style>
  <w:style w:type="paragraph" w:styleId="41">
    <w:name w:val="List Bullet 2"/>
    <w:basedOn w:val="1"/>
    <w:qFormat/>
    <w:uiPriority w:val="0"/>
    <w:pPr>
      <w:tabs>
        <w:tab w:val="left" w:pos="780"/>
      </w:tabs>
      <w:autoSpaceDE/>
      <w:autoSpaceDN/>
      <w:ind w:left="780" w:hanging="360"/>
      <w:jc w:val="both"/>
    </w:pPr>
    <w:rPr>
      <w:rFonts w:ascii="Times New Roman" w:hAnsi="Times New Roman" w:cs="Times New Roman"/>
      <w:kern w:val="2"/>
      <w:sz w:val="21"/>
      <w:szCs w:val="20"/>
      <w:lang w:val="en-US" w:bidi="ar-SA"/>
    </w:rPr>
  </w:style>
  <w:style w:type="paragraph" w:styleId="42">
    <w:name w:val="HTML Address"/>
    <w:basedOn w:val="1"/>
    <w:link w:val="216"/>
    <w:qFormat/>
    <w:uiPriority w:val="0"/>
    <w:pPr>
      <w:autoSpaceDE/>
      <w:autoSpaceDN/>
      <w:jc w:val="both"/>
    </w:pPr>
    <w:rPr>
      <w:rFonts w:ascii="Times New Roman" w:hAnsi="Times New Roman" w:cs="Times New Roman"/>
      <w:i/>
      <w:kern w:val="2"/>
      <w:sz w:val="21"/>
      <w:szCs w:val="20"/>
      <w:lang w:val="en-US" w:bidi="ar-SA"/>
    </w:rPr>
  </w:style>
  <w:style w:type="paragraph" w:styleId="43">
    <w:name w:val="index 4"/>
    <w:basedOn w:val="1"/>
    <w:next w:val="1"/>
    <w:qFormat/>
    <w:uiPriority w:val="0"/>
    <w:pPr>
      <w:autoSpaceDE/>
      <w:autoSpaceDN/>
      <w:ind w:left="600" w:leftChars="600"/>
      <w:jc w:val="both"/>
    </w:pPr>
    <w:rPr>
      <w:rFonts w:ascii="Times New Roman" w:hAnsi="Times New Roman" w:cs="Times New Roman"/>
      <w:kern w:val="2"/>
      <w:sz w:val="21"/>
      <w:szCs w:val="20"/>
      <w:lang w:val="en-US" w:bidi="ar-SA"/>
    </w:rPr>
  </w:style>
  <w:style w:type="paragraph" w:styleId="44">
    <w:name w:val="toc 5"/>
    <w:basedOn w:val="1"/>
    <w:next w:val="1"/>
    <w:qFormat/>
    <w:uiPriority w:val="39"/>
    <w:pPr>
      <w:spacing w:before="105"/>
      <w:ind w:left="1025"/>
    </w:pPr>
    <w:rPr>
      <w:b/>
      <w:bCs/>
      <w:sz w:val="24"/>
      <w:szCs w:val="24"/>
    </w:rPr>
  </w:style>
  <w:style w:type="paragraph" w:styleId="45">
    <w:name w:val="toc 3"/>
    <w:basedOn w:val="1"/>
    <w:next w:val="1"/>
    <w:qFormat/>
    <w:uiPriority w:val="39"/>
    <w:pPr>
      <w:spacing w:before="250"/>
      <w:ind w:right="1013"/>
      <w:jc w:val="right"/>
    </w:pPr>
    <w:rPr>
      <w:b/>
      <w:bCs/>
      <w:i/>
    </w:rPr>
  </w:style>
  <w:style w:type="paragraph" w:styleId="46">
    <w:name w:val="Plain Text"/>
    <w:basedOn w:val="1"/>
    <w:link w:val="111"/>
    <w:qFormat/>
    <w:uiPriority w:val="0"/>
    <w:pPr>
      <w:autoSpaceDE/>
      <w:autoSpaceDN/>
      <w:jc w:val="both"/>
    </w:pPr>
    <w:rPr>
      <w:rFonts w:hAnsi="Courier New" w:cs="Times New Roman"/>
      <w:kern w:val="2"/>
      <w:sz w:val="21"/>
      <w:szCs w:val="20"/>
      <w:lang w:val="en-US" w:bidi="ar-SA"/>
    </w:rPr>
  </w:style>
  <w:style w:type="paragraph" w:styleId="47">
    <w:name w:val="List Bullet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48">
    <w:name w:val="List Number 4"/>
    <w:basedOn w:val="1"/>
    <w:qFormat/>
    <w:uiPriority w:val="0"/>
    <w:pPr>
      <w:tabs>
        <w:tab w:val="left" w:pos="1620"/>
      </w:tabs>
      <w:autoSpaceDE/>
      <w:autoSpaceDN/>
      <w:ind w:left="1620" w:hanging="360"/>
      <w:jc w:val="both"/>
    </w:pPr>
    <w:rPr>
      <w:rFonts w:ascii="Times New Roman" w:hAnsi="Times New Roman" w:cs="Times New Roman"/>
      <w:kern w:val="2"/>
      <w:sz w:val="21"/>
      <w:szCs w:val="20"/>
      <w:lang w:val="en-US" w:bidi="ar-SA"/>
    </w:rPr>
  </w:style>
  <w:style w:type="paragraph" w:styleId="49">
    <w:name w:val="toc 8"/>
    <w:basedOn w:val="1"/>
    <w:next w:val="1"/>
    <w:qFormat/>
    <w:uiPriority w:val="39"/>
    <w:pPr>
      <w:autoSpaceDE/>
      <w:autoSpaceDN/>
      <w:ind w:left="1470"/>
    </w:pPr>
    <w:rPr>
      <w:rFonts w:ascii="Times New Roman" w:hAnsi="Times New Roman" w:cs="Times New Roman"/>
      <w:kern w:val="2"/>
      <w:sz w:val="18"/>
      <w:szCs w:val="18"/>
      <w:lang w:val="en-US" w:bidi="ar-SA"/>
    </w:rPr>
  </w:style>
  <w:style w:type="paragraph" w:styleId="50">
    <w:name w:val="index 3"/>
    <w:basedOn w:val="1"/>
    <w:next w:val="1"/>
    <w:qFormat/>
    <w:uiPriority w:val="0"/>
    <w:pPr>
      <w:autoSpaceDE/>
      <w:autoSpaceDN/>
      <w:ind w:left="400" w:leftChars="400"/>
      <w:jc w:val="both"/>
    </w:pPr>
    <w:rPr>
      <w:rFonts w:ascii="Times New Roman" w:hAnsi="Times New Roman" w:cs="Times New Roman"/>
      <w:kern w:val="2"/>
      <w:sz w:val="21"/>
      <w:szCs w:val="20"/>
      <w:lang w:val="en-US" w:bidi="ar-SA"/>
    </w:rPr>
  </w:style>
  <w:style w:type="paragraph" w:styleId="51">
    <w:name w:val="Date"/>
    <w:basedOn w:val="1"/>
    <w:next w:val="1"/>
    <w:link w:val="192"/>
    <w:qFormat/>
    <w:uiPriority w:val="0"/>
    <w:pPr>
      <w:autoSpaceDE/>
      <w:autoSpaceDN/>
      <w:ind w:left="100" w:leftChars="2500"/>
      <w:jc w:val="both"/>
    </w:pPr>
    <w:rPr>
      <w:rFonts w:ascii="Times New Roman" w:hAnsi="Times New Roman" w:cs="Times New Roman"/>
      <w:kern w:val="2"/>
      <w:sz w:val="21"/>
      <w:szCs w:val="20"/>
      <w:lang w:val="en-US" w:bidi="ar-SA"/>
    </w:rPr>
  </w:style>
  <w:style w:type="paragraph" w:styleId="52">
    <w:name w:val="Body Text Indent 2"/>
    <w:basedOn w:val="1"/>
    <w:link w:val="195"/>
    <w:qFormat/>
    <w:uiPriority w:val="0"/>
    <w:pPr>
      <w:autoSpaceDE/>
      <w:autoSpaceDN/>
      <w:spacing w:line="360" w:lineRule="exact"/>
      <w:ind w:right="-413" w:rightChars="-413" w:firstLine="630"/>
      <w:jc w:val="both"/>
    </w:pPr>
    <w:rPr>
      <w:rFonts w:ascii="Times New Roman" w:hAnsi="Times New Roman" w:cs="Times New Roman"/>
      <w:kern w:val="2"/>
      <w:sz w:val="21"/>
      <w:szCs w:val="20"/>
      <w:lang w:val="en-US" w:bidi="ar-SA"/>
    </w:rPr>
  </w:style>
  <w:style w:type="paragraph" w:styleId="53">
    <w:name w:val="endnote text"/>
    <w:basedOn w:val="1"/>
    <w:link w:val="152"/>
    <w:qFormat/>
    <w:uiPriority w:val="0"/>
    <w:pPr>
      <w:autoSpaceDE/>
      <w:autoSpaceDN/>
      <w:snapToGrid w:val="0"/>
      <w:jc w:val="both"/>
    </w:pPr>
    <w:rPr>
      <w:rFonts w:ascii="Times New Roman" w:hAnsi="Times New Roman" w:cs="Times New Roman"/>
      <w:kern w:val="2"/>
      <w:sz w:val="21"/>
      <w:szCs w:val="20"/>
      <w:lang w:val="en-US" w:bidi="ar-SA"/>
    </w:rPr>
  </w:style>
  <w:style w:type="paragraph" w:styleId="54">
    <w:name w:val="List Continue 5"/>
    <w:basedOn w:val="1"/>
    <w:qFormat/>
    <w:uiPriority w:val="0"/>
    <w:pPr>
      <w:autoSpaceDE/>
      <w:autoSpaceDN/>
      <w:spacing w:after="120"/>
      <w:ind w:left="2100" w:leftChars="1000"/>
      <w:jc w:val="both"/>
    </w:pPr>
    <w:rPr>
      <w:rFonts w:ascii="Times New Roman" w:hAnsi="Times New Roman" w:cs="Times New Roman"/>
      <w:kern w:val="2"/>
      <w:sz w:val="21"/>
      <w:szCs w:val="20"/>
      <w:lang w:val="en-US" w:bidi="ar-SA"/>
    </w:rPr>
  </w:style>
  <w:style w:type="paragraph" w:styleId="55">
    <w:name w:val="Balloon Text"/>
    <w:basedOn w:val="1"/>
    <w:link w:val="112"/>
    <w:qFormat/>
    <w:uiPriority w:val="0"/>
    <w:pPr>
      <w:autoSpaceDE/>
      <w:autoSpaceDN/>
      <w:jc w:val="both"/>
    </w:pPr>
    <w:rPr>
      <w:rFonts w:ascii="Times New Roman" w:hAnsi="Times New Roman" w:cs="Times New Roman"/>
      <w:kern w:val="2"/>
      <w:sz w:val="18"/>
      <w:szCs w:val="18"/>
      <w:lang w:val="en-US" w:bidi="ar-SA"/>
    </w:rPr>
  </w:style>
  <w:style w:type="paragraph" w:styleId="56">
    <w:name w:val="footer"/>
    <w:basedOn w:val="1"/>
    <w:link w:val="106"/>
    <w:qFormat/>
    <w:uiPriority w:val="99"/>
    <w:pPr>
      <w:tabs>
        <w:tab w:val="center" w:pos="4153"/>
        <w:tab w:val="right" w:pos="8306"/>
      </w:tabs>
      <w:snapToGrid w:val="0"/>
    </w:pPr>
    <w:rPr>
      <w:sz w:val="18"/>
      <w:szCs w:val="18"/>
    </w:rPr>
  </w:style>
  <w:style w:type="paragraph" w:styleId="57">
    <w:name w:val="envelope return"/>
    <w:basedOn w:val="1"/>
    <w:qFormat/>
    <w:uiPriority w:val="0"/>
    <w:pPr>
      <w:autoSpaceDE/>
      <w:autoSpaceDN/>
      <w:snapToGrid w:val="0"/>
      <w:jc w:val="both"/>
    </w:pPr>
    <w:rPr>
      <w:rFonts w:ascii="Arial" w:hAnsi="Arial" w:cs="Times New Roman"/>
      <w:kern w:val="2"/>
      <w:sz w:val="21"/>
      <w:szCs w:val="20"/>
      <w:lang w:val="en-US" w:bidi="ar-SA"/>
    </w:rPr>
  </w:style>
  <w:style w:type="paragraph" w:styleId="58">
    <w:name w:val="header"/>
    <w:basedOn w:val="1"/>
    <w:next w:val="59"/>
    <w:link w:val="105"/>
    <w:qFormat/>
    <w:uiPriority w:val="0"/>
    <w:pPr>
      <w:pBdr>
        <w:bottom w:val="single" w:color="auto" w:sz="6" w:space="1"/>
      </w:pBdr>
      <w:tabs>
        <w:tab w:val="center" w:pos="4153"/>
        <w:tab w:val="right" w:pos="8306"/>
      </w:tabs>
      <w:snapToGrid w:val="0"/>
      <w:jc w:val="center"/>
    </w:pPr>
    <w:rPr>
      <w:sz w:val="18"/>
      <w:szCs w:val="18"/>
    </w:rPr>
  </w:style>
  <w:style w:type="paragraph" w:customStyle="1" w:styleId="59">
    <w:name w:val="Quote1"/>
    <w:next w:val="1"/>
    <w:qFormat/>
    <w:uiPriority w:val="99"/>
    <w:pPr>
      <w:wordWrap w:val="0"/>
      <w:spacing w:before="200" w:after="160"/>
      <w:ind w:left="864" w:right="864"/>
      <w:jc w:val="center"/>
    </w:pPr>
    <w:rPr>
      <w:rFonts w:ascii="宋体" w:hAnsi="Times New Roman" w:eastAsia="宋体" w:cs="Times New Roman"/>
      <w:i/>
      <w:color w:val="404040"/>
      <w:kern w:val="2"/>
      <w:sz w:val="21"/>
      <w:szCs w:val="24"/>
      <w:lang w:val="en-US" w:eastAsia="zh-CN" w:bidi="ar-SA"/>
    </w:rPr>
  </w:style>
  <w:style w:type="paragraph" w:styleId="60">
    <w:name w:val="Signature"/>
    <w:basedOn w:val="1"/>
    <w:link w:val="217"/>
    <w:qFormat/>
    <w:uiPriority w:val="0"/>
    <w:pPr>
      <w:autoSpaceDE/>
      <w:autoSpaceDN/>
      <w:ind w:left="100" w:leftChars="2100"/>
      <w:jc w:val="both"/>
    </w:pPr>
    <w:rPr>
      <w:rFonts w:ascii="Times New Roman" w:hAnsi="Times New Roman" w:cs="Times New Roman"/>
      <w:kern w:val="2"/>
      <w:sz w:val="21"/>
      <w:szCs w:val="20"/>
      <w:lang w:val="en-US" w:bidi="ar-SA"/>
    </w:rPr>
  </w:style>
  <w:style w:type="paragraph" w:styleId="61">
    <w:name w:val="toc 1"/>
    <w:basedOn w:val="1"/>
    <w:next w:val="1"/>
    <w:qFormat/>
    <w:uiPriority w:val="39"/>
    <w:pPr>
      <w:spacing w:before="162"/>
      <w:ind w:right="1020"/>
    </w:pPr>
    <w:rPr>
      <w:b/>
      <w:bCs/>
      <w:sz w:val="21"/>
      <w:szCs w:val="21"/>
    </w:rPr>
  </w:style>
  <w:style w:type="paragraph" w:styleId="62">
    <w:name w:val="List Continue 4"/>
    <w:basedOn w:val="1"/>
    <w:qFormat/>
    <w:uiPriority w:val="0"/>
    <w:pPr>
      <w:autoSpaceDE/>
      <w:autoSpaceDN/>
      <w:spacing w:after="120"/>
      <w:ind w:left="1680" w:leftChars="800"/>
      <w:jc w:val="both"/>
    </w:pPr>
    <w:rPr>
      <w:rFonts w:ascii="Times New Roman" w:hAnsi="Times New Roman" w:cs="Times New Roman"/>
      <w:kern w:val="2"/>
      <w:sz w:val="21"/>
      <w:szCs w:val="20"/>
      <w:lang w:val="en-US" w:bidi="ar-SA"/>
    </w:rPr>
  </w:style>
  <w:style w:type="paragraph" w:styleId="63">
    <w:name w:val="toc 4"/>
    <w:basedOn w:val="1"/>
    <w:next w:val="1"/>
    <w:qFormat/>
    <w:uiPriority w:val="39"/>
    <w:pPr>
      <w:spacing w:before="28"/>
      <w:ind w:left="1018"/>
    </w:pPr>
    <w:rPr>
      <w:b/>
      <w:bCs/>
      <w:sz w:val="21"/>
      <w:szCs w:val="21"/>
    </w:rPr>
  </w:style>
  <w:style w:type="paragraph" w:styleId="64">
    <w:name w:val="index heading"/>
    <w:basedOn w:val="1"/>
    <w:next w:val="65"/>
    <w:qFormat/>
    <w:uiPriority w:val="0"/>
    <w:pPr>
      <w:autoSpaceDE/>
      <w:autoSpaceDN/>
      <w:jc w:val="both"/>
    </w:pPr>
    <w:rPr>
      <w:rFonts w:ascii="Arial" w:hAnsi="Arial" w:cs="Times New Roman"/>
      <w:b/>
      <w:kern w:val="2"/>
      <w:sz w:val="21"/>
      <w:szCs w:val="20"/>
      <w:lang w:val="en-US" w:bidi="ar-SA"/>
    </w:rPr>
  </w:style>
  <w:style w:type="paragraph" w:styleId="65">
    <w:name w:val="index 1"/>
    <w:basedOn w:val="1"/>
    <w:next w:val="1"/>
    <w:unhideWhenUsed/>
    <w:qFormat/>
    <w:uiPriority w:val="0"/>
    <w:pPr>
      <w:autoSpaceDE/>
      <w:autoSpaceDN/>
      <w:jc w:val="both"/>
    </w:pPr>
    <w:rPr>
      <w:rFonts w:ascii="Times New Roman" w:hAnsi="Times New Roman" w:cs="Times New Roman"/>
      <w:kern w:val="2"/>
      <w:sz w:val="21"/>
      <w:szCs w:val="20"/>
      <w:lang w:val="en-US" w:bidi="ar-SA"/>
    </w:rPr>
  </w:style>
  <w:style w:type="paragraph" w:styleId="66">
    <w:name w:val="Subtitle"/>
    <w:basedOn w:val="1"/>
    <w:link w:val="221"/>
    <w:qFormat/>
    <w:uiPriority w:val="0"/>
    <w:pPr>
      <w:autoSpaceDE/>
      <w:autoSpaceDN/>
      <w:spacing w:before="240" w:after="60" w:line="312" w:lineRule="auto"/>
      <w:jc w:val="center"/>
      <w:outlineLvl w:val="1"/>
    </w:pPr>
    <w:rPr>
      <w:rFonts w:ascii="Arial" w:hAnsi="Arial" w:cs="Times New Roman"/>
      <w:b/>
      <w:kern w:val="28"/>
      <w:sz w:val="32"/>
      <w:szCs w:val="20"/>
      <w:lang w:val="en-US" w:bidi="ar-SA"/>
    </w:rPr>
  </w:style>
  <w:style w:type="paragraph" w:styleId="67">
    <w:name w:val="List Number 5"/>
    <w:basedOn w:val="1"/>
    <w:qFormat/>
    <w:uiPriority w:val="0"/>
    <w:pPr>
      <w:tabs>
        <w:tab w:val="left" w:pos="2040"/>
      </w:tabs>
      <w:autoSpaceDE/>
      <w:autoSpaceDN/>
      <w:ind w:left="2040" w:hanging="360"/>
      <w:jc w:val="both"/>
    </w:pPr>
    <w:rPr>
      <w:rFonts w:ascii="Times New Roman" w:hAnsi="Times New Roman" w:cs="Times New Roman"/>
      <w:kern w:val="2"/>
      <w:sz w:val="21"/>
      <w:szCs w:val="20"/>
      <w:lang w:val="en-US" w:bidi="ar-SA"/>
    </w:rPr>
  </w:style>
  <w:style w:type="paragraph" w:styleId="68">
    <w:name w:val="List"/>
    <w:basedOn w:val="1"/>
    <w:qFormat/>
    <w:uiPriority w:val="0"/>
    <w:pPr>
      <w:autoSpaceDE/>
      <w:autoSpaceDN/>
      <w:ind w:left="200" w:hanging="200" w:hangingChars="200"/>
      <w:jc w:val="both"/>
    </w:pPr>
    <w:rPr>
      <w:rFonts w:ascii="Times New Roman" w:hAnsi="Times New Roman" w:cs="Times New Roman"/>
      <w:kern w:val="2"/>
      <w:sz w:val="21"/>
      <w:szCs w:val="20"/>
      <w:lang w:val="en-US" w:bidi="ar-SA"/>
    </w:rPr>
  </w:style>
  <w:style w:type="paragraph" w:styleId="69">
    <w:name w:val="footnote text"/>
    <w:basedOn w:val="70"/>
    <w:link w:val="133"/>
    <w:qFormat/>
    <w:uiPriority w:val="0"/>
    <w:pPr>
      <w:snapToGrid w:val="0"/>
    </w:pPr>
    <w:rPr>
      <w:sz w:val="18"/>
      <w:szCs w:val="20"/>
    </w:rPr>
  </w:style>
  <w:style w:type="paragraph" w:customStyle="1" w:styleId="70">
    <w:name w:val="正文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71">
    <w:name w:val="toc 6"/>
    <w:basedOn w:val="1"/>
    <w:next w:val="1"/>
    <w:qFormat/>
    <w:uiPriority w:val="39"/>
    <w:pPr>
      <w:spacing w:before="281"/>
      <w:ind w:left="1025"/>
    </w:pPr>
    <w:rPr>
      <w:b/>
      <w:bCs/>
      <w:sz w:val="21"/>
      <w:szCs w:val="21"/>
    </w:rPr>
  </w:style>
  <w:style w:type="paragraph" w:styleId="72">
    <w:name w:val="List 5"/>
    <w:basedOn w:val="1"/>
    <w:qFormat/>
    <w:uiPriority w:val="0"/>
    <w:pPr>
      <w:autoSpaceDE/>
      <w:autoSpaceDN/>
      <w:ind w:left="100" w:leftChars="800" w:hanging="200" w:hangingChars="200"/>
      <w:jc w:val="both"/>
    </w:pPr>
    <w:rPr>
      <w:rFonts w:ascii="Times New Roman" w:hAnsi="Times New Roman" w:cs="Times New Roman"/>
      <w:kern w:val="2"/>
      <w:sz w:val="21"/>
      <w:szCs w:val="20"/>
      <w:lang w:val="en-US" w:bidi="ar-SA"/>
    </w:rPr>
  </w:style>
  <w:style w:type="paragraph" w:styleId="73">
    <w:name w:val="Body Text Indent 3"/>
    <w:basedOn w:val="1"/>
    <w:link w:val="175"/>
    <w:qFormat/>
    <w:uiPriority w:val="0"/>
    <w:pPr>
      <w:autoSpaceDE/>
      <w:autoSpaceDN/>
      <w:spacing w:line="480" w:lineRule="exact"/>
      <w:ind w:firstLine="390"/>
      <w:jc w:val="both"/>
    </w:pPr>
    <w:rPr>
      <w:rFonts w:ascii="仿宋_GB2312" w:eastAsia="仿宋_GB2312" w:cs="Times New Roman"/>
      <w:spacing w:val="-6"/>
      <w:kern w:val="2"/>
      <w:sz w:val="21"/>
      <w:szCs w:val="20"/>
      <w:lang w:val="en-US" w:bidi="ar-SA"/>
    </w:rPr>
  </w:style>
  <w:style w:type="paragraph" w:styleId="74">
    <w:name w:val="index 7"/>
    <w:basedOn w:val="1"/>
    <w:next w:val="1"/>
    <w:qFormat/>
    <w:uiPriority w:val="0"/>
    <w:pPr>
      <w:autoSpaceDE/>
      <w:autoSpaceDN/>
      <w:ind w:left="1200" w:leftChars="1200"/>
      <w:jc w:val="both"/>
    </w:pPr>
    <w:rPr>
      <w:rFonts w:ascii="Times New Roman" w:hAnsi="Times New Roman" w:cs="Times New Roman"/>
      <w:kern w:val="2"/>
      <w:sz w:val="21"/>
      <w:szCs w:val="20"/>
      <w:lang w:val="en-US" w:bidi="ar-SA"/>
    </w:rPr>
  </w:style>
  <w:style w:type="paragraph" w:styleId="75">
    <w:name w:val="index 9"/>
    <w:basedOn w:val="1"/>
    <w:next w:val="1"/>
    <w:qFormat/>
    <w:uiPriority w:val="0"/>
    <w:pPr>
      <w:autoSpaceDE/>
      <w:autoSpaceDN/>
      <w:ind w:left="1600" w:leftChars="1600"/>
      <w:jc w:val="both"/>
    </w:pPr>
    <w:rPr>
      <w:rFonts w:ascii="Times New Roman" w:hAnsi="Times New Roman" w:cs="Times New Roman"/>
      <w:kern w:val="2"/>
      <w:sz w:val="21"/>
      <w:szCs w:val="20"/>
      <w:lang w:val="en-US" w:bidi="ar-SA"/>
    </w:rPr>
  </w:style>
  <w:style w:type="paragraph" w:styleId="76">
    <w:name w:val="table of figures"/>
    <w:basedOn w:val="1"/>
    <w:next w:val="1"/>
    <w:qFormat/>
    <w:uiPriority w:val="0"/>
    <w:pPr>
      <w:autoSpaceDE/>
      <w:autoSpaceDN/>
      <w:ind w:left="200" w:leftChars="200" w:hanging="200" w:hangingChars="200"/>
      <w:jc w:val="both"/>
    </w:pPr>
    <w:rPr>
      <w:rFonts w:ascii="Times New Roman" w:hAnsi="Times New Roman" w:cs="Times New Roman"/>
      <w:kern w:val="2"/>
      <w:sz w:val="21"/>
      <w:szCs w:val="20"/>
      <w:lang w:val="en-US" w:bidi="ar-SA"/>
    </w:rPr>
  </w:style>
  <w:style w:type="paragraph" w:styleId="77">
    <w:name w:val="toc 2"/>
    <w:basedOn w:val="1"/>
    <w:next w:val="1"/>
    <w:qFormat/>
    <w:uiPriority w:val="39"/>
    <w:pPr>
      <w:spacing w:before="31"/>
      <w:ind w:right="1028"/>
      <w:jc w:val="right"/>
    </w:pPr>
    <w:rPr>
      <w:sz w:val="21"/>
      <w:szCs w:val="21"/>
    </w:rPr>
  </w:style>
  <w:style w:type="paragraph" w:styleId="78">
    <w:name w:val="toc 9"/>
    <w:basedOn w:val="1"/>
    <w:next w:val="1"/>
    <w:qFormat/>
    <w:uiPriority w:val="39"/>
    <w:pPr>
      <w:autoSpaceDE/>
      <w:autoSpaceDN/>
      <w:ind w:left="1680"/>
    </w:pPr>
    <w:rPr>
      <w:rFonts w:ascii="Times New Roman" w:hAnsi="Times New Roman" w:cs="Times New Roman"/>
      <w:kern w:val="2"/>
      <w:sz w:val="18"/>
      <w:szCs w:val="18"/>
      <w:lang w:val="en-US" w:bidi="ar-SA"/>
    </w:rPr>
  </w:style>
  <w:style w:type="paragraph" w:styleId="79">
    <w:name w:val="Body Text 2"/>
    <w:basedOn w:val="1"/>
    <w:link w:val="113"/>
    <w:qFormat/>
    <w:uiPriority w:val="0"/>
    <w:pPr>
      <w:autoSpaceDE/>
      <w:autoSpaceDN/>
      <w:spacing w:after="120" w:line="480" w:lineRule="auto"/>
      <w:jc w:val="both"/>
    </w:pPr>
    <w:rPr>
      <w:rFonts w:ascii="Times New Roman" w:hAnsi="Times New Roman" w:cs="Times New Roman"/>
      <w:kern w:val="2"/>
      <w:sz w:val="21"/>
      <w:szCs w:val="24"/>
      <w:lang w:val="en-US" w:bidi="ar-SA"/>
    </w:rPr>
  </w:style>
  <w:style w:type="paragraph" w:styleId="80">
    <w:name w:val="List 4"/>
    <w:basedOn w:val="1"/>
    <w:qFormat/>
    <w:uiPriority w:val="0"/>
    <w:pPr>
      <w:autoSpaceDE/>
      <w:autoSpaceDN/>
      <w:ind w:left="100" w:leftChars="600" w:hanging="200" w:hangingChars="200"/>
      <w:jc w:val="both"/>
    </w:pPr>
    <w:rPr>
      <w:rFonts w:ascii="Times New Roman" w:hAnsi="Times New Roman" w:cs="Times New Roman"/>
      <w:kern w:val="2"/>
      <w:sz w:val="21"/>
      <w:szCs w:val="20"/>
      <w:lang w:val="en-US" w:bidi="ar-SA"/>
    </w:rPr>
  </w:style>
  <w:style w:type="paragraph" w:styleId="81">
    <w:name w:val="List Continue 2"/>
    <w:basedOn w:val="1"/>
    <w:qFormat/>
    <w:uiPriority w:val="0"/>
    <w:pPr>
      <w:autoSpaceDE/>
      <w:autoSpaceDN/>
      <w:spacing w:after="120"/>
      <w:ind w:left="840" w:leftChars="400"/>
      <w:jc w:val="both"/>
    </w:pPr>
    <w:rPr>
      <w:rFonts w:ascii="Times New Roman" w:hAnsi="Times New Roman" w:cs="Times New Roman"/>
      <w:kern w:val="2"/>
      <w:sz w:val="21"/>
      <w:szCs w:val="24"/>
      <w:lang w:val="en-US" w:bidi="ar-SA"/>
    </w:rPr>
  </w:style>
  <w:style w:type="paragraph" w:styleId="82">
    <w:name w:val="Message Header"/>
    <w:basedOn w:val="1"/>
    <w:link w:val="226"/>
    <w:qFormat/>
    <w:uiPriority w:val="0"/>
    <w:pPr>
      <w:pBdr>
        <w:top w:val="single" w:color="auto" w:sz="6" w:space="1"/>
        <w:left w:val="single" w:color="auto" w:sz="6" w:space="1"/>
        <w:bottom w:val="single" w:color="auto" w:sz="6" w:space="1"/>
        <w:right w:val="single" w:color="auto" w:sz="6" w:space="1"/>
      </w:pBdr>
      <w:shd w:val="pct20" w:color="auto" w:fill="auto"/>
      <w:autoSpaceDE/>
      <w:autoSpaceDN/>
      <w:ind w:left="1080" w:leftChars="500" w:hanging="1080" w:hangingChars="500"/>
      <w:jc w:val="both"/>
    </w:pPr>
    <w:rPr>
      <w:rFonts w:ascii="Arial" w:hAnsi="Arial" w:cs="Times New Roman"/>
      <w:kern w:val="2"/>
      <w:sz w:val="24"/>
      <w:szCs w:val="20"/>
      <w:lang w:val="en-US" w:bidi="ar-SA"/>
    </w:rPr>
  </w:style>
  <w:style w:type="paragraph" w:styleId="83">
    <w:name w:val="HTML Preformatted"/>
    <w:basedOn w:val="1"/>
    <w:link w:val="227"/>
    <w:qFormat/>
    <w:uiPriority w:val="0"/>
    <w:pPr>
      <w:autoSpaceDE/>
      <w:autoSpaceDN/>
      <w:jc w:val="both"/>
    </w:pPr>
    <w:rPr>
      <w:rFonts w:ascii="Courier New" w:hAnsi="Courier New" w:cs="Times New Roman"/>
      <w:kern w:val="2"/>
      <w:sz w:val="20"/>
      <w:szCs w:val="20"/>
      <w:lang w:val="en-US" w:bidi="ar-SA"/>
    </w:rPr>
  </w:style>
  <w:style w:type="paragraph" w:styleId="84">
    <w:name w:val="Normal (Web)"/>
    <w:basedOn w:val="1"/>
    <w:qFormat/>
    <w:uiPriority w:val="0"/>
    <w:pPr>
      <w:spacing w:beforeAutospacing="1" w:afterAutospacing="1"/>
    </w:pPr>
    <w:rPr>
      <w:rFonts w:cs="Times New Roman"/>
      <w:sz w:val="24"/>
      <w:lang w:val="en-US" w:bidi="ar-SA"/>
    </w:rPr>
  </w:style>
  <w:style w:type="paragraph" w:styleId="85">
    <w:name w:val="List Continue 3"/>
    <w:basedOn w:val="1"/>
    <w:qFormat/>
    <w:uiPriority w:val="0"/>
    <w:pPr>
      <w:autoSpaceDE/>
      <w:autoSpaceDN/>
      <w:spacing w:after="120"/>
      <w:ind w:left="1260" w:leftChars="600"/>
      <w:jc w:val="both"/>
    </w:pPr>
    <w:rPr>
      <w:rFonts w:ascii="Times New Roman" w:hAnsi="Times New Roman" w:cs="Times New Roman"/>
      <w:kern w:val="2"/>
      <w:sz w:val="21"/>
      <w:szCs w:val="20"/>
      <w:lang w:val="en-US" w:bidi="ar-SA"/>
    </w:rPr>
  </w:style>
  <w:style w:type="paragraph" w:styleId="86">
    <w:name w:val="index 2"/>
    <w:basedOn w:val="1"/>
    <w:next w:val="1"/>
    <w:qFormat/>
    <w:uiPriority w:val="0"/>
    <w:pPr>
      <w:autoSpaceDE/>
      <w:autoSpaceDN/>
      <w:ind w:left="200" w:leftChars="200"/>
      <w:jc w:val="both"/>
    </w:pPr>
    <w:rPr>
      <w:rFonts w:ascii="Times New Roman" w:hAnsi="Times New Roman" w:cs="Times New Roman"/>
      <w:kern w:val="2"/>
      <w:sz w:val="21"/>
      <w:szCs w:val="20"/>
      <w:lang w:val="en-US" w:bidi="ar-SA"/>
    </w:rPr>
  </w:style>
  <w:style w:type="paragraph" w:styleId="87">
    <w:name w:val="Title"/>
    <w:basedOn w:val="1"/>
    <w:next w:val="1"/>
    <w:link w:val="228"/>
    <w:qFormat/>
    <w:uiPriority w:val="10"/>
    <w:pPr>
      <w:adjustRightInd w:val="0"/>
      <w:spacing w:before="240" w:after="60" w:line="420" w:lineRule="atLeast"/>
      <w:jc w:val="center"/>
      <w:textAlignment w:val="baseline"/>
      <w:outlineLvl w:val="0"/>
    </w:pPr>
    <w:rPr>
      <w:rFonts w:ascii="Arial" w:hAnsi="Arial"/>
      <w:b/>
      <w:sz w:val="32"/>
      <w:szCs w:val="20"/>
    </w:rPr>
  </w:style>
  <w:style w:type="paragraph" w:styleId="88">
    <w:name w:val="annotation subject"/>
    <w:basedOn w:val="31"/>
    <w:next w:val="31"/>
    <w:link w:val="184"/>
    <w:qFormat/>
    <w:uiPriority w:val="0"/>
    <w:rPr>
      <w:b/>
    </w:rPr>
  </w:style>
  <w:style w:type="paragraph" w:styleId="89">
    <w:name w:val="Body Text First Indent 2"/>
    <w:basedOn w:val="24"/>
    <w:link w:val="232"/>
    <w:qFormat/>
    <w:uiPriority w:val="0"/>
    <w:pPr>
      <w:autoSpaceDE/>
      <w:autoSpaceDN/>
      <w:spacing w:beforeLines="50"/>
      <w:ind w:firstLine="420" w:firstLineChars="200"/>
      <w:jc w:val="both"/>
    </w:pPr>
    <w:rPr>
      <w:rFonts w:ascii="Times New Roman" w:hAnsi="Times New Roman" w:cs="Times New Roman"/>
      <w:kern w:val="2"/>
      <w:sz w:val="21"/>
      <w:szCs w:val="20"/>
      <w:lang w:val="en-US" w:bidi="ar-SA"/>
    </w:rPr>
  </w:style>
  <w:style w:type="table" w:styleId="91">
    <w:name w:val="Table Grid"/>
    <w:basedOn w:val="9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3">
    <w:name w:val="Strong"/>
    <w:basedOn w:val="92"/>
    <w:qFormat/>
    <w:uiPriority w:val="0"/>
    <w:rPr>
      <w:b/>
    </w:rPr>
  </w:style>
  <w:style w:type="character" w:styleId="94">
    <w:name w:val="endnote reference"/>
    <w:basedOn w:val="92"/>
    <w:qFormat/>
    <w:uiPriority w:val="0"/>
    <w:rPr>
      <w:vertAlign w:val="superscript"/>
    </w:rPr>
  </w:style>
  <w:style w:type="character" w:styleId="95">
    <w:name w:val="page number"/>
    <w:basedOn w:val="92"/>
    <w:qFormat/>
    <w:uiPriority w:val="0"/>
  </w:style>
  <w:style w:type="character" w:styleId="96">
    <w:name w:val="FollowedHyperlink"/>
    <w:basedOn w:val="92"/>
    <w:qFormat/>
    <w:uiPriority w:val="0"/>
    <w:rPr>
      <w:color w:val="800080" w:themeColor="followedHyperlink"/>
      <w:u w:val="single"/>
      <w14:textFill>
        <w14:solidFill>
          <w14:schemeClr w14:val="folHlink"/>
        </w14:solidFill>
      </w14:textFill>
    </w:rPr>
  </w:style>
  <w:style w:type="character" w:styleId="97">
    <w:name w:val="Emphasis"/>
    <w:basedOn w:val="92"/>
    <w:qFormat/>
    <w:uiPriority w:val="0"/>
    <w:rPr>
      <w:color w:val="CC0000"/>
    </w:rPr>
  </w:style>
  <w:style w:type="character" w:styleId="98">
    <w:name w:val="Hyperlink"/>
    <w:basedOn w:val="92"/>
    <w:unhideWhenUsed/>
    <w:qFormat/>
    <w:uiPriority w:val="99"/>
    <w:rPr>
      <w:color w:val="0000FF" w:themeColor="hyperlink"/>
      <w:u w:val="single"/>
      <w14:textFill>
        <w14:solidFill>
          <w14:schemeClr w14:val="hlink"/>
        </w14:solidFill>
      </w14:textFill>
    </w:rPr>
  </w:style>
  <w:style w:type="character" w:styleId="99">
    <w:name w:val="annotation reference"/>
    <w:basedOn w:val="92"/>
    <w:qFormat/>
    <w:uiPriority w:val="0"/>
    <w:rPr>
      <w:sz w:val="21"/>
    </w:rPr>
  </w:style>
  <w:style w:type="character" w:styleId="100">
    <w:name w:val="footnote reference"/>
    <w:basedOn w:val="92"/>
    <w:qFormat/>
    <w:uiPriority w:val="0"/>
    <w:rPr>
      <w:vertAlign w:val="superscript"/>
    </w:rPr>
  </w:style>
  <w:style w:type="paragraph" w:customStyle="1" w:styleId="101">
    <w:name w:val="Default"/>
    <w:qFormat/>
    <w:uiPriority w:val="0"/>
    <w:pPr>
      <w:widowControl w:val="0"/>
      <w:autoSpaceDE w:val="0"/>
      <w:autoSpaceDN w:val="0"/>
      <w:adjustRightInd w:val="0"/>
    </w:pPr>
    <w:rPr>
      <w:rFonts w:ascii="宋体" w:hAnsi="宋体" w:eastAsia="宋体" w:cs="Times New Roman"/>
      <w:color w:val="000000"/>
      <w:sz w:val="24"/>
      <w:szCs w:val="24"/>
      <w:lang w:val="en-US" w:eastAsia="zh-CN" w:bidi="ar-SA"/>
    </w:rPr>
  </w:style>
  <w:style w:type="table" w:customStyle="1" w:styleId="102">
    <w:name w:val="Table Normal"/>
    <w:semiHidden/>
    <w:unhideWhenUsed/>
    <w:qFormat/>
    <w:uiPriority w:val="2"/>
    <w:tblPr>
      <w:tblCellMar>
        <w:top w:w="0" w:type="dxa"/>
        <w:left w:w="0" w:type="dxa"/>
        <w:bottom w:w="0" w:type="dxa"/>
        <w:right w:w="0" w:type="dxa"/>
      </w:tblCellMar>
    </w:tblPr>
  </w:style>
  <w:style w:type="paragraph" w:styleId="103">
    <w:name w:val="List Paragraph"/>
    <w:basedOn w:val="1"/>
    <w:qFormat/>
    <w:uiPriority w:val="1"/>
    <w:pPr>
      <w:ind w:left="655" w:hanging="530"/>
    </w:pPr>
  </w:style>
  <w:style w:type="paragraph" w:customStyle="1" w:styleId="104">
    <w:name w:val="Table Paragraph"/>
    <w:basedOn w:val="1"/>
    <w:qFormat/>
    <w:uiPriority w:val="1"/>
  </w:style>
  <w:style w:type="character" w:customStyle="1" w:styleId="105">
    <w:name w:val="页眉 Char"/>
    <w:basedOn w:val="92"/>
    <w:link w:val="58"/>
    <w:qFormat/>
    <w:uiPriority w:val="0"/>
    <w:rPr>
      <w:rFonts w:ascii="宋体" w:hAnsi="宋体" w:cs="宋体"/>
      <w:sz w:val="18"/>
      <w:szCs w:val="18"/>
      <w:lang w:val="zh-CN" w:bidi="zh-CN"/>
    </w:rPr>
  </w:style>
  <w:style w:type="character" w:customStyle="1" w:styleId="106">
    <w:name w:val="页脚 Char"/>
    <w:basedOn w:val="92"/>
    <w:link w:val="56"/>
    <w:qFormat/>
    <w:uiPriority w:val="99"/>
    <w:rPr>
      <w:rFonts w:ascii="宋体" w:hAnsi="宋体" w:cs="宋体"/>
      <w:sz w:val="18"/>
      <w:szCs w:val="18"/>
      <w:lang w:val="zh-CN" w:bidi="zh-CN"/>
    </w:rPr>
  </w:style>
  <w:style w:type="paragraph" w:customStyle="1" w:styleId="107">
    <w:name w:val="TOC 标题1"/>
    <w:basedOn w:val="5"/>
    <w:next w:val="1"/>
    <w:unhideWhenUsed/>
    <w:qFormat/>
    <w:uiPriority w:val="39"/>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paragraph" w:customStyle="1" w:styleId="108">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9">
    <w:name w:val="正文文本 Char"/>
    <w:basedOn w:val="92"/>
    <w:link w:val="2"/>
    <w:qFormat/>
    <w:uiPriority w:val="0"/>
    <w:rPr>
      <w:rFonts w:ascii="宋体" w:hAnsi="宋体" w:cs="宋体"/>
      <w:sz w:val="21"/>
      <w:szCs w:val="21"/>
      <w:lang w:val="zh-CN" w:bidi="zh-CN"/>
    </w:rPr>
  </w:style>
  <w:style w:type="character" w:customStyle="1" w:styleId="110">
    <w:name w:val="正文首行缩进 Char"/>
    <w:basedOn w:val="109"/>
    <w:link w:val="3"/>
    <w:qFormat/>
    <w:uiPriority w:val="0"/>
    <w:rPr>
      <w:rFonts w:ascii="宋体" w:hAnsi="宋体" w:cs="宋体"/>
      <w:kern w:val="2"/>
      <w:sz w:val="21"/>
      <w:szCs w:val="24"/>
      <w:lang w:val="zh-CN" w:bidi="zh-CN"/>
    </w:rPr>
  </w:style>
  <w:style w:type="character" w:customStyle="1" w:styleId="111">
    <w:name w:val="纯文本 Char"/>
    <w:basedOn w:val="92"/>
    <w:link w:val="46"/>
    <w:qFormat/>
    <w:uiPriority w:val="0"/>
    <w:rPr>
      <w:rFonts w:ascii="宋体" w:hAnsi="Courier New"/>
      <w:kern w:val="2"/>
      <w:sz w:val="21"/>
    </w:rPr>
  </w:style>
  <w:style w:type="character" w:customStyle="1" w:styleId="112">
    <w:name w:val="批注框文本 Char"/>
    <w:basedOn w:val="92"/>
    <w:link w:val="55"/>
    <w:qFormat/>
    <w:uiPriority w:val="0"/>
    <w:rPr>
      <w:kern w:val="2"/>
      <w:sz w:val="18"/>
      <w:szCs w:val="18"/>
    </w:rPr>
  </w:style>
  <w:style w:type="character" w:customStyle="1" w:styleId="113">
    <w:name w:val="正文文本 2 Char"/>
    <w:basedOn w:val="92"/>
    <w:link w:val="79"/>
    <w:qFormat/>
    <w:uiPriority w:val="0"/>
    <w:rPr>
      <w:kern w:val="2"/>
      <w:sz w:val="21"/>
      <w:szCs w:val="24"/>
    </w:rPr>
  </w:style>
  <w:style w:type="paragraph" w:customStyle="1" w:styleId="114">
    <w:name w:val="样式 首行缩进:  2 字符"/>
    <w:basedOn w:val="1"/>
    <w:qFormat/>
    <w:uiPriority w:val="0"/>
    <w:pPr>
      <w:autoSpaceDE/>
      <w:autoSpaceDN/>
      <w:spacing w:line="360" w:lineRule="auto"/>
      <w:ind w:firstLine="480" w:firstLineChars="200"/>
      <w:jc w:val="both"/>
    </w:pPr>
    <w:rPr>
      <w:kern w:val="2"/>
      <w:sz w:val="24"/>
      <w:szCs w:val="24"/>
      <w:lang w:val="en-US" w:bidi="ar-SA"/>
    </w:rPr>
  </w:style>
  <w:style w:type="paragraph" w:customStyle="1" w:styleId="11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正文_2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普通(网站)_0"/>
    <w:basedOn w:val="108"/>
    <w:qFormat/>
    <w:uiPriority w:val="0"/>
    <w:pPr>
      <w:widowControl/>
      <w:spacing w:before="100" w:beforeAutospacing="1" w:after="100" w:afterAutospacing="1"/>
      <w:jc w:val="left"/>
    </w:pPr>
    <w:rPr>
      <w:rFonts w:ascii="Calibri" w:hAnsi="Calibri"/>
      <w:kern w:val="0"/>
      <w:sz w:val="24"/>
    </w:rPr>
  </w:style>
  <w:style w:type="paragraph" w:customStyle="1" w:styleId="121">
    <w:name w:val="我的正文"/>
    <w:basedOn w:val="117"/>
    <w:next w:val="117"/>
    <w:qFormat/>
    <w:uiPriority w:val="99"/>
    <w:pPr>
      <w:spacing w:line="360" w:lineRule="auto"/>
      <w:ind w:firstLine="556" w:firstLineChars="265"/>
    </w:pPr>
    <w:rPr>
      <w:rFonts w:ascii="Times New Roman" w:hAnsi="Times New Roman"/>
      <w:szCs w:val="21"/>
    </w:rPr>
  </w:style>
  <w:style w:type="character" w:customStyle="1" w:styleId="122">
    <w:name w:val="zbggmain"/>
    <w:basedOn w:val="92"/>
    <w:qFormat/>
    <w:uiPriority w:val="0"/>
  </w:style>
  <w:style w:type="paragraph" w:customStyle="1" w:styleId="123">
    <w:name w:val="正文_2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4">
    <w:name w:val="标题 1 Char"/>
    <w:link w:val="5"/>
    <w:qFormat/>
    <w:uiPriority w:val="0"/>
    <w:rPr>
      <w:rFonts w:ascii="宋体" w:hAnsi="宋体" w:cs="宋体"/>
      <w:b/>
      <w:bCs/>
      <w:sz w:val="44"/>
      <w:szCs w:val="44"/>
      <w:lang w:val="zh-CN" w:bidi="zh-CN"/>
    </w:rPr>
  </w:style>
  <w:style w:type="character" w:customStyle="1" w:styleId="125">
    <w:name w:val="标题 2 Char"/>
    <w:basedOn w:val="92"/>
    <w:link w:val="6"/>
    <w:qFormat/>
    <w:uiPriority w:val="0"/>
    <w:rPr>
      <w:rFonts w:ascii="黑体" w:hAnsi="黑体" w:eastAsia="黑体" w:cs="黑体"/>
      <w:b/>
      <w:bCs/>
      <w:sz w:val="36"/>
      <w:szCs w:val="36"/>
      <w:lang w:val="zh-CN" w:bidi="zh-CN"/>
    </w:rPr>
  </w:style>
  <w:style w:type="character" w:customStyle="1" w:styleId="126">
    <w:name w:val="标题 3 Char"/>
    <w:basedOn w:val="92"/>
    <w:link w:val="7"/>
    <w:qFormat/>
    <w:uiPriority w:val="0"/>
    <w:rPr>
      <w:rFonts w:ascii="黑体" w:hAnsi="黑体" w:eastAsia="黑体" w:cs="黑体"/>
      <w:b/>
      <w:bCs/>
      <w:sz w:val="32"/>
      <w:szCs w:val="32"/>
      <w:lang w:val="zh-CN" w:bidi="zh-CN"/>
    </w:rPr>
  </w:style>
  <w:style w:type="character" w:customStyle="1" w:styleId="127">
    <w:name w:val="标题 4 Char"/>
    <w:basedOn w:val="92"/>
    <w:link w:val="8"/>
    <w:qFormat/>
    <w:uiPriority w:val="0"/>
    <w:rPr>
      <w:rFonts w:ascii="黑体" w:hAnsi="黑体" w:eastAsia="黑体" w:cs="黑体"/>
      <w:sz w:val="32"/>
      <w:szCs w:val="32"/>
      <w:lang w:val="zh-CN" w:bidi="zh-CN"/>
    </w:rPr>
  </w:style>
  <w:style w:type="character" w:customStyle="1" w:styleId="128">
    <w:name w:val="标题 5 Char"/>
    <w:basedOn w:val="92"/>
    <w:link w:val="9"/>
    <w:qFormat/>
    <w:uiPriority w:val="0"/>
    <w:rPr>
      <w:rFonts w:ascii="宋体" w:hAnsi="宋体" w:cs="宋体"/>
      <w:b/>
      <w:bCs/>
      <w:sz w:val="28"/>
      <w:szCs w:val="28"/>
      <w:lang w:val="zh-CN" w:bidi="zh-CN"/>
    </w:rPr>
  </w:style>
  <w:style w:type="character" w:customStyle="1" w:styleId="129">
    <w:name w:val="标题 6 Char"/>
    <w:basedOn w:val="92"/>
    <w:link w:val="10"/>
    <w:qFormat/>
    <w:uiPriority w:val="0"/>
    <w:rPr>
      <w:rFonts w:ascii="宋体" w:hAnsi="宋体" w:cs="宋体"/>
      <w:sz w:val="28"/>
      <w:szCs w:val="28"/>
      <w:lang w:val="zh-CN" w:bidi="zh-CN"/>
    </w:rPr>
  </w:style>
  <w:style w:type="character" w:customStyle="1" w:styleId="130">
    <w:name w:val="标题 7 Char"/>
    <w:basedOn w:val="92"/>
    <w:link w:val="11"/>
    <w:qFormat/>
    <w:uiPriority w:val="0"/>
    <w:rPr>
      <w:rFonts w:ascii="宋体" w:hAnsi="宋体" w:cs="宋体"/>
      <w:b/>
      <w:bCs/>
      <w:sz w:val="24"/>
      <w:szCs w:val="24"/>
      <w:lang w:val="zh-CN" w:bidi="zh-CN"/>
    </w:rPr>
  </w:style>
  <w:style w:type="character" w:customStyle="1" w:styleId="131">
    <w:name w:val="标题 8 Char"/>
    <w:basedOn w:val="92"/>
    <w:link w:val="12"/>
    <w:qFormat/>
    <w:uiPriority w:val="0"/>
    <w:rPr>
      <w:rFonts w:ascii="宋体" w:hAnsi="宋体" w:cs="宋体"/>
      <w:sz w:val="24"/>
      <w:szCs w:val="24"/>
      <w:lang w:val="zh-CN" w:bidi="zh-CN"/>
    </w:rPr>
  </w:style>
  <w:style w:type="character" w:customStyle="1" w:styleId="132">
    <w:name w:val="标题 9 Char"/>
    <w:basedOn w:val="92"/>
    <w:link w:val="13"/>
    <w:qFormat/>
    <w:uiPriority w:val="0"/>
    <w:rPr>
      <w:rFonts w:ascii="宋体" w:hAnsi="宋体" w:cs="宋体"/>
      <w:b/>
      <w:bCs/>
      <w:sz w:val="21"/>
      <w:szCs w:val="21"/>
      <w:u w:val="single" w:color="000000"/>
      <w:lang w:val="zh-CN" w:bidi="zh-CN"/>
    </w:rPr>
  </w:style>
  <w:style w:type="character" w:customStyle="1" w:styleId="133">
    <w:name w:val="脚注文本 Char"/>
    <w:link w:val="69"/>
    <w:qFormat/>
    <w:locked/>
    <w:uiPriority w:val="0"/>
    <w:rPr>
      <w:kern w:val="2"/>
      <w:sz w:val="18"/>
    </w:rPr>
  </w:style>
  <w:style w:type="paragraph" w:customStyle="1" w:styleId="134">
    <w:name w:val="_Style 70"/>
    <w:qFormat/>
    <w:uiPriority w:val="0"/>
    <w:pPr>
      <w:jc w:val="both"/>
    </w:pPr>
    <w:rPr>
      <w:rFonts w:ascii="Times New Roman" w:hAnsi="Times New Roman" w:eastAsia="宋体" w:cs="Times New Roman"/>
      <w:kern w:val="2"/>
      <w:sz w:val="21"/>
      <w:lang w:val="en-US" w:eastAsia="zh-CN" w:bidi="ar-SA"/>
    </w:rPr>
  </w:style>
  <w:style w:type="character" w:customStyle="1" w:styleId="135">
    <w:name w:val="普通文字 Char Char"/>
    <w:qFormat/>
    <w:uiPriority w:val="0"/>
    <w:rPr>
      <w:rFonts w:ascii="宋体" w:hAnsi="Courier New" w:eastAsia="宋体"/>
      <w:kern w:val="2"/>
      <w:sz w:val="21"/>
      <w:lang w:val="en-US" w:eastAsia="zh-CN"/>
    </w:rPr>
  </w:style>
  <w:style w:type="character" w:customStyle="1" w:styleId="136">
    <w:name w:val="Char Char9"/>
    <w:qFormat/>
    <w:uiPriority w:val="0"/>
    <w:rPr>
      <w:rFonts w:eastAsia="宋体"/>
      <w:kern w:val="2"/>
      <w:sz w:val="21"/>
      <w:lang w:val="en-US" w:eastAsia="zh-CN"/>
    </w:rPr>
  </w:style>
  <w:style w:type="character" w:customStyle="1" w:styleId="137">
    <w:name w:val="Char Char5"/>
    <w:qFormat/>
    <w:uiPriority w:val="0"/>
    <w:rPr>
      <w:rFonts w:eastAsia="宋体"/>
      <w:kern w:val="2"/>
      <w:sz w:val="18"/>
      <w:lang w:val="en-US" w:eastAsia="zh-CN"/>
    </w:rPr>
  </w:style>
  <w:style w:type="character" w:customStyle="1" w:styleId="138">
    <w:name w:val="Char Char6"/>
    <w:qFormat/>
    <w:uiPriority w:val="0"/>
    <w:rPr>
      <w:rFonts w:ascii="宋体" w:hAnsi="宋体" w:eastAsia="宋体"/>
      <w:spacing w:val="-6"/>
      <w:kern w:val="2"/>
      <w:sz w:val="21"/>
      <w:lang w:val="en-US" w:eastAsia="zh-CN"/>
    </w:rPr>
  </w:style>
  <w:style w:type="character" w:customStyle="1" w:styleId="139">
    <w:name w:val="style1 style6 style7"/>
    <w:basedOn w:val="92"/>
    <w:qFormat/>
    <w:uiPriority w:val="0"/>
    <w:rPr>
      <w:rFonts w:cs="Times New Roman"/>
    </w:rPr>
  </w:style>
  <w:style w:type="character" w:customStyle="1" w:styleId="140">
    <w:name w:val="locality"/>
    <w:basedOn w:val="92"/>
    <w:qFormat/>
    <w:uiPriority w:val="0"/>
    <w:rPr>
      <w:rFonts w:cs="Times New Roman"/>
    </w:rPr>
  </w:style>
  <w:style w:type="character" w:customStyle="1" w:styleId="141">
    <w:name w:val="bulletintext1"/>
    <w:qFormat/>
    <w:uiPriority w:val="0"/>
    <w:rPr>
      <w:color w:val="000000"/>
      <w:sz w:val="18"/>
    </w:rPr>
  </w:style>
  <w:style w:type="character" w:customStyle="1" w:styleId="142">
    <w:name w:val="Char Char31"/>
    <w:qFormat/>
    <w:uiPriority w:val="0"/>
    <w:rPr>
      <w:kern w:val="2"/>
      <w:sz w:val="18"/>
    </w:rPr>
  </w:style>
  <w:style w:type="character" w:customStyle="1" w:styleId="143">
    <w:name w:val="j23x"/>
    <w:basedOn w:val="92"/>
    <w:qFormat/>
    <w:uiPriority w:val="0"/>
    <w:rPr>
      <w:rFonts w:cs="Times New Roman"/>
    </w:rPr>
  </w:style>
  <w:style w:type="character" w:customStyle="1" w:styleId="144">
    <w:name w:val="Char Char21"/>
    <w:qFormat/>
    <w:uiPriority w:val="0"/>
    <w:rPr>
      <w:kern w:val="2"/>
      <w:sz w:val="18"/>
    </w:rPr>
  </w:style>
  <w:style w:type="character" w:customStyle="1" w:styleId="145">
    <w:name w:val="font31"/>
    <w:qFormat/>
    <w:uiPriority w:val="0"/>
    <w:rPr>
      <w:rFonts w:ascii="宋体" w:hAnsi="宋体" w:eastAsia="宋体"/>
      <w:color w:val="0000FF"/>
      <w:sz w:val="21"/>
      <w:u w:val="none"/>
      <w:vertAlign w:val="superscript"/>
    </w:rPr>
  </w:style>
  <w:style w:type="character" w:customStyle="1" w:styleId="146">
    <w:name w:val="tpc_content1"/>
    <w:qFormat/>
    <w:uiPriority w:val="0"/>
    <w:rPr>
      <w:sz w:val="20"/>
    </w:rPr>
  </w:style>
  <w:style w:type="character" w:customStyle="1" w:styleId="147">
    <w:name w:val="street-address"/>
    <w:basedOn w:val="92"/>
    <w:qFormat/>
    <w:uiPriority w:val="0"/>
    <w:rPr>
      <w:rFonts w:cs="Times New Roman"/>
    </w:rPr>
  </w:style>
  <w:style w:type="character" w:customStyle="1" w:styleId="148">
    <w:name w:val="u21"/>
    <w:qFormat/>
    <w:uiPriority w:val="0"/>
    <w:rPr>
      <w:rFonts w:ascii="??" w:hAnsi="??"/>
      <w:sz w:val="18"/>
    </w:rPr>
  </w:style>
  <w:style w:type="character" w:customStyle="1" w:styleId="149">
    <w:name w:val="批注文字 Char"/>
    <w:link w:val="31"/>
    <w:qFormat/>
    <w:locked/>
    <w:uiPriority w:val="0"/>
    <w:rPr>
      <w:kern w:val="2"/>
      <w:sz w:val="21"/>
    </w:rPr>
  </w:style>
  <w:style w:type="character" w:customStyle="1" w:styleId="150">
    <w:name w:val="style21"/>
    <w:qFormat/>
    <w:uiPriority w:val="0"/>
    <w:rPr>
      <w:sz w:val="21"/>
    </w:rPr>
  </w:style>
  <w:style w:type="character" w:customStyle="1" w:styleId="151">
    <w:name w:val="font161"/>
    <w:qFormat/>
    <w:uiPriority w:val="0"/>
    <w:rPr>
      <w:b/>
      <w:sz w:val="32"/>
    </w:rPr>
  </w:style>
  <w:style w:type="character" w:customStyle="1" w:styleId="152">
    <w:name w:val="尾注文本 Char"/>
    <w:link w:val="53"/>
    <w:qFormat/>
    <w:locked/>
    <w:uiPriority w:val="0"/>
    <w:rPr>
      <w:kern w:val="2"/>
      <w:sz w:val="21"/>
    </w:rPr>
  </w:style>
  <w:style w:type="character" w:customStyle="1" w:styleId="153">
    <w:name w:val="Char Char15"/>
    <w:qFormat/>
    <w:uiPriority w:val="0"/>
    <w:rPr>
      <w:rFonts w:ascii="Arial" w:hAnsi="Arial" w:eastAsia="黑体"/>
      <w:b/>
      <w:sz w:val="24"/>
      <w:lang w:val="en-US" w:eastAsia="zh-CN"/>
    </w:rPr>
  </w:style>
  <w:style w:type="character" w:customStyle="1" w:styleId="154">
    <w:name w:val="首行缩进两字 Char"/>
    <w:qFormat/>
    <w:uiPriority w:val="0"/>
    <w:rPr>
      <w:rFonts w:eastAsia="宋体"/>
      <w:sz w:val="21"/>
      <w:lang w:val="en-US" w:eastAsia="zh-CN"/>
    </w:rPr>
  </w:style>
  <w:style w:type="character" w:customStyle="1" w:styleId="155">
    <w:name w:val="p7"/>
    <w:basedOn w:val="92"/>
    <w:qFormat/>
    <w:uiPriority w:val="0"/>
    <w:rPr>
      <w:rFonts w:cs="Times New Roman"/>
    </w:rPr>
  </w:style>
  <w:style w:type="character" w:customStyle="1" w:styleId="156">
    <w:name w:val="Char Char20"/>
    <w:qFormat/>
    <w:uiPriority w:val="0"/>
    <w:rPr>
      <w:rFonts w:ascii="Arial" w:hAnsi="Arial" w:eastAsia="黑体"/>
      <w:b/>
      <w:kern w:val="2"/>
      <w:sz w:val="32"/>
      <w:lang w:val="en-US" w:eastAsia="zh-CN"/>
    </w:rPr>
  </w:style>
  <w:style w:type="character" w:customStyle="1" w:styleId="157">
    <w:name w:val="Char Char16"/>
    <w:qFormat/>
    <w:uiPriority w:val="0"/>
    <w:rPr>
      <w:rFonts w:ascii="Arial" w:hAnsi="Arial" w:eastAsia="黑体"/>
      <w:b/>
      <w:kern w:val="2"/>
      <w:sz w:val="28"/>
      <w:lang w:val="en-US" w:eastAsia="zh-CN"/>
    </w:rPr>
  </w:style>
  <w:style w:type="character" w:customStyle="1" w:styleId="158">
    <w:name w:val="Char Char3"/>
    <w:qFormat/>
    <w:uiPriority w:val="0"/>
    <w:rPr>
      <w:rFonts w:ascii="宋体" w:hAnsi="宋体" w:eastAsia="宋体"/>
      <w:spacing w:val="-6"/>
      <w:kern w:val="2"/>
      <w:sz w:val="21"/>
      <w:lang w:val="en-US" w:eastAsia="zh-CN"/>
    </w:rPr>
  </w:style>
  <w:style w:type="character" w:customStyle="1" w:styleId="159">
    <w:name w:val="country-name"/>
    <w:basedOn w:val="92"/>
    <w:qFormat/>
    <w:uiPriority w:val="0"/>
    <w:rPr>
      <w:rFonts w:cs="Times New Roman"/>
    </w:rPr>
  </w:style>
  <w:style w:type="character" w:customStyle="1" w:styleId="160">
    <w:name w:val="Char Char110"/>
    <w:qFormat/>
    <w:uiPriority w:val="0"/>
    <w:rPr>
      <w:kern w:val="2"/>
      <w:sz w:val="24"/>
    </w:rPr>
  </w:style>
  <w:style w:type="character" w:customStyle="1" w:styleId="161">
    <w:name w:val="highlight1"/>
    <w:qFormat/>
    <w:uiPriority w:val="0"/>
    <w:rPr>
      <w:color w:val="FF0000"/>
    </w:rPr>
  </w:style>
  <w:style w:type="character" w:customStyle="1" w:styleId="162">
    <w:name w:val="qclx"/>
    <w:basedOn w:val="92"/>
    <w:qFormat/>
    <w:uiPriority w:val="0"/>
    <w:rPr>
      <w:rFonts w:cs="Times New Roman"/>
    </w:rPr>
  </w:style>
  <w:style w:type="character" w:customStyle="1" w:styleId="163">
    <w:name w:val="正文缩进 Char"/>
    <w:link w:val="23"/>
    <w:qFormat/>
    <w:locked/>
    <w:uiPriority w:val="0"/>
    <w:rPr>
      <w:rFonts w:ascii="宋体" w:hAnsi="宋体" w:cs="宋体"/>
      <w:sz w:val="22"/>
      <w:szCs w:val="22"/>
      <w:lang w:val="zh-CN" w:bidi="zh-CN"/>
    </w:rPr>
  </w:style>
  <w:style w:type="character" w:customStyle="1" w:styleId="164">
    <w:name w:val="my Char"/>
    <w:qFormat/>
    <w:uiPriority w:val="0"/>
    <w:rPr>
      <w:rFonts w:ascii="宋体" w:hAnsi="宋体" w:eastAsia="宋体"/>
      <w:snapToGrid w:val="0"/>
      <w:kern w:val="2"/>
      <w:sz w:val="24"/>
      <w:lang w:val="en-US" w:eastAsia="zh-CN"/>
    </w:rPr>
  </w:style>
  <w:style w:type="character" w:customStyle="1" w:styleId="165">
    <w:name w:val="文档结构图 Char"/>
    <w:link w:val="29"/>
    <w:qFormat/>
    <w:locked/>
    <w:uiPriority w:val="0"/>
    <w:rPr>
      <w:kern w:val="2"/>
      <w:sz w:val="21"/>
      <w:shd w:val="clear" w:color="auto" w:fill="000080"/>
    </w:rPr>
  </w:style>
  <w:style w:type="character" w:customStyle="1" w:styleId="166">
    <w:name w:val="font11"/>
    <w:qFormat/>
    <w:uiPriority w:val="0"/>
    <w:rPr>
      <w:rFonts w:ascii="宋体" w:hAnsi="宋体" w:eastAsia="宋体"/>
      <w:color w:val="000000"/>
      <w:sz w:val="21"/>
      <w:u w:val="none"/>
      <w:vertAlign w:val="superscript"/>
    </w:rPr>
  </w:style>
  <w:style w:type="character" w:customStyle="1" w:styleId="167">
    <w:name w:val="Char Char11"/>
    <w:qFormat/>
    <w:uiPriority w:val="0"/>
    <w:rPr>
      <w:rFonts w:ascii="宋体" w:hAnsi="Courier New" w:eastAsia="宋体"/>
      <w:kern w:val="2"/>
      <w:sz w:val="21"/>
      <w:lang w:val="en-US" w:eastAsia="zh-CN"/>
    </w:rPr>
  </w:style>
  <w:style w:type="character" w:customStyle="1" w:styleId="168">
    <w:name w:val="Char Char17"/>
    <w:qFormat/>
    <w:uiPriority w:val="0"/>
    <w:rPr>
      <w:rFonts w:eastAsia="宋体"/>
      <w:b/>
      <w:kern w:val="2"/>
      <w:sz w:val="32"/>
      <w:lang w:val="en-US" w:eastAsia="zh-CN"/>
    </w:rPr>
  </w:style>
  <w:style w:type="character" w:customStyle="1" w:styleId="169">
    <w:name w:val="Char Char8"/>
    <w:qFormat/>
    <w:uiPriority w:val="0"/>
    <w:rPr>
      <w:rFonts w:eastAsia="宋体"/>
      <w:kern w:val="2"/>
      <w:sz w:val="18"/>
      <w:lang w:val="en-US" w:eastAsia="zh-CN"/>
    </w:rPr>
  </w:style>
  <w:style w:type="character" w:customStyle="1" w:styleId="170">
    <w:name w:val="Char Char4"/>
    <w:qFormat/>
    <w:uiPriority w:val="0"/>
    <w:rPr>
      <w:rFonts w:ascii="Arial" w:hAnsi="Arial" w:eastAsia="宋体"/>
      <w:b/>
      <w:sz w:val="32"/>
      <w:lang w:val="en-US" w:eastAsia="zh-CN"/>
    </w:rPr>
  </w:style>
  <w:style w:type="character" w:customStyle="1" w:styleId="171">
    <w:name w:val="Char Char13"/>
    <w:qFormat/>
    <w:uiPriority w:val="0"/>
    <w:rPr>
      <w:rFonts w:ascii="Arial" w:hAnsi="Arial" w:eastAsia="黑体"/>
      <w:sz w:val="24"/>
      <w:lang w:val="en-US" w:eastAsia="zh-CN"/>
    </w:rPr>
  </w:style>
  <w:style w:type="character" w:customStyle="1" w:styleId="172">
    <w:name w:val="标题 1 Char Char"/>
    <w:qFormat/>
    <w:uiPriority w:val="0"/>
    <w:rPr>
      <w:rFonts w:ascii="Arial" w:hAnsi="Arial" w:eastAsia="黑体"/>
      <w:kern w:val="44"/>
      <w:sz w:val="44"/>
      <w:lang w:val="en-US" w:eastAsia="zh-CN"/>
    </w:rPr>
  </w:style>
  <w:style w:type="character" w:customStyle="1" w:styleId="173">
    <w:name w:val="font14news1"/>
    <w:qFormat/>
    <w:uiPriority w:val="0"/>
    <w:rPr>
      <w:color w:val="333333"/>
      <w:sz w:val="21"/>
    </w:rPr>
  </w:style>
  <w:style w:type="character" w:customStyle="1" w:styleId="174">
    <w:name w:val="Char Char"/>
    <w:qFormat/>
    <w:uiPriority w:val="0"/>
    <w:rPr>
      <w:rFonts w:eastAsia="宋体"/>
      <w:kern w:val="2"/>
      <w:sz w:val="21"/>
      <w:lang w:val="en-US" w:eastAsia="zh-CN"/>
    </w:rPr>
  </w:style>
  <w:style w:type="character" w:customStyle="1" w:styleId="175">
    <w:name w:val="正文文本缩进 3 Char"/>
    <w:link w:val="73"/>
    <w:qFormat/>
    <w:locked/>
    <w:uiPriority w:val="0"/>
    <w:rPr>
      <w:rFonts w:ascii="仿宋_GB2312" w:hAnsi="宋体" w:eastAsia="仿宋_GB2312"/>
      <w:spacing w:val="-6"/>
      <w:kern w:val="2"/>
      <w:sz w:val="21"/>
    </w:rPr>
  </w:style>
  <w:style w:type="character" w:customStyle="1" w:styleId="176">
    <w:name w:val="8953"/>
    <w:basedOn w:val="92"/>
    <w:qFormat/>
    <w:uiPriority w:val="0"/>
    <w:rPr>
      <w:rFonts w:cs="Times New Roman"/>
    </w:rPr>
  </w:style>
  <w:style w:type="character" w:customStyle="1" w:styleId="177">
    <w:name w:val="Char Char2"/>
    <w:qFormat/>
    <w:uiPriority w:val="0"/>
    <w:rPr>
      <w:rFonts w:eastAsia="宋体"/>
      <w:kern w:val="2"/>
      <w:sz w:val="21"/>
      <w:lang w:val="en-US" w:eastAsia="zh-CN"/>
    </w:rPr>
  </w:style>
  <w:style w:type="character" w:customStyle="1" w:styleId="178">
    <w:name w:val="75pk"/>
    <w:basedOn w:val="92"/>
    <w:qFormat/>
    <w:uiPriority w:val="0"/>
    <w:rPr>
      <w:rFonts w:cs="Times New Roman"/>
    </w:rPr>
  </w:style>
  <w:style w:type="character" w:customStyle="1" w:styleId="179">
    <w:name w:val="Char Char7"/>
    <w:qFormat/>
    <w:uiPriority w:val="0"/>
    <w:rPr>
      <w:rFonts w:eastAsia="宋体"/>
      <w:kern w:val="2"/>
      <w:sz w:val="21"/>
      <w:lang w:val="en-US" w:eastAsia="zh-CN"/>
    </w:rPr>
  </w:style>
  <w:style w:type="character" w:customStyle="1" w:styleId="180">
    <w:name w:val="Char Char19"/>
    <w:qFormat/>
    <w:uiPriority w:val="0"/>
    <w:rPr>
      <w:rFonts w:ascii="Arial Unicode MS" w:hAnsi="Arial Unicode MS" w:eastAsia="Times New Roman"/>
      <w:b/>
      <w:kern w:val="36"/>
      <w:sz w:val="48"/>
      <w:lang w:val="en-US" w:eastAsia="zh-CN"/>
    </w:rPr>
  </w:style>
  <w:style w:type="character" w:customStyle="1" w:styleId="181">
    <w:name w:val="bemq"/>
    <w:basedOn w:val="92"/>
    <w:qFormat/>
    <w:uiPriority w:val="0"/>
    <w:rPr>
      <w:rFonts w:cs="Times New Roman"/>
    </w:rPr>
  </w:style>
  <w:style w:type="character" w:customStyle="1" w:styleId="182">
    <w:name w:val="样式 (中文) 仿宋_GB2312 四号 下划线"/>
    <w:qFormat/>
    <w:uiPriority w:val="0"/>
    <w:rPr>
      <w:rFonts w:eastAsia="仿宋_GB2312"/>
      <w:sz w:val="28"/>
      <w:u w:val="single"/>
    </w:rPr>
  </w:style>
  <w:style w:type="character" w:customStyle="1" w:styleId="183">
    <w:name w:val="Char Char14"/>
    <w:qFormat/>
    <w:uiPriority w:val="0"/>
    <w:rPr>
      <w:rFonts w:eastAsia="宋体"/>
      <w:b/>
      <w:sz w:val="24"/>
      <w:lang w:val="en-US" w:eastAsia="zh-CN"/>
    </w:rPr>
  </w:style>
  <w:style w:type="character" w:customStyle="1" w:styleId="184">
    <w:name w:val="批注主题 Char"/>
    <w:link w:val="88"/>
    <w:qFormat/>
    <w:locked/>
    <w:uiPriority w:val="0"/>
    <w:rPr>
      <w:b/>
      <w:kern w:val="2"/>
      <w:sz w:val="21"/>
    </w:rPr>
  </w:style>
  <w:style w:type="character" w:customStyle="1" w:styleId="185">
    <w:name w:val="style7"/>
    <w:qFormat/>
    <w:uiPriority w:val="0"/>
  </w:style>
  <w:style w:type="character" w:customStyle="1" w:styleId="186">
    <w:name w:val="Char Char1"/>
    <w:qFormat/>
    <w:uiPriority w:val="0"/>
    <w:rPr>
      <w:rFonts w:ascii="仿宋_GB2312" w:hAnsi="宋体" w:eastAsia="仿宋_GB2312"/>
      <w:snapToGrid w:val="0"/>
      <w:spacing w:val="-6"/>
      <w:sz w:val="21"/>
      <w:lang w:val="en-US" w:eastAsia="zh-CN"/>
    </w:rPr>
  </w:style>
  <w:style w:type="character" w:customStyle="1" w:styleId="187">
    <w:name w:val="567r"/>
    <w:basedOn w:val="92"/>
    <w:qFormat/>
    <w:uiPriority w:val="0"/>
    <w:rPr>
      <w:rFonts w:cs="Times New Roman"/>
    </w:rPr>
  </w:style>
  <w:style w:type="character" w:customStyle="1" w:styleId="188">
    <w:name w:val="正文文字4 Char Char"/>
    <w:qFormat/>
    <w:uiPriority w:val="0"/>
    <w:rPr>
      <w:rFonts w:ascii="宋体" w:hAnsi="宋体" w:eastAsia="宋体"/>
      <w:spacing w:val="-6"/>
      <w:kern w:val="2"/>
      <w:sz w:val="21"/>
      <w:lang w:val="en-US" w:eastAsia="zh-CN"/>
    </w:rPr>
  </w:style>
  <w:style w:type="character" w:customStyle="1" w:styleId="189">
    <w:name w:val="brown1"/>
    <w:qFormat/>
    <w:uiPriority w:val="0"/>
    <w:rPr>
      <w:color w:val="80786A"/>
    </w:rPr>
  </w:style>
  <w:style w:type="character" w:customStyle="1" w:styleId="190">
    <w:name w:val="Font Style176"/>
    <w:qFormat/>
    <w:uiPriority w:val="0"/>
    <w:rPr>
      <w:rFonts w:ascii="宋体" w:eastAsia="宋体"/>
      <w:sz w:val="20"/>
    </w:rPr>
  </w:style>
  <w:style w:type="character" w:customStyle="1" w:styleId="191">
    <w:name w:val="Char Char12"/>
    <w:qFormat/>
    <w:uiPriority w:val="0"/>
    <w:rPr>
      <w:rFonts w:ascii="Arial" w:hAnsi="Arial" w:eastAsia="黑体"/>
      <w:sz w:val="21"/>
      <w:lang w:val="en-US" w:eastAsia="zh-CN"/>
    </w:rPr>
  </w:style>
  <w:style w:type="character" w:customStyle="1" w:styleId="192">
    <w:name w:val="日期 Char"/>
    <w:link w:val="51"/>
    <w:qFormat/>
    <w:locked/>
    <w:uiPriority w:val="0"/>
    <w:rPr>
      <w:kern w:val="2"/>
      <w:sz w:val="21"/>
    </w:rPr>
  </w:style>
  <w:style w:type="character" w:customStyle="1" w:styleId="193">
    <w:name w:val="15"/>
    <w:qFormat/>
    <w:uiPriority w:val="0"/>
    <w:rPr>
      <w:rFonts w:ascii="Times New Roman" w:hAnsi="Times New Roman"/>
      <w:sz w:val="27"/>
    </w:rPr>
  </w:style>
  <w:style w:type="character" w:customStyle="1" w:styleId="194">
    <w:name w:val="font21"/>
    <w:qFormat/>
    <w:uiPriority w:val="0"/>
    <w:rPr>
      <w:rFonts w:ascii="宋体" w:hAnsi="宋体" w:eastAsia="宋体"/>
      <w:color w:val="FF0000"/>
      <w:sz w:val="21"/>
      <w:u w:val="none"/>
      <w:vertAlign w:val="superscript"/>
    </w:rPr>
  </w:style>
  <w:style w:type="character" w:customStyle="1" w:styleId="195">
    <w:name w:val="正文文本缩进 2 Char"/>
    <w:link w:val="52"/>
    <w:qFormat/>
    <w:locked/>
    <w:uiPriority w:val="0"/>
    <w:rPr>
      <w:kern w:val="2"/>
      <w:sz w:val="21"/>
    </w:rPr>
  </w:style>
  <w:style w:type="character" w:customStyle="1" w:styleId="196">
    <w:name w:val="Char Char18"/>
    <w:qFormat/>
    <w:uiPriority w:val="0"/>
    <w:rPr>
      <w:rFonts w:ascii="Arial" w:hAnsi="Arial" w:eastAsia="黑体"/>
      <w:b/>
      <w:sz w:val="32"/>
      <w:lang w:val="en-US" w:eastAsia="zh-CN"/>
    </w:rPr>
  </w:style>
  <w:style w:type="character" w:customStyle="1" w:styleId="197">
    <w:name w:val="正文文本缩进 Char"/>
    <w:qFormat/>
    <w:locked/>
    <w:uiPriority w:val="0"/>
    <w:rPr>
      <w:rFonts w:ascii="宋体"/>
      <w:spacing w:val="-6"/>
      <w:kern w:val="2"/>
      <w:sz w:val="21"/>
    </w:rPr>
  </w:style>
  <w:style w:type="character" w:customStyle="1" w:styleId="198">
    <w:name w:val="Char Char10"/>
    <w:qFormat/>
    <w:uiPriority w:val="0"/>
    <w:rPr>
      <w:rFonts w:eastAsia="宋体"/>
      <w:color w:val="FF0000"/>
      <w:kern w:val="2"/>
      <w:sz w:val="24"/>
      <w:lang w:val="en-US" w:eastAsia="zh-CN"/>
    </w:rPr>
  </w:style>
  <w:style w:type="character" w:customStyle="1" w:styleId="199">
    <w:name w:val="正文文本 3 Char"/>
    <w:link w:val="34"/>
    <w:qFormat/>
    <w:locked/>
    <w:uiPriority w:val="0"/>
    <w:rPr>
      <w:color w:val="FF0000"/>
      <w:kern w:val="2"/>
      <w:sz w:val="24"/>
    </w:rPr>
  </w:style>
  <w:style w:type="character" w:customStyle="1" w:styleId="200">
    <w:name w:val="样式w Char"/>
    <w:link w:val="201"/>
    <w:qFormat/>
    <w:locked/>
    <w:uiPriority w:val="0"/>
    <w:rPr>
      <w:rFonts w:ascii="宋体"/>
      <w:kern w:val="2"/>
      <w:sz w:val="24"/>
    </w:rPr>
  </w:style>
  <w:style w:type="paragraph" w:customStyle="1" w:styleId="201">
    <w:name w:val="样式w"/>
    <w:basedOn w:val="1"/>
    <w:link w:val="200"/>
    <w:qFormat/>
    <w:uiPriority w:val="0"/>
    <w:pPr>
      <w:autoSpaceDE/>
      <w:autoSpaceDN/>
      <w:spacing w:line="360" w:lineRule="auto"/>
      <w:ind w:firstLine="200" w:firstLineChars="200"/>
      <w:jc w:val="both"/>
    </w:pPr>
    <w:rPr>
      <w:rFonts w:hAnsi="Times New Roman" w:cs="Times New Roman"/>
      <w:kern w:val="2"/>
      <w:sz w:val="24"/>
      <w:szCs w:val="20"/>
      <w:lang w:val="en-US" w:bidi="ar-SA"/>
    </w:rPr>
  </w:style>
  <w:style w:type="character" w:customStyle="1" w:styleId="202">
    <w:name w:val="zbggmain style9"/>
    <w:basedOn w:val="92"/>
    <w:qFormat/>
    <w:uiPriority w:val="0"/>
    <w:rPr>
      <w:rFonts w:cs="Times New Roman"/>
    </w:rPr>
  </w:style>
  <w:style w:type="character" w:customStyle="1" w:styleId="203">
    <w:name w:val="s81i"/>
    <w:basedOn w:val="92"/>
    <w:qFormat/>
    <w:uiPriority w:val="0"/>
    <w:rPr>
      <w:rFonts w:cs="Times New Roman"/>
    </w:rPr>
  </w:style>
  <w:style w:type="character" w:customStyle="1" w:styleId="204">
    <w:name w:val="结束语 Char"/>
    <w:basedOn w:val="92"/>
    <w:link w:val="35"/>
    <w:qFormat/>
    <w:uiPriority w:val="0"/>
    <w:rPr>
      <w:kern w:val="2"/>
      <w:sz w:val="21"/>
    </w:rPr>
  </w:style>
  <w:style w:type="character" w:customStyle="1" w:styleId="205">
    <w:name w:val="宏文本 Char"/>
    <w:basedOn w:val="92"/>
    <w:link w:val="4"/>
    <w:qFormat/>
    <w:uiPriority w:val="0"/>
    <w:rPr>
      <w:rFonts w:ascii="Courier New" w:hAnsi="Courier New"/>
      <w:kern w:val="2"/>
      <w:sz w:val="24"/>
    </w:rPr>
  </w:style>
  <w:style w:type="character" w:customStyle="1" w:styleId="206">
    <w:name w:val="电子邮件签名 Char"/>
    <w:basedOn w:val="92"/>
    <w:link w:val="21"/>
    <w:qFormat/>
    <w:uiPriority w:val="0"/>
    <w:rPr>
      <w:kern w:val="2"/>
      <w:sz w:val="21"/>
    </w:rPr>
  </w:style>
  <w:style w:type="character" w:customStyle="1" w:styleId="207">
    <w:name w:val="正文文本 Char1"/>
    <w:basedOn w:val="92"/>
    <w:semiHidden/>
    <w:qFormat/>
    <w:uiPriority w:val="99"/>
    <w:rPr>
      <w:kern w:val="2"/>
      <w:sz w:val="21"/>
    </w:rPr>
  </w:style>
  <w:style w:type="character" w:customStyle="1" w:styleId="208">
    <w:name w:val="正文文本缩进 Char1"/>
    <w:basedOn w:val="92"/>
    <w:semiHidden/>
    <w:qFormat/>
    <w:uiPriority w:val="99"/>
    <w:rPr>
      <w:kern w:val="2"/>
      <w:sz w:val="21"/>
    </w:rPr>
  </w:style>
  <w:style w:type="character" w:customStyle="1" w:styleId="209">
    <w:name w:val="批注文字 Char1"/>
    <w:basedOn w:val="92"/>
    <w:qFormat/>
    <w:uiPriority w:val="99"/>
    <w:rPr>
      <w:rFonts w:ascii="宋体" w:hAnsi="宋体" w:cs="宋体"/>
      <w:sz w:val="22"/>
      <w:szCs w:val="22"/>
      <w:lang w:val="zh-CN" w:bidi="zh-CN"/>
    </w:rPr>
  </w:style>
  <w:style w:type="character" w:customStyle="1" w:styleId="210">
    <w:name w:val="正文文本 3 Char1"/>
    <w:basedOn w:val="92"/>
    <w:qFormat/>
    <w:uiPriority w:val="99"/>
    <w:rPr>
      <w:rFonts w:ascii="宋体" w:hAnsi="宋体" w:cs="宋体"/>
      <w:sz w:val="16"/>
      <w:szCs w:val="16"/>
      <w:lang w:val="zh-CN" w:bidi="zh-CN"/>
    </w:rPr>
  </w:style>
  <w:style w:type="character" w:customStyle="1" w:styleId="211">
    <w:name w:val="注释标题 Char"/>
    <w:basedOn w:val="92"/>
    <w:link w:val="18"/>
    <w:qFormat/>
    <w:uiPriority w:val="0"/>
    <w:rPr>
      <w:kern w:val="2"/>
      <w:sz w:val="21"/>
    </w:rPr>
  </w:style>
  <w:style w:type="character" w:customStyle="1" w:styleId="212">
    <w:name w:val="称呼 Char"/>
    <w:basedOn w:val="92"/>
    <w:link w:val="33"/>
    <w:qFormat/>
    <w:uiPriority w:val="0"/>
    <w:rPr>
      <w:rFonts w:ascii="宋体"/>
      <w:kern w:val="2"/>
      <w:sz w:val="28"/>
    </w:rPr>
  </w:style>
  <w:style w:type="character" w:customStyle="1" w:styleId="213">
    <w:name w:val="文档结构图 Char1"/>
    <w:basedOn w:val="92"/>
    <w:qFormat/>
    <w:uiPriority w:val="99"/>
    <w:rPr>
      <w:rFonts w:ascii="Microsoft YaHei UI" w:hAnsi="宋体" w:eastAsia="Microsoft YaHei UI" w:cs="宋体"/>
      <w:sz w:val="18"/>
      <w:szCs w:val="18"/>
      <w:lang w:val="zh-CN" w:bidi="zh-CN"/>
    </w:rPr>
  </w:style>
  <w:style w:type="character" w:customStyle="1" w:styleId="214">
    <w:name w:val="批注框文本 Char1"/>
    <w:basedOn w:val="92"/>
    <w:semiHidden/>
    <w:qFormat/>
    <w:uiPriority w:val="99"/>
    <w:rPr>
      <w:kern w:val="2"/>
      <w:sz w:val="18"/>
      <w:szCs w:val="18"/>
    </w:rPr>
  </w:style>
  <w:style w:type="character" w:customStyle="1" w:styleId="215">
    <w:name w:val="页眉 Char1"/>
    <w:basedOn w:val="92"/>
    <w:semiHidden/>
    <w:qFormat/>
    <w:uiPriority w:val="99"/>
    <w:rPr>
      <w:kern w:val="2"/>
      <w:sz w:val="18"/>
      <w:szCs w:val="18"/>
    </w:rPr>
  </w:style>
  <w:style w:type="character" w:customStyle="1" w:styleId="216">
    <w:name w:val="HTML 地址 Char"/>
    <w:basedOn w:val="92"/>
    <w:link w:val="42"/>
    <w:qFormat/>
    <w:uiPriority w:val="0"/>
    <w:rPr>
      <w:i/>
      <w:kern w:val="2"/>
      <w:sz w:val="21"/>
    </w:rPr>
  </w:style>
  <w:style w:type="character" w:customStyle="1" w:styleId="217">
    <w:name w:val="签名 Char"/>
    <w:basedOn w:val="92"/>
    <w:link w:val="60"/>
    <w:qFormat/>
    <w:uiPriority w:val="0"/>
    <w:rPr>
      <w:kern w:val="2"/>
      <w:sz w:val="21"/>
    </w:rPr>
  </w:style>
  <w:style w:type="character" w:customStyle="1" w:styleId="218">
    <w:name w:val="日期 Char1"/>
    <w:basedOn w:val="92"/>
    <w:qFormat/>
    <w:uiPriority w:val="99"/>
    <w:rPr>
      <w:rFonts w:ascii="宋体" w:hAnsi="宋体" w:cs="宋体"/>
      <w:sz w:val="22"/>
      <w:szCs w:val="22"/>
      <w:lang w:val="zh-CN" w:bidi="zh-CN"/>
    </w:rPr>
  </w:style>
  <w:style w:type="character" w:customStyle="1" w:styleId="219">
    <w:name w:val="正文文本缩进 2 Char1"/>
    <w:basedOn w:val="92"/>
    <w:qFormat/>
    <w:uiPriority w:val="99"/>
    <w:rPr>
      <w:rFonts w:ascii="宋体" w:hAnsi="宋体" w:cs="宋体"/>
      <w:sz w:val="22"/>
      <w:szCs w:val="22"/>
      <w:lang w:val="zh-CN" w:bidi="zh-CN"/>
    </w:rPr>
  </w:style>
  <w:style w:type="character" w:customStyle="1" w:styleId="220">
    <w:name w:val="尾注文本 Char1"/>
    <w:basedOn w:val="92"/>
    <w:qFormat/>
    <w:uiPriority w:val="99"/>
    <w:rPr>
      <w:rFonts w:ascii="宋体" w:hAnsi="宋体" w:cs="宋体"/>
      <w:sz w:val="22"/>
      <w:szCs w:val="22"/>
      <w:lang w:val="zh-CN" w:bidi="zh-CN"/>
    </w:rPr>
  </w:style>
  <w:style w:type="character" w:customStyle="1" w:styleId="221">
    <w:name w:val="副标题 Char"/>
    <w:basedOn w:val="92"/>
    <w:link w:val="66"/>
    <w:qFormat/>
    <w:uiPriority w:val="0"/>
    <w:rPr>
      <w:rFonts w:ascii="Arial" w:hAnsi="Arial"/>
      <w:b/>
      <w:kern w:val="28"/>
      <w:sz w:val="32"/>
    </w:rPr>
  </w:style>
  <w:style w:type="character" w:customStyle="1" w:styleId="222">
    <w:name w:val="页脚 Char1"/>
    <w:basedOn w:val="92"/>
    <w:semiHidden/>
    <w:qFormat/>
    <w:uiPriority w:val="99"/>
    <w:rPr>
      <w:kern w:val="2"/>
      <w:sz w:val="18"/>
      <w:szCs w:val="18"/>
    </w:rPr>
  </w:style>
  <w:style w:type="character" w:customStyle="1" w:styleId="223">
    <w:name w:val="脚注文本 Char1"/>
    <w:basedOn w:val="92"/>
    <w:qFormat/>
    <w:uiPriority w:val="99"/>
    <w:rPr>
      <w:rFonts w:ascii="宋体" w:hAnsi="宋体" w:cs="宋体"/>
      <w:sz w:val="18"/>
      <w:szCs w:val="18"/>
      <w:lang w:val="zh-CN" w:bidi="zh-CN"/>
    </w:rPr>
  </w:style>
  <w:style w:type="character" w:customStyle="1" w:styleId="224">
    <w:name w:val="正文文本缩进 3 Char1"/>
    <w:basedOn w:val="92"/>
    <w:qFormat/>
    <w:uiPriority w:val="99"/>
    <w:rPr>
      <w:rFonts w:ascii="宋体" w:hAnsi="宋体" w:cs="宋体"/>
      <w:sz w:val="16"/>
      <w:szCs w:val="16"/>
      <w:lang w:val="zh-CN" w:bidi="zh-CN"/>
    </w:rPr>
  </w:style>
  <w:style w:type="character" w:customStyle="1" w:styleId="225">
    <w:name w:val="正文文本 2 Char1"/>
    <w:basedOn w:val="92"/>
    <w:semiHidden/>
    <w:qFormat/>
    <w:uiPriority w:val="99"/>
    <w:rPr>
      <w:kern w:val="2"/>
      <w:sz w:val="21"/>
    </w:rPr>
  </w:style>
  <w:style w:type="character" w:customStyle="1" w:styleId="226">
    <w:name w:val="信息标题 Char"/>
    <w:basedOn w:val="92"/>
    <w:link w:val="82"/>
    <w:qFormat/>
    <w:uiPriority w:val="0"/>
    <w:rPr>
      <w:rFonts w:ascii="Arial" w:hAnsi="Arial"/>
      <w:kern w:val="2"/>
      <w:sz w:val="24"/>
      <w:shd w:val="pct20" w:color="auto" w:fill="auto"/>
    </w:rPr>
  </w:style>
  <w:style w:type="character" w:customStyle="1" w:styleId="227">
    <w:name w:val="HTML 预设格式 Char"/>
    <w:basedOn w:val="92"/>
    <w:link w:val="83"/>
    <w:qFormat/>
    <w:uiPriority w:val="0"/>
    <w:rPr>
      <w:rFonts w:ascii="Courier New" w:hAnsi="Courier New"/>
      <w:kern w:val="2"/>
    </w:rPr>
  </w:style>
  <w:style w:type="character" w:customStyle="1" w:styleId="228">
    <w:name w:val="标题 Char"/>
    <w:basedOn w:val="92"/>
    <w:link w:val="87"/>
    <w:qFormat/>
    <w:uiPriority w:val="10"/>
    <w:rPr>
      <w:rFonts w:ascii="Arial" w:hAnsi="Arial" w:cs="宋体"/>
      <w:b/>
      <w:sz w:val="32"/>
      <w:lang w:val="zh-CN" w:bidi="zh-CN"/>
    </w:rPr>
  </w:style>
  <w:style w:type="character" w:customStyle="1" w:styleId="229">
    <w:name w:val="批注主题 Char1"/>
    <w:basedOn w:val="209"/>
    <w:qFormat/>
    <w:uiPriority w:val="99"/>
    <w:rPr>
      <w:rFonts w:ascii="宋体" w:hAnsi="宋体" w:cs="宋体"/>
      <w:b/>
      <w:bCs/>
      <w:sz w:val="22"/>
      <w:szCs w:val="22"/>
      <w:lang w:val="zh-CN" w:bidi="zh-CN"/>
    </w:rPr>
  </w:style>
  <w:style w:type="character" w:customStyle="1" w:styleId="230">
    <w:name w:val="正文首行缩进 Char1"/>
    <w:basedOn w:val="207"/>
    <w:semiHidden/>
    <w:qFormat/>
    <w:uiPriority w:val="99"/>
    <w:rPr>
      <w:kern w:val="2"/>
      <w:sz w:val="21"/>
    </w:rPr>
  </w:style>
  <w:style w:type="character" w:customStyle="1" w:styleId="231">
    <w:name w:val="正文文本缩进 Char2"/>
    <w:basedOn w:val="92"/>
    <w:link w:val="24"/>
    <w:qFormat/>
    <w:uiPriority w:val="0"/>
    <w:rPr>
      <w:rFonts w:ascii="宋体" w:hAnsi="宋体" w:cs="宋体"/>
      <w:sz w:val="22"/>
      <w:szCs w:val="22"/>
      <w:lang w:val="zh-CN" w:bidi="zh-CN"/>
    </w:rPr>
  </w:style>
  <w:style w:type="character" w:customStyle="1" w:styleId="232">
    <w:name w:val="正文首行缩进 2 Char"/>
    <w:basedOn w:val="231"/>
    <w:link w:val="89"/>
    <w:qFormat/>
    <w:uiPriority w:val="0"/>
    <w:rPr>
      <w:rFonts w:ascii="宋体" w:hAnsi="宋体" w:cs="宋体"/>
      <w:kern w:val="2"/>
      <w:sz w:val="21"/>
      <w:szCs w:val="22"/>
      <w:lang w:val="zh-CN" w:bidi="zh-CN"/>
    </w:rPr>
  </w:style>
  <w:style w:type="paragraph" w:customStyle="1" w:styleId="233">
    <w:name w:val="简单回函地址"/>
    <w:basedOn w:val="1"/>
    <w:qFormat/>
    <w:uiPriority w:val="0"/>
    <w:pPr>
      <w:autoSpaceDE/>
      <w:autoSpaceDN/>
      <w:adjustRightInd w:val="0"/>
      <w:spacing w:line="312" w:lineRule="atLeast"/>
      <w:jc w:val="both"/>
      <w:textAlignment w:val="baseline"/>
    </w:pPr>
    <w:rPr>
      <w:rFonts w:ascii="Times New Roman" w:hAnsi="Times New Roman" w:cs="Times New Roman"/>
      <w:sz w:val="21"/>
      <w:szCs w:val="20"/>
      <w:lang w:val="en-US" w:bidi="ar-SA"/>
    </w:rPr>
  </w:style>
  <w:style w:type="paragraph" w:customStyle="1" w:styleId="234">
    <w:name w:val="表格5"/>
    <w:basedOn w:val="235"/>
    <w:qFormat/>
    <w:uiPriority w:val="0"/>
    <w:pPr>
      <w:ind w:left="1021" w:hanging="284"/>
    </w:pPr>
    <w:rPr>
      <w:rFonts w:ascii="宋体"/>
    </w:rPr>
  </w:style>
  <w:style w:type="paragraph" w:customStyle="1" w:styleId="235">
    <w:name w:val="表格2"/>
    <w:basedOn w:val="1"/>
    <w:qFormat/>
    <w:uiPriority w:val="0"/>
    <w:pPr>
      <w:autoSpaceDE/>
      <w:autoSpaceDN/>
      <w:adjustRightInd w:val="0"/>
      <w:spacing w:line="420" w:lineRule="atLeast"/>
      <w:ind w:left="284" w:firstLine="454"/>
      <w:jc w:val="both"/>
      <w:textAlignment w:val="baseline"/>
    </w:pPr>
    <w:rPr>
      <w:rFonts w:ascii="Times New Roman" w:hAnsi="Times New Roman" w:cs="Times New Roman"/>
      <w:sz w:val="21"/>
      <w:szCs w:val="20"/>
      <w:lang w:val="en-US" w:bidi="ar-SA"/>
    </w:rPr>
  </w:style>
  <w:style w:type="paragraph" w:customStyle="1" w:styleId="236">
    <w:name w:val="Char"/>
    <w:basedOn w:val="1"/>
    <w:qFormat/>
    <w:uiPriority w:val="0"/>
    <w:pPr>
      <w:tabs>
        <w:tab w:val="left" w:pos="1155"/>
      </w:tabs>
      <w:autoSpaceDE/>
      <w:autoSpaceDN/>
      <w:ind w:left="1155" w:hanging="210"/>
      <w:jc w:val="both"/>
    </w:pPr>
    <w:rPr>
      <w:rFonts w:ascii="Times New Roman" w:hAnsi="Times New Roman" w:cs="Times New Roman"/>
      <w:kern w:val="2"/>
      <w:sz w:val="21"/>
      <w:szCs w:val="20"/>
      <w:lang w:val="en-US" w:bidi="ar-SA"/>
    </w:rPr>
  </w:style>
  <w:style w:type="paragraph" w:customStyle="1" w:styleId="237">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38">
    <w:name w:val="表文C"/>
    <w:basedOn w:val="1"/>
    <w:qFormat/>
    <w:uiPriority w:val="0"/>
    <w:pPr>
      <w:widowControl/>
      <w:tabs>
        <w:tab w:val="left" w:pos="0"/>
      </w:tabs>
      <w:autoSpaceDE/>
      <w:autoSpaceDN/>
      <w:adjustRightInd w:val="0"/>
      <w:snapToGrid w:val="0"/>
      <w:jc w:val="both"/>
    </w:pPr>
    <w:rPr>
      <w:rFonts w:ascii="Times New Roman" w:hAnsi="Times New Roman" w:cs="Times New Roman"/>
      <w:sz w:val="21"/>
      <w:szCs w:val="20"/>
      <w:lang w:val="en-US" w:bidi="ar-SA"/>
    </w:rPr>
  </w:style>
  <w:style w:type="paragraph" w:customStyle="1" w:styleId="239">
    <w:name w:val="xl28"/>
    <w:basedOn w:val="1"/>
    <w:qFormat/>
    <w:uiPriority w:val="0"/>
    <w:pPr>
      <w:widowControl/>
      <w:pBdr>
        <w:top w:val="single" w:color="auto" w:sz="4" w:space="0"/>
        <w:left w:val="single" w:color="auto" w:sz="4" w:space="0"/>
        <w:bottom w:val="single" w:color="auto" w:sz="4" w:space="0"/>
        <w:right w:val="single" w:color="auto" w:sz="8"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40">
    <w:name w:val="xl2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241">
    <w:name w:val="表格方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42">
    <w:name w:val="一、"/>
    <w:next w:val="3"/>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243">
    <w:name w:val="封面正文"/>
    <w:qFormat/>
    <w:uiPriority w:val="0"/>
    <w:pPr>
      <w:jc w:val="both"/>
    </w:pPr>
    <w:rPr>
      <w:rFonts w:ascii="Times New Roman" w:hAnsi="Times New Roman" w:eastAsia="宋体" w:cs="Times New Roman"/>
      <w:lang w:val="en-US" w:eastAsia="zh-CN" w:bidi="ar-SA"/>
    </w:rPr>
  </w:style>
  <w:style w:type="paragraph" w:customStyle="1" w:styleId="244">
    <w:name w:val="Char Char Char Char Char Char Char Char Char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45">
    <w:name w:val="font0"/>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46">
    <w:name w:val="表格1"/>
    <w:basedOn w:val="1"/>
    <w:qFormat/>
    <w:uiPriority w:val="0"/>
    <w:pPr>
      <w:autoSpaceDE/>
      <w:autoSpaceDN/>
      <w:adjustRightInd w:val="0"/>
      <w:spacing w:line="420" w:lineRule="atLeast"/>
      <w:ind w:left="284"/>
      <w:jc w:val="both"/>
      <w:textAlignment w:val="baseline"/>
    </w:pPr>
    <w:rPr>
      <w:rFonts w:ascii="Times New Roman" w:hAnsi="Times New Roman" w:cs="Times New Roman"/>
      <w:sz w:val="21"/>
      <w:szCs w:val="20"/>
      <w:lang w:val="en-US" w:bidi="ar-SA"/>
    </w:rPr>
  </w:style>
  <w:style w:type="paragraph" w:customStyle="1" w:styleId="247">
    <w:name w:val="Körper"/>
    <w:basedOn w:val="1"/>
    <w:qFormat/>
    <w:uiPriority w:val="0"/>
    <w:pPr>
      <w:widowControl/>
      <w:autoSpaceDE/>
      <w:autoSpaceDN/>
      <w:spacing w:before="120" w:line="240" w:lineRule="exact"/>
      <w:jc w:val="both"/>
    </w:pPr>
    <w:rPr>
      <w:rFonts w:ascii="Arial" w:hAnsi="Arial" w:cs="Times New Roman"/>
      <w:sz w:val="20"/>
      <w:szCs w:val="20"/>
      <w:lang w:val="de-DE" w:eastAsia="de-DE" w:bidi="ar-SA"/>
    </w:rPr>
  </w:style>
  <w:style w:type="paragraph" w:customStyle="1" w:styleId="248">
    <w:name w:val="Char Char Char Char Char Char3 Char Char Char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49">
    <w:name w:val="xl33"/>
    <w:basedOn w:val="1"/>
    <w:qFormat/>
    <w:uiPriority w:val="0"/>
    <w:pPr>
      <w:widowControl/>
      <w:pBdr>
        <w:top w:val="single" w:color="auto" w:sz="8" w:space="0"/>
        <w:left w:val="single" w:color="auto" w:sz="8"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50">
    <w:name w:val="标题D"/>
    <w:qFormat/>
    <w:uiPriority w:val="0"/>
    <w:pPr>
      <w:adjustRightInd w:val="0"/>
      <w:snapToGrid w:val="0"/>
      <w:spacing w:before="240" w:line="360" w:lineRule="auto"/>
      <w:outlineLvl w:val="3"/>
    </w:pPr>
    <w:rPr>
      <w:rFonts w:ascii="Times New Roman" w:hAnsi="Times New Roman" w:eastAsia="宋体" w:cs="Times New Roman"/>
      <w:b/>
      <w:sz w:val="24"/>
      <w:lang w:val="en-US" w:eastAsia="zh-CN" w:bidi="ar-SA"/>
    </w:rPr>
  </w:style>
  <w:style w:type="paragraph" w:customStyle="1" w:styleId="251">
    <w:name w:val="xl26"/>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252">
    <w:name w:val="xl35"/>
    <w:basedOn w:val="1"/>
    <w:qFormat/>
    <w:uiPriority w:val="0"/>
    <w:pPr>
      <w:widowControl/>
      <w:pBdr>
        <w:top w:val="single" w:color="auto" w:sz="8"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53">
    <w:name w:val="font6"/>
    <w:basedOn w:val="1"/>
    <w:qFormat/>
    <w:uiPriority w:val="0"/>
    <w:pPr>
      <w:widowControl/>
      <w:autoSpaceDE/>
      <w:autoSpaceDN/>
      <w:spacing w:before="100" w:beforeAutospacing="1" w:after="100" w:afterAutospacing="1"/>
      <w:jc w:val="both"/>
    </w:pPr>
    <w:rPr>
      <w:rFonts w:cs="Times New Roman"/>
      <w:b/>
      <w:sz w:val="36"/>
      <w:szCs w:val="20"/>
      <w:u w:val="single"/>
      <w:lang w:val="en-US" w:bidi="ar-SA"/>
    </w:rPr>
  </w:style>
  <w:style w:type="paragraph" w:customStyle="1" w:styleId="254">
    <w:name w:val="Char Char Char Char Char Char3 Char Char Char Char"/>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255">
    <w:name w:val="正文A"/>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56">
    <w:name w:val="目录3"/>
    <w:basedOn w:val="1"/>
    <w:qFormat/>
    <w:uiPriority w:val="0"/>
    <w:pPr>
      <w:autoSpaceDE/>
      <w:autoSpaceDN/>
      <w:adjustRightInd w:val="0"/>
      <w:spacing w:line="420" w:lineRule="atLeast"/>
      <w:ind w:left="454"/>
      <w:jc w:val="both"/>
      <w:textAlignment w:val="baseline"/>
    </w:pPr>
    <w:rPr>
      <w:rFonts w:ascii="Times New Roman" w:hAnsi="Times New Roman" w:cs="Times New Roman"/>
      <w:sz w:val="21"/>
      <w:szCs w:val="20"/>
      <w:lang w:val="en-US" w:bidi="ar-SA"/>
    </w:rPr>
  </w:style>
  <w:style w:type="paragraph" w:customStyle="1" w:styleId="257">
    <w:name w:val="目录1"/>
    <w:basedOn w:val="1"/>
    <w:qFormat/>
    <w:uiPriority w:val="0"/>
    <w:pPr>
      <w:autoSpaceDE/>
      <w:autoSpaceDN/>
      <w:adjustRightInd w:val="0"/>
      <w:spacing w:line="420" w:lineRule="atLeast"/>
      <w:jc w:val="both"/>
      <w:textAlignment w:val="baseline"/>
    </w:pPr>
    <w:rPr>
      <w:rFonts w:ascii="Times New Roman" w:hAnsi="Times New Roman" w:eastAsia="黑体" w:cs="Times New Roman"/>
      <w:b/>
      <w:sz w:val="21"/>
      <w:szCs w:val="20"/>
      <w:lang w:val="en-US" w:bidi="ar-SA"/>
    </w:rPr>
  </w:style>
  <w:style w:type="paragraph" w:customStyle="1" w:styleId="258">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59">
    <w:name w:val="正文文本 21"/>
    <w:basedOn w:val="1"/>
    <w:qFormat/>
    <w:uiPriority w:val="0"/>
    <w:pPr>
      <w:autoSpaceDE/>
      <w:autoSpaceDN/>
      <w:adjustRightInd w:val="0"/>
      <w:ind w:firstLine="510"/>
      <w:jc w:val="both"/>
      <w:textAlignment w:val="baseline"/>
    </w:pPr>
    <w:rPr>
      <w:rFonts w:ascii="Times New Roman" w:hAnsi="Times New Roman" w:eastAsia="@幼圆" w:cs="Times New Roman"/>
      <w:kern w:val="2"/>
      <w:sz w:val="32"/>
      <w:szCs w:val="20"/>
      <w:lang w:val="en-US" w:bidi="ar-SA"/>
    </w:rPr>
  </w:style>
  <w:style w:type="paragraph" w:customStyle="1" w:styleId="260">
    <w:name w:val="样式3"/>
    <w:basedOn w:val="1"/>
    <w:next w:val="261"/>
    <w:qFormat/>
    <w:uiPriority w:val="0"/>
    <w:pPr>
      <w:autoSpaceDE/>
      <w:autoSpaceDN/>
      <w:jc w:val="both"/>
    </w:pPr>
    <w:rPr>
      <w:rFonts w:ascii="Times New Roman" w:hAnsi="Times New Roman" w:eastAsia="黑体" w:cs="Times New Roman"/>
      <w:sz w:val="24"/>
      <w:szCs w:val="24"/>
      <w:lang w:val="en-US" w:bidi="ar-SA"/>
    </w:rPr>
  </w:style>
  <w:style w:type="paragraph" w:customStyle="1" w:styleId="261">
    <w:name w:val="样式1"/>
    <w:basedOn w:val="1"/>
    <w:qFormat/>
    <w:uiPriority w:val="0"/>
    <w:pPr>
      <w:autoSpaceDE/>
      <w:autoSpaceDN/>
      <w:jc w:val="both"/>
    </w:pPr>
    <w:rPr>
      <w:rFonts w:ascii="Times New Roman" w:hAnsi="Times New Roman" w:cs="Times New Roman"/>
      <w:sz w:val="21"/>
      <w:szCs w:val="24"/>
      <w:lang w:val="en-US" w:bidi="ar-SA"/>
    </w:rPr>
  </w:style>
  <w:style w:type="paragraph" w:customStyle="1" w:styleId="262">
    <w:name w:val="xl36"/>
    <w:basedOn w:val="1"/>
    <w:qFormat/>
    <w:uiPriority w:val="0"/>
    <w:pPr>
      <w:widowControl/>
      <w:pBdr>
        <w:top w:val="single" w:color="auto" w:sz="4" w:space="0"/>
        <w:left w:val="single" w:color="auto" w:sz="8"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63">
    <w:name w:val="表中"/>
    <w:basedOn w:val="1"/>
    <w:qFormat/>
    <w:uiPriority w:val="0"/>
    <w:pPr>
      <w:adjustRightInd w:val="0"/>
      <w:spacing w:line="360" w:lineRule="atLeast"/>
      <w:jc w:val="both"/>
    </w:pPr>
    <w:rPr>
      <w:rFonts w:hAnsi="Times New Roman" w:cs="Times New Roman"/>
      <w:sz w:val="21"/>
      <w:szCs w:val="20"/>
      <w:lang w:val="en-US" w:bidi="ar-SA"/>
    </w:rPr>
  </w:style>
  <w:style w:type="paragraph" w:customStyle="1" w:styleId="264">
    <w:name w:val="Char1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65">
    <w:name w:val="6'"/>
    <w:basedOn w:val="1"/>
    <w:qFormat/>
    <w:uiPriority w:val="0"/>
    <w:pPr>
      <w:adjustRightInd w:val="0"/>
      <w:snapToGrid w:val="0"/>
      <w:spacing w:line="320" w:lineRule="exact"/>
      <w:jc w:val="both"/>
      <w:textAlignment w:val="baseline"/>
    </w:pPr>
    <w:rPr>
      <w:rFonts w:ascii="Times New Roman" w:hAnsi="Times New Roman" w:cs="Times New Roman"/>
      <w:spacing w:val="20"/>
      <w:kern w:val="28"/>
      <w:sz w:val="21"/>
      <w:szCs w:val="20"/>
      <w:lang w:val="en-US" w:bidi="ar-SA"/>
    </w:rPr>
  </w:style>
  <w:style w:type="paragraph" w:customStyle="1" w:styleId="266">
    <w:name w:val="正文A Char Char Char"/>
    <w:qFormat/>
    <w:uiPriority w:val="0"/>
    <w:pPr>
      <w:tabs>
        <w:tab w:val="left" w:pos="0"/>
      </w:tabs>
      <w:adjustRightInd w:val="0"/>
      <w:spacing w:before="120" w:line="360" w:lineRule="auto"/>
      <w:ind w:firstLine="480"/>
      <w:jc w:val="both"/>
    </w:pPr>
    <w:rPr>
      <w:rFonts w:ascii="Times New Roman" w:hAnsi="Times New Roman" w:eastAsia="宋体" w:cs="Times New Roman"/>
      <w:sz w:val="24"/>
      <w:lang w:val="en-US" w:eastAsia="zh-CN" w:bidi="ar-SA"/>
    </w:rPr>
  </w:style>
  <w:style w:type="paragraph" w:customStyle="1" w:styleId="267">
    <w:name w:val="正文_0_0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8">
    <w:name w:val="表格文字居中"/>
    <w:basedOn w:val="1"/>
    <w:qFormat/>
    <w:uiPriority w:val="0"/>
    <w:pPr>
      <w:autoSpaceDE/>
      <w:autoSpaceDN/>
      <w:adjustRightInd w:val="0"/>
      <w:snapToGrid w:val="0"/>
      <w:jc w:val="both"/>
      <w:textAlignment w:val="center"/>
    </w:pPr>
    <w:rPr>
      <w:rFonts w:hAnsi="Times New Roman" w:cs="Times New Roman"/>
      <w:spacing w:val="12"/>
      <w:sz w:val="21"/>
      <w:szCs w:val="20"/>
      <w:lang w:val="en-US" w:bidi="ar-SA"/>
    </w:rPr>
  </w:style>
  <w:style w:type="paragraph" w:customStyle="1" w:styleId="269">
    <w:name w:val="正文1"/>
    <w:basedOn w:val="1"/>
    <w:qFormat/>
    <w:uiPriority w:val="0"/>
    <w:pPr>
      <w:adjustRightInd w:val="0"/>
      <w:spacing w:before="120" w:line="360" w:lineRule="auto"/>
      <w:ind w:left="1366" w:hanging="686"/>
      <w:jc w:val="both"/>
      <w:textAlignment w:val="baseline"/>
    </w:pPr>
    <w:rPr>
      <w:rFonts w:ascii="Times New Roman" w:hAnsi="Times New Roman" w:cs="Times New Roman"/>
      <w:kern w:val="2"/>
      <w:sz w:val="21"/>
      <w:szCs w:val="20"/>
      <w:lang w:val="en-US" w:bidi="ar-SA"/>
    </w:rPr>
  </w:style>
  <w:style w:type="paragraph" w:customStyle="1" w:styleId="270">
    <w:name w:val="正文2 Char Char Char Char Char Char Char Char Char Char Char Char1 Char Char Char Char Char Char Char Char1 Char Char Char Char Char Char"/>
    <w:basedOn w:val="1"/>
    <w:qFormat/>
    <w:uiPriority w:val="0"/>
    <w:pPr>
      <w:widowControl/>
      <w:autoSpaceDE/>
      <w:autoSpaceDN/>
      <w:spacing w:line="400" w:lineRule="exact"/>
      <w:jc w:val="both"/>
    </w:pPr>
    <w:rPr>
      <w:rFonts w:ascii="Verdana" w:hAnsi="Verdana" w:eastAsia="楷体_GB2312" w:cs="Times New Roman"/>
      <w:sz w:val="28"/>
      <w:szCs w:val="20"/>
      <w:lang w:val="en-US" w:eastAsia="en-US" w:bidi="ar-SA"/>
    </w:rPr>
  </w:style>
  <w:style w:type="paragraph" w:customStyle="1" w:styleId="271">
    <w:name w:val="Char Char Char Char Char Char Char Char Char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72">
    <w:name w:val="_Style 38"/>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273">
    <w:name w:val="0图名"/>
    <w:basedOn w:val="1"/>
    <w:qFormat/>
    <w:uiPriority w:val="0"/>
    <w:pPr>
      <w:autoSpaceDE/>
      <w:autoSpaceDN/>
      <w:spacing w:line="360" w:lineRule="auto"/>
      <w:ind w:firstLine="566" w:firstLineChars="236"/>
    </w:pPr>
    <w:rPr>
      <w:sz w:val="24"/>
      <w:szCs w:val="24"/>
      <w:lang w:bidi="ar-SA"/>
    </w:rPr>
  </w:style>
  <w:style w:type="paragraph" w:customStyle="1" w:styleId="274">
    <w:name w:val="样式 标题 2 + Times New Roman 四号 非加粗 段前: 5 磅 段后: 0 磅 行距: 固定值 20..."/>
    <w:basedOn w:val="6"/>
    <w:qFormat/>
    <w:uiPriority w:val="0"/>
    <w:pPr>
      <w:keepNext/>
      <w:keepLines/>
      <w:autoSpaceDE/>
      <w:autoSpaceDN/>
      <w:spacing w:before="100" w:line="400" w:lineRule="exact"/>
      <w:ind w:left="0" w:right="0"/>
      <w:jc w:val="both"/>
    </w:pPr>
    <w:rPr>
      <w:rFonts w:ascii="Times New Roman" w:hAnsi="Times New Roman" w:cs="Times New Roman"/>
      <w:b w:val="0"/>
      <w:bCs w:val="0"/>
      <w:kern w:val="2"/>
      <w:sz w:val="28"/>
      <w:szCs w:val="20"/>
      <w:lang w:bidi="ar-SA"/>
    </w:rPr>
  </w:style>
  <w:style w:type="paragraph" w:customStyle="1" w:styleId="275">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6">
    <w:name w:val="font8"/>
    <w:basedOn w:val="1"/>
    <w:qFormat/>
    <w:uiPriority w:val="0"/>
    <w:pPr>
      <w:widowControl/>
      <w:autoSpaceDE/>
      <w:autoSpaceDN/>
      <w:spacing w:before="100" w:beforeAutospacing="1" w:after="100" w:afterAutospacing="1"/>
      <w:jc w:val="both"/>
    </w:pPr>
    <w:rPr>
      <w:rFonts w:ascii="Times New Roman" w:hAnsi="Times New Roman" w:eastAsia="Times New Roman" w:cs="Times New Roman"/>
      <w:sz w:val="24"/>
      <w:szCs w:val="20"/>
      <w:lang w:val="en-US" w:bidi="ar-SA"/>
    </w:rPr>
  </w:style>
  <w:style w:type="paragraph" w:customStyle="1" w:styleId="277">
    <w:name w:val="样式2"/>
    <w:basedOn w:val="1"/>
    <w:qFormat/>
    <w:uiPriority w:val="0"/>
    <w:pPr>
      <w:autoSpaceDE/>
      <w:autoSpaceDN/>
      <w:jc w:val="both"/>
    </w:pPr>
    <w:rPr>
      <w:rFonts w:ascii="Times New Roman" w:hAnsi="Times New Roman" w:eastAsia="黑体" w:cs="Times New Roman"/>
      <w:sz w:val="24"/>
      <w:szCs w:val="24"/>
      <w:lang w:val="en-US" w:bidi="ar-SA"/>
    </w:rPr>
  </w:style>
  <w:style w:type="paragraph" w:customStyle="1" w:styleId="278">
    <w:name w:val="2"/>
    <w:basedOn w:val="1"/>
    <w:qFormat/>
    <w:uiPriority w:val="0"/>
    <w:pPr>
      <w:autoSpaceDE/>
      <w:autoSpaceDN/>
      <w:adjustRightInd w:val="0"/>
      <w:spacing w:line="420" w:lineRule="atLeast"/>
      <w:ind w:left="1134" w:hanging="227"/>
      <w:jc w:val="both"/>
      <w:textAlignment w:val="baseline"/>
    </w:pPr>
    <w:rPr>
      <w:rFonts w:ascii="Times New Roman" w:hAnsi="Times New Roman" w:cs="Times New Roman"/>
      <w:sz w:val="21"/>
      <w:szCs w:val="20"/>
      <w:lang w:val="en-US" w:bidi="ar-SA"/>
    </w:rPr>
  </w:style>
  <w:style w:type="paragraph" w:customStyle="1" w:styleId="279">
    <w:name w:val="Char Char Char Char Char Char3 Char Char Char Char Char Char Char Char Char Char"/>
    <w:basedOn w:val="1"/>
    <w:next w:val="1"/>
    <w:qFormat/>
    <w:uiPriority w:val="0"/>
    <w:pPr>
      <w:autoSpaceDE/>
      <w:autoSpaceDN/>
      <w:jc w:val="both"/>
    </w:pPr>
    <w:rPr>
      <w:rFonts w:ascii="Times New Roman" w:hAnsi="Times New Roman" w:eastAsia="黑体" w:cs="Times New Roman"/>
      <w:kern w:val="2"/>
      <w:sz w:val="28"/>
      <w:szCs w:val="20"/>
      <w:lang w:val="en-US" w:bidi="ar-SA"/>
    </w:rPr>
  </w:style>
  <w:style w:type="paragraph" w:customStyle="1" w:styleId="280">
    <w:name w:val="_Style 10"/>
    <w:basedOn w:val="1"/>
    <w:qFormat/>
    <w:uiPriority w:val="0"/>
    <w:pPr>
      <w:autoSpaceDE/>
      <w:autoSpaceDN/>
      <w:ind w:firstLine="480"/>
      <w:jc w:val="both"/>
    </w:pPr>
    <w:rPr>
      <w:rFonts w:ascii="Times New Roman" w:hAnsi="Times New Roman" w:cs="Times New Roman"/>
      <w:kern w:val="2"/>
      <w:sz w:val="21"/>
      <w:szCs w:val="20"/>
      <w:lang w:val="en-US" w:bidi="ar-SA"/>
    </w:rPr>
  </w:style>
  <w:style w:type="paragraph" w:customStyle="1" w:styleId="281">
    <w:name w:val="表头"/>
    <w:basedOn w:val="241"/>
    <w:qFormat/>
    <w:uiPriority w:val="0"/>
    <w:pPr>
      <w:spacing w:before="120" w:after="60"/>
    </w:pPr>
    <w:rPr>
      <w:rFonts w:ascii="黑体" w:eastAsia="黑体"/>
      <w:b/>
    </w:rPr>
  </w:style>
  <w:style w:type="paragraph" w:customStyle="1" w:styleId="282">
    <w:name w:val="bold_10"/>
    <w:basedOn w:val="1"/>
    <w:next w:val="1"/>
    <w:qFormat/>
    <w:uiPriority w:val="0"/>
    <w:pPr>
      <w:widowControl/>
      <w:autoSpaceDE/>
      <w:autoSpaceDN/>
      <w:jc w:val="both"/>
    </w:pPr>
    <w:rPr>
      <w:rFonts w:ascii="Arial" w:hAnsi="Arial" w:cs="Times New Roman"/>
      <w:b/>
      <w:sz w:val="20"/>
      <w:szCs w:val="20"/>
      <w:lang w:val="en-AU" w:bidi="ar-SA"/>
    </w:rPr>
  </w:style>
  <w:style w:type="paragraph" w:customStyle="1" w:styleId="283">
    <w:name w:val="font5"/>
    <w:basedOn w:val="1"/>
    <w:qFormat/>
    <w:uiPriority w:val="0"/>
    <w:pPr>
      <w:widowControl/>
      <w:autoSpaceDE/>
      <w:autoSpaceDN/>
      <w:spacing w:before="100" w:beforeAutospacing="1" w:after="100" w:afterAutospacing="1"/>
      <w:jc w:val="both"/>
    </w:pPr>
    <w:rPr>
      <w:rFonts w:cs="Times New Roman"/>
      <w:sz w:val="18"/>
      <w:szCs w:val="20"/>
      <w:lang w:val="en-US" w:bidi="ar-SA"/>
    </w:rPr>
  </w:style>
  <w:style w:type="paragraph" w:customStyle="1" w:styleId="284">
    <w:name w:val="表1"/>
    <w:basedOn w:val="1"/>
    <w:qFormat/>
    <w:uiPriority w:val="0"/>
    <w:pPr>
      <w:tabs>
        <w:tab w:val="left" w:pos="885"/>
      </w:tabs>
      <w:overflowPunct w:val="0"/>
      <w:adjustRightInd w:val="0"/>
      <w:spacing w:before="200" w:line="320" w:lineRule="atLeast"/>
      <w:ind w:left="885" w:hanging="285"/>
      <w:jc w:val="both"/>
      <w:textAlignment w:val="baseline"/>
    </w:pPr>
    <w:rPr>
      <w:rFonts w:ascii="Times New Roman" w:hAnsi="Times New Roman" w:cs="Times New Roman"/>
      <w:sz w:val="24"/>
      <w:szCs w:val="20"/>
      <w:lang w:val="en-US" w:bidi="ar-SA"/>
    </w:rPr>
  </w:style>
  <w:style w:type="paragraph" w:customStyle="1" w:styleId="285">
    <w:name w:val="xl37"/>
    <w:basedOn w:val="1"/>
    <w:qFormat/>
    <w:uiPriority w:val="0"/>
    <w:pPr>
      <w:widowControl/>
      <w:pBdr>
        <w:top w:val="single" w:color="auto" w:sz="4" w:space="0"/>
        <w:bottom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86">
    <w:name w:val="3级"/>
    <w:basedOn w:val="1"/>
    <w:qFormat/>
    <w:uiPriority w:val="0"/>
    <w:pPr>
      <w:autoSpaceDE/>
      <w:autoSpaceDN/>
      <w:snapToGrid w:val="0"/>
      <w:spacing w:afterLines="30" w:line="360" w:lineRule="auto"/>
      <w:ind w:firstLine="200" w:firstLineChars="200"/>
      <w:jc w:val="both"/>
    </w:pPr>
    <w:rPr>
      <w:rFonts w:hAnsi="Tahoma" w:cs="Times New Roman"/>
      <w:b/>
      <w:color w:val="0000FF"/>
      <w:kern w:val="2"/>
      <w:sz w:val="28"/>
      <w:szCs w:val="28"/>
      <w:lang w:val="en-US" w:bidi="ar-SA"/>
    </w:rPr>
  </w:style>
  <w:style w:type="paragraph" w:customStyle="1" w:styleId="287">
    <w:name w:val="xl31"/>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288">
    <w:name w:val="表格6"/>
    <w:basedOn w:val="1"/>
    <w:qFormat/>
    <w:uiPriority w:val="0"/>
    <w:pPr>
      <w:autoSpaceDE/>
      <w:autoSpaceDN/>
      <w:adjustRightInd w:val="0"/>
      <w:spacing w:line="420" w:lineRule="atLeast"/>
      <w:ind w:left="737"/>
      <w:jc w:val="both"/>
      <w:textAlignment w:val="baseline"/>
    </w:pPr>
    <w:rPr>
      <w:rFonts w:hAnsi="Times New Roman" w:cs="Times New Roman"/>
      <w:sz w:val="21"/>
      <w:szCs w:val="20"/>
      <w:lang w:val="en-US" w:bidi="ar-SA"/>
    </w:rPr>
  </w:style>
  <w:style w:type="paragraph" w:customStyle="1" w:styleId="289">
    <w:name w:val="1."/>
    <w:basedOn w:val="1"/>
    <w:qFormat/>
    <w:uiPriority w:val="0"/>
    <w:pPr>
      <w:tabs>
        <w:tab w:val="left" w:pos="425"/>
      </w:tabs>
      <w:autoSpaceDE/>
      <w:autoSpaceDN/>
      <w:spacing w:line="360" w:lineRule="auto"/>
      <w:ind w:firstLine="482"/>
      <w:jc w:val="both"/>
    </w:pPr>
    <w:rPr>
      <w:rFonts w:ascii="Times New Roman" w:hAnsi="Times New Roman" w:cs="Times New Roman"/>
      <w:kern w:val="2"/>
      <w:sz w:val="28"/>
      <w:szCs w:val="20"/>
      <w:lang w:val="en-US" w:bidi="ar-SA"/>
    </w:rPr>
  </w:style>
  <w:style w:type="paragraph" w:customStyle="1" w:styleId="290">
    <w:name w:val="my"/>
    <w:basedOn w:val="1"/>
    <w:qFormat/>
    <w:uiPriority w:val="0"/>
    <w:pPr>
      <w:widowControl/>
      <w:tabs>
        <w:tab w:val="left" w:pos="0"/>
        <w:tab w:val="left" w:pos="5823"/>
      </w:tabs>
      <w:autoSpaceDE/>
      <w:autoSpaceDN/>
      <w:adjustRightInd w:val="0"/>
      <w:ind w:firstLine="480" w:firstLineChars="200"/>
      <w:jc w:val="both"/>
    </w:pPr>
    <w:rPr>
      <w:rFonts w:cs="Times New Roman"/>
      <w:kern w:val="2"/>
      <w:sz w:val="24"/>
      <w:szCs w:val="20"/>
      <w:lang w:val="en-US" w:bidi="ar-SA"/>
    </w:rPr>
  </w:style>
  <w:style w:type="paragraph" w:customStyle="1" w:styleId="291">
    <w:name w:val="表格文字2"/>
    <w:basedOn w:val="1"/>
    <w:qFormat/>
    <w:uiPriority w:val="0"/>
    <w:pPr>
      <w:autoSpaceDE/>
      <w:autoSpaceDN/>
      <w:jc w:val="both"/>
    </w:pPr>
    <w:rPr>
      <w:rFonts w:ascii="Times New Roman" w:hAnsi="Times New Roman" w:cs="Times New Roman"/>
      <w:spacing w:val="-4"/>
      <w:kern w:val="2"/>
      <w:sz w:val="24"/>
      <w:szCs w:val="20"/>
      <w:lang w:val="en-US" w:bidi="ar-SA"/>
    </w:rPr>
  </w:style>
  <w:style w:type="paragraph" w:customStyle="1" w:styleId="292">
    <w:name w:val="aa"/>
    <w:basedOn w:val="1"/>
    <w:qFormat/>
    <w:uiPriority w:val="0"/>
    <w:pPr>
      <w:widowControl/>
      <w:autoSpaceDE/>
      <w:autoSpaceDN/>
      <w:spacing w:before="100" w:beforeAutospacing="1" w:after="100" w:afterAutospacing="1"/>
    </w:pPr>
    <w:rPr>
      <w:sz w:val="24"/>
      <w:szCs w:val="24"/>
      <w:lang w:val="en-US" w:bidi="ar-SA"/>
    </w:rPr>
  </w:style>
  <w:style w:type="paragraph" w:customStyle="1" w:styleId="293">
    <w:name w:val="表格文字"/>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294">
    <w:name w:val="font7"/>
    <w:basedOn w:val="1"/>
    <w:qFormat/>
    <w:uiPriority w:val="0"/>
    <w:pPr>
      <w:widowControl/>
      <w:autoSpaceDE/>
      <w:autoSpaceDN/>
      <w:spacing w:before="100" w:beforeAutospacing="1" w:after="100" w:afterAutospacing="1"/>
      <w:jc w:val="both"/>
    </w:pPr>
    <w:rPr>
      <w:rFonts w:cs="Times New Roman"/>
      <w:sz w:val="24"/>
      <w:szCs w:val="20"/>
      <w:lang w:val="en-US" w:bidi="ar-SA"/>
    </w:rPr>
  </w:style>
  <w:style w:type="paragraph" w:customStyle="1" w:styleId="295">
    <w:name w:val="xl34"/>
    <w:basedOn w:val="1"/>
    <w:qFormat/>
    <w:uiPriority w:val="0"/>
    <w:pPr>
      <w:widowControl/>
      <w:pBdr>
        <w:top w:val="single" w:color="auto" w:sz="8"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296">
    <w:name w:val="Char Char Char Char Char Char1 Char Char Char Char1"/>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29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8">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99">
    <w:name w:val="p17"/>
    <w:basedOn w:val="1"/>
    <w:qFormat/>
    <w:uiPriority w:val="0"/>
    <w:pPr>
      <w:widowControl/>
      <w:autoSpaceDE/>
      <w:autoSpaceDN/>
      <w:spacing w:before="100" w:after="100" w:line="432" w:lineRule="auto"/>
    </w:pPr>
    <w:rPr>
      <w:sz w:val="27"/>
      <w:szCs w:val="27"/>
      <w:lang w:val="en-US" w:bidi="ar-SA"/>
    </w:rPr>
  </w:style>
  <w:style w:type="paragraph" w:customStyle="1" w:styleId="300">
    <w:name w:val="默认段落字体 Para Char Char Char Char"/>
    <w:basedOn w:val="1"/>
    <w:qFormat/>
    <w:uiPriority w:val="0"/>
    <w:pPr>
      <w:autoSpaceDE/>
      <w:autoSpaceDN/>
      <w:jc w:val="both"/>
    </w:pPr>
    <w:rPr>
      <w:rFonts w:ascii="Times New Roman" w:hAnsi="Times New Roman" w:cs="Times New Roman"/>
      <w:kern w:val="2"/>
      <w:sz w:val="21"/>
      <w:szCs w:val="24"/>
      <w:lang w:val="en-US" w:bidi="ar-SA"/>
    </w:rPr>
  </w:style>
  <w:style w:type="paragraph" w:customStyle="1" w:styleId="301">
    <w:name w:val="Body Text 21"/>
    <w:basedOn w:val="1"/>
    <w:qFormat/>
    <w:uiPriority w:val="0"/>
    <w:pPr>
      <w:autoSpaceDE/>
      <w:autoSpaceDN/>
      <w:adjustRightInd w:val="0"/>
      <w:ind w:firstLine="510"/>
      <w:textAlignment w:val="baseline"/>
    </w:pPr>
    <w:rPr>
      <w:rFonts w:ascii="Times New Roman" w:hAnsi="Times New Roman" w:eastAsia="@幼圆" w:cs="Times New Roman"/>
      <w:kern w:val="2"/>
      <w:sz w:val="32"/>
      <w:szCs w:val="20"/>
      <w:lang w:val="en-US" w:bidi="ar-SA"/>
    </w:rPr>
  </w:style>
  <w:style w:type="paragraph" w:customStyle="1" w:styleId="30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3">
    <w:name w:val="Char Char Char Char Char Char3 Char Char Char Char Char Char Char Char Char Char1"/>
    <w:basedOn w:val="1"/>
    <w:next w:val="1"/>
    <w:qFormat/>
    <w:uiPriority w:val="0"/>
    <w:pPr>
      <w:autoSpaceDE/>
      <w:autoSpaceDN/>
      <w:jc w:val="both"/>
    </w:pPr>
    <w:rPr>
      <w:rFonts w:ascii="Times New Roman" w:hAnsi="Times New Roman" w:eastAsia="黑体" w:cs="Times New Roman"/>
      <w:kern w:val="2"/>
      <w:sz w:val="28"/>
      <w:szCs w:val="24"/>
      <w:lang w:val="en-US" w:bidi="ar-SA"/>
    </w:rPr>
  </w:style>
  <w:style w:type="paragraph" w:customStyle="1" w:styleId="304">
    <w:name w:val="Plain Text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05">
    <w:name w:val="1.4"/>
    <w:basedOn w:val="1"/>
    <w:qFormat/>
    <w:uiPriority w:val="0"/>
    <w:pPr>
      <w:widowControl/>
      <w:autoSpaceDE/>
      <w:autoSpaceDN/>
      <w:spacing w:line="288" w:lineRule="auto"/>
      <w:ind w:left="3" w:firstLine="503"/>
      <w:jc w:val="both"/>
    </w:pPr>
    <w:rPr>
      <w:rFonts w:cs="Times New Roman"/>
      <w:sz w:val="24"/>
      <w:szCs w:val="26"/>
      <w:lang w:val="en-US" w:bidi="ar-SA"/>
    </w:rPr>
  </w:style>
  <w:style w:type="paragraph" w:customStyle="1" w:styleId="306">
    <w:name w:val="Char Char Char Char"/>
    <w:basedOn w:val="1"/>
    <w:qFormat/>
    <w:uiPriority w:val="0"/>
    <w:pPr>
      <w:autoSpaceDE/>
      <w:autoSpaceDN/>
      <w:jc w:val="both"/>
    </w:pPr>
    <w:rPr>
      <w:rFonts w:ascii="Tahoma" w:hAnsi="Tahoma" w:cs="Times New Roman"/>
      <w:kern w:val="2"/>
      <w:sz w:val="24"/>
      <w:szCs w:val="20"/>
      <w:lang w:val="en-US" w:bidi="ar-SA"/>
    </w:rPr>
  </w:style>
  <w:style w:type="paragraph" w:customStyle="1" w:styleId="307">
    <w:name w:val="样式 标题 1 + 黑体 三号 非加粗 居中 段前: 6 磅 段后: 6 磅 行距: 固定值 20 磅"/>
    <w:basedOn w:val="5"/>
    <w:qFormat/>
    <w:uiPriority w:val="0"/>
    <w:pPr>
      <w:keepNext/>
      <w:keepLines/>
      <w:autoSpaceDE/>
      <w:autoSpaceDN/>
      <w:spacing w:before="120" w:after="120" w:line="400" w:lineRule="exact"/>
      <w:ind w:left="0"/>
      <w:jc w:val="both"/>
    </w:pPr>
    <w:rPr>
      <w:rFonts w:ascii="黑体" w:hAnsi="黑体" w:eastAsia="黑体" w:cs="Times New Roman"/>
      <w:b w:val="0"/>
      <w:bCs w:val="0"/>
      <w:kern w:val="44"/>
      <w:sz w:val="32"/>
      <w:szCs w:val="20"/>
      <w:lang w:val="en-US" w:bidi="ar-SA"/>
    </w:rPr>
  </w:style>
  <w:style w:type="paragraph" w:customStyle="1" w:styleId="308">
    <w:name w:val="Revision1"/>
    <w:qFormat/>
    <w:uiPriority w:val="0"/>
    <w:rPr>
      <w:rFonts w:ascii="Times New Roman" w:hAnsi="Times New Roman" w:eastAsia="宋体" w:cs="Times New Roman"/>
      <w:kern w:val="2"/>
      <w:sz w:val="21"/>
      <w:lang w:val="en-US" w:eastAsia="zh-CN" w:bidi="ar-SA"/>
    </w:rPr>
  </w:style>
  <w:style w:type="paragraph" w:customStyle="1" w:styleId="309">
    <w:name w:val="Char Char Char 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1">
    <w:name w:val="Char Char Char Char2"/>
    <w:basedOn w:val="1"/>
    <w:qFormat/>
    <w:uiPriority w:val="0"/>
    <w:pPr>
      <w:autoSpaceDE/>
      <w:autoSpaceDN/>
      <w:jc w:val="both"/>
    </w:pPr>
    <w:rPr>
      <w:rFonts w:ascii="Tahoma" w:hAnsi="Tahoma" w:cs="Times New Roman"/>
      <w:kern w:val="2"/>
      <w:sz w:val="24"/>
      <w:szCs w:val="20"/>
      <w:lang w:val="en-US" w:bidi="ar-SA"/>
    </w:rPr>
  </w:style>
  <w:style w:type="paragraph" w:customStyle="1" w:styleId="312">
    <w:name w:val="Body Text Indent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13">
    <w:name w:val="xl38"/>
    <w:basedOn w:val="1"/>
    <w:qFormat/>
    <w:uiPriority w:val="0"/>
    <w:pPr>
      <w:widowControl/>
      <w:pBdr>
        <w:top w:val="single" w:color="auto" w:sz="4" w:space="0"/>
        <w:bottom w:val="single" w:color="auto" w:sz="8" w:space="0"/>
        <w:right w:val="single" w:color="auto" w:sz="8" w:space="0"/>
      </w:pBdr>
      <w:autoSpaceDE/>
      <w:autoSpaceDN/>
      <w:spacing w:before="100" w:beforeAutospacing="1" w:after="100" w:afterAutospacing="1"/>
      <w:jc w:val="both"/>
    </w:pPr>
    <w:rPr>
      <w:rFonts w:ascii="Arial Unicode MS" w:hAnsi="Arial Unicode MS" w:eastAsia="Times New Roman" w:cs="Times New Roman"/>
      <w:b/>
      <w:sz w:val="36"/>
      <w:szCs w:val="20"/>
      <w:lang w:val="en-US" w:bidi="ar-SA"/>
    </w:rPr>
  </w:style>
  <w:style w:type="paragraph" w:customStyle="1" w:styleId="314">
    <w:name w:val="Char2"/>
    <w:basedOn w:val="1"/>
    <w:qFormat/>
    <w:uiPriority w:val="0"/>
    <w:pPr>
      <w:autoSpaceDE/>
      <w:autoSpaceDN/>
      <w:jc w:val="both"/>
    </w:pPr>
    <w:rPr>
      <w:rFonts w:ascii="Arial" w:hAnsi="Arial" w:eastAsia="黑体" w:cs="Times New Roman"/>
      <w:b/>
      <w:kern w:val="2"/>
      <w:sz w:val="32"/>
      <w:szCs w:val="20"/>
      <w:lang w:val="en-US" w:bidi="ar-SA"/>
    </w:rPr>
  </w:style>
  <w:style w:type="paragraph" w:customStyle="1" w:styleId="315">
    <w:name w:val="Char Char Char Char Char Char1 Char Char Char Char"/>
    <w:basedOn w:val="1"/>
    <w:qFormat/>
    <w:uiPriority w:val="0"/>
    <w:pPr>
      <w:autoSpaceDE/>
      <w:autoSpaceDN/>
      <w:jc w:val="both"/>
    </w:pPr>
    <w:rPr>
      <w:rFonts w:ascii="仿宋_GB2312" w:hAnsi="Times New Roman" w:eastAsia="仿宋_GB2312" w:cs="Times New Roman"/>
      <w:b/>
      <w:kern w:val="2"/>
      <w:sz w:val="32"/>
      <w:szCs w:val="32"/>
      <w:lang w:val="en-US" w:bidi="ar-SA"/>
    </w:rPr>
  </w:style>
  <w:style w:type="paragraph" w:customStyle="1" w:styleId="316">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317">
    <w:name w:val="xl29"/>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color w:val="FF0000"/>
      <w:sz w:val="24"/>
      <w:szCs w:val="20"/>
      <w:lang w:val="en-US" w:bidi="ar-SA"/>
    </w:rPr>
  </w:style>
  <w:style w:type="paragraph" w:customStyle="1" w:styleId="318">
    <w:name w:val="Char Char Char1 Char"/>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19">
    <w:name w:val="正文文本缩进 21"/>
    <w:basedOn w:val="1"/>
    <w:qFormat/>
    <w:uiPriority w:val="0"/>
    <w:pPr>
      <w:autoSpaceDE/>
      <w:autoSpaceDN/>
      <w:adjustRightInd w:val="0"/>
      <w:spacing w:line="400" w:lineRule="atLeast"/>
      <w:ind w:firstLine="540"/>
      <w:jc w:val="both"/>
      <w:textAlignment w:val="baseline"/>
    </w:pPr>
    <w:rPr>
      <w:rFonts w:hAnsi="Times New Roman" w:cs="Times New Roman"/>
      <w:sz w:val="24"/>
      <w:szCs w:val="20"/>
      <w:lang w:val="en-US" w:bidi="ar-SA"/>
    </w:rPr>
  </w:style>
  <w:style w:type="paragraph" w:customStyle="1" w:styleId="320">
    <w:name w:val="表格3"/>
    <w:basedOn w:val="1"/>
    <w:qFormat/>
    <w:uiPriority w:val="0"/>
    <w:pPr>
      <w:autoSpaceDE/>
      <w:autoSpaceDN/>
      <w:adjustRightInd w:val="0"/>
      <w:spacing w:line="420" w:lineRule="atLeast"/>
      <w:jc w:val="both"/>
      <w:textAlignment w:val="baseline"/>
    </w:pPr>
    <w:rPr>
      <w:rFonts w:ascii="Times New Roman" w:hAnsi="Times New Roman" w:eastAsia="楷体" w:cs="Times New Roman"/>
      <w:sz w:val="21"/>
      <w:szCs w:val="20"/>
      <w:lang w:val="en-US" w:bidi="ar-SA"/>
    </w:rPr>
  </w:style>
  <w:style w:type="paragraph" w:customStyle="1" w:styleId="321">
    <w:name w:val="xl2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2">
    <w:name w:val="xl39"/>
    <w:basedOn w:val="1"/>
    <w:qFormat/>
    <w:uiPriority w:val="0"/>
    <w:pPr>
      <w:widowControl/>
      <w:pBdr>
        <w:bottom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3">
    <w:name w:val="Char Char Char Char Char Char Char Char Char Char"/>
    <w:basedOn w:val="1"/>
    <w:qFormat/>
    <w:uiPriority w:val="0"/>
    <w:pPr>
      <w:tabs>
        <w:tab w:val="left" w:pos="794"/>
        <w:tab w:val="left" w:pos="1191"/>
        <w:tab w:val="left" w:pos="1588"/>
        <w:tab w:val="left" w:pos="1985"/>
      </w:tabs>
      <w:adjustRightInd w:val="0"/>
      <w:spacing w:before="136"/>
      <w:jc w:val="both"/>
    </w:pPr>
    <w:rPr>
      <w:rFonts w:ascii="Tahoma" w:hAnsi="Tahoma" w:cs="Times New Roman"/>
      <w:sz w:val="24"/>
      <w:szCs w:val="20"/>
      <w:lang w:val="en-GB" w:bidi="ar-SA"/>
    </w:rPr>
  </w:style>
  <w:style w:type="paragraph" w:customStyle="1" w:styleId="324">
    <w:name w:val="表名A"/>
    <w:basedOn w:val="1"/>
    <w:qFormat/>
    <w:uiPriority w:val="0"/>
    <w:pPr>
      <w:widowControl/>
      <w:tabs>
        <w:tab w:val="left" w:pos="0"/>
      </w:tabs>
      <w:autoSpaceDE/>
      <w:autoSpaceDN/>
      <w:adjustRightInd w:val="0"/>
      <w:snapToGrid w:val="0"/>
      <w:spacing w:beforeLines="80" w:afterLines="20"/>
      <w:jc w:val="both"/>
    </w:pPr>
    <w:rPr>
      <w:rFonts w:ascii="Times New Roman" w:hAnsi="Times New Roman" w:cs="Times New Roman"/>
      <w:b/>
      <w:sz w:val="21"/>
      <w:szCs w:val="20"/>
      <w:lang w:val="en-US" w:bidi="ar-SA"/>
    </w:rPr>
  </w:style>
  <w:style w:type="paragraph" w:customStyle="1" w:styleId="325">
    <w:name w:val="Char Char Char1 Char1"/>
    <w:basedOn w:val="1"/>
    <w:next w:val="1"/>
    <w:qFormat/>
    <w:uiPriority w:val="0"/>
    <w:pPr>
      <w:autoSpaceDE/>
      <w:autoSpaceDN/>
      <w:jc w:val="both"/>
    </w:pPr>
    <w:rPr>
      <w:rFonts w:ascii="Times New Roman" w:hAnsi="Times New Roman" w:cs="Times New Roman"/>
      <w:kern w:val="2"/>
      <w:sz w:val="21"/>
      <w:szCs w:val="24"/>
      <w:lang w:val="en-US" w:bidi="ar-SA"/>
    </w:rPr>
  </w:style>
  <w:style w:type="paragraph" w:customStyle="1" w:styleId="326">
    <w:name w:val="Char1"/>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27">
    <w:name w:val="一级条标题"/>
    <w:next w:val="297"/>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28">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29">
    <w:name w:val="默认段落字体 Para Char Char Char Char Char Char Char Char Char Char Char Char Char"/>
    <w:basedOn w:val="1"/>
    <w:qFormat/>
    <w:uiPriority w:val="0"/>
    <w:pPr>
      <w:autoSpaceDE/>
      <w:autoSpaceDN/>
      <w:jc w:val="both"/>
    </w:pPr>
    <w:rPr>
      <w:rFonts w:ascii="Times New Roman" w:hAnsi="Times New Roman" w:cs="Times New Roman"/>
      <w:kern w:val="2"/>
      <w:sz w:val="21"/>
      <w:szCs w:val="20"/>
      <w:lang w:val="en-US" w:bidi="ar-SA"/>
    </w:rPr>
  </w:style>
  <w:style w:type="paragraph" w:customStyle="1" w:styleId="330">
    <w:name w:val="xl23"/>
    <w:basedOn w:val="1"/>
    <w:qFormat/>
    <w:uiPriority w:val="0"/>
    <w:pPr>
      <w:widowControl/>
      <w:pBdr>
        <w:top w:val="single" w:color="auto" w:sz="4" w:space="0"/>
        <w:left w:val="single" w:color="auto" w:sz="4" w:space="0"/>
        <w:bottom w:val="single" w:color="auto" w:sz="4" w:space="0"/>
        <w:right w:val="single" w:color="auto" w:sz="8" w:space="0"/>
      </w:pBdr>
      <w:autoSpaceDE/>
      <w:autoSpaceDN/>
      <w:spacing w:before="100" w:beforeAutospacing="1" w:after="100" w:afterAutospacing="1"/>
      <w:jc w:val="both"/>
    </w:pPr>
    <w:rPr>
      <w:rFonts w:ascii="Arial Unicode MS" w:hAnsi="Arial Unicode MS" w:eastAsia="Times New Roman" w:cs="Times New Roman"/>
      <w:sz w:val="24"/>
      <w:szCs w:val="20"/>
      <w:lang w:val="en-US" w:bidi="ar-SA"/>
    </w:rPr>
  </w:style>
  <w:style w:type="paragraph" w:customStyle="1" w:styleId="331">
    <w:name w:val="p0"/>
    <w:basedOn w:val="1"/>
    <w:qFormat/>
    <w:uiPriority w:val="0"/>
    <w:pPr>
      <w:widowControl/>
      <w:autoSpaceDE/>
      <w:autoSpaceDN/>
      <w:jc w:val="both"/>
    </w:pPr>
    <w:rPr>
      <w:rFonts w:ascii="Calibri" w:hAnsi="Calibri"/>
      <w:sz w:val="21"/>
      <w:szCs w:val="21"/>
      <w:lang w:val="en-US" w:bidi="ar-SA"/>
    </w:rPr>
  </w:style>
  <w:style w:type="paragraph" w:customStyle="1" w:styleId="332">
    <w:name w:val="样式 标题 3 + (中文) 黑体 小四 非加粗 段前: 7.8 磅 段后: 0 磅 行距: 固定值 20 磅"/>
    <w:basedOn w:val="7"/>
    <w:qFormat/>
    <w:uiPriority w:val="0"/>
    <w:pPr>
      <w:keepNext/>
      <w:keepLines/>
      <w:autoSpaceDE/>
      <w:autoSpaceDN/>
      <w:spacing w:before="0" w:line="400" w:lineRule="exact"/>
      <w:ind w:right="0"/>
      <w:jc w:val="both"/>
    </w:pPr>
    <w:rPr>
      <w:rFonts w:ascii="Times New Roman" w:hAnsi="Times New Roman" w:cs="Times New Roman"/>
      <w:b w:val="0"/>
      <w:bCs w:val="0"/>
      <w:kern w:val="2"/>
      <w:sz w:val="24"/>
      <w:szCs w:val="20"/>
      <w:lang w:bidi="ar-SA"/>
    </w:rPr>
  </w:style>
  <w:style w:type="paragraph" w:customStyle="1" w:styleId="333">
    <w:name w:val="纯文本1"/>
    <w:basedOn w:val="1"/>
    <w:qFormat/>
    <w:uiPriority w:val="0"/>
    <w:pPr>
      <w:autoSpaceDE/>
      <w:autoSpaceDN/>
      <w:adjustRightInd w:val="0"/>
      <w:spacing w:line="360" w:lineRule="atLeast"/>
      <w:jc w:val="both"/>
      <w:textAlignment w:val="baseline"/>
    </w:pPr>
    <w:rPr>
      <w:rFonts w:hAnsi="Courier New" w:cs="Times New Roman"/>
      <w:kern w:val="2"/>
      <w:sz w:val="28"/>
      <w:szCs w:val="20"/>
      <w:lang w:val="en-US" w:bidi="ar-SA"/>
    </w:rPr>
  </w:style>
  <w:style w:type="paragraph" w:customStyle="1" w:styleId="334">
    <w:name w:val="1"/>
    <w:basedOn w:val="1"/>
    <w:qFormat/>
    <w:uiPriority w:val="0"/>
    <w:pPr>
      <w:autoSpaceDE/>
      <w:autoSpaceDN/>
      <w:adjustRightInd w:val="0"/>
      <w:spacing w:before="360" w:after="240" w:line="420" w:lineRule="atLeast"/>
      <w:ind w:firstLine="454"/>
      <w:jc w:val="both"/>
      <w:textAlignment w:val="baseline"/>
    </w:pPr>
    <w:rPr>
      <w:rFonts w:ascii="Times New Roman" w:hAnsi="Times New Roman" w:cs="Times New Roman"/>
      <w:b/>
      <w:sz w:val="21"/>
      <w:szCs w:val="20"/>
      <w:lang w:val="en-US" w:bidi="ar-SA"/>
    </w:rPr>
  </w:style>
  <w:style w:type="paragraph" w:customStyle="1" w:styleId="335">
    <w:name w:val="表格"/>
    <w:basedOn w:val="1"/>
    <w:qFormat/>
    <w:uiPriority w:val="0"/>
    <w:pPr>
      <w:autoSpaceDE/>
      <w:autoSpaceDN/>
      <w:jc w:val="both"/>
      <w:textAlignment w:val="center"/>
    </w:pPr>
    <w:rPr>
      <w:rFonts w:ascii="华文细黑" w:hAnsi="华文细黑" w:cs="Times New Roman"/>
      <w:sz w:val="21"/>
      <w:szCs w:val="20"/>
      <w:lang w:val="en-US" w:bidi="ar-SA"/>
    </w:rPr>
  </w:style>
  <w:style w:type="paragraph" w:customStyle="1" w:styleId="336">
    <w:name w:val="xl3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Arial Unicode MS" w:hAnsi="Arial Unicode MS" w:eastAsia="Times New Roman" w:cs="Times New Roman"/>
      <w:color w:val="FF0000"/>
      <w:sz w:val="24"/>
      <w:szCs w:val="20"/>
      <w:lang w:val="en-US" w:bidi="ar-SA"/>
    </w:rPr>
  </w:style>
  <w:style w:type="paragraph" w:customStyle="1" w:styleId="337">
    <w:name w:val="标准书眉_偶数页"/>
    <w:basedOn w:val="1"/>
    <w:next w:val="1"/>
    <w:qFormat/>
    <w:uiPriority w:val="0"/>
    <w:pPr>
      <w:widowControl/>
      <w:tabs>
        <w:tab w:val="center" w:pos="4154"/>
        <w:tab w:val="right" w:pos="8306"/>
      </w:tabs>
      <w:autoSpaceDE/>
      <w:autoSpaceDN/>
      <w:spacing w:after="120"/>
      <w:jc w:val="both"/>
    </w:pPr>
    <w:rPr>
      <w:rFonts w:ascii="Times New Roman" w:hAnsi="Times New Roman" w:cs="Times New Roman"/>
      <w:sz w:val="21"/>
      <w:szCs w:val="20"/>
      <w:lang w:val="en-US" w:bidi="ar-SA"/>
    </w:rPr>
  </w:style>
  <w:style w:type="paragraph" w:customStyle="1" w:styleId="338">
    <w:name w:val="xl32"/>
    <w:basedOn w:val="1"/>
    <w:qFormat/>
    <w:uiPriority w:val="0"/>
    <w:pPr>
      <w:widowControl/>
      <w:autoSpaceDE/>
      <w:autoSpaceDN/>
      <w:spacing w:before="100" w:beforeAutospacing="1" w:after="100" w:afterAutospacing="1"/>
      <w:jc w:val="both"/>
    </w:pPr>
    <w:rPr>
      <w:rFonts w:ascii="Arial Unicode MS" w:hAnsi="Arial Unicode MS" w:eastAsia="Times New Roman" w:cs="Times New Roman"/>
      <w:b/>
      <w:sz w:val="40"/>
      <w:szCs w:val="20"/>
      <w:lang w:val="en-US" w:bidi="ar-SA"/>
    </w:rPr>
  </w:style>
  <w:style w:type="paragraph" w:customStyle="1" w:styleId="339">
    <w:name w:val="Char Char Char"/>
    <w:basedOn w:val="1"/>
    <w:qFormat/>
    <w:uiPriority w:val="0"/>
    <w:pPr>
      <w:autoSpaceDE/>
      <w:autoSpaceDN/>
      <w:spacing w:line="360" w:lineRule="auto"/>
      <w:ind w:firstLine="200" w:firstLineChars="200"/>
      <w:jc w:val="both"/>
    </w:pPr>
    <w:rPr>
      <w:kern w:val="2"/>
      <w:sz w:val="24"/>
      <w:szCs w:val="24"/>
      <w:lang w:val="en-US" w:bidi="ar-SA"/>
    </w:rPr>
  </w:style>
  <w:style w:type="paragraph" w:customStyle="1" w:styleId="340">
    <w:name w:val="xl25"/>
    <w:basedOn w:val="1"/>
    <w:qFormat/>
    <w:uiPriority w:val="0"/>
    <w:pPr>
      <w:widowControl/>
      <w:pBdr>
        <w:top w:val="single" w:color="auto" w:sz="4" w:space="0"/>
        <w:left w:val="single" w:color="auto" w:sz="8" w:space="0"/>
        <w:bottom w:val="single" w:color="auto" w:sz="4" w:space="0"/>
        <w:right w:val="single" w:color="auto" w:sz="4" w:space="0"/>
      </w:pBdr>
      <w:shd w:val="clear" w:color="auto" w:fill="C0C0C0"/>
      <w:autoSpaceDE/>
      <w:autoSpaceDN/>
      <w:spacing w:before="100" w:beforeAutospacing="1" w:after="100" w:afterAutospacing="1"/>
      <w:jc w:val="both"/>
    </w:pPr>
    <w:rPr>
      <w:rFonts w:ascii="Arial Unicode MS" w:hAnsi="Arial Unicode MS" w:eastAsia="Times New Roman" w:cs="Times New Roman"/>
      <w:b/>
      <w:sz w:val="24"/>
      <w:szCs w:val="20"/>
      <w:lang w:val="en-US" w:bidi="ar-SA"/>
    </w:rPr>
  </w:style>
  <w:style w:type="paragraph" w:customStyle="1" w:styleId="341">
    <w:name w:val="Char Char20 Char Char"/>
    <w:basedOn w:val="1"/>
    <w:qFormat/>
    <w:uiPriority w:val="0"/>
    <w:pPr>
      <w:autoSpaceDE/>
      <w:autoSpaceDN/>
      <w:snapToGrid w:val="0"/>
      <w:spacing w:afterLines="30" w:line="360" w:lineRule="auto"/>
      <w:ind w:firstLine="200" w:firstLineChars="200"/>
      <w:jc w:val="both"/>
    </w:pPr>
    <w:rPr>
      <w:rFonts w:ascii="Times New Roman" w:hAnsi="Times New Roman" w:cs="Times New Roman"/>
      <w:kern w:val="2"/>
      <w:sz w:val="21"/>
      <w:szCs w:val="24"/>
      <w:lang w:val="en-US" w:bidi="ar-SA"/>
    </w:rPr>
  </w:style>
  <w:style w:type="paragraph" w:customStyle="1" w:styleId="342">
    <w:name w:val="标题C"/>
    <w:qFormat/>
    <w:uiPriority w:val="0"/>
    <w:pPr>
      <w:tabs>
        <w:tab w:val="left" w:pos="0"/>
      </w:tabs>
      <w:adjustRightInd w:val="0"/>
      <w:snapToGrid w:val="0"/>
      <w:spacing w:before="300"/>
      <w:outlineLvl w:val="2"/>
    </w:pPr>
    <w:rPr>
      <w:rFonts w:ascii="Times New Roman" w:hAnsi="Times New Roman" w:eastAsia="宋体" w:cs="Times New Roman"/>
      <w:b/>
      <w:sz w:val="28"/>
      <w:lang w:val="en-US" w:eastAsia="zh-CN" w:bidi="ar-SA"/>
    </w:rPr>
  </w:style>
  <w:style w:type="paragraph" w:customStyle="1" w:styleId="343">
    <w:name w:val="TOC Heading1"/>
    <w:basedOn w:val="5"/>
    <w:next w:val="1"/>
    <w:qFormat/>
    <w:uiPriority w:val="0"/>
    <w:pPr>
      <w:keepNext/>
      <w:keepLines/>
      <w:widowControl/>
      <w:autoSpaceDE/>
      <w:autoSpaceDN/>
      <w:spacing w:before="480" w:line="276" w:lineRule="auto"/>
      <w:ind w:left="0"/>
      <w:jc w:val="both"/>
      <w:outlineLvl w:val="9"/>
    </w:pPr>
    <w:rPr>
      <w:rFonts w:ascii="Cambria" w:hAnsi="Cambria" w:cs="Times New Roman"/>
      <w:bCs w:val="0"/>
      <w:color w:val="365F91"/>
      <w:sz w:val="28"/>
      <w:szCs w:val="20"/>
      <w:lang w:val="en-US" w:bidi="ar-SA"/>
    </w:rPr>
  </w:style>
  <w:style w:type="paragraph" w:customStyle="1" w:styleId="344">
    <w:name w:val="正文21"/>
    <w:basedOn w:val="1"/>
    <w:qFormat/>
    <w:uiPriority w:val="0"/>
    <w:pPr>
      <w:autoSpaceDE/>
      <w:autoSpaceDN/>
      <w:adjustRightInd w:val="0"/>
      <w:spacing w:line="420" w:lineRule="atLeast"/>
      <w:jc w:val="both"/>
      <w:textAlignment w:val="baseline"/>
    </w:pPr>
    <w:rPr>
      <w:rFonts w:ascii="Times New Roman" w:hAnsi="Times New Roman" w:cs="Times New Roman"/>
      <w:sz w:val="21"/>
      <w:szCs w:val="20"/>
      <w:lang w:val="en-US" w:bidi="ar-SA"/>
    </w:rPr>
  </w:style>
  <w:style w:type="paragraph" w:customStyle="1" w:styleId="345">
    <w:name w:val="二级条标题"/>
    <w:basedOn w:val="327"/>
    <w:next w:val="297"/>
    <w:qFormat/>
    <w:uiPriority w:val="0"/>
    <w:pPr>
      <w:numPr>
        <w:ilvl w:val="3"/>
      </w:numPr>
      <w:outlineLvl w:val="3"/>
    </w:pPr>
  </w:style>
  <w:style w:type="paragraph" w:customStyle="1" w:styleId="346">
    <w:name w:val="正文表标题"/>
    <w:next w:val="297"/>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347">
    <w:name w:val="样式4"/>
    <w:basedOn w:val="2"/>
    <w:qFormat/>
    <w:uiPriority w:val="0"/>
    <w:pPr>
      <w:autoSpaceDE/>
      <w:autoSpaceDN/>
      <w:jc w:val="both"/>
    </w:pPr>
    <w:rPr>
      <w:rFonts w:ascii="黑体" w:hAnsi="Times New Roman" w:eastAsia="黑体" w:cs="Times New Roman"/>
      <w:sz w:val="24"/>
      <w:szCs w:val="24"/>
      <w:lang w:val="en-US" w:bidi="ar-SA"/>
    </w:rPr>
  </w:style>
  <w:style w:type="character" w:customStyle="1" w:styleId="348">
    <w:name w:val="访问过的超链接1"/>
    <w:basedOn w:val="92"/>
    <w:semiHidden/>
    <w:unhideWhenUsed/>
    <w:qFormat/>
    <w:uiPriority w:val="99"/>
    <w:rPr>
      <w:color w:val="954F72"/>
      <w:u w:val="single"/>
    </w:rPr>
  </w:style>
  <w:style w:type="paragraph" w:customStyle="1" w:styleId="349">
    <w:name w:val="Table Text"/>
    <w:basedOn w:val="1"/>
    <w:semiHidden/>
    <w:qFormat/>
    <w:uiPriority w:val="0"/>
  </w:style>
  <w:style w:type="paragraph" w:customStyle="1" w:styleId="350">
    <w:name w:val="TOC 标题2"/>
    <w:basedOn w:val="5"/>
    <w:next w:val="1"/>
    <w:semiHidden/>
    <w:unhideWhenUsed/>
    <w:qFormat/>
    <w:uiPriority w:val="39"/>
    <w:pPr>
      <w:keepNext/>
      <w:keepLines/>
      <w:widowControl/>
      <w:autoSpaceDE/>
      <w:autoSpaceDN/>
      <w:spacing w:before="480" w:line="276" w:lineRule="auto"/>
      <w:ind w:left="0"/>
      <w:jc w:val="left"/>
      <w:outlineLvl w:val="9"/>
    </w:pPr>
    <w:rPr>
      <w:rFonts w:asciiTheme="majorHAnsi" w:hAnsiTheme="majorHAnsi" w:eastAsiaTheme="majorEastAsia" w:cstheme="majorBidi"/>
      <w:color w:val="376092" w:themeColor="accent1" w:themeShade="BF"/>
      <w:sz w:val="28"/>
      <w:szCs w:val="28"/>
      <w:lang w:val="en-US" w:bidi="ar-SA"/>
    </w:rPr>
  </w:style>
  <w:style w:type="paragraph" w:customStyle="1" w:styleId="351">
    <w:name w:val="普通(网站)11"/>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352">
    <w:name w:val="要点1"/>
    <w:qFormat/>
    <w:uiPriority w:val="0"/>
    <w:rPr>
      <w:b/>
      <w:bCs/>
    </w:rPr>
  </w:style>
  <w:style w:type="paragraph" w:customStyle="1" w:styleId="353">
    <w:name w:val="正文ok"/>
    <w:qFormat/>
    <w:uiPriority w:val="99"/>
    <w:pPr>
      <w:spacing w:line="360" w:lineRule="auto"/>
      <w:ind w:firstLine="200" w:firstLineChars="200"/>
    </w:pPr>
    <w:rPr>
      <w:rFonts w:ascii="宋体" w:hAnsi="Calibri" w:eastAsia="宋体" w:cs="宋体"/>
      <w:sz w:val="24"/>
      <w:szCs w:val="24"/>
      <w:lang w:val="en-US" w:eastAsia="zh-CN" w:bidi="ar-SA"/>
    </w:rPr>
  </w:style>
  <w:style w:type="paragraph" w:customStyle="1" w:styleId="354">
    <w:name w:val="正文 + 宋体"/>
    <w:basedOn w:val="84"/>
    <w:qFormat/>
    <w:uiPriority w:val="0"/>
    <w:pPr>
      <w:spacing w:before="0" w:beforeAutospacing="0" w:after="0" w:afterAutospacing="0" w:line="360" w:lineRule="auto"/>
      <w:ind w:firstLine="412" w:firstLineChars="196"/>
    </w:pPr>
    <w:rPr>
      <w:snapToGrid w:val="0"/>
      <w:color w:val="auto"/>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03034-58B1-49A3-8FBF-57160640AD0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62</Pages>
  <Words>6939</Words>
  <Characters>39556</Characters>
  <Lines>329</Lines>
  <Paragraphs>92</Paragraphs>
  <TotalTime>0</TotalTime>
  <ScaleCrop>false</ScaleCrop>
  <LinksUpToDate>false</LinksUpToDate>
  <CharactersWithSpaces>46403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2020-09-22T06:36:00Z</dcterms:created>
  <dc:creator>Administrator</dc:creator>
  <cp:lastModifiedBy>苡☆°ら。米</cp:lastModifiedBy>
  <cp:lastPrinted>2023-11-06T04:29:00Z</cp:lastPrinted>
  <dcterms:modified xsi:type="dcterms:W3CDTF">2023-11-29T07:24:47Z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2020-09-22T00:00:00Z</vt:filetime>
  </property>
  <property fmtid="{D5CDD505-2E9C-101B-9397-08002B2CF9AE}" pid="5" name="KSOProductBuildVer">
    <vt:lpwstr>2052-12.1.0.15712</vt:lpwstr>
  </property>
  <property fmtid="{D5CDD505-2E9C-101B-9397-08002B2CF9AE}" pid="6" name="ICV">
    <vt:lpwstr>2AAC89D4E0264A22A6C9EA2B247CEEA5_13</vt:lpwstr>
  </property>
</Properties>
</file>