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5" w:lineRule="auto"/>
      </w:pPr>
    </w:p>
    <w:p>
      <w:pPr>
        <w:spacing w:after="120" w:afterLines="50"/>
        <w:ind w:left="-424" w:leftChars="-202" w:right="-506" w:rightChars="-241"/>
        <w:jc w:val="center"/>
        <w:rPr>
          <w:rFonts w:ascii="宋体" w:hAnsi="宋体" w:eastAsia="宋体" w:cs="宋体"/>
          <w:bCs/>
          <w:spacing w:val="-14"/>
          <w:sz w:val="40"/>
          <w:szCs w:val="40"/>
        </w:rPr>
      </w:pPr>
    </w:p>
    <w:p>
      <w:pPr>
        <w:spacing w:after="120" w:afterLines="50"/>
        <w:ind w:left="-424" w:leftChars="-202" w:right="-506" w:rightChars="-241"/>
        <w:jc w:val="center"/>
        <w:rPr>
          <w:rFonts w:ascii="宋体" w:hAnsi="宋体" w:eastAsia="宋体" w:cs="宋体"/>
          <w:b/>
          <w:spacing w:val="-14"/>
          <w:sz w:val="40"/>
          <w:szCs w:val="40"/>
        </w:rPr>
      </w:pPr>
      <w:r>
        <w:rPr>
          <w:rFonts w:hint="eastAsia" w:ascii="宋体" w:hAnsi="宋体" w:eastAsia="宋体" w:cs="宋体"/>
          <w:b/>
          <w:spacing w:val="-14"/>
          <w:sz w:val="40"/>
          <w:szCs w:val="40"/>
        </w:rPr>
        <w:t>三门县绿色智慧停车项目-道路停车位改造照明提升工程</w:t>
      </w:r>
    </w:p>
    <w:p>
      <w:pPr>
        <w:jc w:val="center"/>
        <w:rPr>
          <w:rFonts w:ascii="宋体" w:hAnsi="宋体" w:cs="宋体"/>
          <w:sz w:val="96"/>
        </w:rPr>
      </w:pPr>
    </w:p>
    <w:p>
      <w:pPr>
        <w:spacing w:line="1100" w:lineRule="exact"/>
        <w:jc w:val="center"/>
        <w:rPr>
          <w:rFonts w:ascii="宋体" w:hAnsi="宋体" w:cs="宋体"/>
          <w:b/>
          <w:bCs/>
          <w:sz w:val="84"/>
        </w:rPr>
      </w:pPr>
      <w:r>
        <w:rPr>
          <w:rFonts w:hint="eastAsia" w:ascii="宋体" w:hAnsi="宋体" w:cs="宋体"/>
          <w:b/>
          <w:bCs/>
          <w:sz w:val="96"/>
        </w:rPr>
        <w:t>招 标 文 件</w:t>
      </w:r>
      <w:r>
        <w:rPr>
          <w:rFonts w:hint="eastAsia" w:ascii="宋体" w:hAnsi="宋体" w:cs="宋体"/>
          <w:b/>
          <w:bCs/>
          <w:sz w:val="72"/>
        </w:rPr>
        <w:t xml:space="preserve"> </w:t>
      </w:r>
    </w:p>
    <w:p>
      <w:pPr>
        <w:jc w:val="center"/>
        <w:rPr>
          <w:rFonts w:ascii="宋体" w:hAnsi="宋体" w:cs="宋体"/>
          <w:sz w:val="44"/>
        </w:rPr>
      </w:pPr>
    </w:p>
    <w:p>
      <w:pPr>
        <w:jc w:val="center"/>
        <w:rPr>
          <w:rFonts w:ascii="宋体" w:hAnsi="宋体" w:cs="宋体"/>
          <w:sz w:val="44"/>
        </w:rPr>
      </w:pPr>
    </w:p>
    <w:p>
      <w:pPr>
        <w:jc w:val="center"/>
        <w:rPr>
          <w:rFonts w:ascii="宋体" w:hAnsi="宋体" w:cs="宋体"/>
          <w:sz w:val="44"/>
        </w:rPr>
      </w:pPr>
    </w:p>
    <w:p>
      <w:pPr>
        <w:jc w:val="center"/>
        <w:rPr>
          <w:rFonts w:ascii="宋体" w:hAnsi="宋体" w:cs="宋体"/>
          <w:b/>
          <w:sz w:val="32"/>
          <w:szCs w:val="32"/>
        </w:rPr>
      </w:pPr>
      <w:r>
        <w:rPr>
          <w:rFonts w:hint="eastAsia" w:ascii="宋体" w:hAnsi="宋体" w:cs="宋体"/>
          <w:b/>
          <w:sz w:val="32"/>
          <w:szCs w:val="32"/>
        </w:rPr>
        <w:t>（备案登记号：三招建备202</w:t>
      </w:r>
      <w:r>
        <w:rPr>
          <w:rFonts w:hint="eastAsia" w:ascii="宋体" w:hAnsi="宋体" w:cs="宋体" w:eastAsiaTheme="minorEastAsia"/>
          <w:b/>
          <w:sz w:val="32"/>
          <w:szCs w:val="32"/>
        </w:rPr>
        <w:t>3</w:t>
      </w:r>
      <w:r>
        <w:rPr>
          <w:rFonts w:hint="eastAsia" w:ascii="宋体" w:hAnsi="宋体" w:cs="宋体"/>
          <w:b/>
          <w:sz w:val="32"/>
          <w:szCs w:val="32"/>
        </w:rPr>
        <w:t>-0</w:t>
      </w:r>
      <w:r>
        <w:rPr>
          <w:rFonts w:hint="eastAsia" w:ascii="宋体" w:hAnsi="宋体" w:eastAsia="宋体" w:cs="宋体"/>
          <w:b/>
          <w:sz w:val="32"/>
          <w:szCs w:val="32"/>
        </w:rPr>
        <w:t>71</w:t>
      </w:r>
      <w:r>
        <w:rPr>
          <w:rFonts w:hint="eastAsia" w:ascii="宋体" w:hAnsi="宋体" w:cs="宋体"/>
          <w:b/>
          <w:sz w:val="32"/>
          <w:szCs w:val="32"/>
        </w:rPr>
        <w:t>号）</w:t>
      </w:r>
    </w:p>
    <w:p>
      <w:pPr>
        <w:jc w:val="center"/>
        <w:rPr>
          <w:rFonts w:ascii="宋体" w:hAnsi="宋体" w:cs="宋体"/>
          <w:sz w:val="44"/>
        </w:rPr>
      </w:pPr>
    </w:p>
    <w:p>
      <w:pPr>
        <w:jc w:val="center"/>
        <w:rPr>
          <w:rFonts w:ascii="宋体" w:hAnsi="宋体" w:cs="宋体"/>
          <w:sz w:val="44"/>
        </w:rPr>
      </w:pPr>
    </w:p>
    <w:p>
      <w:pPr>
        <w:rPr>
          <w:rFonts w:ascii="宋体" w:hAnsi="宋体" w:cs="宋体"/>
          <w:sz w:val="44"/>
        </w:rPr>
      </w:pPr>
    </w:p>
    <w:p>
      <w:pPr>
        <w:rPr>
          <w:rFonts w:ascii="宋体" w:hAnsi="宋体" w:cs="宋体"/>
          <w:sz w:val="44"/>
        </w:rPr>
      </w:pPr>
    </w:p>
    <w:p>
      <w:pPr>
        <w:rPr>
          <w:rFonts w:ascii="宋体" w:hAnsi="宋体" w:cs="宋体"/>
          <w:sz w:val="44"/>
        </w:rPr>
      </w:pPr>
    </w:p>
    <w:p>
      <w:pPr>
        <w:rPr>
          <w:rFonts w:ascii="宋体" w:hAnsi="宋体" w:cs="宋体"/>
          <w:sz w:val="44"/>
        </w:rPr>
      </w:pPr>
    </w:p>
    <w:tbl>
      <w:tblPr>
        <w:tblStyle w:val="21"/>
        <w:tblW w:w="0" w:type="auto"/>
        <w:jc w:val="center"/>
        <w:tblLayout w:type="fixed"/>
        <w:tblCellMar>
          <w:top w:w="0" w:type="dxa"/>
          <w:left w:w="108" w:type="dxa"/>
          <w:bottom w:w="0" w:type="dxa"/>
          <w:right w:w="108" w:type="dxa"/>
        </w:tblCellMar>
      </w:tblPr>
      <w:tblGrid>
        <w:gridCol w:w="1988"/>
        <w:gridCol w:w="257"/>
        <w:gridCol w:w="5406"/>
      </w:tblGrid>
      <w:tr>
        <w:tblPrEx>
          <w:tblCellMar>
            <w:top w:w="0" w:type="dxa"/>
            <w:left w:w="108" w:type="dxa"/>
            <w:bottom w:w="0" w:type="dxa"/>
            <w:right w:w="108" w:type="dxa"/>
          </w:tblCellMar>
        </w:tblPrEx>
        <w:trPr>
          <w:trHeight w:val="888" w:hRule="atLeast"/>
          <w:jc w:val="center"/>
        </w:trPr>
        <w:tc>
          <w:tcPr>
            <w:tcW w:w="1988" w:type="dxa"/>
            <w:vAlign w:val="center"/>
          </w:tcPr>
          <w:p>
            <w:pPr>
              <w:spacing w:line="440" w:lineRule="exact"/>
              <w:jc w:val="distribute"/>
              <w:rPr>
                <w:rFonts w:ascii="宋体" w:hAnsi="宋体" w:cs="宋体"/>
                <w:sz w:val="28"/>
                <w:szCs w:val="28"/>
              </w:rPr>
            </w:pPr>
            <w:r>
              <w:rPr>
                <w:rFonts w:hint="eastAsia" w:ascii="宋体" w:hAnsi="宋体" w:cs="宋体"/>
                <w:sz w:val="28"/>
                <w:szCs w:val="28"/>
              </w:rPr>
              <w:t>招标人</w:t>
            </w:r>
          </w:p>
        </w:tc>
        <w:tc>
          <w:tcPr>
            <w:tcW w:w="257" w:type="dxa"/>
            <w:vAlign w:val="center"/>
          </w:tcPr>
          <w:p>
            <w:pPr>
              <w:spacing w:line="440" w:lineRule="exact"/>
              <w:jc w:val="distribute"/>
              <w:rPr>
                <w:rFonts w:ascii="宋体" w:hAnsi="宋体" w:cs="宋体"/>
                <w:sz w:val="28"/>
                <w:szCs w:val="28"/>
              </w:rPr>
            </w:pPr>
            <w:r>
              <w:rPr>
                <w:rFonts w:hint="eastAsia" w:ascii="宋体" w:hAnsi="宋体" w:cs="宋体"/>
                <w:sz w:val="28"/>
                <w:szCs w:val="28"/>
              </w:rPr>
              <w:t>：</w:t>
            </w:r>
          </w:p>
        </w:tc>
        <w:tc>
          <w:tcPr>
            <w:tcW w:w="5406" w:type="dxa"/>
            <w:vAlign w:val="center"/>
          </w:tcPr>
          <w:p>
            <w:pPr>
              <w:spacing w:line="440" w:lineRule="exact"/>
              <w:jc w:val="distribute"/>
              <w:rPr>
                <w:rFonts w:ascii="宋体" w:hAnsi="宋体" w:eastAsia="宋体" w:cs="宋体"/>
                <w:sz w:val="28"/>
                <w:szCs w:val="28"/>
              </w:rPr>
            </w:pPr>
            <w:r>
              <w:rPr>
                <w:rFonts w:hint="eastAsia" w:ascii="宋体" w:hAnsi="宋体" w:eastAsia="宋体" w:cs="宋体"/>
                <w:sz w:val="28"/>
                <w:szCs w:val="28"/>
              </w:rPr>
              <w:t>台州市北部湾区经济开发集团有限公司</w:t>
            </w:r>
          </w:p>
        </w:tc>
      </w:tr>
      <w:tr>
        <w:tblPrEx>
          <w:tblCellMar>
            <w:top w:w="0" w:type="dxa"/>
            <w:left w:w="108" w:type="dxa"/>
            <w:bottom w:w="0" w:type="dxa"/>
            <w:right w:w="108" w:type="dxa"/>
          </w:tblCellMar>
        </w:tblPrEx>
        <w:trPr>
          <w:trHeight w:val="888" w:hRule="atLeast"/>
          <w:jc w:val="center"/>
        </w:trPr>
        <w:tc>
          <w:tcPr>
            <w:tcW w:w="1988" w:type="dxa"/>
            <w:vAlign w:val="center"/>
          </w:tcPr>
          <w:p>
            <w:pPr>
              <w:spacing w:line="440" w:lineRule="exact"/>
              <w:jc w:val="distribute"/>
              <w:rPr>
                <w:rFonts w:ascii="宋体" w:hAnsi="宋体" w:eastAsia="宋体" w:cs="宋体"/>
                <w:kern w:val="2"/>
                <w:sz w:val="28"/>
                <w:szCs w:val="28"/>
              </w:rPr>
            </w:pPr>
            <w:r>
              <w:rPr>
                <w:rFonts w:hint="eastAsia" w:ascii="宋体" w:hAnsi="宋体" w:cs="宋体"/>
                <w:sz w:val="28"/>
                <w:szCs w:val="28"/>
              </w:rPr>
              <w:t>招标代理人</w:t>
            </w:r>
          </w:p>
        </w:tc>
        <w:tc>
          <w:tcPr>
            <w:tcW w:w="257" w:type="dxa"/>
            <w:vAlign w:val="center"/>
          </w:tcPr>
          <w:p>
            <w:pPr>
              <w:spacing w:line="440" w:lineRule="exact"/>
              <w:jc w:val="distribute"/>
              <w:rPr>
                <w:rFonts w:ascii="宋体" w:hAnsi="宋体" w:eastAsia="宋体" w:cs="宋体"/>
                <w:kern w:val="2"/>
                <w:sz w:val="28"/>
                <w:szCs w:val="28"/>
              </w:rPr>
            </w:pPr>
            <w:r>
              <w:rPr>
                <w:rFonts w:hint="eastAsia" w:ascii="宋体" w:hAnsi="宋体" w:cs="宋体"/>
                <w:sz w:val="28"/>
                <w:szCs w:val="28"/>
              </w:rPr>
              <w:t>：</w:t>
            </w:r>
          </w:p>
        </w:tc>
        <w:tc>
          <w:tcPr>
            <w:tcW w:w="5406" w:type="dxa"/>
            <w:vAlign w:val="center"/>
          </w:tcPr>
          <w:p>
            <w:pPr>
              <w:spacing w:line="440" w:lineRule="exact"/>
              <w:jc w:val="distribute"/>
              <w:rPr>
                <w:rFonts w:ascii="宋体" w:hAnsi="宋体" w:eastAsia="宋体" w:cs="宋体"/>
                <w:kern w:val="2"/>
                <w:sz w:val="28"/>
                <w:szCs w:val="28"/>
              </w:rPr>
            </w:pPr>
            <w:r>
              <w:rPr>
                <w:rFonts w:hint="eastAsia" w:ascii="宋体" w:hAnsi="宋体" w:cs="宋体"/>
                <w:sz w:val="28"/>
                <w:szCs w:val="28"/>
              </w:rPr>
              <w:t xml:space="preserve">浙江省三门县工程建设监理有限公司 </w:t>
            </w:r>
          </w:p>
        </w:tc>
      </w:tr>
      <w:tr>
        <w:tblPrEx>
          <w:tblCellMar>
            <w:top w:w="0" w:type="dxa"/>
            <w:left w:w="108" w:type="dxa"/>
            <w:bottom w:w="0" w:type="dxa"/>
            <w:right w:w="108" w:type="dxa"/>
          </w:tblCellMar>
        </w:tblPrEx>
        <w:trPr>
          <w:trHeight w:val="888" w:hRule="atLeast"/>
          <w:jc w:val="center"/>
        </w:trPr>
        <w:tc>
          <w:tcPr>
            <w:tcW w:w="1988" w:type="dxa"/>
            <w:vAlign w:val="center"/>
          </w:tcPr>
          <w:p>
            <w:pPr>
              <w:spacing w:line="440" w:lineRule="exact"/>
              <w:rPr>
                <w:rFonts w:ascii="宋体" w:hAnsi="宋体" w:eastAsia="宋体" w:cs="宋体"/>
                <w:kern w:val="2"/>
                <w:sz w:val="28"/>
                <w:szCs w:val="28"/>
              </w:rPr>
            </w:pPr>
            <w:r>
              <w:rPr>
                <w:rFonts w:hint="eastAsia" w:ascii="宋体" w:hAnsi="宋体" w:cs="宋体"/>
                <w:sz w:val="28"/>
                <w:szCs w:val="28"/>
              </w:rPr>
              <w:t>行业主管部门</w:t>
            </w:r>
          </w:p>
        </w:tc>
        <w:tc>
          <w:tcPr>
            <w:tcW w:w="257" w:type="dxa"/>
            <w:vAlign w:val="center"/>
          </w:tcPr>
          <w:p>
            <w:pPr>
              <w:spacing w:line="440" w:lineRule="exact"/>
              <w:jc w:val="distribute"/>
              <w:rPr>
                <w:rFonts w:ascii="宋体" w:hAnsi="宋体" w:eastAsia="宋体" w:cs="宋体"/>
                <w:kern w:val="2"/>
                <w:sz w:val="28"/>
                <w:szCs w:val="28"/>
              </w:rPr>
            </w:pPr>
            <w:r>
              <w:rPr>
                <w:rFonts w:hint="eastAsia" w:ascii="宋体" w:hAnsi="宋体" w:cs="宋体"/>
                <w:sz w:val="28"/>
                <w:szCs w:val="28"/>
              </w:rPr>
              <w:t>：</w:t>
            </w:r>
          </w:p>
        </w:tc>
        <w:tc>
          <w:tcPr>
            <w:tcW w:w="5406" w:type="dxa"/>
            <w:vAlign w:val="center"/>
          </w:tcPr>
          <w:p>
            <w:pPr>
              <w:spacing w:line="440" w:lineRule="exact"/>
              <w:jc w:val="distribute"/>
              <w:rPr>
                <w:rFonts w:ascii="宋体" w:hAnsi="宋体" w:eastAsia="宋体" w:cs="宋体"/>
                <w:kern w:val="2"/>
                <w:sz w:val="28"/>
                <w:szCs w:val="28"/>
              </w:rPr>
            </w:pPr>
            <w:r>
              <w:rPr>
                <w:rFonts w:hint="eastAsia" w:ascii="宋体" w:hAnsi="宋体" w:cs="宋体"/>
                <w:sz w:val="28"/>
                <w:szCs w:val="28"/>
              </w:rPr>
              <w:t>三门县住房和城乡建设局</w:t>
            </w:r>
          </w:p>
        </w:tc>
      </w:tr>
    </w:tbl>
    <w:p>
      <w:pPr>
        <w:spacing w:line="440" w:lineRule="exact"/>
        <w:jc w:val="center"/>
        <w:rPr>
          <w:rFonts w:ascii="宋体" w:hAnsi="宋体" w:cs="宋体"/>
          <w:b/>
          <w:sz w:val="30"/>
          <w:szCs w:val="28"/>
        </w:rPr>
      </w:pPr>
    </w:p>
    <w:p>
      <w:pPr>
        <w:spacing w:line="400" w:lineRule="exact"/>
        <w:jc w:val="center"/>
        <w:rPr>
          <w:rFonts w:ascii="宋体" w:hAnsi="宋体" w:cs="宋体" w:eastAsiaTheme="minorEastAsia"/>
          <w:sz w:val="32"/>
          <w:szCs w:val="40"/>
        </w:rPr>
      </w:pPr>
      <w:r>
        <w:rPr>
          <w:rFonts w:hint="eastAsia" w:ascii="宋体" w:hAnsi="宋体" w:cs="宋体"/>
          <w:sz w:val="32"/>
          <w:szCs w:val="40"/>
        </w:rPr>
        <w:fldChar w:fldCharType="begin"/>
      </w:r>
      <w:r>
        <w:rPr>
          <w:rFonts w:hint="eastAsia" w:ascii="宋体" w:hAnsi="宋体" w:cs="宋体"/>
          <w:sz w:val="32"/>
          <w:szCs w:val="40"/>
        </w:rPr>
        <w:instrText xml:space="preserve">DATE \@ "EEEE年O月"</w:instrText>
      </w:r>
      <w:r>
        <w:rPr>
          <w:rFonts w:hint="eastAsia" w:ascii="宋体" w:hAnsi="宋体" w:cs="宋体"/>
          <w:sz w:val="32"/>
          <w:szCs w:val="40"/>
        </w:rPr>
        <w:fldChar w:fldCharType="separate"/>
      </w:r>
      <w:r>
        <w:rPr>
          <w:rFonts w:hint="eastAsia" w:ascii="宋体" w:hAnsi="宋体" w:cs="宋体"/>
          <w:sz w:val="32"/>
          <w:szCs w:val="40"/>
        </w:rPr>
        <w:t>二〇二三年八月</w:t>
      </w:r>
      <w:r>
        <w:rPr>
          <w:rFonts w:hint="eastAsia" w:ascii="宋体" w:hAnsi="宋体" w:cs="宋体"/>
          <w:sz w:val="32"/>
          <w:szCs w:val="40"/>
        </w:rPr>
        <w:fldChar w:fldCharType="end"/>
      </w:r>
    </w:p>
    <w:p>
      <w:pPr>
        <w:pStyle w:val="2"/>
        <w:rPr>
          <w:rFonts w:eastAsiaTheme="minorEastAsia"/>
        </w:rPr>
      </w:pPr>
    </w:p>
    <w:p>
      <w:pPr>
        <w:pStyle w:val="3"/>
        <w:ind w:firstLine="210"/>
        <w:rPr>
          <w:rFonts w:eastAsiaTheme="minorEastAsia"/>
        </w:rPr>
      </w:pPr>
    </w:p>
    <w:p>
      <w:pPr>
        <w:rPr>
          <w:rFonts w:eastAsiaTheme="minorEastAsia"/>
        </w:rPr>
      </w:pPr>
    </w:p>
    <w:p>
      <w:pPr>
        <w:spacing w:line="440" w:lineRule="exact"/>
        <w:jc w:val="center"/>
        <w:rPr>
          <w:rFonts w:ascii="宋体" w:hAnsi="宋体" w:cs="宋体"/>
          <w:b/>
          <w:sz w:val="44"/>
          <w:szCs w:val="20"/>
        </w:rPr>
      </w:pPr>
      <w:r>
        <w:rPr>
          <w:rFonts w:hint="eastAsia" w:ascii="宋体" w:hAnsi="宋体" w:cs="宋体"/>
          <w:b/>
          <w:sz w:val="44"/>
          <w:szCs w:val="20"/>
        </w:rPr>
        <w:t>三   门   县</w:t>
      </w:r>
    </w:p>
    <w:p>
      <w:pPr>
        <w:spacing w:line="1100" w:lineRule="exact"/>
        <w:jc w:val="center"/>
        <w:rPr>
          <w:rFonts w:ascii="宋体" w:hAnsi="宋体" w:cs="宋体"/>
          <w:b/>
          <w:spacing w:val="120"/>
          <w:sz w:val="44"/>
          <w:szCs w:val="20"/>
        </w:rPr>
      </w:pPr>
      <w:r>
        <w:rPr>
          <w:rFonts w:hint="eastAsia" w:ascii="宋体" w:hAnsi="宋体" w:cs="宋体"/>
          <w:b/>
          <w:spacing w:val="120"/>
          <w:sz w:val="44"/>
          <w:szCs w:val="20"/>
        </w:rPr>
        <w:t>建设工程招标文件</w:t>
      </w:r>
    </w:p>
    <w:p>
      <w:pPr>
        <w:spacing w:before="240" w:beforeLines="100" w:line="440" w:lineRule="exact"/>
        <w:jc w:val="center"/>
        <w:rPr>
          <w:rFonts w:ascii="宋体" w:hAnsi="宋体" w:cs="宋体"/>
          <w:b/>
          <w:sz w:val="32"/>
          <w:szCs w:val="20"/>
        </w:rPr>
      </w:pPr>
      <w:r>
        <w:rPr>
          <w:rFonts w:hint="eastAsia" w:ascii="宋体" w:hAnsi="宋体" w:cs="宋体"/>
          <w:b/>
          <w:sz w:val="32"/>
          <w:szCs w:val="20"/>
        </w:rPr>
        <w:t>（备案登记号：三招建备202</w:t>
      </w:r>
      <w:r>
        <w:rPr>
          <w:rFonts w:hint="eastAsia" w:ascii="宋体" w:hAnsi="宋体" w:cs="宋体" w:eastAsiaTheme="minorEastAsia"/>
          <w:b/>
          <w:sz w:val="32"/>
          <w:szCs w:val="20"/>
        </w:rPr>
        <w:t>3</w:t>
      </w:r>
      <w:r>
        <w:rPr>
          <w:rFonts w:hint="eastAsia" w:ascii="宋体" w:hAnsi="宋体" w:cs="宋体"/>
          <w:b/>
          <w:sz w:val="32"/>
          <w:szCs w:val="20"/>
        </w:rPr>
        <w:t>-0</w:t>
      </w:r>
      <w:r>
        <w:rPr>
          <w:rFonts w:hint="eastAsia" w:ascii="宋体" w:hAnsi="宋体" w:eastAsia="宋体" w:cs="宋体"/>
          <w:b/>
          <w:sz w:val="32"/>
          <w:szCs w:val="20"/>
        </w:rPr>
        <w:t>71</w:t>
      </w:r>
      <w:r>
        <w:rPr>
          <w:rFonts w:hint="eastAsia" w:ascii="宋体" w:hAnsi="宋体" w:cs="宋体"/>
          <w:b/>
          <w:sz w:val="32"/>
          <w:szCs w:val="20"/>
        </w:rPr>
        <w:t>号</w:t>
      </w:r>
      <w:r>
        <w:rPr>
          <w:rFonts w:hint="eastAsia" w:ascii="宋体" w:hAnsi="宋体" w:cs="宋体"/>
          <w:b/>
          <w:bCs/>
          <w:sz w:val="32"/>
          <w:szCs w:val="20"/>
        </w:rPr>
        <w:t>）</w:t>
      </w:r>
    </w:p>
    <w:p>
      <w:pPr>
        <w:spacing w:line="640" w:lineRule="exact"/>
        <w:ind w:firstLine="861" w:firstLineChars="269"/>
        <w:rPr>
          <w:rFonts w:ascii="宋体" w:hAnsi="宋体" w:cs="宋体"/>
          <w:b/>
          <w:sz w:val="32"/>
          <w:szCs w:val="20"/>
        </w:rPr>
      </w:pPr>
    </w:p>
    <w:p>
      <w:pPr>
        <w:spacing w:line="640" w:lineRule="exact"/>
        <w:ind w:left="2604" w:leftChars="409" w:hanging="1745" w:hangingChars="545"/>
        <w:rPr>
          <w:rFonts w:ascii="宋体" w:hAnsi="宋体" w:eastAsia="宋体" w:cs="宋体"/>
          <w:b/>
          <w:sz w:val="32"/>
          <w:szCs w:val="20"/>
        </w:rPr>
      </w:pPr>
      <w:r>
        <w:rPr>
          <w:rFonts w:hint="eastAsia" w:ascii="宋体" w:hAnsi="宋体" w:cs="宋体"/>
          <w:b/>
          <w:sz w:val="32"/>
          <w:szCs w:val="20"/>
        </w:rPr>
        <w:t>项目名称：</w:t>
      </w:r>
      <w:r>
        <w:rPr>
          <w:rFonts w:hint="eastAsia" w:ascii="宋体" w:hAnsi="宋体" w:eastAsia="宋体" w:cs="宋体"/>
          <w:b/>
          <w:sz w:val="32"/>
          <w:szCs w:val="20"/>
        </w:rPr>
        <w:t>三门县绿色智慧停车项目-道路停车位改造照明提升工程</w:t>
      </w:r>
    </w:p>
    <w:p>
      <w:pPr>
        <w:spacing w:line="640" w:lineRule="exact"/>
        <w:ind w:firstLine="861" w:firstLineChars="269"/>
        <w:rPr>
          <w:rFonts w:ascii="宋体" w:hAnsi="宋体" w:cs="宋体"/>
          <w:b/>
          <w:sz w:val="32"/>
          <w:szCs w:val="20"/>
        </w:rPr>
      </w:pPr>
    </w:p>
    <w:p>
      <w:pPr>
        <w:spacing w:line="640" w:lineRule="exact"/>
        <w:ind w:firstLine="861" w:firstLineChars="269"/>
        <w:rPr>
          <w:rFonts w:ascii="宋体" w:hAnsi="宋体" w:cs="宋体"/>
          <w:b/>
          <w:sz w:val="32"/>
          <w:szCs w:val="20"/>
        </w:rPr>
      </w:pPr>
      <w:r>
        <w:rPr>
          <w:rFonts w:hint="eastAsia" w:ascii="宋体" w:hAnsi="宋体" w:cs="宋体"/>
          <w:b/>
          <w:sz w:val="32"/>
          <w:szCs w:val="20"/>
        </w:rPr>
        <w:t>招 标 人：</w:t>
      </w:r>
      <w:r>
        <w:rPr>
          <w:rFonts w:hint="eastAsia" w:ascii="宋体" w:hAnsi="宋体" w:eastAsia="宋体" w:cs="宋体"/>
          <w:b/>
          <w:sz w:val="32"/>
          <w:szCs w:val="20"/>
        </w:rPr>
        <w:t>台州市北部湾区经济开发集团有限公司</w:t>
      </w:r>
      <w:r>
        <w:rPr>
          <w:rFonts w:hint="eastAsia" w:ascii="宋体" w:hAnsi="宋体" w:cs="宋体"/>
          <w:b/>
          <w:sz w:val="32"/>
          <w:szCs w:val="20"/>
        </w:rPr>
        <w:t>（盖章）</w:t>
      </w:r>
    </w:p>
    <w:p>
      <w:pPr>
        <w:spacing w:line="640" w:lineRule="exact"/>
        <w:ind w:firstLine="861" w:firstLineChars="269"/>
        <w:rPr>
          <w:rFonts w:ascii="宋体" w:hAnsi="宋体" w:cs="宋体"/>
          <w:b/>
          <w:sz w:val="32"/>
          <w:szCs w:val="20"/>
        </w:rPr>
      </w:pPr>
      <w:r>
        <w:rPr>
          <w:rFonts w:hint="eastAsia" w:ascii="宋体" w:hAnsi="宋体" w:cs="宋体"/>
          <w:b/>
          <w:sz w:val="32"/>
          <w:szCs w:val="20"/>
        </w:rPr>
        <w:t>联 系 人：</w:t>
      </w:r>
      <w:r>
        <w:rPr>
          <w:rFonts w:hint="eastAsia" w:ascii="宋体" w:hAnsi="宋体" w:eastAsia="宋体" w:cs="宋体"/>
          <w:b/>
          <w:sz w:val="32"/>
          <w:szCs w:val="20"/>
        </w:rPr>
        <w:t>薛君</w:t>
      </w:r>
      <w:r>
        <w:rPr>
          <w:rFonts w:hint="eastAsia" w:ascii="宋体" w:hAnsi="宋体" w:cs="宋体"/>
          <w:b/>
          <w:sz w:val="32"/>
          <w:szCs w:val="20"/>
        </w:rPr>
        <w:t xml:space="preserve"> </w:t>
      </w:r>
    </w:p>
    <w:p>
      <w:pPr>
        <w:spacing w:line="640" w:lineRule="exact"/>
        <w:ind w:firstLine="861" w:firstLineChars="269"/>
        <w:rPr>
          <w:rFonts w:ascii="宋体" w:hAnsi="宋体" w:cs="宋体"/>
          <w:b/>
          <w:sz w:val="32"/>
          <w:szCs w:val="20"/>
        </w:rPr>
      </w:pPr>
      <w:r>
        <w:rPr>
          <w:rFonts w:hint="eastAsia" w:ascii="宋体" w:hAnsi="宋体" w:cs="宋体"/>
          <w:b/>
          <w:sz w:val="32"/>
          <w:szCs w:val="20"/>
        </w:rPr>
        <w:t xml:space="preserve">电  话：0576-83318539 </w:t>
      </w:r>
    </w:p>
    <w:p>
      <w:pPr>
        <w:pStyle w:val="2"/>
      </w:pPr>
    </w:p>
    <w:p>
      <w:pPr>
        <w:pStyle w:val="33"/>
        <w:rPr>
          <w:rFonts w:hint="default" w:cs="宋体"/>
          <w:color w:val="FF0000"/>
          <w:lang w:val="en-US"/>
        </w:rPr>
      </w:pPr>
    </w:p>
    <w:p>
      <w:pPr>
        <w:spacing w:line="640" w:lineRule="exact"/>
        <w:ind w:firstLine="640" w:firstLineChars="200"/>
        <w:rPr>
          <w:rFonts w:ascii="宋体" w:hAnsi="宋体" w:cs="宋体"/>
          <w:b/>
          <w:sz w:val="32"/>
          <w:szCs w:val="20"/>
        </w:rPr>
      </w:pPr>
      <w:r>
        <w:rPr>
          <w:rFonts w:hint="eastAsia" w:ascii="宋体" w:hAnsi="宋体" w:cs="宋体"/>
          <w:b/>
          <w:sz w:val="32"/>
          <w:szCs w:val="20"/>
        </w:rPr>
        <w:t xml:space="preserve">招标代理人：浙江省三门县工程建设监理有限公司（盖章） </w:t>
      </w:r>
    </w:p>
    <w:p>
      <w:pPr>
        <w:spacing w:line="640" w:lineRule="exact"/>
        <w:ind w:firstLine="861" w:firstLineChars="269"/>
        <w:rPr>
          <w:rFonts w:ascii="宋体" w:hAnsi="宋体" w:cs="宋体"/>
          <w:b/>
          <w:sz w:val="32"/>
          <w:szCs w:val="20"/>
        </w:rPr>
      </w:pPr>
      <w:r>
        <w:rPr>
          <w:rFonts w:hint="eastAsia" w:ascii="宋体" w:hAnsi="宋体" w:cs="宋体"/>
          <w:b/>
          <w:sz w:val="32"/>
          <w:szCs w:val="20"/>
        </w:rPr>
        <w:t>联  系  人：倪海微</w:t>
      </w:r>
    </w:p>
    <w:p>
      <w:pPr>
        <w:spacing w:line="640" w:lineRule="exact"/>
        <w:ind w:firstLine="861" w:firstLineChars="269"/>
        <w:rPr>
          <w:rFonts w:ascii="宋体" w:hAnsi="宋体" w:cs="宋体"/>
          <w:b/>
          <w:sz w:val="32"/>
          <w:szCs w:val="20"/>
        </w:rPr>
      </w:pPr>
      <w:r>
        <w:rPr>
          <w:rFonts w:hint="eastAsia" w:ascii="宋体" w:hAnsi="宋体" w:cs="宋体"/>
          <w:b/>
          <w:sz w:val="32"/>
          <w:szCs w:val="20"/>
        </w:rPr>
        <w:t>联系电话：0576-83325775</w:t>
      </w:r>
    </w:p>
    <w:p>
      <w:pPr>
        <w:pStyle w:val="2"/>
        <w:rPr>
          <w:rFonts w:ascii="宋体" w:hAnsi="宋体" w:cs="宋体"/>
          <w:b/>
          <w:sz w:val="32"/>
          <w:szCs w:val="20"/>
        </w:rPr>
      </w:pPr>
    </w:p>
    <w:p>
      <w:pPr>
        <w:pStyle w:val="3"/>
        <w:ind w:firstLine="210"/>
      </w:pPr>
    </w:p>
    <w:p>
      <w:pPr>
        <w:spacing w:line="640" w:lineRule="exact"/>
        <w:ind w:firstLine="861" w:firstLineChars="269"/>
        <w:rPr>
          <w:rFonts w:ascii="宋体" w:hAnsi="宋体" w:cs="宋体"/>
          <w:b/>
          <w:sz w:val="32"/>
          <w:szCs w:val="20"/>
        </w:rPr>
      </w:pPr>
      <w:r>
        <w:rPr>
          <w:rFonts w:hint="eastAsia" w:ascii="宋体" w:hAnsi="宋体" w:cs="宋体"/>
          <w:b/>
          <w:sz w:val="32"/>
          <w:szCs w:val="20"/>
        </w:rPr>
        <w:t>行业主管部门：三门县住房和城乡建设局（盖章）</w:t>
      </w:r>
    </w:p>
    <w:p>
      <w:pPr>
        <w:spacing w:line="640" w:lineRule="exact"/>
        <w:rPr>
          <w:rFonts w:ascii="宋体" w:hAnsi="宋体" w:cs="宋体"/>
          <w:b/>
          <w:sz w:val="32"/>
          <w:szCs w:val="20"/>
        </w:rPr>
      </w:pPr>
    </w:p>
    <w:p>
      <w:pPr>
        <w:pStyle w:val="2"/>
      </w:pPr>
    </w:p>
    <w:p>
      <w:pPr>
        <w:spacing w:line="320" w:lineRule="exact"/>
        <w:jc w:val="center"/>
        <w:rPr>
          <w:rFonts w:ascii="宋体" w:hAnsi="宋体" w:cs="宋体" w:eastAsiaTheme="minorEastAsia"/>
          <w:sz w:val="32"/>
          <w:szCs w:val="40"/>
        </w:rPr>
      </w:pPr>
      <w:r>
        <w:rPr>
          <w:rFonts w:hint="eastAsia" w:ascii="宋体" w:hAnsi="宋体" w:cs="宋体"/>
          <w:sz w:val="32"/>
          <w:szCs w:val="40"/>
        </w:rPr>
        <w:fldChar w:fldCharType="begin"/>
      </w:r>
      <w:r>
        <w:rPr>
          <w:rFonts w:hint="eastAsia" w:ascii="宋体" w:hAnsi="宋体" w:cs="宋体"/>
          <w:sz w:val="32"/>
          <w:szCs w:val="40"/>
        </w:rPr>
        <w:instrText xml:space="preserve">DATE \@ "EEEE年O月"</w:instrText>
      </w:r>
      <w:r>
        <w:rPr>
          <w:rFonts w:hint="eastAsia" w:ascii="宋体" w:hAnsi="宋体" w:cs="宋体"/>
          <w:sz w:val="32"/>
          <w:szCs w:val="40"/>
        </w:rPr>
        <w:fldChar w:fldCharType="separate"/>
      </w:r>
      <w:r>
        <w:rPr>
          <w:rFonts w:hint="eastAsia" w:ascii="宋体" w:hAnsi="宋体" w:cs="宋体"/>
          <w:sz w:val="32"/>
          <w:szCs w:val="40"/>
        </w:rPr>
        <w:t>二〇二三年八月</w:t>
      </w:r>
      <w:r>
        <w:rPr>
          <w:rFonts w:hint="eastAsia" w:ascii="宋体" w:hAnsi="宋体" w:cs="宋体"/>
          <w:sz w:val="32"/>
          <w:szCs w:val="40"/>
        </w:rPr>
        <w:fldChar w:fldCharType="end"/>
      </w:r>
    </w:p>
    <w:p>
      <w:pPr>
        <w:pStyle w:val="2"/>
        <w:rPr>
          <w:rFonts w:eastAsiaTheme="minorEastAsia"/>
        </w:rPr>
      </w:pPr>
    </w:p>
    <w:p>
      <w:pPr>
        <w:pStyle w:val="3"/>
        <w:ind w:firstLine="210"/>
        <w:rPr>
          <w:rFonts w:eastAsiaTheme="minorEastAsia"/>
        </w:rPr>
      </w:pPr>
    </w:p>
    <w:p>
      <w:pPr>
        <w:rPr>
          <w:rFonts w:eastAsiaTheme="minorEastAsia"/>
        </w:rPr>
        <w:sectPr>
          <w:footerReference r:id="rId3" w:type="default"/>
          <w:pgSz w:w="11905" w:h="16837"/>
          <w:pgMar w:top="1440" w:right="1080" w:bottom="1440" w:left="1080" w:header="0" w:footer="850" w:gutter="0"/>
          <w:pgNumType w:chapStyle="1"/>
          <w:cols w:space="720" w:num="1"/>
          <w:docGrid w:linePitch="286" w:charSpace="0"/>
        </w:sectPr>
      </w:pPr>
    </w:p>
    <w:p>
      <w:pPr>
        <w:rPr>
          <w:rFonts w:eastAsiaTheme="minorEastAsia"/>
        </w:rPr>
      </w:pPr>
    </w:p>
    <w:sdt>
      <w:sdtPr>
        <w:rPr>
          <w:rFonts w:ascii="Arial" w:hAnsi="Arial" w:eastAsia="Arial" w:cs="Arial"/>
          <w:b w:val="0"/>
          <w:bCs w:val="0"/>
          <w:snapToGrid w:val="0"/>
          <w:color w:val="000000"/>
          <w:sz w:val="21"/>
          <w:szCs w:val="21"/>
          <w:lang w:val="zh-CN"/>
        </w:rPr>
        <w:id w:val="-780035437"/>
        <w:docPartObj>
          <w:docPartGallery w:val="Table of Contents"/>
          <w:docPartUnique/>
        </w:docPartObj>
      </w:sdtPr>
      <w:sdtEndPr>
        <w:rPr>
          <w:rFonts w:ascii="Arial" w:hAnsi="Arial" w:eastAsia="Arial" w:cs="Arial"/>
          <w:b w:val="0"/>
          <w:bCs w:val="0"/>
          <w:snapToGrid w:val="0"/>
          <w:color w:val="000000"/>
          <w:sz w:val="21"/>
          <w:szCs w:val="21"/>
          <w:lang w:val="zh-CN"/>
        </w:rPr>
      </w:sdtEndPr>
      <w:sdtContent>
        <w:p>
          <w:pPr>
            <w:pStyle w:val="45"/>
            <w:jc w:val="center"/>
            <w:rPr>
              <w:rFonts w:asciiTheme="majorEastAsia" w:hAnsiTheme="majorEastAsia"/>
              <w:sz w:val="24"/>
              <w:szCs w:val="24"/>
            </w:rPr>
          </w:pPr>
          <w:r>
            <w:rPr>
              <w:rFonts w:asciiTheme="majorEastAsia" w:hAnsiTheme="majorEastAsia"/>
              <w:color w:val="auto"/>
              <w:sz w:val="24"/>
              <w:szCs w:val="24"/>
              <w:lang w:val="zh-CN"/>
            </w:rPr>
            <w:t>目</w:t>
          </w:r>
          <w:r>
            <w:rPr>
              <w:rFonts w:hint="eastAsia" w:asciiTheme="majorEastAsia" w:hAnsiTheme="majorEastAsia"/>
              <w:color w:val="auto"/>
              <w:sz w:val="24"/>
              <w:szCs w:val="24"/>
              <w:lang w:val="zh-CN"/>
            </w:rPr>
            <w:t xml:space="preserve">       </w:t>
          </w:r>
          <w:r>
            <w:rPr>
              <w:rFonts w:asciiTheme="majorEastAsia" w:hAnsiTheme="majorEastAsia"/>
              <w:color w:val="auto"/>
              <w:sz w:val="24"/>
              <w:szCs w:val="24"/>
              <w:lang w:val="zh-CN"/>
            </w:rPr>
            <w:t>录</w:t>
          </w:r>
        </w:p>
        <w:p>
          <w:pPr>
            <w:pStyle w:val="16"/>
            <w:tabs>
              <w:tab w:val="right" w:leader="dot" w:pos="9735"/>
            </w:tabs>
            <w:rPr>
              <w:rFonts w:asciiTheme="majorEastAsia" w:hAnsiTheme="majorEastAsia" w:eastAsiaTheme="majorEastAsia" w:cstheme="minorBidi"/>
              <w:snapToGrid/>
              <w:color w:val="auto"/>
              <w:kern w:val="2"/>
              <w:sz w:val="24"/>
              <w:szCs w:val="24"/>
            </w:rPr>
          </w:pP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TOC \o "1-3" \h \z \u </w:instrText>
          </w:r>
          <w:r>
            <w:rPr>
              <w:rFonts w:asciiTheme="majorEastAsia" w:hAnsiTheme="majorEastAsia" w:eastAsiaTheme="majorEastAsia"/>
              <w:sz w:val="24"/>
              <w:szCs w:val="24"/>
            </w:rPr>
            <w:fldChar w:fldCharType="separate"/>
          </w:r>
          <w:r>
            <w:fldChar w:fldCharType="begin"/>
          </w:r>
          <w:r>
            <w:instrText xml:space="preserve"> HYPERLINK \l "_Toc109826641" </w:instrText>
          </w:r>
          <w:r>
            <w:fldChar w:fldCharType="separate"/>
          </w:r>
          <w:r>
            <w:rPr>
              <w:rStyle w:val="25"/>
              <w:rFonts w:hint="eastAsia" w:cs="黑体" w:asciiTheme="majorEastAsia" w:hAnsiTheme="majorEastAsia" w:eastAsiaTheme="majorEastAsia"/>
              <w:b/>
              <w:bCs/>
              <w:spacing w:val="9"/>
              <w:sz w:val="24"/>
              <w:szCs w:val="24"/>
            </w:rPr>
            <w:t>第</w:t>
          </w:r>
          <w:r>
            <w:rPr>
              <w:rStyle w:val="25"/>
              <w:rFonts w:hint="eastAsia" w:cs="黑体" w:asciiTheme="majorEastAsia" w:hAnsiTheme="majorEastAsia" w:eastAsiaTheme="majorEastAsia"/>
              <w:b/>
              <w:bCs/>
              <w:spacing w:val="8"/>
              <w:sz w:val="24"/>
              <w:szCs w:val="24"/>
            </w:rPr>
            <w:t>一卷</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"_Toc109826642" </w:instrText>
          </w:r>
          <w:r>
            <w:fldChar w:fldCharType="separate"/>
          </w:r>
          <w:r>
            <w:rPr>
              <w:rStyle w:val="25"/>
              <w:rFonts w:hint="eastAsia" w:cs="宋体" w:asciiTheme="majorEastAsia" w:hAnsiTheme="majorEastAsia" w:eastAsiaTheme="majorEastAsia"/>
              <w:spacing w:val="9"/>
              <w:sz w:val="24"/>
              <w:szCs w:val="24"/>
            </w:rPr>
            <w:t>第</w:t>
          </w:r>
          <w:r>
            <w:rPr>
              <w:rStyle w:val="25"/>
              <w:rFonts w:hint="eastAsia" w:cs="宋体" w:asciiTheme="majorEastAsia" w:hAnsiTheme="majorEastAsia" w:eastAsiaTheme="majorEastAsia"/>
              <w:spacing w:val="7"/>
              <w:sz w:val="24"/>
              <w:szCs w:val="24"/>
            </w:rPr>
            <w:t>一章</w:t>
          </w:r>
          <w:r>
            <w:rPr>
              <w:rStyle w:val="25"/>
              <w:rFonts w:cs="黑体" w:asciiTheme="majorEastAsia" w:hAnsiTheme="majorEastAsia" w:eastAsiaTheme="majorEastAsia"/>
              <w:spacing w:val="7"/>
              <w:sz w:val="24"/>
              <w:szCs w:val="24"/>
            </w:rPr>
            <w:t xml:space="preserve">  </w:t>
          </w:r>
          <w:r>
            <w:rPr>
              <w:rStyle w:val="25"/>
              <w:rFonts w:hint="eastAsia" w:cs="宋体" w:asciiTheme="majorEastAsia" w:hAnsiTheme="majorEastAsia" w:eastAsiaTheme="majorEastAsia"/>
              <w:spacing w:val="7"/>
              <w:sz w:val="24"/>
              <w:szCs w:val="24"/>
            </w:rPr>
            <w:t>招标公告</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"_Toc109826643" </w:instrText>
          </w:r>
          <w:r>
            <w:fldChar w:fldCharType="separate"/>
          </w:r>
          <w:r>
            <w:rPr>
              <w:rStyle w:val="25"/>
              <w:rFonts w:hint="eastAsia" w:cs="宋体" w:asciiTheme="majorEastAsia" w:hAnsiTheme="majorEastAsia" w:eastAsiaTheme="majorEastAsia"/>
              <w:spacing w:val="13"/>
              <w:sz w:val="24"/>
              <w:szCs w:val="24"/>
            </w:rPr>
            <w:t>第</w:t>
          </w:r>
          <w:r>
            <w:rPr>
              <w:rStyle w:val="25"/>
              <w:rFonts w:hint="eastAsia" w:cs="宋体" w:asciiTheme="majorEastAsia" w:hAnsiTheme="majorEastAsia" w:eastAsiaTheme="majorEastAsia"/>
              <w:spacing w:val="7"/>
              <w:sz w:val="24"/>
              <w:szCs w:val="24"/>
            </w:rPr>
            <w:t>二章</w:t>
          </w:r>
          <w:r>
            <w:rPr>
              <w:rStyle w:val="25"/>
              <w:rFonts w:cs="黑体" w:asciiTheme="majorEastAsia" w:hAnsiTheme="majorEastAsia" w:eastAsiaTheme="majorEastAsia"/>
              <w:spacing w:val="7"/>
              <w:sz w:val="24"/>
              <w:szCs w:val="24"/>
            </w:rPr>
            <w:t xml:space="preserve"> </w:t>
          </w:r>
          <w:r>
            <w:rPr>
              <w:rStyle w:val="25"/>
              <w:rFonts w:hint="eastAsia" w:cs="宋体" w:asciiTheme="majorEastAsia" w:hAnsiTheme="majorEastAsia" w:eastAsiaTheme="majorEastAsia"/>
              <w:spacing w:val="7"/>
              <w:sz w:val="24"/>
              <w:szCs w:val="24"/>
            </w:rPr>
            <w:t>投标人须知</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_Toc109826643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"_Toc109826644" </w:instrText>
          </w:r>
          <w:r>
            <w:fldChar w:fldCharType="separate"/>
          </w:r>
          <w:r>
            <w:rPr>
              <w:rStyle w:val="25"/>
              <w:rFonts w:hint="eastAsia" w:cs="黑体" w:asciiTheme="majorEastAsia" w:hAnsiTheme="majorEastAsia" w:eastAsiaTheme="majorEastAsia"/>
              <w:spacing w:val="-1"/>
              <w:sz w:val="24"/>
              <w:szCs w:val="24"/>
            </w:rPr>
            <w:t>投标人须知前附</w:t>
          </w:r>
          <w:r>
            <w:rPr>
              <w:rStyle w:val="25"/>
              <w:rFonts w:hint="eastAsia" w:cs="黑体" w:asciiTheme="majorEastAsia" w:hAnsiTheme="majorEastAsia" w:eastAsiaTheme="majorEastAsia"/>
              <w:sz w:val="24"/>
              <w:szCs w:val="24"/>
            </w:rPr>
            <w:t>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"_Toc109826645" </w:instrText>
          </w:r>
          <w:r>
            <w:fldChar w:fldCharType="separate"/>
          </w:r>
          <w:r>
            <w:rPr>
              <w:rStyle w:val="25"/>
              <w:rFonts w:cs="黑体" w:asciiTheme="majorEastAsia" w:hAnsiTheme="majorEastAsia" w:eastAsiaTheme="majorEastAsia"/>
              <w:spacing w:val="-8"/>
              <w:sz w:val="24"/>
              <w:szCs w:val="24"/>
            </w:rPr>
            <w:t>1</w:t>
          </w:r>
          <w:r>
            <w:rPr>
              <w:rStyle w:val="25"/>
              <w:rFonts w:cs="黑体" w:asciiTheme="majorEastAsia" w:hAnsiTheme="majorEastAsia" w:eastAsiaTheme="majorEastAsia"/>
              <w:spacing w:val="-4"/>
              <w:sz w:val="24"/>
              <w:szCs w:val="24"/>
            </w:rPr>
            <w:t xml:space="preserve">. </w:t>
          </w:r>
          <w:r>
            <w:rPr>
              <w:rStyle w:val="25"/>
              <w:rFonts w:hint="eastAsia" w:cs="黑体" w:asciiTheme="majorEastAsia" w:hAnsiTheme="majorEastAsia" w:eastAsiaTheme="majorEastAsia"/>
              <w:spacing w:val="-4"/>
              <w:sz w:val="24"/>
              <w:szCs w:val="24"/>
            </w:rPr>
            <w:t>总则</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_Toc109826645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14</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"_Toc109826646" </w:instrText>
          </w:r>
          <w:r>
            <w:fldChar w:fldCharType="separate"/>
          </w:r>
          <w:r>
            <w:rPr>
              <w:rStyle w:val="25"/>
              <w:rFonts w:cs="Times New Roman" w:asciiTheme="majorEastAsia" w:hAnsiTheme="majorEastAsia" w:eastAsiaTheme="majorEastAsia"/>
              <w:spacing w:val="-1"/>
              <w:sz w:val="24"/>
              <w:szCs w:val="24"/>
            </w:rPr>
            <w:t xml:space="preserve">2.  </w:t>
          </w:r>
          <w:r>
            <w:rPr>
              <w:rStyle w:val="25"/>
              <w:rFonts w:hint="eastAsia" w:cs="黑体" w:asciiTheme="majorEastAsia" w:hAnsiTheme="majorEastAsia" w:eastAsiaTheme="majorEastAsia"/>
              <w:spacing w:val="-1"/>
              <w:sz w:val="24"/>
              <w:szCs w:val="24"/>
            </w:rPr>
            <w:t>招</w:t>
          </w:r>
          <w:r>
            <w:rPr>
              <w:rStyle w:val="25"/>
              <w:rFonts w:hint="eastAsia" w:cs="黑体" w:asciiTheme="majorEastAsia" w:hAnsiTheme="majorEastAsia" w:eastAsiaTheme="majorEastAsia"/>
              <w:sz w:val="24"/>
              <w:szCs w:val="24"/>
            </w:rPr>
            <w:t>标文件</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_Toc109826646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"_Toc109826647" </w:instrText>
          </w:r>
          <w:r>
            <w:fldChar w:fldCharType="separate"/>
          </w:r>
          <w:r>
            <w:rPr>
              <w:rStyle w:val="25"/>
              <w:rFonts w:asciiTheme="majorEastAsia" w:hAnsiTheme="majorEastAsia" w:eastAsiaTheme="majorEastAsia"/>
              <w:b/>
              <w:bCs/>
              <w:sz w:val="24"/>
              <w:szCs w:val="24"/>
            </w:rPr>
            <w:t xml:space="preserve">3. </w:t>
          </w:r>
          <w:r>
            <w:rPr>
              <w:rStyle w:val="25"/>
              <w:rFonts w:hint="eastAsia" w:asciiTheme="majorEastAsia" w:hAnsiTheme="majorEastAsia" w:eastAsiaTheme="majorEastAsia"/>
              <w:b/>
              <w:bCs/>
              <w:sz w:val="24"/>
              <w:szCs w:val="24"/>
            </w:rPr>
            <w:t>投标文件</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_Toc109826647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"_Toc109826648" </w:instrText>
          </w:r>
          <w:r>
            <w:fldChar w:fldCharType="separate"/>
          </w:r>
          <w:r>
            <w:rPr>
              <w:rStyle w:val="25"/>
              <w:rFonts w:asciiTheme="majorEastAsia" w:hAnsiTheme="majorEastAsia" w:eastAsiaTheme="majorEastAsia"/>
              <w:sz w:val="24"/>
              <w:szCs w:val="24"/>
            </w:rPr>
            <w:t xml:space="preserve">3.1 </w:t>
          </w:r>
          <w:r>
            <w:rPr>
              <w:rStyle w:val="25"/>
              <w:rFonts w:hint="eastAsia" w:asciiTheme="majorEastAsia" w:hAnsiTheme="majorEastAsia" w:eastAsiaTheme="majorEastAsia"/>
              <w:sz w:val="24"/>
              <w:szCs w:val="24"/>
            </w:rPr>
            <w:t>投标文件的组成</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_Toc109826648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"_Toc109826649" </w:instrText>
          </w:r>
          <w:r>
            <w:fldChar w:fldCharType="separate"/>
          </w:r>
          <w:r>
            <w:rPr>
              <w:rStyle w:val="25"/>
              <w:rFonts w:asciiTheme="majorEastAsia" w:hAnsiTheme="majorEastAsia" w:eastAsiaTheme="majorEastAsia"/>
              <w:sz w:val="24"/>
              <w:szCs w:val="24"/>
            </w:rPr>
            <w:t xml:space="preserve">3.2 </w:t>
          </w:r>
          <w:r>
            <w:rPr>
              <w:rStyle w:val="25"/>
              <w:rFonts w:hint="eastAsia" w:asciiTheme="majorEastAsia" w:hAnsiTheme="majorEastAsia" w:eastAsiaTheme="majorEastAsia"/>
              <w:sz w:val="24"/>
              <w:szCs w:val="24"/>
            </w:rPr>
            <w:t>投标报价</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_Toc109826649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"_Toc109826650" </w:instrText>
          </w:r>
          <w:r>
            <w:fldChar w:fldCharType="separate"/>
          </w:r>
          <w:r>
            <w:rPr>
              <w:rStyle w:val="25"/>
              <w:rFonts w:asciiTheme="majorEastAsia" w:hAnsiTheme="majorEastAsia" w:eastAsiaTheme="majorEastAsia"/>
              <w:sz w:val="24"/>
              <w:szCs w:val="24"/>
            </w:rPr>
            <w:t xml:space="preserve">3.3 </w:t>
          </w:r>
          <w:r>
            <w:rPr>
              <w:rStyle w:val="25"/>
              <w:rFonts w:hint="eastAsia" w:asciiTheme="majorEastAsia" w:hAnsiTheme="majorEastAsia" w:eastAsiaTheme="majorEastAsia"/>
              <w:sz w:val="24"/>
              <w:szCs w:val="24"/>
            </w:rPr>
            <w:t>投标有效期</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_Toc109826650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"_Toc109826651" </w:instrText>
          </w:r>
          <w:r>
            <w:fldChar w:fldCharType="separate"/>
          </w:r>
          <w:r>
            <w:rPr>
              <w:rStyle w:val="25"/>
              <w:rFonts w:asciiTheme="majorEastAsia" w:hAnsiTheme="majorEastAsia" w:eastAsiaTheme="majorEastAsia"/>
              <w:sz w:val="24"/>
              <w:szCs w:val="24"/>
            </w:rPr>
            <w:t xml:space="preserve">3.4 </w:t>
          </w:r>
          <w:r>
            <w:rPr>
              <w:rStyle w:val="25"/>
              <w:rFonts w:hint="eastAsia" w:asciiTheme="majorEastAsia" w:hAnsiTheme="majorEastAsia" w:eastAsiaTheme="majorEastAsia"/>
              <w:sz w:val="24"/>
              <w:szCs w:val="24"/>
            </w:rPr>
            <w:t>投标担保</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"_Toc109826652" </w:instrText>
          </w:r>
          <w:r>
            <w:fldChar w:fldCharType="separate"/>
          </w:r>
          <w:r>
            <w:rPr>
              <w:rStyle w:val="25"/>
              <w:rFonts w:cs="Times New Roman" w:asciiTheme="majorEastAsia" w:hAnsiTheme="majorEastAsia" w:eastAsiaTheme="majorEastAsia"/>
              <w:spacing w:val="-1"/>
              <w:sz w:val="24"/>
              <w:szCs w:val="24"/>
            </w:rPr>
            <w:t xml:space="preserve">4. </w:t>
          </w:r>
          <w:r>
            <w:rPr>
              <w:rStyle w:val="25"/>
              <w:rFonts w:hint="eastAsia" w:cs="黑体" w:asciiTheme="majorEastAsia" w:hAnsiTheme="majorEastAsia" w:eastAsiaTheme="majorEastAsia"/>
              <w:sz w:val="24"/>
              <w:szCs w:val="24"/>
            </w:rPr>
            <w:t>投标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19</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"_Toc109826653" </w:instrText>
          </w:r>
          <w:r>
            <w:fldChar w:fldCharType="separate"/>
          </w:r>
          <w:r>
            <w:rPr>
              <w:rStyle w:val="25"/>
              <w:rFonts w:cs="Times New Roman" w:asciiTheme="majorEastAsia" w:hAnsiTheme="majorEastAsia" w:eastAsiaTheme="majorEastAsia"/>
              <w:spacing w:val="-2"/>
              <w:sz w:val="24"/>
              <w:szCs w:val="24"/>
            </w:rPr>
            <w:t xml:space="preserve">5.  </w:t>
          </w:r>
          <w:r>
            <w:rPr>
              <w:rStyle w:val="25"/>
              <w:rFonts w:hint="eastAsia" w:cs="黑体" w:asciiTheme="majorEastAsia" w:hAnsiTheme="majorEastAsia" w:eastAsiaTheme="majorEastAsia"/>
              <w:spacing w:val="-2"/>
              <w:sz w:val="24"/>
              <w:szCs w:val="24"/>
            </w:rPr>
            <w:t>开标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_Toc109826653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20</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"_Toc109826654" </w:instrText>
          </w:r>
          <w:r>
            <w:fldChar w:fldCharType="separate"/>
          </w:r>
          <w:r>
            <w:rPr>
              <w:rStyle w:val="25"/>
              <w:rFonts w:cs="Times New Roman" w:asciiTheme="majorEastAsia" w:hAnsiTheme="majorEastAsia" w:eastAsiaTheme="majorEastAsia"/>
              <w:spacing w:val="-2"/>
              <w:sz w:val="24"/>
              <w:szCs w:val="24"/>
            </w:rPr>
            <w:t xml:space="preserve">6.  </w:t>
          </w:r>
          <w:r>
            <w:rPr>
              <w:rStyle w:val="25"/>
              <w:rFonts w:hint="eastAsia" w:cs="黑体" w:asciiTheme="majorEastAsia" w:hAnsiTheme="majorEastAsia" w:eastAsiaTheme="majorEastAsia"/>
              <w:spacing w:val="-1"/>
              <w:sz w:val="24"/>
              <w:szCs w:val="24"/>
            </w:rPr>
            <w:t>评标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20</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"_Toc109826655" </w:instrText>
          </w:r>
          <w:r>
            <w:fldChar w:fldCharType="separate"/>
          </w:r>
          <w:r>
            <w:rPr>
              <w:rStyle w:val="25"/>
              <w:rFonts w:asciiTheme="majorEastAsia" w:hAnsiTheme="majorEastAsia" w:eastAsiaTheme="majorEastAsia"/>
              <w:b/>
              <w:bCs/>
              <w:sz w:val="24"/>
              <w:szCs w:val="24"/>
            </w:rPr>
            <w:t xml:space="preserve">7. </w:t>
          </w:r>
          <w:r>
            <w:rPr>
              <w:rStyle w:val="25"/>
              <w:rFonts w:hint="eastAsia" w:asciiTheme="majorEastAsia" w:hAnsiTheme="majorEastAsia" w:eastAsiaTheme="majorEastAsia"/>
              <w:b/>
              <w:bCs/>
              <w:sz w:val="24"/>
              <w:szCs w:val="24"/>
            </w:rPr>
            <w:t>合同授予</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_Toc109826655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20</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"_Toc109826656" </w:instrText>
          </w:r>
          <w:r>
            <w:fldChar w:fldCharType="separate"/>
          </w:r>
          <w:r>
            <w:rPr>
              <w:rStyle w:val="25"/>
              <w:rFonts w:asciiTheme="majorEastAsia" w:hAnsiTheme="majorEastAsia" w:eastAsiaTheme="majorEastAsia"/>
              <w:sz w:val="24"/>
              <w:szCs w:val="24"/>
            </w:rPr>
            <w:t>7.1</w:t>
          </w:r>
          <w:r>
            <w:rPr>
              <w:rStyle w:val="25"/>
              <w:rFonts w:hint="eastAsia" w:asciiTheme="majorEastAsia" w:hAnsiTheme="majorEastAsia" w:eastAsiaTheme="majorEastAsia"/>
              <w:sz w:val="24"/>
              <w:szCs w:val="24"/>
            </w:rPr>
            <w:t>中标候选人公示</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_Toc109826656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20</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"_Toc109826657" </w:instrText>
          </w:r>
          <w:r>
            <w:fldChar w:fldCharType="separate"/>
          </w:r>
          <w:r>
            <w:rPr>
              <w:rStyle w:val="25"/>
              <w:rFonts w:asciiTheme="majorEastAsia" w:hAnsiTheme="majorEastAsia" w:eastAsiaTheme="majorEastAsia"/>
              <w:sz w:val="24"/>
              <w:szCs w:val="24"/>
            </w:rPr>
            <w:t>7.2</w:t>
          </w:r>
          <w:r>
            <w:rPr>
              <w:rStyle w:val="25"/>
              <w:rFonts w:hint="eastAsia" w:asciiTheme="majorEastAsia" w:hAnsiTheme="majorEastAsia" w:eastAsiaTheme="majorEastAsia"/>
              <w:sz w:val="24"/>
              <w:szCs w:val="24"/>
            </w:rPr>
            <w:t>中标通知书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_Toc109826657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"_Toc109826658" </w:instrText>
          </w:r>
          <w:r>
            <w:fldChar w:fldCharType="separate"/>
          </w:r>
          <w:r>
            <w:rPr>
              <w:rStyle w:val="25"/>
              <w:rFonts w:asciiTheme="majorEastAsia" w:hAnsiTheme="majorEastAsia" w:eastAsiaTheme="majorEastAsia"/>
              <w:sz w:val="24"/>
              <w:szCs w:val="24"/>
            </w:rPr>
            <w:t>7.3</w:t>
          </w:r>
          <w:r>
            <w:rPr>
              <w:rStyle w:val="25"/>
              <w:rFonts w:hint="eastAsia" w:asciiTheme="majorEastAsia" w:hAnsiTheme="majorEastAsia" w:eastAsiaTheme="majorEastAsia"/>
              <w:sz w:val="24"/>
              <w:szCs w:val="24"/>
            </w:rPr>
            <w:t>合同签订</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_Toc109826658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"_Toc109826659" </w:instrText>
          </w:r>
          <w:r>
            <w:fldChar w:fldCharType="separate"/>
          </w:r>
          <w:r>
            <w:rPr>
              <w:rStyle w:val="25"/>
              <w:rFonts w:asciiTheme="majorEastAsia" w:hAnsiTheme="majorEastAsia" w:eastAsiaTheme="majorEastAsia"/>
              <w:b/>
              <w:bCs/>
              <w:sz w:val="24"/>
              <w:szCs w:val="24"/>
            </w:rPr>
            <w:t>8.</w:t>
          </w:r>
          <w:r>
            <w:rPr>
              <w:rStyle w:val="25"/>
              <w:rFonts w:hint="eastAsia" w:asciiTheme="majorEastAsia" w:hAnsiTheme="majorEastAsia" w:eastAsiaTheme="majorEastAsia"/>
              <w:b/>
              <w:bCs/>
              <w:sz w:val="24"/>
              <w:szCs w:val="24"/>
            </w:rPr>
            <w:t>重新招标和不再招标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_Toc109826659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"_Toc109826660" </w:instrText>
          </w:r>
          <w:r>
            <w:fldChar w:fldCharType="separate"/>
          </w:r>
          <w:r>
            <w:rPr>
              <w:rStyle w:val="25"/>
              <w:rFonts w:asciiTheme="majorEastAsia" w:hAnsiTheme="majorEastAsia" w:eastAsiaTheme="majorEastAsia"/>
              <w:sz w:val="24"/>
              <w:szCs w:val="24"/>
            </w:rPr>
            <w:t>8.1</w:t>
          </w:r>
          <w:r>
            <w:rPr>
              <w:rStyle w:val="25"/>
              <w:rFonts w:hint="eastAsia" w:asciiTheme="majorEastAsia" w:hAnsiTheme="majorEastAsia" w:eastAsiaTheme="majorEastAsia"/>
              <w:sz w:val="24"/>
              <w:szCs w:val="24"/>
            </w:rPr>
            <w:t>重新招标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_Toc109826660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"_Toc109826661" </w:instrText>
          </w:r>
          <w:r>
            <w:fldChar w:fldCharType="separate"/>
          </w:r>
          <w:r>
            <w:rPr>
              <w:rStyle w:val="25"/>
              <w:rFonts w:asciiTheme="majorEastAsia" w:hAnsiTheme="majorEastAsia" w:eastAsiaTheme="majorEastAsia"/>
              <w:sz w:val="24"/>
              <w:szCs w:val="24"/>
            </w:rPr>
            <w:t xml:space="preserve">8.2 </w:t>
          </w:r>
          <w:r>
            <w:rPr>
              <w:rStyle w:val="25"/>
              <w:rFonts w:hint="eastAsia" w:asciiTheme="majorEastAsia" w:hAnsiTheme="majorEastAsia" w:eastAsiaTheme="majorEastAsia"/>
              <w:sz w:val="24"/>
              <w:szCs w:val="24"/>
            </w:rPr>
            <w:t>不再招标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"_Toc109826662" </w:instrText>
          </w:r>
          <w:r>
            <w:fldChar w:fldCharType="separate"/>
          </w:r>
          <w:r>
            <w:rPr>
              <w:rStyle w:val="25"/>
              <w:rFonts w:asciiTheme="majorEastAsia" w:hAnsiTheme="majorEastAsia" w:eastAsiaTheme="majorEastAsia"/>
              <w:b/>
              <w:bCs/>
              <w:sz w:val="24"/>
              <w:szCs w:val="24"/>
            </w:rPr>
            <w:t xml:space="preserve">9. </w:t>
          </w:r>
          <w:r>
            <w:rPr>
              <w:rStyle w:val="25"/>
              <w:rFonts w:hint="eastAsia" w:asciiTheme="majorEastAsia" w:hAnsiTheme="majorEastAsia" w:eastAsiaTheme="majorEastAsia"/>
              <w:b/>
              <w:bCs/>
              <w:sz w:val="24"/>
              <w:szCs w:val="24"/>
            </w:rPr>
            <w:t>纪律和监督</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"_Toc109826663" </w:instrText>
          </w:r>
          <w:r>
            <w:fldChar w:fldCharType="separate"/>
          </w:r>
          <w:r>
            <w:rPr>
              <w:rStyle w:val="25"/>
              <w:rFonts w:asciiTheme="majorEastAsia" w:hAnsiTheme="majorEastAsia" w:eastAsiaTheme="majorEastAsia"/>
              <w:sz w:val="24"/>
              <w:szCs w:val="24"/>
            </w:rPr>
            <w:t xml:space="preserve">9.1 </w:t>
          </w:r>
          <w:r>
            <w:rPr>
              <w:rStyle w:val="25"/>
              <w:rFonts w:hint="eastAsia" w:asciiTheme="majorEastAsia" w:hAnsiTheme="majorEastAsia" w:eastAsiaTheme="majorEastAsia"/>
              <w:sz w:val="24"/>
              <w:szCs w:val="24"/>
            </w:rPr>
            <w:t>对招标人的纪律要求</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_Toc109826663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"_Toc109826664" </w:instrText>
          </w:r>
          <w:r>
            <w:fldChar w:fldCharType="separate"/>
          </w:r>
          <w:r>
            <w:rPr>
              <w:rStyle w:val="25"/>
              <w:rFonts w:asciiTheme="majorEastAsia" w:hAnsiTheme="majorEastAsia" w:eastAsiaTheme="majorEastAsia"/>
              <w:sz w:val="24"/>
              <w:szCs w:val="24"/>
            </w:rPr>
            <w:t xml:space="preserve">9.2 </w:t>
          </w:r>
          <w:r>
            <w:rPr>
              <w:rStyle w:val="25"/>
              <w:rFonts w:hint="eastAsia" w:asciiTheme="majorEastAsia" w:hAnsiTheme="majorEastAsia" w:eastAsiaTheme="majorEastAsia"/>
              <w:sz w:val="24"/>
              <w:szCs w:val="24"/>
            </w:rPr>
            <w:t>对投标人的纪律要求</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"_Toc109826665" </w:instrText>
          </w:r>
          <w:r>
            <w:fldChar w:fldCharType="separate"/>
          </w:r>
          <w:r>
            <w:rPr>
              <w:rStyle w:val="25"/>
              <w:rFonts w:asciiTheme="majorEastAsia" w:hAnsiTheme="majorEastAsia" w:eastAsiaTheme="majorEastAsia"/>
              <w:sz w:val="24"/>
              <w:szCs w:val="24"/>
            </w:rPr>
            <w:t xml:space="preserve">9.3 </w:t>
          </w:r>
          <w:r>
            <w:rPr>
              <w:rStyle w:val="25"/>
              <w:rFonts w:hint="eastAsia" w:asciiTheme="majorEastAsia" w:hAnsiTheme="majorEastAsia" w:eastAsiaTheme="majorEastAsia"/>
              <w:sz w:val="24"/>
              <w:szCs w:val="24"/>
            </w:rPr>
            <w:t>对评标委员会成员的纪律要求</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_Toc109826665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"_Toc109826666" </w:instrText>
          </w:r>
          <w:r>
            <w:fldChar w:fldCharType="separate"/>
          </w:r>
          <w:r>
            <w:rPr>
              <w:rStyle w:val="25"/>
              <w:rFonts w:asciiTheme="majorEastAsia" w:hAnsiTheme="majorEastAsia" w:eastAsiaTheme="majorEastAsia"/>
              <w:sz w:val="24"/>
              <w:szCs w:val="24"/>
            </w:rPr>
            <w:t xml:space="preserve">9.4 </w:t>
          </w:r>
          <w:r>
            <w:rPr>
              <w:rStyle w:val="25"/>
              <w:rFonts w:hint="eastAsia" w:asciiTheme="majorEastAsia" w:hAnsiTheme="majorEastAsia" w:eastAsiaTheme="majorEastAsia"/>
              <w:sz w:val="24"/>
              <w:szCs w:val="24"/>
            </w:rPr>
            <w:t>对与评标活动有关的工作人员的纪律要求</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_Toc109826666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"_Toc109826667" </w:instrText>
          </w:r>
          <w:r>
            <w:fldChar w:fldCharType="separate"/>
          </w:r>
          <w:r>
            <w:rPr>
              <w:rStyle w:val="25"/>
              <w:rFonts w:asciiTheme="majorEastAsia" w:hAnsiTheme="majorEastAsia" w:eastAsiaTheme="majorEastAsia"/>
              <w:sz w:val="24"/>
              <w:szCs w:val="24"/>
            </w:rPr>
            <w:t xml:space="preserve">9.5 </w:t>
          </w:r>
          <w:r>
            <w:rPr>
              <w:rStyle w:val="25"/>
              <w:rFonts w:hint="eastAsia" w:asciiTheme="majorEastAsia" w:hAnsiTheme="majorEastAsia" w:eastAsiaTheme="majorEastAsia"/>
              <w:sz w:val="24"/>
              <w:szCs w:val="24"/>
            </w:rPr>
            <w:t>投诉</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_Toc109826667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"_Toc109826668" </w:instrText>
          </w:r>
          <w:r>
            <w:fldChar w:fldCharType="separate"/>
          </w:r>
          <w:r>
            <w:rPr>
              <w:rStyle w:val="25"/>
              <w:rFonts w:asciiTheme="majorEastAsia" w:hAnsiTheme="majorEastAsia" w:eastAsiaTheme="majorEastAsia"/>
              <w:sz w:val="24"/>
              <w:szCs w:val="24"/>
            </w:rPr>
            <w:t xml:space="preserve">10. </w:t>
          </w:r>
          <w:r>
            <w:rPr>
              <w:rStyle w:val="25"/>
              <w:rFonts w:hint="eastAsia" w:asciiTheme="majorEastAsia" w:hAnsiTheme="majorEastAsia" w:eastAsiaTheme="majorEastAsia"/>
              <w:sz w:val="24"/>
              <w:szCs w:val="24"/>
            </w:rPr>
            <w:t>需要补充的其他内容</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_Toc109826668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"_Toc109826669" </w:instrText>
          </w:r>
          <w:r>
            <w:fldChar w:fldCharType="separate"/>
          </w:r>
          <w:r>
            <w:rPr>
              <w:rStyle w:val="25"/>
              <w:rFonts w:hint="eastAsia" w:cs="宋体" w:asciiTheme="majorEastAsia" w:hAnsiTheme="majorEastAsia" w:eastAsiaTheme="majorEastAsia"/>
              <w:spacing w:val="13"/>
              <w:sz w:val="24"/>
              <w:szCs w:val="24"/>
            </w:rPr>
            <w:t>第</w:t>
          </w:r>
          <w:r>
            <w:rPr>
              <w:rStyle w:val="25"/>
              <w:rFonts w:hint="eastAsia" w:cs="宋体" w:asciiTheme="majorEastAsia" w:hAnsiTheme="majorEastAsia" w:eastAsiaTheme="majorEastAsia"/>
              <w:spacing w:val="7"/>
              <w:sz w:val="24"/>
              <w:szCs w:val="24"/>
            </w:rPr>
            <w:t>三章</w:t>
          </w:r>
          <w:r>
            <w:rPr>
              <w:rStyle w:val="25"/>
              <w:rFonts w:cs="黑体" w:asciiTheme="majorEastAsia" w:hAnsiTheme="majorEastAsia" w:eastAsiaTheme="majorEastAsia"/>
              <w:spacing w:val="7"/>
              <w:sz w:val="24"/>
              <w:szCs w:val="24"/>
            </w:rPr>
            <w:t xml:space="preserve"> </w:t>
          </w:r>
          <w:r>
            <w:rPr>
              <w:rStyle w:val="25"/>
              <w:rFonts w:hint="eastAsia" w:cs="宋体" w:asciiTheme="majorEastAsia" w:hAnsiTheme="majorEastAsia" w:eastAsiaTheme="majorEastAsia"/>
              <w:spacing w:val="7"/>
              <w:sz w:val="24"/>
              <w:szCs w:val="24"/>
            </w:rPr>
            <w:t>评标办法</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_Toc109826669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"_Toc109826670" </w:instrText>
          </w:r>
          <w:r>
            <w:fldChar w:fldCharType="separate"/>
          </w:r>
          <w:r>
            <w:rPr>
              <w:rStyle w:val="25"/>
              <w:rFonts w:hint="eastAsia" w:cs="黑体" w:asciiTheme="majorEastAsia" w:hAnsiTheme="majorEastAsia" w:eastAsiaTheme="majorEastAsia"/>
              <w:spacing w:val="-2"/>
              <w:sz w:val="24"/>
              <w:szCs w:val="24"/>
            </w:rPr>
            <w:t>评标</w:t>
          </w:r>
          <w:r>
            <w:rPr>
              <w:rStyle w:val="25"/>
              <w:rFonts w:hint="eastAsia" w:cs="黑体" w:asciiTheme="majorEastAsia" w:hAnsiTheme="majorEastAsia" w:eastAsiaTheme="majorEastAsia"/>
              <w:spacing w:val="-1"/>
              <w:sz w:val="24"/>
              <w:szCs w:val="24"/>
            </w:rPr>
            <w:t>办法前附表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_Toc109826670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"_Toc109826671" </w:instrText>
          </w:r>
          <w:r>
            <w:fldChar w:fldCharType="separate"/>
          </w:r>
          <w:r>
            <w:rPr>
              <w:rStyle w:val="25"/>
              <w:rFonts w:cs="Times New Roman" w:asciiTheme="majorEastAsia" w:hAnsiTheme="majorEastAsia" w:eastAsiaTheme="majorEastAsia"/>
              <w:spacing w:val="-1"/>
              <w:sz w:val="24"/>
              <w:szCs w:val="24"/>
            </w:rPr>
            <w:t xml:space="preserve">2.  </w:t>
          </w:r>
          <w:r>
            <w:rPr>
              <w:rStyle w:val="25"/>
              <w:rFonts w:hint="eastAsia" w:cs="黑体" w:asciiTheme="majorEastAsia" w:hAnsiTheme="majorEastAsia" w:eastAsiaTheme="majorEastAsia"/>
              <w:spacing w:val="-1"/>
              <w:sz w:val="24"/>
              <w:szCs w:val="24"/>
            </w:rPr>
            <w:t>评</w:t>
          </w:r>
          <w:r>
            <w:rPr>
              <w:rStyle w:val="25"/>
              <w:rFonts w:hint="eastAsia" w:cs="黑体" w:asciiTheme="majorEastAsia" w:hAnsiTheme="majorEastAsia" w:eastAsiaTheme="majorEastAsia"/>
              <w:sz w:val="24"/>
              <w:szCs w:val="24"/>
            </w:rPr>
            <w:t>审标准</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24</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"_Toc109826672" </w:instrText>
          </w:r>
          <w:r>
            <w:fldChar w:fldCharType="separate"/>
          </w:r>
          <w:r>
            <w:rPr>
              <w:rStyle w:val="25"/>
              <w:rFonts w:cs="Times New Roman" w:asciiTheme="majorEastAsia" w:hAnsiTheme="majorEastAsia" w:eastAsiaTheme="majorEastAsia"/>
              <w:spacing w:val="-2"/>
              <w:sz w:val="24"/>
              <w:szCs w:val="24"/>
            </w:rPr>
            <w:t xml:space="preserve">3. </w:t>
          </w:r>
          <w:r>
            <w:rPr>
              <w:rStyle w:val="25"/>
              <w:rFonts w:hint="eastAsia" w:cs="黑体" w:asciiTheme="majorEastAsia" w:hAnsiTheme="majorEastAsia" w:eastAsiaTheme="majorEastAsia"/>
              <w:spacing w:val="-1"/>
              <w:sz w:val="24"/>
              <w:szCs w:val="24"/>
            </w:rPr>
            <w:t>评标程序</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24</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"_Toc109826673" </w:instrText>
          </w:r>
          <w:r>
            <w:fldChar w:fldCharType="separate"/>
          </w:r>
          <w:r>
            <w:rPr>
              <w:rStyle w:val="25"/>
              <w:rFonts w:hint="eastAsia" w:cs="黑体" w:asciiTheme="majorEastAsia" w:hAnsiTheme="majorEastAsia" w:eastAsiaTheme="majorEastAsia"/>
              <w:spacing w:val="-2"/>
              <w:sz w:val="24"/>
              <w:szCs w:val="24"/>
            </w:rPr>
            <w:t>评标办</w:t>
          </w:r>
          <w:r>
            <w:rPr>
              <w:rStyle w:val="25"/>
              <w:rFonts w:hint="eastAsia" w:cs="黑体" w:asciiTheme="majorEastAsia" w:hAnsiTheme="majorEastAsia" w:eastAsiaTheme="majorEastAsia"/>
              <w:spacing w:val="-1"/>
              <w:sz w:val="24"/>
              <w:szCs w:val="24"/>
            </w:rPr>
            <w:t>法附件</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_Toc109826673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26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"_Toc109826674" </w:instrText>
          </w:r>
          <w:r>
            <w:fldChar w:fldCharType="separate"/>
          </w:r>
          <w:r>
            <w:rPr>
              <w:rStyle w:val="25"/>
              <w:rFonts w:hint="eastAsia" w:cs="宋体" w:asciiTheme="majorEastAsia" w:hAnsiTheme="majorEastAsia" w:eastAsiaTheme="majorEastAsia"/>
              <w:spacing w:val="12"/>
              <w:sz w:val="24"/>
              <w:szCs w:val="24"/>
            </w:rPr>
            <w:t>第</w:t>
          </w:r>
          <w:r>
            <w:rPr>
              <w:rStyle w:val="25"/>
              <w:rFonts w:hint="eastAsia" w:cs="宋体" w:asciiTheme="majorEastAsia" w:hAnsiTheme="majorEastAsia" w:eastAsiaTheme="majorEastAsia"/>
              <w:spacing w:val="8"/>
              <w:sz w:val="24"/>
              <w:szCs w:val="24"/>
            </w:rPr>
            <w:t>四章</w:t>
          </w:r>
          <w:r>
            <w:rPr>
              <w:rStyle w:val="25"/>
              <w:rFonts w:cs="黑体" w:asciiTheme="majorEastAsia" w:hAnsiTheme="majorEastAsia" w:eastAsiaTheme="majorEastAsia"/>
              <w:spacing w:val="8"/>
              <w:sz w:val="24"/>
              <w:szCs w:val="24"/>
            </w:rPr>
            <w:t xml:space="preserve"> </w:t>
          </w:r>
          <w:r>
            <w:rPr>
              <w:rStyle w:val="25"/>
              <w:rFonts w:hint="eastAsia" w:cs="宋体" w:asciiTheme="majorEastAsia" w:hAnsiTheme="majorEastAsia" w:eastAsiaTheme="majorEastAsia"/>
              <w:spacing w:val="8"/>
              <w:sz w:val="24"/>
              <w:szCs w:val="24"/>
            </w:rPr>
            <w:t>合同条款及格式</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30</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"_Toc109826675" </w:instrText>
          </w:r>
          <w:r>
            <w:fldChar w:fldCharType="separate"/>
          </w:r>
          <w:r>
            <w:rPr>
              <w:rStyle w:val="25"/>
              <w:rFonts w:hint="eastAsia" w:cs="宋体" w:asciiTheme="majorEastAsia" w:hAnsiTheme="majorEastAsia" w:eastAsiaTheme="majorEastAsia"/>
              <w:sz w:val="24"/>
              <w:szCs w:val="24"/>
            </w:rPr>
            <w:t>第一部分　　合同协议书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_Toc109826675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31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"_Toc109826676" </w:instrText>
          </w:r>
          <w:r>
            <w:fldChar w:fldCharType="separate"/>
          </w:r>
          <w:r>
            <w:rPr>
              <w:rStyle w:val="25"/>
              <w:rFonts w:hint="eastAsia" w:cs="宋体" w:asciiTheme="majorEastAsia" w:hAnsiTheme="majorEastAsia" w:eastAsiaTheme="majorEastAsia"/>
              <w:sz w:val="24"/>
              <w:szCs w:val="24"/>
            </w:rPr>
            <w:t>第二部分</w:t>
          </w:r>
          <w:r>
            <w:rPr>
              <w:rStyle w:val="25"/>
              <w:rFonts w:cs="Times New Roman" w:asciiTheme="majorEastAsia" w:hAnsiTheme="majorEastAsia" w:eastAsiaTheme="majorEastAsia"/>
              <w:sz w:val="24"/>
              <w:szCs w:val="24"/>
            </w:rPr>
            <w:t xml:space="preserve">   </w:t>
          </w:r>
          <w:r>
            <w:rPr>
              <w:rStyle w:val="25"/>
              <w:rFonts w:hint="eastAsia" w:cs="宋体" w:asciiTheme="majorEastAsia" w:hAnsiTheme="majorEastAsia" w:eastAsiaTheme="majorEastAsia"/>
              <w:sz w:val="24"/>
              <w:szCs w:val="24"/>
            </w:rPr>
            <w:t>通用合同条款（略）</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_Toc109826676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34</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"_Toc109826677" </w:instrText>
          </w:r>
          <w:r>
            <w:fldChar w:fldCharType="separate"/>
          </w:r>
          <w:r>
            <w:rPr>
              <w:rStyle w:val="25"/>
              <w:rFonts w:hint="eastAsia" w:cs="宋体" w:asciiTheme="majorEastAsia" w:hAnsiTheme="majorEastAsia" w:eastAsiaTheme="majorEastAsia"/>
              <w:sz w:val="24"/>
              <w:szCs w:val="24"/>
            </w:rPr>
            <w:t>第三部分　　专用合同条款</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_Toc109826677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34</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"_Toc109826678" </w:instrText>
          </w:r>
          <w:r>
            <w:fldChar w:fldCharType="separate"/>
          </w:r>
          <w:r>
            <w:rPr>
              <w:rStyle w:val="25"/>
              <w:rFonts w:hint="eastAsia" w:cs="宋体" w:asciiTheme="majorEastAsia" w:hAnsiTheme="majorEastAsia" w:eastAsiaTheme="majorEastAsia"/>
              <w:sz w:val="24"/>
              <w:szCs w:val="24"/>
            </w:rPr>
            <w:t>第四部分</w:t>
          </w:r>
          <w:r>
            <w:rPr>
              <w:rStyle w:val="25"/>
              <w:rFonts w:cs="Times New Roman" w:asciiTheme="majorEastAsia" w:hAnsiTheme="majorEastAsia" w:eastAsiaTheme="majorEastAsia"/>
              <w:sz w:val="24"/>
              <w:szCs w:val="24"/>
            </w:rPr>
            <w:t xml:space="preserve">    </w:t>
          </w:r>
          <w:r>
            <w:rPr>
              <w:rStyle w:val="25"/>
              <w:rFonts w:hint="eastAsia" w:cs="宋体" w:asciiTheme="majorEastAsia" w:hAnsiTheme="majorEastAsia" w:eastAsiaTheme="majorEastAsia"/>
              <w:sz w:val="24"/>
              <w:szCs w:val="24"/>
            </w:rPr>
            <w:t>工程建设项目廉政责任书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_Toc109826678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63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"_Toc109826679" </w:instrText>
          </w:r>
          <w:r>
            <w:fldChar w:fldCharType="separate"/>
          </w:r>
          <w:r>
            <w:rPr>
              <w:rStyle w:val="25"/>
              <w:rFonts w:hint="eastAsia" w:cs="宋体" w:asciiTheme="majorEastAsia" w:hAnsiTheme="majorEastAsia" w:eastAsiaTheme="majorEastAsia"/>
              <w:sz w:val="24"/>
              <w:szCs w:val="24"/>
            </w:rPr>
            <w:t>第五部分</w:t>
          </w:r>
          <w:r>
            <w:rPr>
              <w:rStyle w:val="25"/>
              <w:rFonts w:cs="Times New Roman" w:asciiTheme="majorEastAsia" w:hAnsiTheme="majorEastAsia" w:eastAsiaTheme="majorEastAsia"/>
              <w:sz w:val="24"/>
              <w:szCs w:val="24"/>
            </w:rPr>
            <w:t xml:space="preserve">    </w:t>
          </w:r>
          <w:r>
            <w:rPr>
              <w:rStyle w:val="25"/>
              <w:rFonts w:hint="eastAsia" w:cs="宋体" w:asciiTheme="majorEastAsia" w:hAnsiTheme="majorEastAsia" w:eastAsiaTheme="majorEastAsia"/>
              <w:sz w:val="24"/>
              <w:szCs w:val="24"/>
            </w:rPr>
            <w:t>安全生产协议书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_Toc109826679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65</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"_Toc109826680" </w:instrText>
          </w:r>
          <w:r>
            <w:fldChar w:fldCharType="separate"/>
          </w:r>
          <w:r>
            <w:rPr>
              <w:rStyle w:val="25"/>
              <w:rFonts w:hint="eastAsia" w:cs="宋体" w:asciiTheme="majorEastAsia" w:hAnsiTheme="majorEastAsia" w:eastAsiaTheme="majorEastAsia"/>
              <w:spacing w:val="10"/>
              <w:sz w:val="24"/>
              <w:szCs w:val="24"/>
            </w:rPr>
            <w:t>第</w:t>
          </w:r>
          <w:r>
            <w:rPr>
              <w:rStyle w:val="25"/>
              <w:rFonts w:hint="eastAsia" w:cs="宋体" w:asciiTheme="majorEastAsia" w:hAnsiTheme="majorEastAsia" w:eastAsiaTheme="majorEastAsia"/>
              <w:spacing w:val="8"/>
              <w:sz w:val="24"/>
              <w:szCs w:val="24"/>
            </w:rPr>
            <w:t>五章工程量清单</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_Toc109826680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67</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6"/>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"_Toc109826681" </w:instrText>
          </w:r>
          <w:r>
            <w:fldChar w:fldCharType="separate"/>
          </w:r>
          <w:r>
            <w:rPr>
              <w:rStyle w:val="25"/>
              <w:rFonts w:hint="eastAsia" w:cs="宋体" w:asciiTheme="majorEastAsia" w:hAnsiTheme="majorEastAsia" w:eastAsiaTheme="majorEastAsia"/>
              <w:spacing w:val="5"/>
              <w:sz w:val="24"/>
              <w:szCs w:val="24"/>
            </w:rPr>
            <w:t>第二卷</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"_Toc109826682" </w:instrText>
          </w:r>
          <w:r>
            <w:fldChar w:fldCharType="separate"/>
          </w:r>
          <w:r>
            <w:rPr>
              <w:rStyle w:val="25"/>
              <w:rFonts w:hint="eastAsia" w:cs="宋体" w:asciiTheme="majorEastAsia" w:hAnsiTheme="majorEastAsia" w:eastAsiaTheme="majorEastAsia"/>
              <w:spacing w:val="8"/>
              <w:sz w:val="24"/>
              <w:szCs w:val="24"/>
            </w:rPr>
            <w:t>第六章图纸</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6"/>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"_Toc109826683" </w:instrText>
          </w:r>
          <w:r>
            <w:fldChar w:fldCharType="separate"/>
          </w:r>
          <w:r>
            <w:rPr>
              <w:rStyle w:val="25"/>
              <w:rFonts w:hint="eastAsia" w:cs="黑体" w:asciiTheme="majorEastAsia" w:hAnsiTheme="majorEastAsia" w:eastAsiaTheme="majorEastAsia"/>
              <w:spacing w:val="7"/>
              <w:sz w:val="24"/>
              <w:szCs w:val="24"/>
            </w:rPr>
            <w:t>第</w:t>
          </w:r>
          <w:r>
            <w:rPr>
              <w:rStyle w:val="25"/>
              <w:rFonts w:hint="eastAsia" w:cs="黑体" w:asciiTheme="majorEastAsia" w:hAnsiTheme="majorEastAsia" w:eastAsiaTheme="majorEastAsia"/>
              <w:spacing w:val="6"/>
              <w:sz w:val="24"/>
              <w:szCs w:val="24"/>
            </w:rPr>
            <w:t>三卷</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_Toc109826683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"_Toc109826684" </w:instrText>
          </w:r>
          <w:r>
            <w:fldChar w:fldCharType="separate"/>
          </w:r>
          <w:r>
            <w:rPr>
              <w:rStyle w:val="25"/>
              <w:rFonts w:hint="eastAsia" w:cs="宋体" w:asciiTheme="majorEastAsia" w:hAnsiTheme="majorEastAsia" w:eastAsiaTheme="majorEastAsia"/>
              <w:spacing w:val="8"/>
              <w:sz w:val="24"/>
              <w:szCs w:val="24"/>
            </w:rPr>
            <w:t>第七章</w:t>
          </w:r>
          <w:r>
            <w:rPr>
              <w:rStyle w:val="25"/>
              <w:rFonts w:cs="黑体" w:asciiTheme="majorEastAsia" w:hAnsiTheme="majorEastAsia" w:eastAsiaTheme="majorEastAsia"/>
              <w:spacing w:val="8"/>
              <w:sz w:val="24"/>
              <w:szCs w:val="24"/>
            </w:rPr>
            <w:t xml:space="preserve">  </w:t>
          </w:r>
          <w:r>
            <w:rPr>
              <w:rStyle w:val="25"/>
              <w:rFonts w:hint="eastAsia" w:cs="宋体" w:asciiTheme="majorEastAsia" w:hAnsiTheme="majorEastAsia" w:eastAsiaTheme="majorEastAsia"/>
              <w:spacing w:val="8"/>
              <w:sz w:val="24"/>
              <w:szCs w:val="24"/>
            </w:rPr>
            <w:t>技术标准和要</w:t>
          </w:r>
          <w:r>
            <w:rPr>
              <w:rStyle w:val="25"/>
              <w:rFonts w:hint="eastAsia" w:cs="宋体" w:asciiTheme="majorEastAsia" w:hAnsiTheme="majorEastAsia" w:eastAsiaTheme="majorEastAsia"/>
              <w:spacing w:val="7"/>
              <w:sz w:val="24"/>
              <w:szCs w:val="24"/>
            </w:rPr>
            <w:t>求</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"_Toc109826685" </w:instrText>
          </w:r>
          <w:r>
            <w:fldChar w:fldCharType="separate"/>
          </w:r>
          <w:r>
            <w:rPr>
              <w:rStyle w:val="25"/>
              <w:rFonts w:cs="Times New Roman" w:asciiTheme="majorEastAsia" w:hAnsiTheme="majorEastAsia" w:eastAsiaTheme="majorEastAsia"/>
              <w:spacing w:val="-4"/>
              <w:sz w:val="24"/>
              <w:szCs w:val="24"/>
            </w:rPr>
            <w:t xml:space="preserve">1.  </w:t>
          </w:r>
          <w:r>
            <w:rPr>
              <w:rStyle w:val="25"/>
              <w:rFonts w:hint="eastAsia" w:cs="黑体" w:asciiTheme="majorEastAsia" w:hAnsiTheme="majorEastAsia" w:eastAsiaTheme="majorEastAsia"/>
              <w:spacing w:val="-4"/>
              <w:sz w:val="24"/>
              <w:szCs w:val="24"/>
            </w:rPr>
            <w:t>工程概况</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_Toc109826685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"_Toc109826686" </w:instrText>
          </w:r>
          <w:r>
            <w:fldChar w:fldCharType="separate"/>
          </w:r>
          <w:r>
            <w:rPr>
              <w:rStyle w:val="25"/>
              <w:rFonts w:cs="Times New Roman" w:asciiTheme="majorEastAsia" w:hAnsiTheme="majorEastAsia" w:eastAsiaTheme="majorEastAsia"/>
              <w:spacing w:val="-1"/>
              <w:sz w:val="24"/>
              <w:szCs w:val="24"/>
            </w:rPr>
            <w:t xml:space="preserve">2.  </w:t>
          </w:r>
          <w:r>
            <w:rPr>
              <w:rStyle w:val="25"/>
              <w:rFonts w:hint="eastAsia" w:cs="黑体" w:asciiTheme="majorEastAsia" w:hAnsiTheme="majorEastAsia" w:eastAsiaTheme="majorEastAsia"/>
              <w:spacing w:val="-1"/>
              <w:sz w:val="24"/>
              <w:szCs w:val="24"/>
            </w:rPr>
            <w:t>技</w:t>
          </w:r>
          <w:r>
            <w:rPr>
              <w:rStyle w:val="25"/>
              <w:rFonts w:hint="eastAsia" w:cs="黑体" w:asciiTheme="majorEastAsia" w:hAnsiTheme="majorEastAsia" w:eastAsiaTheme="majorEastAsia"/>
              <w:sz w:val="24"/>
              <w:szCs w:val="24"/>
            </w:rPr>
            <w:t>术规范及标准</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_Toc109826686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"_Toc109826687" </w:instrText>
          </w:r>
          <w:r>
            <w:fldChar w:fldCharType="separate"/>
          </w:r>
          <w:r>
            <w:rPr>
              <w:rStyle w:val="25"/>
              <w:rFonts w:cs="Times New Roman" w:asciiTheme="majorEastAsia" w:hAnsiTheme="majorEastAsia" w:eastAsiaTheme="majorEastAsia"/>
              <w:spacing w:val="-11"/>
              <w:sz w:val="24"/>
              <w:szCs w:val="24"/>
            </w:rPr>
            <w:t>4</w:t>
          </w:r>
          <w:r>
            <w:rPr>
              <w:rStyle w:val="25"/>
              <w:rFonts w:hint="eastAsia" w:cs="黑体" w:asciiTheme="majorEastAsia" w:hAnsiTheme="majorEastAsia" w:eastAsiaTheme="majorEastAsia"/>
              <w:spacing w:val="-7"/>
              <w:sz w:val="24"/>
              <w:szCs w:val="24"/>
            </w:rPr>
            <w:t>．工程管理的要求</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_Toc109826687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75</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"_Toc109826688" </w:instrText>
          </w:r>
          <w:r>
            <w:fldChar w:fldCharType="separate"/>
          </w:r>
          <w:r>
            <w:rPr>
              <w:rStyle w:val="25"/>
              <w:rFonts w:cs="Times New Roman" w:asciiTheme="majorEastAsia" w:hAnsiTheme="majorEastAsia" w:eastAsiaTheme="majorEastAsia"/>
              <w:spacing w:val="-9"/>
              <w:position w:val="2"/>
              <w:sz w:val="24"/>
              <w:szCs w:val="24"/>
            </w:rPr>
            <w:t>5</w:t>
          </w:r>
          <w:r>
            <w:rPr>
              <w:rStyle w:val="25"/>
              <w:rFonts w:hint="eastAsia" w:cs="宋体" w:asciiTheme="majorEastAsia" w:hAnsiTheme="majorEastAsia" w:eastAsiaTheme="majorEastAsia"/>
              <w:spacing w:val="-5"/>
              <w:position w:val="2"/>
              <w:sz w:val="24"/>
              <w:szCs w:val="24"/>
            </w:rPr>
            <w:t>．其他</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_Toc109826688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76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0"/>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"_Toc109826689" </w:instrText>
          </w:r>
          <w:r>
            <w:fldChar w:fldCharType="separate"/>
          </w:r>
          <w:r>
            <w:rPr>
              <w:rStyle w:val="25"/>
              <w:rFonts w:hint="eastAsia" w:cs="宋体" w:asciiTheme="majorEastAsia" w:hAnsiTheme="majorEastAsia" w:eastAsiaTheme="majorEastAsia"/>
              <w:spacing w:val="11"/>
              <w:sz w:val="24"/>
              <w:szCs w:val="24"/>
            </w:rPr>
            <w:t>附</w:t>
          </w:r>
          <w:r>
            <w:rPr>
              <w:rStyle w:val="25"/>
              <w:rFonts w:hint="eastAsia" w:cs="宋体" w:asciiTheme="majorEastAsia" w:hAnsiTheme="majorEastAsia" w:eastAsiaTheme="majorEastAsia"/>
              <w:spacing w:val="9"/>
              <w:sz w:val="24"/>
              <w:szCs w:val="24"/>
            </w:rPr>
            <w:t>件</w:t>
          </w:r>
          <w:r>
            <w:rPr>
              <w:rStyle w:val="25"/>
              <w:rFonts w:hint="eastAsia" w:cs="黑体" w:asciiTheme="majorEastAsia" w:hAnsiTheme="majorEastAsia" w:eastAsiaTheme="majorEastAsia"/>
              <w:spacing w:val="9"/>
              <w:sz w:val="24"/>
              <w:szCs w:val="24"/>
            </w:rPr>
            <w:t>：</w:t>
          </w:r>
          <w:r>
            <w:rPr>
              <w:rStyle w:val="25"/>
              <w:rFonts w:hint="eastAsia" w:cs="宋体" w:asciiTheme="majorEastAsia" w:hAnsiTheme="majorEastAsia" w:eastAsiaTheme="majorEastAsia"/>
              <w:spacing w:val="9"/>
              <w:sz w:val="24"/>
              <w:szCs w:val="24"/>
            </w:rPr>
            <w:t>主要设备材料备选品牌一览表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_Toc109826689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6"/>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"_Toc109826690" </w:instrText>
          </w:r>
          <w:r>
            <w:fldChar w:fldCharType="separate"/>
          </w:r>
          <w:r>
            <w:rPr>
              <w:rStyle w:val="25"/>
              <w:rFonts w:hint="eastAsia" w:cs="黑体" w:asciiTheme="majorEastAsia" w:hAnsiTheme="majorEastAsia" w:eastAsiaTheme="majorEastAsia"/>
              <w:spacing w:val="7"/>
              <w:sz w:val="24"/>
              <w:szCs w:val="24"/>
            </w:rPr>
            <w:t>第</w:t>
          </w:r>
          <w:r>
            <w:rPr>
              <w:rStyle w:val="25"/>
              <w:rFonts w:hint="eastAsia" w:cs="黑体" w:asciiTheme="majorEastAsia" w:hAnsiTheme="majorEastAsia" w:eastAsiaTheme="majorEastAsia"/>
              <w:spacing w:val="5"/>
              <w:sz w:val="24"/>
              <w:szCs w:val="24"/>
            </w:rPr>
            <w:t>四卷</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_Toc109826690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87</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"_Toc109826691" </w:instrText>
          </w:r>
          <w:r>
            <w:fldChar w:fldCharType="separate"/>
          </w:r>
          <w:r>
            <w:rPr>
              <w:rStyle w:val="25"/>
              <w:rFonts w:hint="eastAsia" w:cs="宋体" w:asciiTheme="majorEastAsia" w:hAnsiTheme="majorEastAsia" w:eastAsiaTheme="majorEastAsia"/>
              <w:spacing w:val="8"/>
              <w:sz w:val="24"/>
              <w:szCs w:val="24"/>
            </w:rPr>
            <w:t>第八章</w:t>
          </w:r>
          <w:r>
            <w:rPr>
              <w:rStyle w:val="25"/>
              <w:rFonts w:cs="黑体" w:asciiTheme="majorEastAsia" w:hAnsiTheme="majorEastAsia" w:eastAsiaTheme="majorEastAsia"/>
              <w:spacing w:val="8"/>
              <w:sz w:val="24"/>
              <w:szCs w:val="24"/>
            </w:rPr>
            <w:t xml:space="preserve">  </w:t>
          </w:r>
          <w:r>
            <w:rPr>
              <w:rStyle w:val="25"/>
              <w:rFonts w:hint="eastAsia" w:cs="宋体" w:asciiTheme="majorEastAsia" w:hAnsiTheme="majorEastAsia" w:eastAsiaTheme="majorEastAsia"/>
              <w:spacing w:val="8"/>
              <w:sz w:val="24"/>
              <w:szCs w:val="24"/>
            </w:rPr>
            <w:t>投标文件格</w:t>
          </w:r>
          <w:r>
            <w:rPr>
              <w:rStyle w:val="25"/>
              <w:rFonts w:hint="eastAsia" w:cs="宋体" w:asciiTheme="majorEastAsia" w:hAnsiTheme="majorEastAsia" w:eastAsiaTheme="majorEastAsia"/>
              <w:spacing w:val="6"/>
              <w:sz w:val="24"/>
              <w:szCs w:val="24"/>
            </w:rPr>
            <w:t>式</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87</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6"/>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"_Toc109826692" </w:instrText>
          </w:r>
          <w:r>
            <w:fldChar w:fldCharType="separate"/>
          </w:r>
          <w:r>
            <w:rPr>
              <w:rStyle w:val="25"/>
              <w:rFonts w:hint="eastAsia" w:asciiTheme="majorEastAsia" w:hAnsiTheme="majorEastAsia" w:eastAsiaTheme="majorEastAsia"/>
              <w:sz w:val="24"/>
              <w:szCs w:val="24"/>
            </w:rPr>
            <w:t>一、商</w:t>
          </w:r>
          <w:r>
            <w:rPr>
              <w:rStyle w:val="25"/>
              <w:rFonts w:asciiTheme="majorEastAsia" w:hAnsiTheme="majorEastAsia" w:eastAsiaTheme="majorEastAsia"/>
              <w:sz w:val="24"/>
              <w:szCs w:val="24"/>
            </w:rPr>
            <w:t xml:space="preserve">  </w:t>
          </w:r>
          <w:r>
            <w:rPr>
              <w:rStyle w:val="25"/>
              <w:rFonts w:hint="eastAsia" w:asciiTheme="majorEastAsia" w:hAnsiTheme="majorEastAsia" w:eastAsiaTheme="majorEastAsia"/>
              <w:sz w:val="24"/>
              <w:szCs w:val="24"/>
            </w:rPr>
            <w:t>务</w:t>
          </w:r>
          <w:r>
            <w:rPr>
              <w:rStyle w:val="25"/>
              <w:rFonts w:asciiTheme="majorEastAsia" w:hAnsiTheme="majorEastAsia" w:eastAsiaTheme="majorEastAsia"/>
              <w:sz w:val="24"/>
              <w:szCs w:val="24"/>
            </w:rPr>
            <w:t xml:space="preserve">  </w:t>
          </w:r>
          <w:r>
            <w:rPr>
              <w:rStyle w:val="25"/>
              <w:rFonts w:hint="eastAsia" w:asciiTheme="majorEastAsia" w:hAnsiTheme="majorEastAsia" w:eastAsiaTheme="majorEastAsia"/>
              <w:sz w:val="24"/>
              <w:szCs w:val="24"/>
            </w:rPr>
            <w:t>标</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"_Toc109826693" </w:instrText>
          </w:r>
          <w:r>
            <w:fldChar w:fldCharType="separate"/>
          </w:r>
          <w:r>
            <w:rPr>
              <w:rStyle w:val="25"/>
              <w:rFonts w:hint="eastAsia" w:cs="宋体" w:asciiTheme="majorEastAsia" w:hAnsiTheme="majorEastAsia" w:eastAsiaTheme="majorEastAsia"/>
              <w:sz w:val="24"/>
              <w:szCs w:val="24"/>
            </w:rPr>
            <w:t>封面</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_Toc109826693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89</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"_Toc109826694" </w:instrText>
          </w:r>
          <w:r>
            <w:fldChar w:fldCharType="separate"/>
          </w:r>
          <w:r>
            <w:rPr>
              <w:rStyle w:val="25"/>
              <w:rFonts w:hint="eastAsia" w:cs="宋体" w:asciiTheme="majorEastAsia" w:hAnsiTheme="majorEastAsia" w:eastAsiaTheme="majorEastAsia"/>
              <w:sz w:val="24"/>
              <w:szCs w:val="24"/>
            </w:rPr>
            <w:t>一、项目负责人简历表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91</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"_Toc109826695" </w:instrText>
          </w:r>
          <w:r>
            <w:fldChar w:fldCharType="separate"/>
          </w:r>
          <w:r>
            <w:rPr>
              <w:rStyle w:val="25"/>
              <w:rFonts w:hint="eastAsia" w:cs="宋体" w:asciiTheme="majorEastAsia" w:hAnsiTheme="majorEastAsia" w:eastAsiaTheme="majorEastAsia"/>
              <w:sz w:val="24"/>
              <w:szCs w:val="24"/>
            </w:rPr>
            <w:t>二、项目技术负责人简历表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_Toc109826695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92</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"_Toc109826696" </w:instrText>
          </w:r>
          <w:r>
            <w:fldChar w:fldCharType="separate"/>
          </w:r>
          <w:r>
            <w:rPr>
              <w:rStyle w:val="25"/>
              <w:rFonts w:hint="eastAsia" w:cs="宋体" w:asciiTheme="majorEastAsia" w:hAnsiTheme="majorEastAsia" w:eastAsiaTheme="majorEastAsia"/>
              <w:sz w:val="24"/>
              <w:szCs w:val="24"/>
            </w:rPr>
            <w:t>三、主要施工机械设备表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_Toc109826696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93</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"_Toc109826697" </w:instrText>
          </w:r>
          <w:r>
            <w:fldChar w:fldCharType="separate"/>
          </w:r>
          <w:r>
            <w:rPr>
              <w:rStyle w:val="25"/>
              <w:rFonts w:hint="eastAsia" w:cs="宋体" w:asciiTheme="majorEastAsia" w:hAnsiTheme="majorEastAsia" w:eastAsiaTheme="majorEastAsia"/>
              <w:sz w:val="24"/>
              <w:szCs w:val="24"/>
            </w:rPr>
            <w:t>四、台州市建设工程投标人资格自查表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_Toc109826697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94</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"_Toc109826698" </w:instrText>
          </w:r>
          <w:r>
            <w:fldChar w:fldCharType="separate"/>
          </w:r>
          <w:r>
            <w:rPr>
              <w:rStyle w:val="25"/>
              <w:rFonts w:hint="eastAsia" w:cs="宋体" w:asciiTheme="majorEastAsia" w:hAnsiTheme="majorEastAsia" w:eastAsiaTheme="majorEastAsia"/>
              <w:sz w:val="24"/>
              <w:szCs w:val="24"/>
            </w:rPr>
            <w:t>五、台州市建设工程投标项目负责人资格自查表</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_Toc109826698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95</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"_Toc109826699" </w:instrText>
          </w:r>
          <w:r>
            <w:fldChar w:fldCharType="separate"/>
          </w:r>
          <w:r>
            <w:rPr>
              <w:rStyle w:val="25"/>
              <w:rFonts w:hint="eastAsia" w:cs="宋体" w:asciiTheme="majorEastAsia" w:hAnsiTheme="majorEastAsia" w:eastAsiaTheme="majorEastAsia"/>
              <w:sz w:val="24"/>
              <w:szCs w:val="24"/>
            </w:rPr>
            <w:t>六、台州市建设工程诚信投标承诺书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_Toc109826699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96</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"_Toc109826700" </w:instrText>
          </w:r>
          <w:r>
            <w:fldChar w:fldCharType="separate"/>
          </w:r>
          <w:r>
            <w:rPr>
              <w:rStyle w:val="25"/>
              <w:rFonts w:hint="eastAsia" w:cs="宋体" w:asciiTheme="majorEastAsia" w:hAnsiTheme="majorEastAsia" w:eastAsiaTheme="majorEastAsia"/>
              <w:sz w:val="24"/>
              <w:szCs w:val="24"/>
            </w:rPr>
            <w:t>七、台州市建设工程安全生产任职资格承诺书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_Toc109826700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97</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stheme="minorBidi"/>
              <w:snapToGrid/>
              <w:color w:val="auto"/>
              <w:kern w:val="2"/>
              <w:sz w:val="24"/>
              <w:szCs w:val="24"/>
            </w:rPr>
          </w:pPr>
          <w:r>
            <w:fldChar w:fldCharType="begin"/>
          </w:r>
          <w:r>
            <w:instrText xml:space="preserve"> HYPERLINK \l "_Toc109826701" </w:instrText>
          </w:r>
          <w:r>
            <w:fldChar w:fldCharType="separate"/>
          </w:r>
          <w:r>
            <w:rPr>
              <w:rStyle w:val="25"/>
              <w:rFonts w:hint="eastAsia" w:cs="宋体" w:asciiTheme="majorEastAsia" w:hAnsiTheme="majorEastAsia" w:eastAsiaTheme="majorEastAsia"/>
              <w:sz w:val="24"/>
              <w:szCs w:val="24"/>
            </w:rPr>
            <w:t>八、法定代表人授权委托书</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_Toc109826701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98</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18"/>
            <w:tabs>
              <w:tab w:val="right" w:leader="dot" w:pos="9735"/>
            </w:tabs>
            <w:rPr>
              <w:rFonts w:asciiTheme="majorEastAsia" w:hAnsiTheme="majorEastAsia" w:eastAsiaTheme="majorEastAsia"/>
              <w:color w:val="333333"/>
              <w:sz w:val="24"/>
              <w:szCs w:val="24"/>
            </w:rPr>
          </w:pPr>
          <w:r>
            <w:fldChar w:fldCharType="begin"/>
          </w:r>
          <w:r>
            <w:instrText xml:space="preserve"> HYPERLINK \l "_Toc109826702" </w:instrText>
          </w:r>
          <w:r>
            <w:fldChar w:fldCharType="separate"/>
          </w:r>
          <w:r>
            <w:rPr>
              <w:rStyle w:val="25"/>
              <w:rFonts w:hint="eastAsia" w:cs="宋体" w:asciiTheme="majorEastAsia" w:hAnsiTheme="majorEastAsia" w:eastAsiaTheme="majorEastAsia"/>
              <w:sz w:val="24"/>
              <w:szCs w:val="24"/>
            </w:rPr>
            <w:t>九、法定代表人身份证明</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_Toc109826702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99</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p>
        <w:p>
          <w:pPr>
            <w:pStyle w:val="2"/>
            <w:ind w:firstLine="480" w:firstLineChars="200"/>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rPr>
            <w:t>十、停工证明</w:t>
          </w:r>
          <w:r>
            <w:rPr>
              <w:rFonts w:hint="eastAsia" w:asciiTheme="majorEastAsia" w:hAnsiTheme="majorEastAsia" w:eastAsiaTheme="majorEastAsia"/>
              <w:sz w:val="24"/>
              <w:szCs w:val="24"/>
              <w:lang w:val="en-US" w:eastAsia="zh-CN"/>
            </w:rPr>
            <w:t>..............................................................</w:t>
          </w:r>
          <w:r>
            <w:rPr>
              <w:rFonts w:hint="eastAsia" w:asciiTheme="majorEastAsia" w:hAnsiTheme="majorEastAsia" w:eastAsiaTheme="majorEastAsia"/>
              <w:sz w:val="24"/>
              <w:szCs w:val="24"/>
            </w:rPr>
            <w:t>10</w:t>
          </w:r>
          <w:r>
            <w:rPr>
              <w:rFonts w:hint="eastAsia" w:asciiTheme="majorEastAsia" w:hAnsiTheme="majorEastAsia" w:eastAsiaTheme="majorEastAsia"/>
              <w:sz w:val="24"/>
              <w:szCs w:val="24"/>
              <w:lang w:val="en-US" w:eastAsia="zh-CN"/>
            </w:rPr>
            <w:t>0</w:t>
          </w:r>
        </w:p>
        <w:p>
          <w:pPr>
            <w:pStyle w:val="3"/>
            <w:ind w:firstLine="480" w:firstLineChars="200"/>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rPr>
            <w:t>十一、未验收证明</w:t>
          </w:r>
          <w:r>
            <w:rPr>
              <w:rFonts w:hint="eastAsia" w:asciiTheme="majorEastAsia" w:hAnsiTheme="majorEastAsia" w:eastAsiaTheme="majorEastAsia"/>
              <w:sz w:val="24"/>
              <w:szCs w:val="24"/>
              <w:lang w:val="en-US" w:eastAsia="zh-CN"/>
            </w:rPr>
            <w:t>..........................................................101</w:t>
          </w:r>
        </w:p>
        <w:p>
          <w:pPr>
            <w:ind w:firstLine="480" w:firstLineChars="200"/>
            <w:rPr>
              <w:rFonts w:hint="default"/>
              <w:lang w:val="en-US"/>
            </w:rPr>
          </w:pPr>
          <w:r>
            <w:rPr>
              <w:rFonts w:hint="eastAsia" w:asciiTheme="majorEastAsia" w:hAnsiTheme="majorEastAsia" w:eastAsiaTheme="majorEastAsia"/>
              <w:sz w:val="24"/>
              <w:szCs w:val="24"/>
              <w:lang w:val="en-US" w:eastAsia="zh-CN"/>
            </w:rPr>
            <w:t>十二、产品承诺书..........................................................102</w:t>
          </w:r>
        </w:p>
        <w:p>
          <w:pPr>
            <w:pStyle w:val="18"/>
            <w:tabs>
              <w:tab w:val="right" w:leader="dot" w:pos="9735"/>
            </w:tabs>
            <w:ind w:firstLine="210"/>
            <w:rPr>
              <w:rFonts w:hint="eastAsia" w:asciiTheme="majorEastAsia" w:hAnsiTheme="majorEastAsia" w:eastAsiaTheme="majorEastAsia" w:cstheme="minorBidi"/>
              <w:snapToGrid/>
              <w:color w:val="auto"/>
              <w:kern w:val="2"/>
              <w:sz w:val="24"/>
              <w:szCs w:val="24"/>
              <w:lang w:val="en-US" w:eastAsia="zh-CN"/>
            </w:rPr>
          </w:pPr>
          <w:r>
            <w:fldChar w:fldCharType="begin"/>
          </w:r>
          <w:r>
            <w:instrText xml:space="preserve"> HYPERLINK \l "_Toc109826704" </w:instrText>
          </w:r>
          <w:r>
            <w:fldChar w:fldCharType="separate"/>
          </w:r>
          <w:r>
            <w:rPr>
              <w:rStyle w:val="25"/>
              <w:rFonts w:hint="eastAsia" w:cs="宋体" w:asciiTheme="majorEastAsia" w:hAnsiTheme="majorEastAsia" w:eastAsiaTheme="majorEastAsia"/>
              <w:sz w:val="24"/>
              <w:szCs w:val="24"/>
            </w:rPr>
            <w:t>封面</w:t>
          </w:r>
          <w:r>
            <w:rPr>
              <w:rFonts w:asciiTheme="majorEastAsia" w:hAnsiTheme="majorEastAsia" w:eastAsiaTheme="majorEastAsia"/>
              <w:sz w:val="24"/>
              <w:szCs w:val="24"/>
            </w:rPr>
            <w:tab/>
          </w:r>
          <w:r>
            <w:rPr>
              <w:rFonts w:asciiTheme="majorEastAsia" w:hAnsiTheme="majorEastAsia" w:eastAsiaTheme="majorEastAsia"/>
              <w:sz w:val="24"/>
              <w:szCs w:val="24"/>
            </w:rPr>
            <w:fldChar w:fldCharType="begin"/>
          </w:r>
          <w:r>
            <w:rPr>
              <w:rFonts w:asciiTheme="majorEastAsia" w:hAnsiTheme="majorEastAsia" w:eastAsiaTheme="majorEastAsia"/>
              <w:sz w:val="24"/>
              <w:szCs w:val="24"/>
            </w:rPr>
            <w:instrText xml:space="preserve"> PAGEREF _Toc109826704 \h </w:instrText>
          </w:r>
          <w:r>
            <w:rPr>
              <w:rFonts w:asciiTheme="majorEastAsia" w:hAnsiTheme="majorEastAsia" w:eastAsiaTheme="majorEastAsia"/>
              <w:sz w:val="24"/>
              <w:szCs w:val="24"/>
            </w:rPr>
            <w:fldChar w:fldCharType="separate"/>
          </w:r>
          <w:r>
            <w:rPr>
              <w:rFonts w:asciiTheme="majorEastAsia" w:hAnsiTheme="majorEastAsia" w:eastAsiaTheme="majorEastAsia"/>
              <w:sz w:val="24"/>
              <w:szCs w:val="24"/>
            </w:rPr>
            <w:t>1</w:t>
          </w:r>
          <w:r>
            <w:rPr>
              <w:rFonts w:hint="eastAsia" w:asciiTheme="majorEastAsia" w:hAnsiTheme="majorEastAsia" w:eastAsiaTheme="majorEastAsia"/>
              <w:sz w:val="24"/>
              <w:szCs w:val="24"/>
              <w:lang w:val="en-US" w:eastAsia="zh-CN"/>
            </w:rPr>
            <w:t>0</w:t>
          </w:r>
          <w:r>
            <w:rPr>
              <w:rFonts w:asciiTheme="majorEastAsia" w:hAnsiTheme="majorEastAsia" w:eastAsiaTheme="majorEastAsia"/>
              <w:sz w:val="24"/>
              <w:szCs w:val="24"/>
            </w:rPr>
            <w:fldChar w:fldCharType="end"/>
          </w:r>
          <w:r>
            <w:rPr>
              <w:rFonts w:asciiTheme="majorEastAsia" w:hAnsiTheme="majorEastAsia" w:eastAsiaTheme="majorEastAsia"/>
              <w:sz w:val="24"/>
              <w:szCs w:val="24"/>
            </w:rPr>
            <w:fldChar w:fldCharType="end"/>
          </w:r>
          <w:r>
            <w:rPr>
              <w:rFonts w:hint="eastAsia" w:asciiTheme="majorEastAsia" w:hAnsiTheme="majorEastAsia" w:eastAsiaTheme="majorEastAsia"/>
              <w:sz w:val="24"/>
              <w:szCs w:val="24"/>
              <w:lang w:val="en-US" w:eastAsia="zh-CN"/>
            </w:rPr>
            <w:t>3</w:t>
          </w:r>
        </w:p>
        <w:p>
          <w:pPr>
            <w:ind w:firstLine="723" w:firstLineChars="300"/>
          </w:pPr>
          <w:r>
            <w:rPr>
              <w:rFonts w:asciiTheme="majorEastAsia" w:hAnsiTheme="majorEastAsia" w:eastAsiaTheme="majorEastAsia"/>
              <w:b/>
              <w:bCs/>
              <w:sz w:val="24"/>
              <w:szCs w:val="24"/>
              <w:lang w:val="zh-CN"/>
            </w:rPr>
            <w:fldChar w:fldCharType="end"/>
          </w:r>
          <w:r>
            <w:rPr>
              <w:b/>
              <w:bCs/>
              <w:lang w:val="zh-CN"/>
            </w:rPr>
            <w:t xml:space="preserve"> </w:t>
          </w:r>
        </w:p>
      </w:sdtContent>
    </w:sdt>
    <w:p>
      <w:pPr>
        <w:pStyle w:val="2"/>
        <w:rPr>
          <w:rFonts w:eastAsiaTheme="minorEastAsia"/>
        </w:rPr>
      </w:pPr>
    </w:p>
    <w:p>
      <w:pPr>
        <w:pStyle w:val="2"/>
        <w:rPr>
          <w:rFonts w:eastAsiaTheme="minorEastAsia"/>
        </w:rPr>
      </w:pPr>
    </w:p>
    <w:p>
      <w:pPr>
        <w:pStyle w:val="3"/>
        <w:ind w:firstLine="210"/>
        <w:rPr>
          <w:rFonts w:eastAsiaTheme="minorEastAsia"/>
        </w:rPr>
        <w:sectPr>
          <w:pgSz w:w="11905" w:h="16837"/>
          <w:pgMar w:top="1440" w:right="1080" w:bottom="1440" w:left="1080" w:header="0" w:footer="850" w:gutter="0"/>
          <w:pgNumType w:chapStyle="1"/>
          <w:cols w:space="720" w:num="1"/>
          <w:docGrid w:linePitch="286" w:charSpace="0"/>
        </w:sectPr>
      </w:pPr>
      <w:bookmarkStart w:id="803" w:name="_GoBack"/>
      <w:bookmarkEnd w:id="803"/>
    </w:p>
    <w:p>
      <w:pPr>
        <w:spacing w:line="320" w:lineRule="exact"/>
        <w:jc w:val="center"/>
        <w:rPr>
          <w:rFonts w:cs="宋体" w:asciiTheme="minorEastAsia" w:hAnsiTheme="minorEastAsia" w:eastAsiaTheme="minorEastAsia"/>
          <w:b/>
          <w:bCs/>
        </w:rPr>
      </w:pPr>
      <w:r>
        <w:rPr>
          <w:rFonts w:hint="eastAsia" w:cs="宋体" w:asciiTheme="minorEastAsia" w:hAnsiTheme="minorEastAsia" w:eastAsiaTheme="minorEastAsia"/>
          <w:b/>
          <w:bCs/>
        </w:rPr>
        <w:t>三门县公共资源交易不见面开标大厅试运行投标人须知</w:t>
      </w:r>
    </w:p>
    <w:p>
      <w:pPr>
        <w:pStyle w:val="2"/>
        <w:rPr>
          <w:rFonts w:asciiTheme="minorEastAsia" w:hAnsiTheme="minorEastAsia" w:eastAsiaTheme="minorEastAsia"/>
        </w:rPr>
      </w:pP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1、三门县公共资源交易不见面开标大厅（以下简称：不见面开标系统）登录方式：插入CA锁并登录交易系统—业务办理—开评标—进入不见面开标系统。</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2、不见面开标系统对投标人终端要求：详见《三门县不见面开标大厅投标人操作手册》。</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特别提示：IE浏览器需安装插件，请按提示自行安装相关插件并按要求进行相关插件的设置。</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不见面开标系统需在“三门县工程建设电子交易平台”注册，未注册的请参照《三门县公共资源电子交易平台企业网上注册登记操作示意卡》自行网上注册并核验通过，见三门县公共资源交易网“下载中心”。</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4、不见面开标系统需使用数字证书（CA）操作，未取得数字证书（CA）的，请前往“三门县公共资源交易专用数字证书用户自助申报系统”自助办理（网址：http://www.tseal.cn/tcloud/smxztb。</w:t>
      </w:r>
    </w:p>
    <w:p>
      <w:pPr>
        <w:spacing w:line="380" w:lineRule="exact"/>
        <w:ind w:firstLine="412" w:firstLineChars="200"/>
        <w:rPr>
          <w:rFonts w:cs="宋体" w:asciiTheme="minorEastAsia" w:hAnsiTheme="minorEastAsia" w:eastAsiaTheme="minorEastAsia"/>
        </w:rPr>
      </w:pPr>
      <w:r>
        <w:rPr>
          <w:rFonts w:hint="eastAsia" w:cs="宋体" w:asciiTheme="minorEastAsia" w:hAnsiTheme="minorEastAsia" w:eastAsiaTheme="minorEastAsia"/>
          <w:spacing w:val="-2"/>
        </w:rPr>
        <w:t>5、不见面开标项目投标文件均用专用招投标工具软件编制，软件下载地址见网站下载中心，</w:t>
      </w:r>
      <w:r>
        <w:rPr>
          <w:rFonts w:hint="eastAsia" w:cs="宋体" w:asciiTheme="minorEastAsia" w:hAnsiTheme="minorEastAsia" w:eastAsiaTheme="minorEastAsia"/>
        </w:rPr>
        <w:t>投标工具锁申请地址：</w:t>
      </w:r>
      <w:r>
        <w:fldChar w:fldCharType="begin"/>
      </w:r>
      <w:r>
        <w:instrText xml:space="preserve"> HYPERLINK "http://commkey.pminfo.cn/RegisterRockey/Login/Login.aspx" </w:instrText>
      </w:r>
      <w:r>
        <w:fldChar w:fldCharType="separate"/>
      </w:r>
      <w:r>
        <w:rPr>
          <w:rStyle w:val="25"/>
          <w:rFonts w:hint="eastAsia" w:cs="宋体" w:asciiTheme="minorEastAsia" w:hAnsiTheme="minorEastAsia" w:eastAsiaTheme="minorEastAsia"/>
          <w:color w:val="auto"/>
        </w:rPr>
        <w:t>http://commkey.pminfo.cn/RegisterRockey/Login/Login.aspx</w:t>
      </w:r>
      <w:r>
        <w:rPr>
          <w:rStyle w:val="25"/>
          <w:rFonts w:hint="eastAsia" w:cs="宋体" w:asciiTheme="minorEastAsia" w:hAnsiTheme="minorEastAsia" w:eastAsiaTheme="minorEastAsia"/>
          <w:color w:val="auto"/>
        </w:rPr>
        <w:fldChar w:fldCharType="end"/>
      </w:r>
      <w:r>
        <w:rPr>
          <w:rFonts w:hint="eastAsia" w:cs="宋体" w:asciiTheme="minorEastAsia" w:hAnsiTheme="minorEastAsia" w:eastAsiaTheme="minorEastAsia"/>
          <w:spacing w:val="-2"/>
        </w:rPr>
        <w:t>。</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6、投开标当日，投标人不必抵达开标现场，仅需在任意地点通过三门县公共资源交易不见面开标大厅参加开标会议，并根据需要使用开标系统与现场招标人进行互动交流、澄清、质疑等活动。未在投标文件递交截止时间之前进行在线签到或未能在开标会议区内全程参与交互的，视为放弃交互和放弃对开评标全过程提疑的权利，投标人将无法进行解密、唱标、评审结果查看等操作，并承担由此导致的一切后果。</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7、投标文件递交截止时间后，主持人将在系统内发出投标文件解密的指令，投标人在各自地点按规定时间自行实施远程解密（投标人远程解密方法详见操作手册），投标人解密需在招标代理设置的规定时间之内完成。因投标人网络与电源不稳定、未按操作手册要求配置软硬件、解密锁发生故障或用错、故意不在要求时限内完成解密等自身原因，导致投标文件在规定时间内未能解密、解密失败或解密超时，视为投标人放弃投标；因招标人原因或网上招投标平台发生故障等，导致无法按时完成投标文件解密或开、评标工作无法进行的，可根据实际情况相应延迟解密时间或调整开、评标时间。</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8、开评标全过程中，各投标人参与远程交互的授权委托人或法人代表应始终为同一个人，中途不得更换，在解密、唱标、提疑、传送文件等特殊情况下需要交互时，投标人一端参与交互的人员将均被视为是投标人的授权委托人或法人代表，投标人不得以不承认交互人员的资格或身份等为借口抵赖推脱，投标人自行承担随意更换人员所导致的一切后果。</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重要事项说明：</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（1）开标项目的时间均以国家授时中心发布的时间为准。</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（2）投标文件递交截止时间前，各投标人的授权委托人或法人代表应提前进入不见面交易系统进行在线签到，</w:t>
      </w:r>
      <w:r>
        <w:rPr>
          <w:rFonts w:hint="eastAsia" w:cs="宋体" w:asciiTheme="minorEastAsia" w:hAnsiTheme="minorEastAsia" w:eastAsiaTheme="minorEastAsia"/>
          <w:b/>
        </w:rPr>
        <w:t>未完成签到的，将无法解密投标文件，并视为放弃投标</w:t>
      </w:r>
      <w:r>
        <w:rPr>
          <w:rFonts w:hint="eastAsia" w:cs="宋体" w:asciiTheme="minorEastAsia" w:hAnsiTheme="minorEastAsia" w:eastAsiaTheme="minorEastAsia"/>
        </w:rPr>
        <w:t>。</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（3）投标人未在规定时间内解密、解密失败或解密超时，</w:t>
      </w:r>
      <w:r>
        <w:rPr>
          <w:rFonts w:hint="eastAsia" w:cs="宋体" w:asciiTheme="minorEastAsia" w:hAnsiTheme="minorEastAsia" w:eastAsiaTheme="minorEastAsia"/>
          <w:b/>
        </w:rPr>
        <w:t>视为放弃投标</w:t>
      </w:r>
      <w:r>
        <w:rPr>
          <w:rFonts w:hint="eastAsia" w:cs="宋体" w:asciiTheme="minorEastAsia" w:hAnsiTheme="minorEastAsia" w:eastAsiaTheme="minorEastAsia"/>
        </w:rPr>
        <w:t>。</w:t>
      </w:r>
    </w:p>
    <w:p>
      <w:pPr>
        <w:spacing w:line="38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（4）若投标人已申请多把CA锁，请注意使用差别，确保制作上传加密投标文件和开标解密时使用的CA锁是一致的，否则造成解密失败的，由投标人负责。</w:t>
      </w:r>
    </w:p>
    <w:p>
      <w:pPr>
        <w:spacing w:line="380" w:lineRule="exact"/>
        <w:ind w:firstLine="420" w:firstLineChars="200"/>
        <w:rPr>
          <w:rFonts w:ascii="宋体" w:hAnsi="宋体" w:cs="宋体" w:eastAsiaTheme="minorEastAsia"/>
        </w:rPr>
      </w:pPr>
      <w:r>
        <w:rPr>
          <w:rFonts w:hint="eastAsia" w:cs="宋体" w:asciiTheme="minorEastAsia" w:hAnsiTheme="minorEastAsia" w:eastAsiaTheme="minorEastAsia"/>
        </w:rPr>
        <w:t>（5）如有疑问，请咨询品茗公司技术服务电话，技术服务电话：章宏涛13968512856。QQ“三门交易平台交流群”（群号：146117595），进行业务咨询。此群也将作为不见面开标的备用远程交互群。</w:t>
      </w:r>
    </w:p>
    <w:p>
      <w:pPr>
        <w:pStyle w:val="2"/>
        <w:tabs>
          <w:tab w:val="left" w:pos="6312"/>
        </w:tabs>
        <w:rPr>
          <w:rFonts w:eastAsiaTheme="minorEastAsia"/>
        </w:rPr>
      </w:pPr>
      <w:r>
        <w:rPr>
          <w:rFonts w:eastAsiaTheme="minorEastAsia"/>
        </w:rPr>
        <w:tab/>
      </w:r>
      <w:bookmarkStart w:id="0" w:name="_bookmark1"/>
      <w:bookmarkEnd w:id="0"/>
    </w:p>
    <w:p>
      <w:pPr>
        <w:rPr>
          <w:rFonts w:ascii="黑体" w:hAnsi="黑体" w:eastAsia="黑体" w:cs="黑体"/>
          <w:spacing w:val="9"/>
          <w:sz w:val="31"/>
          <w:szCs w:val="31"/>
        </w:rPr>
        <w:sectPr>
          <w:pgSz w:w="11905" w:h="16837"/>
          <w:pgMar w:top="1440" w:right="1080" w:bottom="1440" w:left="1080" w:header="0" w:footer="850" w:gutter="0"/>
          <w:pgNumType w:chapStyle="1"/>
          <w:cols w:space="720" w:num="1"/>
          <w:docGrid w:linePitch="286" w:charSpace="0"/>
        </w:sectPr>
      </w:pPr>
    </w:p>
    <w:p>
      <w:pPr>
        <w:spacing w:before="100" w:line="227" w:lineRule="auto"/>
        <w:jc w:val="center"/>
        <w:outlineLvl w:val="0"/>
        <w:rPr>
          <w:rFonts w:ascii="黑体" w:hAnsi="黑体" w:eastAsia="黑体" w:cs="黑体"/>
          <w:b/>
          <w:bCs/>
          <w:sz w:val="52"/>
          <w:szCs w:val="52"/>
        </w:rPr>
      </w:pPr>
      <w:bookmarkStart w:id="1" w:name="_Toc109826641"/>
      <w:r>
        <w:rPr>
          <w:rFonts w:ascii="黑体" w:hAnsi="黑体" w:eastAsia="黑体" w:cs="黑体"/>
          <w:b/>
          <w:bCs/>
          <w:spacing w:val="9"/>
          <w:sz w:val="52"/>
          <w:szCs w:val="52"/>
        </w:rPr>
        <w:t>第</w:t>
      </w:r>
      <w:r>
        <w:rPr>
          <w:rFonts w:ascii="黑体" w:hAnsi="黑体" w:eastAsia="黑体" w:cs="黑体"/>
          <w:b/>
          <w:bCs/>
          <w:spacing w:val="8"/>
          <w:sz w:val="52"/>
          <w:szCs w:val="52"/>
        </w:rPr>
        <w:t>一卷</w:t>
      </w:r>
      <w:bookmarkEnd w:id="1"/>
    </w:p>
    <w:p>
      <w:pPr>
        <w:pStyle w:val="5"/>
        <w:jc w:val="center"/>
        <w:rPr>
          <w:rFonts w:ascii="黑体" w:hAnsi="黑体" w:cs="黑体"/>
          <w:sz w:val="31"/>
          <w:szCs w:val="31"/>
        </w:rPr>
      </w:pPr>
      <w:bookmarkStart w:id="2" w:name="_bookmark2"/>
      <w:bookmarkEnd w:id="2"/>
      <w:bookmarkStart w:id="3" w:name="_bookmark3"/>
      <w:bookmarkEnd w:id="3"/>
      <w:bookmarkStart w:id="4" w:name="_Toc109826642"/>
      <w:r>
        <w:rPr>
          <w:rFonts w:ascii="黑体" w:hAnsi="黑体" w:cs="黑体"/>
          <w:spacing w:val="9"/>
          <w:sz w:val="31"/>
          <w:szCs w:val="31"/>
        </w:rPr>
        <w:t>第</w:t>
      </w:r>
      <w:r>
        <w:rPr>
          <w:rFonts w:ascii="黑体" w:hAnsi="黑体" w:cs="黑体"/>
          <w:spacing w:val="7"/>
          <w:sz w:val="31"/>
          <w:szCs w:val="31"/>
        </w:rPr>
        <w:t>一章  招标公告</w:t>
      </w:r>
      <w:bookmarkEnd w:id="4"/>
    </w:p>
    <w:p>
      <w:pPr>
        <w:spacing w:line="440" w:lineRule="exact"/>
        <w:ind w:left="-141" w:leftChars="-67" w:right="-886" w:rightChars="-422"/>
        <w:rPr>
          <w:rStyle w:val="25"/>
          <w:rFonts w:cs="宋体" w:asciiTheme="minorEastAsia" w:hAnsiTheme="minorEastAsia" w:eastAsiaTheme="minorEastAsia"/>
        </w:rPr>
      </w:pPr>
      <w:r>
        <w:rPr>
          <w:rFonts w:hint="eastAsia" w:cs="宋体" w:asciiTheme="minorEastAsia" w:hAnsiTheme="minorEastAsia" w:eastAsiaTheme="minorEastAsia"/>
        </w:rPr>
        <w:t>详见三门县公共资源交易中心网上招标公告（网址：</w:t>
      </w:r>
      <w:r>
        <w:fldChar w:fldCharType="begin"/>
      </w:r>
      <w:r>
        <w:instrText xml:space="preserve"> HYPERLINK "http://www.sanmen.gov.cn/col/col1229610743/index.html）" </w:instrText>
      </w:r>
      <w:r>
        <w:fldChar w:fldCharType="separate"/>
      </w:r>
      <w:r>
        <w:rPr>
          <w:rStyle w:val="25"/>
          <w:rFonts w:asciiTheme="minorEastAsia" w:hAnsiTheme="minorEastAsia" w:eastAsiaTheme="minorEastAsia"/>
        </w:rPr>
        <w:t>http://www.sanmen.gov.cn/col/col1229610743/index.html</w:t>
      </w:r>
      <w:r>
        <w:rPr>
          <w:rStyle w:val="25"/>
          <w:rFonts w:hint="eastAsia" w:cs="宋体" w:asciiTheme="minorEastAsia" w:hAnsiTheme="minorEastAsia" w:eastAsiaTheme="minorEastAsia"/>
        </w:rPr>
        <w:t>）</w:t>
      </w:r>
      <w:r>
        <w:rPr>
          <w:rStyle w:val="25"/>
          <w:rFonts w:hint="eastAsia" w:cs="宋体" w:asciiTheme="minorEastAsia" w:hAnsiTheme="minorEastAsia" w:eastAsiaTheme="minorEastAsia"/>
        </w:rPr>
        <w:fldChar w:fldCharType="end"/>
      </w:r>
    </w:p>
    <w:p>
      <w:pPr>
        <w:pStyle w:val="2"/>
        <w:rPr>
          <w:rFonts w:asciiTheme="minorEastAsia" w:hAnsiTheme="minorEastAsia" w:eastAsiaTheme="minorEastAsia"/>
        </w:rPr>
      </w:pPr>
    </w:p>
    <w:p>
      <w:pPr>
        <w:spacing w:after="240" w:afterLines="100" w:line="360" w:lineRule="auto"/>
        <w:jc w:val="center"/>
        <w:rPr>
          <w:rFonts w:ascii="宋体" w:hAnsi="宋体" w:eastAsia="宋体" w:cs="微软雅黑"/>
          <w:b/>
          <w:bCs/>
          <w:spacing w:val="12"/>
          <w:sz w:val="32"/>
          <w:szCs w:val="32"/>
        </w:rPr>
      </w:pPr>
      <w:r>
        <w:rPr>
          <w:rFonts w:hint="eastAsia" w:ascii="宋体" w:hAnsi="宋体" w:eastAsia="宋体" w:cs="宋体"/>
          <w:b/>
          <w:bCs/>
          <w:spacing w:val="12"/>
          <w:sz w:val="32"/>
          <w:szCs w:val="32"/>
        </w:rPr>
        <w:t>三门县绿色智慧停车项目-道路停车位改造照明提升工程</w:t>
      </w:r>
    </w:p>
    <w:p>
      <w:pPr>
        <w:jc w:val="center"/>
        <w:rPr>
          <w:sz w:val="40"/>
          <w:szCs w:val="44"/>
        </w:rPr>
      </w:pPr>
      <w:r>
        <w:rPr>
          <w:rFonts w:hint="eastAsia"/>
          <w:sz w:val="40"/>
          <w:szCs w:val="44"/>
        </w:rPr>
        <w:t>招标公告</w:t>
      </w:r>
      <w:bookmarkStart w:id="5" w:name="_Toc426899859"/>
      <w:bookmarkStart w:id="6" w:name="_Toc448481021"/>
      <w:bookmarkStart w:id="7" w:name="_Toc222029467"/>
      <w:bookmarkStart w:id="8" w:name="_Toc144974484"/>
      <w:bookmarkStart w:id="9" w:name="_Toc265086084"/>
      <w:bookmarkStart w:id="10" w:name="_Toc168476033"/>
      <w:bookmarkStart w:id="11" w:name="_Toc272158570"/>
      <w:bookmarkStart w:id="12" w:name="_Toc222033818"/>
      <w:bookmarkStart w:id="13" w:name="_Toc222032636"/>
      <w:bookmarkStart w:id="14" w:name="_Toc222030969"/>
      <w:bookmarkStart w:id="15" w:name="_Toc221949934"/>
      <w:bookmarkStart w:id="16" w:name="_Toc229305327"/>
      <w:bookmarkStart w:id="17" w:name="_Toc168475630"/>
    </w:p>
    <w:p>
      <w:pPr>
        <w:pStyle w:val="8"/>
        <w:spacing w:line="360" w:lineRule="auto"/>
        <w:ind w:firstLine="0" w:firstLineChars="0"/>
        <w:jc w:val="left"/>
        <w:rPr>
          <w:rFonts w:eastAsia="黑体"/>
          <w:b/>
          <w:sz w:val="24"/>
        </w:rPr>
      </w:pPr>
      <w:r>
        <w:rPr>
          <w:rFonts w:eastAsia="黑体"/>
          <w:b/>
          <w:sz w:val="24"/>
        </w:rPr>
        <w:t>1</w:t>
      </w:r>
      <w:r>
        <w:rPr>
          <w:rFonts w:hint="eastAsia" w:eastAsia="黑体"/>
          <w:b/>
          <w:sz w:val="24"/>
        </w:rPr>
        <w:t>、</w:t>
      </w:r>
      <w:r>
        <w:rPr>
          <w:rFonts w:eastAsia="黑体"/>
          <w:b/>
          <w:sz w:val="24"/>
        </w:rPr>
        <w:t>招标条件</w:t>
      </w:r>
      <w:bookmarkEnd w:id="5"/>
      <w:bookmarkEnd w:id="6"/>
    </w:p>
    <w:p>
      <w:pPr>
        <w:adjustRightInd/>
        <w:snapToGrid/>
        <w:spacing w:line="360" w:lineRule="auto"/>
        <w:ind w:firstLine="420" w:firstLineChars="200"/>
        <w:rPr>
          <w:rFonts w:ascii="Times New Roman" w:hAnsi="Times New Roman" w:eastAsia="宋体"/>
        </w:rPr>
      </w:pPr>
      <w:bookmarkStart w:id="18" w:name="_Toc448481022"/>
      <w:bookmarkStart w:id="19" w:name="_Toc426899860"/>
      <w:r>
        <w:rPr>
          <w:rFonts w:hint="eastAsia" w:ascii="Times New Roman" w:hAnsi="Times New Roman" w:eastAsia="宋体"/>
        </w:rPr>
        <w:t>本招标项目</w:t>
      </w:r>
      <w:r>
        <w:rPr>
          <w:rFonts w:hint="eastAsia" w:ascii="宋体" w:hAnsi="宋体" w:eastAsia="宋体" w:cs="宋体"/>
          <w:u w:val="single"/>
        </w:rPr>
        <w:t>三门县绿色智慧停车项目-道路停车位改造照明提升工程</w:t>
      </w:r>
      <w:r>
        <w:rPr>
          <w:rFonts w:hint="eastAsia" w:ascii="Times New Roman" w:hAnsi="Times New Roman" w:eastAsia="宋体"/>
        </w:rPr>
        <w:t>已由三门县发展和改革局</w:t>
      </w:r>
      <w:r>
        <w:rPr>
          <w:rFonts w:hint="eastAsia" w:ascii="Times New Roman" w:hAnsi="Times New Roman" w:eastAsia="宋体"/>
          <w:u w:val="single"/>
        </w:rPr>
        <w:t xml:space="preserve"> </w:t>
      </w:r>
      <w:r>
        <w:rPr>
          <w:rFonts w:hint="eastAsia"/>
          <w:u w:val="single"/>
          <w:shd w:val="clear" w:color="auto" w:fill="FFFFFF"/>
        </w:rPr>
        <w:t>以备案形式代码 2</w:t>
      </w:r>
      <w:r>
        <w:rPr>
          <w:rFonts w:hint="eastAsia" w:eastAsiaTheme="minorEastAsia"/>
          <w:u w:val="single"/>
          <w:shd w:val="clear" w:color="auto" w:fill="FFFFFF"/>
        </w:rPr>
        <w:t>305</w:t>
      </w:r>
      <w:r>
        <w:rPr>
          <w:rFonts w:hint="eastAsia"/>
          <w:u w:val="single"/>
          <w:shd w:val="clear" w:color="auto" w:fill="FFFFFF"/>
        </w:rPr>
        <w:t>-331022-04-01-88</w:t>
      </w:r>
      <w:r>
        <w:rPr>
          <w:rFonts w:hint="eastAsia" w:eastAsiaTheme="minorEastAsia"/>
          <w:u w:val="single"/>
          <w:shd w:val="clear" w:color="auto" w:fill="FFFFFF"/>
        </w:rPr>
        <w:t>6948</w:t>
      </w:r>
      <w:r>
        <w:rPr>
          <w:rFonts w:hint="eastAsia"/>
          <w:u w:val="single"/>
          <w:shd w:val="clear" w:color="auto" w:fill="FFFFFF"/>
        </w:rPr>
        <w:t>号</w:t>
      </w:r>
      <w:r>
        <w:rPr>
          <w:rFonts w:hint="eastAsia" w:ascii="Times New Roman" w:hAnsi="Times New Roman" w:eastAsia="宋体"/>
        </w:rPr>
        <w:t>批准建设，建设资金来自于</w:t>
      </w:r>
      <w:r>
        <w:rPr>
          <w:rFonts w:hint="eastAsia" w:ascii="Times New Roman" w:hAnsi="Times New Roman" w:eastAsia="宋体"/>
          <w:u w:val="single"/>
        </w:rPr>
        <w:t>自筹</w:t>
      </w:r>
      <w:r>
        <w:rPr>
          <w:rFonts w:hint="eastAsia" w:ascii="Times New Roman" w:hAnsi="Times New Roman" w:eastAsia="宋体"/>
        </w:rPr>
        <w:t>，招标人为</w:t>
      </w:r>
      <w:r>
        <w:rPr>
          <w:rFonts w:hint="eastAsia" w:ascii="Times New Roman" w:hAnsi="Times New Roman" w:eastAsia="宋体"/>
          <w:u w:val="single"/>
        </w:rPr>
        <w:t>台州市北部湾区经济开发集团有限公司</w:t>
      </w:r>
      <w:r>
        <w:rPr>
          <w:rFonts w:hint="eastAsia" w:ascii="Times New Roman" w:hAnsi="Times New Roman" w:eastAsia="宋体"/>
        </w:rPr>
        <w:t>，招标代理机构为</w:t>
      </w:r>
      <w:r>
        <w:rPr>
          <w:rFonts w:hint="eastAsia" w:ascii="Times New Roman" w:hAnsi="Times New Roman" w:eastAsia="宋体"/>
          <w:u w:val="single"/>
        </w:rPr>
        <w:t>浙江省三门县工程建设监理有限公司</w:t>
      </w:r>
      <w:r>
        <w:rPr>
          <w:rFonts w:hint="eastAsia" w:ascii="Times New Roman" w:hAnsi="Times New Roman" w:eastAsia="宋体"/>
        </w:rPr>
        <w:t>。项目已具备招标条件，现对该项目施工进行公开招标。</w:t>
      </w:r>
    </w:p>
    <w:p>
      <w:pPr>
        <w:pStyle w:val="8"/>
        <w:spacing w:line="360" w:lineRule="auto"/>
        <w:ind w:firstLine="0" w:firstLineChars="0"/>
        <w:jc w:val="left"/>
        <w:rPr>
          <w:rFonts w:eastAsia="黑体"/>
          <w:b/>
          <w:sz w:val="24"/>
        </w:rPr>
      </w:pPr>
      <w:r>
        <w:rPr>
          <w:rFonts w:eastAsia="黑体"/>
          <w:b/>
          <w:sz w:val="24"/>
        </w:rPr>
        <w:t>2</w:t>
      </w:r>
      <w:r>
        <w:rPr>
          <w:rFonts w:hint="eastAsia" w:eastAsia="黑体"/>
          <w:b/>
          <w:sz w:val="24"/>
        </w:rPr>
        <w:t>、</w:t>
      </w:r>
      <w:r>
        <w:rPr>
          <w:rFonts w:eastAsia="黑体"/>
          <w:b/>
          <w:sz w:val="24"/>
        </w:rPr>
        <w:t>项目概况与招标范围</w:t>
      </w:r>
      <w:bookmarkEnd w:id="18"/>
      <w:bookmarkEnd w:id="19"/>
    </w:p>
    <w:p>
      <w:pPr>
        <w:spacing w:line="360" w:lineRule="auto"/>
        <w:ind w:firstLine="420" w:firstLineChars="200"/>
        <w:rPr>
          <w:rFonts w:ascii="Times New Roman" w:hAnsi="Times New Roman" w:cs="Times New Roman"/>
          <w:bCs/>
          <w:u w:val="single"/>
        </w:rPr>
      </w:pPr>
      <w:bookmarkStart w:id="20" w:name="_Toc448481023"/>
      <w:bookmarkStart w:id="21" w:name="_Toc426899861"/>
      <w:r>
        <w:rPr>
          <w:rFonts w:hint="eastAsia" w:ascii="Times New Roman" w:hAnsi="Times New Roman" w:cs="Times New Roman"/>
          <w:bCs/>
          <w:u w:val="single"/>
        </w:rPr>
        <w:t>本工程招标范围为：</w:t>
      </w:r>
      <w:r>
        <w:rPr>
          <w:rFonts w:hint="eastAsia" w:ascii="宋体" w:hAnsi="宋体" w:eastAsia="宋体" w:cs="宋体"/>
          <w:bCs/>
          <w:u w:val="single"/>
        </w:rPr>
        <w:t>水幕电影</w:t>
      </w:r>
      <w:r>
        <w:rPr>
          <w:rFonts w:hint="eastAsia" w:ascii="Times New Roman" w:hAnsi="Times New Roman" w:cs="Times New Roman"/>
          <w:bCs/>
          <w:u w:val="single"/>
        </w:rPr>
        <w:t>、景观亮化及建筑亮化工程。具体内容见招标人提供的工程量清单。</w:t>
      </w:r>
    </w:p>
    <w:p>
      <w:pPr>
        <w:pStyle w:val="19"/>
        <w:shd w:val="clear" w:color="auto" w:fill="FFFFFF"/>
        <w:adjustRightInd/>
        <w:snapToGrid/>
        <w:spacing w:before="0" w:beforeAutospacing="0" w:after="0" w:afterAutospacing="0" w:line="360" w:lineRule="auto"/>
        <w:ind w:firstLine="420" w:firstLineChars="200"/>
        <w:rPr>
          <w:rFonts w:ascii="宋体" w:hAnsi="宋体" w:eastAsia="宋体" w:cs="宋体"/>
          <w:color w:val="000000" w:themeColor="text1"/>
          <w:kern w:val="2"/>
          <w:sz w:val="21"/>
          <w:u w:val="single"/>
          <w:shd w:val="clear" w:color="auto" w:fill="FFFFFF"/>
          <w14:textFill>
            <w14:solidFill>
              <w14:schemeClr w14:val="tx1"/>
            </w14:solidFill>
          </w14:textFill>
        </w:rPr>
      </w:pPr>
      <w:r>
        <w:rPr>
          <w:rFonts w:hint="eastAsia" w:ascii="宋体" w:hAnsi="宋体" w:eastAsia="宋体" w:cs="宋体"/>
          <w:sz w:val="21"/>
          <w:shd w:val="clear" w:color="auto" w:fill="FFFFFF"/>
        </w:rPr>
        <w:t>预算审核价：人民</w:t>
      </w:r>
      <w:r>
        <w:rPr>
          <w:rFonts w:hint="eastAsia" w:ascii="宋体" w:hAnsi="宋体" w:eastAsia="宋体" w:cs="宋体"/>
          <w:color w:val="000000" w:themeColor="text1"/>
          <w:sz w:val="21"/>
          <w:shd w:val="clear" w:color="auto" w:fill="FFFFFF"/>
          <w14:textFill>
            <w14:solidFill>
              <w14:schemeClr w14:val="tx1"/>
            </w14:solidFill>
          </w14:textFill>
        </w:rPr>
        <w:t>币</w:t>
      </w:r>
      <w:r>
        <w:rPr>
          <w:rFonts w:hint="eastAsia" w:ascii="宋体" w:hAnsi="宋体" w:eastAsia="宋体" w:cs="宋体"/>
          <w:color w:val="000000" w:themeColor="text1"/>
          <w:kern w:val="2"/>
          <w:sz w:val="21"/>
          <w:u w:val="single"/>
          <w:shd w:val="clear" w:color="auto" w:fill="FFFFFF"/>
          <w14:textFill>
            <w14:solidFill>
              <w14:schemeClr w14:val="tx1"/>
            </w14:solidFill>
          </w14:textFill>
        </w:rPr>
        <w:t>12526500元。</w:t>
      </w:r>
    </w:p>
    <w:p>
      <w:pPr>
        <w:pStyle w:val="8"/>
        <w:spacing w:line="360" w:lineRule="auto"/>
        <w:jc w:val="left"/>
        <w:rPr>
          <w:rFonts w:ascii="宋体" w:hAnsi="宋体" w:cs="宋体"/>
          <w:color w:val="000000"/>
          <w:szCs w:val="21"/>
          <w:shd w:val="clear" w:color="auto" w:fill="FFFFFF"/>
        </w:rPr>
      </w:pPr>
      <w:r>
        <w:rPr>
          <w:rFonts w:hint="eastAsia" w:ascii="宋体" w:hAnsi="宋体" w:cs="宋体"/>
          <w:color w:val="000000"/>
          <w:szCs w:val="21"/>
          <w:shd w:val="clear" w:color="auto" w:fill="FFFFFF"/>
        </w:rPr>
        <w:t>计划工期：不超过50日历天。</w:t>
      </w:r>
      <w:r>
        <w:rPr>
          <w:kern w:val="0"/>
          <w:szCs w:val="21"/>
        </w:rPr>
        <w:t>（投标人在投标文件中必须明确工期天数）</w:t>
      </w:r>
    </w:p>
    <w:p>
      <w:pPr>
        <w:pStyle w:val="8"/>
        <w:spacing w:line="360" w:lineRule="auto"/>
        <w:ind w:firstLine="0" w:firstLineChars="0"/>
        <w:jc w:val="left"/>
        <w:rPr>
          <w:rFonts w:eastAsia="黑体"/>
          <w:b/>
          <w:sz w:val="24"/>
        </w:rPr>
      </w:pPr>
      <w:r>
        <w:rPr>
          <w:rFonts w:eastAsia="黑体"/>
          <w:b/>
          <w:sz w:val="24"/>
        </w:rPr>
        <w:t>3</w:t>
      </w:r>
      <w:r>
        <w:rPr>
          <w:rFonts w:hint="eastAsia" w:eastAsia="黑体"/>
          <w:b/>
          <w:sz w:val="24"/>
        </w:rPr>
        <w:t>、</w:t>
      </w:r>
      <w:r>
        <w:rPr>
          <w:rFonts w:eastAsia="黑体"/>
          <w:b/>
          <w:sz w:val="24"/>
        </w:rPr>
        <w:t>投标人资格要求</w:t>
      </w:r>
      <w:bookmarkEnd w:id="20"/>
      <w:bookmarkEnd w:id="21"/>
    </w:p>
    <w:p>
      <w:pPr>
        <w:adjustRightInd/>
        <w:snapToGrid/>
        <w:spacing w:line="360" w:lineRule="auto"/>
        <w:ind w:firstLine="420" w:firstLineChars="200"/>
        <w:rPr>
          <w:rFonts w:ascii="宋体" w:hAnsi="宋体" w:eastAsia="宋体" w:cs="宋体"/>
          <w:color w:val="auto"/>
        </w:rPr>
      </w:pPr>
      <w:bookmarkStart w:id="22" w:name="_Toc426899863"/>
      <w:bookmarkStart w:id="23" w:name="_Toc448481025"/>
      <w:r>
        <w:rPr>
          <w:rFonts w:hint="eastAsia" w:ascii="宋体" w:hAnsi="宋体" w:eastAsia="宋体" w:cs="宋体"/>
          <w:color w:val="auto"/>
          <w:shd w:val="clear" w:color="auto" w:fill="FFFFFF"/>
        </w:rPr>
        <w:t>3.1本次招标要求投标人须具备：</w:t>
      </w:r>
    </w:p>
    <w:p>
      <w:pPr>
        <w:pStyle w:val="19"/>
        <w:shd w:val="clear" w:color="auto" w:fill="FFFFFF"/>
        <w:adjustRightInd/>
        <w:snapToGrid/>
        <w:spacing w:before="0" w:beforeAutospacing="0" w:after="0" w:afterAutospacing="0" w:line="360" w:lineRule="auto"/>
        <w:ind w:firstLine="420" w:firstLineChars="200"/>
        <w:rPr>
          <w:rFonts w:ascii="宋体" w:hAnsi="宋体" w:eastAsia="宋体" w:cs="宋体"/>
          <w:color w:val="auto"/>
          <w:sz w:val="21"/>
          <w:u w:val="single"/>
          <w:shd w:val="clear" w:color="auto" w:fill="FFFFFF"/>
        </w:rPr>
      </w:pPr>
      <w:r>
        <w:rPr>
          <w:rFonts w:hint="eastAsia" w:ascii="宋体" w:hAnsi="宋体" w:eastAsia="宋体" w:cs="宋体"/>
          <w:color w:val="auto"/>
          <w:sz w:val="21"/>
          <w:u w:val="single"/>
          <w:shd w:val="clear" w:color="auto" w:fill="FFFFFF"/>
        </w:rPr>
        <w:t>（1）投标人资格：具备市政公用工程施工总承包三级及以上资质或具备城市及道路照明工程专业承包一级及以上资质。</w:t>
      </w:r>
    </w:p>
    <w:p>
      <w:pPr>
        <w:pStyle w:val="19"/>
        <w:shd w:val="clear" w:color="auto" w:fill="FFFFFF"/>
        <w:adjustRightInd/>
        <w:snapToGrid/>
        <w:spacing w:before="0" w:beforeAutospacing="0" w:after="0" w:afterAutospacing="0" w:line="380" w:lineRule="exact"/>
        <w:ind w:firstLine="420" w:firstLineChars="200"/>
        <w:rPr>
          <w:rFonts w:ascii="宋体" w:hAnsi="宋体" w:eastAsia="宋体" w:cs="宋体"/>
          <w:color w:val="auto"/>
          <w:sz w:val="21"/>
          <w:u w:val="single"/>
          <w:shd w:val="clear" w:color="auto" w:fill="FFFFFF"/>
        </w:rPr>
      </w:pPr>
      <w:r>
        <w:rPr>
          <w:rFonts w:hint="eastAsia" w:ascii="宋体" w:hAnsi="宋体" w:eastAsia="宋体" w:cs="宋体"/>
          <w:color w:val="auto"/>
          <w:sz w:val="21"/>
          <w:u w:val="single"/>
          <w:shd w:val="clear" w:color="auto" w:fill="FFFFFF"/>
        </w:rPr>
        <w:t>（2）项目负责人：具有市政公用工程专业注册建造师二级及以上资格或具</w:t>
      </w:r>
      <w:r>
        <w:rPr>
          <w:rFonts w:hint="eastAsia" w:ascii="宋体" w:hAnsi="宋体" w:eastAsia="宋体" w:cs="宋体"/>
          <w:color w:val="000000" w:themeColor="text1"/>
          <w:sz w:val="21"/>
          <w:u w:val="single"/>
          <w:shd w:val="clear" w:color="auto" w:fill="FFFFFF"/>
          <w14:textFill>
            <w14:solidFill>
              <w14:schemeClr w14:val="tx1"/>
            </w14:solidFill>
          </w14:textFill>
        </w:rPr>
        <w:t>有机</w:t>
      </w:r>
      <w:r>
        <w:rPr>
          <w:rFonts w:hint="eastAsia" w:ascii="宋体" w:hAnsi="宋体" w:eastAsia="宋体" w:cs="宋体"/>
          <w:color w:val="auto"/>
          <w:sz w:val="21"/>
          <w:u w:val="single"/>
          <w:shd w:val="clear" w:color="auto" w:fill="FFFFFF"/>
        </w:rPr>
        <w:t>电工程专业注册建造师二级及以上资格；无在建工程。</w:t>
      </w:r>
    </w:p>
    <w:p>
      <w:pPr>
        <w:pStyle w:val="19"/>
        <w:shd w:val="clear" w:color="auto" w:fill="FFFFFF"/>
        <w:adjustRightInd/>
        <w:snapToGrid/>
        <w:spacing w:before="0" w:beforeAutospacing="0" w:after="0" w:afterAutospacing="0" w:line="360" w:lineRule="auto"/>
        <w:rPr>
          <w:rFonts w:ascii="宋体" w:hAnsi="宋体" w:eastAsia="宋体" w:cs="宋体"/>
          <w:color w:val="auto"/>
          <w:sz w:val="21"/>
          <w:u w:val="single"/>
          <w:shd w:val="clear" w:color="auto" w:fill="FFFFFF"/>
        </w:rPr>
      </w:pPr>
    </w:p>
    <w:p>
      <w:pPr>
        <w:pStyle w:val="19"/>
        <w:shd w:val="clear" w:color="auto" w:fill="FFFFFF"/>
        <w:adjustRightInd/>
        <w:snapToGrid/>
        <w:spacing w:before="0" w:beforeAutospacing="0" w:after="0" w:afterAutospacing="0" w:line="360" w:lineRule="auto"/>
        <w:ind w:firstLine="420" w:firstLineChars="200"/>
        <w:rPr>
          <w:rFonts w:ascii="宋体" w:hAnsi="宋体" w:eastAsia="宋体" w:cs="宋体"/>
          <w:color w:val="auto"/>
          <w:sz w:val="21"/>
          <w:u w:val="single"/>
          <w:shd w:val="clear" w:color="auto" w:fill="FFFFFF"/>
        </w:rPr>
      </w:pPr>
      <w:r>
        <w:rPr>
          <w:rFonts w:hint="eastAsia" w:ascii="宋体" w:hAnsi="宋体" w:eastAsia="宋体" w:cs="宋体"/>
          <w:color w:val="auto"/>
          <w:sz w:val="21"/>
          <w:u w:val="single"/>
          <w:shd w:val="clear" w:color="auto" w:fill="FFFFFF"/>
        </w:rPr>
        <w:t>3.2本次招标 不接受 联合体投标。</w:t>
      </w:r>
    </w:p>
    <w:p>
      <w:pPr>
        <w:pStyle w:val="19"/>
        <w:shd w:val="clear" w:color="auto" w:fill="FFFFFF"/>
        <w:adjustRightInd/>
        <w:snapToGrid/>
        <w:spacing w:before="0" w:beforeAutospacing="0" w:after="0" w:afterAutospacing="0" w:line="360" w:lineRule="auto"/>
        <w:rPr>
          <w:rFonts w:ascii="宋体" w:hAnsi="宋体" w:eastAsia="宋体" w:cs="宋体"/>
          <w:color w:val="auto"/>
          <w:sz w:val="21"/>
        </w:rPr>
      </w:pPr>
      <w:r>
        <w:rPr>
          <w:rStyle w:val="23"/>
          <w:rFonts w:hint="eastAsia" w:ascii="宋体" w:hAnsi="宋体" w:eastAsia="宋体" w:cs="宋体"/>
          <w:color w:val="auto"/>
          <w:sz w:val="21"/>
          <w:shd w:val="clear" w:color="auto" w:fill="FFFFFF"/>
        </w:rPr>
        <w:t>4．招标文件的获取</w:t>
      </w:r>
    </w:p>
    <w:p>
      <w:pPr>
        <w:adjustRightInd/>
        <w:snapToGrid/>
        <w:spacing w:line="360" w:lineRule="auto"/>
        <w:ind w:firstLine="420" w:firstLineChars="200"/>
        <w:rPr>
          <w:rFonts w:asciiTheme="minorEastAsia" w:hAnsiTheme="minorEastAsia" w:eastAsiaTheme="minorEastAsia"/>
        </w:rPr>
      </w:pPr>
      <w:r>
        <w:rPr>
          <w:rFonts w:asciiTheme="minorEastAsia" w:hAnsiTheme="minorEastAsia" w:eastAsiaTheme="minorEastAsia"/>
        </w:rPr>
        <w:t>4.1</w:t>
      </w:r>
      <w:r>
        <w:rPr>
          <w:rFonts w:hint="eastAsia" w:asciiTheme="minorEastAsia" w:hAnsiTheme="minorEastAsia" w:eastAsiaTheme="minorEastAsia"/>
        </w:rPr>
        <w:t>本工程实行资格后审，凡有意参加投标者，于公告发布之日起，可通过“三门县工程建设电子交易平台”（网址：</w:t>
      </w:r>
      <w:r>
        <w:rPr>
          <w:rFonts w:asciiTheme="minorEastAsia" w:hAnsiTheme="minorEastAsia" w:eastAsiaTheme="minorEastAsia"/>
        </w:rPr>
        <w:t>http://www.sanmen.gov.cn/col/col1229610743/index.html</w:t>
      </w:r>
      <w:r>
        <w:rPr>
          <w:rFonts w:hint="eastAsia" w:asciiTheme="minorEastAsia" w:hAnsiTheme="minorEastAsia" w:eastAsiaTheme="minorEastAsia"/>
        </w:rPr>
        <w:t>）自行下载招标文件、工程量清单、投标工具和施工图纸。</w:t>
      </w:r>
    </w:p>
    <w:p>
      <w:pPr>
        <w:adjustRightInd/>
        <w:snapToGrid/>
        <w:spacing w:line="360" w:lineRule="auto"/>
        <w:ind w:firstLine="420" w:firstLineChars="200"/>
        <w:rPr>
          <w:rFonts w:asciiTheme="minorEastAsia" w:hAnsiTheme="minorEastAsia" w:eastAsiaTheme="minorEastAsia"/>
        </w:rPr>
      </w:pPr>
      <w:r>
        <w:rPr>
          <w:rFonts w:asciiTheme="minorEastAsia" w:hAnsiTheme="minorEastAsia" w:eastAsiaTheme="minorEastAsia"/>
        </w:rPr>
        <w:t>4.2</w:t>
      </w:r>
      <w:r>
        <w:rPr>
          <w:rFonts w:hint="eastAsia" w:asciiTheme="minorEastAsia" w:hAnsiTheme="minorEastAsia" w:eastAsiaTheme="minorEastAsia"/>
        </w:rPr>
        <w:t>投标人网上免费下载招标文件，不收取任何工本费。</w:t>
      </w:r>
    </w:p>
    <w:p>
      <w:pPr>
        <w:adjustRightInd/>
        <w:snapToGrid/>
        <w:spacing w:line="360" w:lineRule="auto"/>
        <w:ind w:firstLine="420" w:firstLineChars="200"/>
        <w:rPr>
          <w:rFonts w:asciiTheme="minorEastAsia" w:hAnsiTheme="minorEastAsia" w:eastAsiaTheme="minorEastAsia"/>
        </w:rPr>
      </w:pPr>
      <w:r>
        <w:rPr>
          <w:rFonts w:asciiTheme="minorEastAsia" w:hAnsiTheme="minorEastAsia" w:eastAsiaTheme="minorEastAsia"/>
        </w:rPr>
        <w:t>4.3</w:t>
      </w:r>
      <w:r>
        <w:rPr>
          <w:rFonts w:hint="eastAsia" w:asciiTheme="minorEastAsia" w:hAnsiTheme="minorEastAsia" w:eastAsiaTheme="minorEastAsia"/>
        </w:rPr>
        <w:t>本次招标采用“</w:t>
      </w:r>
      <w:r>
        <w:rPr>
          <w:rFonts w:asciiTheme="minorEastAsia" w:hAnsiTheme="minorEastAsia" w:eastAsiaTheme="minorEastAsia"/>
        </w:rPr>
        <w:t xml:space="preserve"> </w:t>
      </w:r>
      <w:r>
        <w:rPr>
          <w:rFonts w:hint="eastAsia" w:asciiTheme="minorEastAsia" w:hAnsiTheme="minorEastAsia" w:eastAsiaTheme="minorEastAsia"/>
        </w:rPr>
        <w:t>杭州品茗信息技术有限公司”提供的全流程招、投、开、评标工具。未在“三门县工程建设电子交易平台”注册及未领取</w:t>
      </w:r>
      <w:r>
        <w:rPr>
          <w:rFonts w:asciiTheme="minorEastAsia" w:hAnsiTheme="minorEastAsia" w:eastAsiaTheme="minorEastAsia"/>
        </w:rPr>
        <w:t>CA</w:t>
      </w:r>
      <w:r>
        <w:rPr>
          <w:rFonts w:hint="eastAsia" w:asciiTheme="minorEastAsia" w:hAnsiTheme="minorEastAsia" w:eastAsiaTheme="minorEastAsia"/>
        </w:rPr>
        <w:t>锁的单位，请参照《</w:t>
      </w:r>
      <w:r>
        <w:fldChar w:fldCharType="begin"/>
      </w:r>
      <w:r>
        <w:instrText xml:space="preserve"> HYPERLINK "http://www.smztb.com/Uploads/20190426/2696c63d6bce4ffbb925918e5ce0eabb.pdf" \t "_blank" </w:instrText>
      </w:r>
      <w:r>
        <w:fldChar w:fldCharType="separate"/>
      </w:r>
      <w:r>
        <w:rPr>
          <w:rStyle w:val="25"/>
          <w:rFonts w:hint="eastAsia" w:asciiTheme="minorEastAsia" w:hAnsiTheme="minorEastAsia" w:eastAsiaTheme="minorEastAsia"/>
          <w:color w:val="auto"/>
        </w:rPr>
        <w:t>三门县公共资源电子交易平台企业网上注册登记操作示意卡</w:t>
      </w:r>
      <w:r>
        <w:rPr>
          <w:rStyle w:val="25"/>
          <w:rFonts w:hint="eastAsia" w:asciiTheme="minorEastAsia" w:hAnsiTheme="minorEastAsia" w:eastAsiaTheme="minorEastAsia"/>
          <w:color w:val="auto"/>
        </w:rPr>
        <w:fldChar w:fldCharType="end"/>
      </w:r>
      <w:r>
        <w:rPr>
          <w:rFonts w:hint="eastAsia" w:asciiTheme="minorEastAsia" w:hAnsiTheme="minorEastAsia" w:eastAsiaTheme="minorEastAsia"/>
        </w:rPr>
        <w:t>》自行网上注册并核验通过，见</w:t>
      </w:r>
      <w:r>
        <w:rPr>
          <w:rFonts w:hint="eastAsia" w:cs="新宋体" w:asciiTheme="minorEastAsia" w:hAnsiTheme="minorEastAsia" w:eastAsiaTheme="minorEastAsia"/>
          <w:lang w:val="zh-TW"/>
        </w:rPr>
        <w:t>三门县</w:t>
      </w:r>
      <w:r>
        <w:rPr>
          <w:rFonts w:hint="eastAsia" w:cs="新宋体" w:asciiTheme="minorEastAsia" w:hAnsiTheme="minorEastAsia" w:eastAsiaTheme="minorEastAsia"/>
          <w:lang w:val="zh-TW" w:eastAsia="zh-TW"/>
        </w:rPr>
        <w:t>公共资源交易网</w:t>
      </w:r>
      <w:r>
        <w:rPr>
          <w:rFonts w:hint="eastAsia" w:cs="新宋体" w:asciiTheme="minorEastAsia" w:hAnsiTheme="minorEastAsia" w:eastAsiaTheme="minorEastAsia"/>
        </w:rPr>
        <w:t>“下载中心”</w:t>
      </w:r>
      <w:r>
        <w:rPr>
          <w:rFonts w:hint="eastAsia" w:asciiTheme="minorEastAsia" w:hAnsiTheme="minorEastAsia" w:eastAsiaTheme="minorEastAsia"/>
        </w:rPr>
        <w:t>。</w:t>
      </w:r>
      <w:r>
        <w:rPr>
          <w:rFonts w:asciiTheme="minorEastAsia" w:hAnsiTheme="minorEastAsia" w:eastAsiaTheme="minorEastAsia"/>
        </w:rPr>
        <w:t>CA</w:t>
      </w:r>
      <w:r>
        <w:rPr>
          <w:rFonts w:hint="eastAsia" w:asciiTheme="minorEastAsia" w:hAnsiTheme="minorEastAsia" w:eastAsiaTheme="minorEastAsia"/>
        </w:rPr>
        <w:t>锁办理请前往“三门县公共资源交易专用数字证书用户自助申报系统”自助办理（网址：</w:t>
      </w:r>
      <w:r>
        <w:fldChar w:fldCharType="begin"/>
      </w:r>
      <w:r>
        <w:instrText xml:space="preserve"> HYPERLINK "http://www.tseal.cn/tcloud/smxztb" </w:instrText>
      </w:r>
      <w:r>
        <w:fldChar w:fldCharType="separate"/>
      </w:r>
      <w:r>
        <w:rPr>
          <w:rStyle w:val="25"/>
          <w:rFonts w:asciiTheme="minorEastAsia" w:hAnsiTheme="minorEastAsia" w:eastAsiaTheme="minorEastAsia"/>
        </w:rPr>
        <w:t>http://www.tseal.cn/tcloud/smxztb</w:t>
      </w:r>
      <w:r>
        <w:rPr>
          <w:rStyle w:val="25"/>
          <w:rFonts w:asciiTheme="minorEastAsia" w:hAnsiTheme="minorEastAsia" w:eastAsiaTheme="minorEastAsia"/>
        </w:rPr>
        <w:fldChar w:fldCharType="end"/>
      </w:r>
      <w:r>
        <w:rPr>
          <w:rFonts w:hint="eastAsia" w:asciiTheme="minorEastAsia" w:hAnsiTheme="minorEastAsia" w:eastAsiaTheme="minorEastAsia"/>
        </w:rPr>
        <w:t>)。</w:t>
      </w:r>
    </w:p>
    <w:p>
      <w:pPr>
        <w:pStyle w:val="8"/>
        <w:spacing w:line="360" w:lineRule="auto"/>
        <w:ind w:firstLine="0" w:firstLineChars="0"/>
        <w:jc w:val="left"/>
        <w:rPr>
          <w:rFonts w:asciiTheme="minorEastAsia" w:hAnsiTheme="minorEastAsia" w:eastAsiaTheme="minorEastAsia"/>
          <w:b/>
          <w:szCs w:val="21"/>
        </w:rPr>
      </w:pPr>
      <w:r>
        <w:rPr>
          <w:rFonts w:asciiTheme="minorEastAsia" w:hAnsiTheme="minorEastAsia" w:eastAsiaTheme="minorEastAsia"/>
          <w:b/>
          <w:szCs w:val="21"/>
        </w:rPr>
        <w:t>5</w:t>
      </w:r>
      <w:r>
        <w:rPr>
          <w:rFonts w:hint="eastAsia" w:asciiTheme="minorEastAsia" w:hAnsiTheme="minorEastAsia" w:eastAsiaTheme="minorEastAsia"/>
          <w:b/>
          <w:szCs w:val="21"/>
        </w:rPr>
        <w:t>、</w:t>
      </w:r>
      <w:r>
        <w:rPr>
          <w:rFonts w:asciiTheme="minorEastAsia" w:hAnsiTheme="minorEastAsia" w:eastAsiaTheme="minorEastAsia"/>
          <w:b/>
          <w:szCs w:val="21"/>
        </w:rPr>
        <w:t>投标文件的递交</w:t>
      </w:r>
      <w:bookmarkEnd w:id="22"/>
      <w:bookmarkEnd w:id="23"/>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color w:val="auto"/>
          <w:sz w:val="21"/>
        </w:rPr>
      </w:pPr>
      <w:bookmarkStart w:id="24" w:name="_Toc448481026"/>
      <w:bookmarkStart w:id="25" w:name="_Toc426899864"/>
      <w:r>
        <w:rPr>
          <w:rFonts w:hint="eastAsia" w:cs="宋体" w:asciiTheme="minorEastAsia" w:hAnsiTheme="minorEastAsia" w:eastAsiaTheme="minorEastAsia"/>
          <w:color w:val="auto"/>
          <w:sz w:val="21"/>
          <w:shd w:val="clear" w:color="auto" w:fill="FFFFFF"/>
        </w:rPr>
        <w:t>5.1投标文件上传截止时间（投标截止时间，下同）为2023年</w:t>
      </w:r>
      <w:r>
        <w:rPr>
          <w:rFonts w:hint="eastAsia" w:cs="宋体" w:asciiTheme="minorEastAsia" w:hAnsiTheme="minorEastAsia" w:eastAsiaTheme="minorEastAsia"/>
          <w:color w:val="auto"/>
          <w:sz w:val="21"/>
          <w:u w:val="single"/>
          <w:shd w:val="clear" w:color="auto" w:fill="FFFFFF"/>
        </w:rPr>
        <w:t xml:space="preserve">  </w:t>
      </w:r>
      <w:r>
        <w:rPr>
          <w:rFonts w:hint="eastAsia" w:cs="宋体" w:asciiTheme="minorEastAsia" w:hAnsiTheme="minorEastAsia" w:eastAsiaTheme="minorEastAsia"/>
          <w:color w:val="auto"/>
          <w:sz w:val="21"/>
          <w:shd w:val="clear" w:color="auto" w:fill="FFFFFF"/>
        </w:rPr>
        <w:t>月</w:t>
      </w:r>
      <w:r>
        <w:rPr>
          <w:rFonts w:hint="eastAsia" w:cs="宋体" w:asciiTheme="minorEastAsia" w:hAnsiTheme="minorEastAsia" w:eastAsiaTheme="minorEastAsia"/>
          <w:color w:val="auto"/>
          <w:sz w:val="21"/>
          <w:u w:val="single"/>
          <w:shd w:val="clear" w:color="auto" w:fill="FFFFFF"/>
        </w:rPr>
        <w:t xml:space="preserve">  </w:t>
      </w:r>
      <w:r>
        <w:rPr>
          <w:rFonts w:hint="eastAsia" w:cs="宋体" w:asciiTheme="minorEastAsia" w:hAnsiTheme="minorEastAsia" w:eastAsiaTheme="minorEastAsia"/>
          <w:color w:val="auto"/>
          <w:sz w:val="21"/>
          <w:shd w:val="clear" w:color="auto" w:fill="FFFFFF"/>
        </w:rPr>
        <w:t>日</w:t>
      </w:r>
      <w:r>
        <w:rPr>
          <w:rFonts w:hint="eastAsia" w:cs="宋体" w:asciiTheme="minorEastAsia" w:hAnsiTheme="minorEastAsia" w:eastAsiaTheme="minorEastAsia"/>
          <w:color w:val="auto"/>
          <w:sz w:val="21"/>
          <w:u w:val="single"/>
          <w:shd w:val="clear" w:color="auto" w:fill="FFFFFF"/>
        </w:rPr>
        <w:t>09</w:t>
      </w:r>
      <w:r>
        <w:rPr>
          <w:rFonts w:hint="eastAsia" w:cs="宋体" w:asciiTheme="minorEastAsia" w:hAnsiTheme="minorEastAsia" w:eastAsiaTheme="minorEastAsia"/>
          <w:color w:val="auto"/>
          <w:sz w:val="21"/>
          <w:shd w:val="clear" w:color="auto" w:fill="FFFFFF"/>
        </w:rPr>
        <w:t>时</w:t>
      </w:r>
      <w:r>
        <w:rPr>
          <w:rFonts w:hint="eastAsia" w:cs="宋体" w:asciiTheme="minorEastAsia" w:hAnsiTheme="minorEastAsia" w:eastAsiaTheme="minorEastAsia"/>
          <w:color w:val="auto"/>
          <w:sz w:val="21"/>
          <w:u w:val="single"/>
          <w:shd w:val="clear" w:color="auto" w:fill="FFFFFF"/>
        </w:rPr>
        <w:t>00</w:t>
      </w:r>
      <w:r>
        <w:rPr>
          <w:rFonts w:hint="eastAsia" w:cs="宋体" w:asciiTheme="minorEastAsia" w:hAnsiTheme="minorEastAsia" w:eastAsiaTheme="minorEastAsia"/>
          <w:color w:val="auto"/>
          <w:sz w:val="21"/>
          <w:shd w:val="clear" w:color="auto" w:fill="FFFFFF"/>
        </w:rPr>
        <w:t>分，开标地点为三门县公共资源交易中心交易大厅（具体开标室见四楼电子屏幕）。本项目采用不见面开标形式，投标人无需到开标现场，电子投标文件上传至三门县工程建设电子交易平台，投标截止时间后对加密的投标文件进行远程解密，如远程解密遇有问题的请联系章宏涛13968512856。</w:t>
      </w: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color w:val="auto"/>
          <w:sz w:val="21"/>
          <w:shd w:val="clear" w:color="auto" w:fill="FFFFFF"/>
        </w:rPr>
      </w:pPr>
      <w:r>
        <w:rPr>
          <w:rFonts w:hint="eastAsia" w:cs="宋体" w:asciiTheme="minorEastAsia" w:hAnsiTheme="minorEastAsia" w:eastAsiaTheme="minorEastAsia"/>
          <w:color w:val="auto"/>
          <w:sz w:val="21"/>
          <w:shd w:val="clear" w:color="auto" w:fill="FFFFFF"/>
        </w:rPr>
        <w:t>5.2逾期上传的或者未上传指定系统的，招标人不予受理。</w:t>
      </w:r>
    </w:p>
    <w:p>
      <w:pPr>
        <w:pStyle w:val="8"/>
        <w:numPr>
          <w:ilvl w:val="0"/>
          <w:numId w:val="1"/>
        </w:numPr>
        <w:spacing w:line="360" w:lineRule="auto"/>
        <w:ind w:firstLine="0" w:firstLineChars="0"/>
        <w:jc w:val="left"/>
        <w:rPr>
          <w:rFonts w:cs="微软雅黑" w:asciiTheme="minorEastAsia" w:hAnsiTheme="minorEastAsia" w:eastAsiaTheme="minorEastAsia"/>
          <w:color w:val="666666"/>
          <w:szCs w:val="21"/>
          <w:shd w:val="clear" w:color="auto" w:fill="FFFFFF"/>
        </w:rPr>
      </w:pPr>
      <w:r>
        <w:rPr>
          <w:rFonts w:hint="eastAsia" w:asciiTheme="minorEastAsia" w:hAnsiTheme="minorEastAsia" w:eastAsiaTheme="minorEastAsia"/>
          <w:b/>
          <w:szCs w:val="21"/>
        </w:rPr>
        <w:t>发布公告的媒介</w:t>
      </w:r>
    </w:p>
    <w:p>
      <w:pPr>
        <w:pStyle w:val="8"/>
        <w:spacing w:line="360" w:lineRule="auto"/>
        <w:jc w:val="left"/>
        <w:rPr>
          <w:rFonts w:asciiTheme="minorEastAsia" w:hAnsiTheme="minorEastAsia" w:eastAsiaTheme="minorEastAsia"/>
          <w:b/>
          <w:szCs w:val="21"/>
        </w:rPr>
      </w:pPr>
      <w:r>
        <w:rPr>
          <w:rFonts w:hint="eastAsia" w:cs="宋体" w:asciiTheme="minorEastAsia" w:hAnsiTheme="minorEastAsia" w:eastAsiaTheme="minorEastAsia"/>
          <w:kern w:val="0"/>
          <w:szCs w:val="21"/>
          <w:shd w:val="clear" w:color="auto" w:fill="FFFFFF"/>
        </w:rPr>
        <w:t>本次招标公告同时在三门县公共资源交易网（网址：</w:t>
      </w:r>
      <w:r>
        <w:fldChar w:fldCharType="begin"/>
      </w:r>
      <w:r>
        <w:instrText xml:space="preserve"> HYPERLINK "http://jyzx.sanmen.gov.cn/" </w:instrText>
      </w:r>
      <w:r>
        <w:fldChar w:fldCharType="separate"/>
      </w:r>
      <w:r>
        <w:rPr>
          <w:rFonts w:hint="eastAsia" w:cs="宋体" w:asciiTheme="minorEastAsia" w:hAnsiTheme="minorEastAsia" w:eastAsiaTheme="minorEastAsia"/>
          <w:kern w:val="0"/>
          <w:szCs w:val="21"/>
          <w:shd w:val="clear" w:color="auto" w:fill="FFFFFF"/>
        </w:rPr>
        <w:t>http://www.sanmen.gov.cn/col/col1229610743/index.html</w:t>
      </w:r>
      <w:r>
        <w:rPr>
          <w:rFonts w:hint="eastAsia" w:cs="宋体" w:asciiTheme="minorEastAsia" w:hAnsiTheme="minorEastAsia" w:eastAsiaTheme="minorEastAsia"/>
          <w:kern w:val="0"/>
          <w:szCs w:val="21"/>
          <w:shd w:val="clear" w:color="auto" w:fill="FFFFFF"/>
        </w:rPr>
        <w:fldChar w:fldCharType="end"/>
      </w:r>
      <w:r>
        <w:rPr>
          <w:rFonts w:hint="eastAsia" w:cs="宋体" w:asciiTheme="minorEastAsia" w:hAnsiTheme="minorEastAsia" w:eastAsiaTheme="minorEastAsia"/>
          <w:kern w:val="0"/>
          <w:szCs w:val="21"/>
          <w:shd w:val="clear" w:color="auto" w:fill="FFFFFF"/>
        </w:rPr>
        <w:t>）和浙江省公共资源交易服务平台(</w:t>
      </w:r>
      <w:r>
        <w:fldChar w:fldCharType="begin"/>
      </w:r>
      <w:r>
        <w:instrText xml:space="preserve"> HYPERLINK "http://www.zjpubservice.com/" </w:instrText>
      </w:r>
      <w:r>
        <w:fldChar w:fldCharType="separate"/>
      </w:r>
      <w:r>
        <w:rPr>
          <w:rFonts w:hint="eastAsia" w:cs="宋体" w:asciiTheme="minorEastAsia" w:hAnsiTheme="minorEastAsia" w:eastAsiaTheme="minorEastAsia"/>
          <w:kern w:val="0"/>
          <w:szCs w:val="21"/>
          <w:shd w:val="clear" w:color="auto" w:fill="FFFFFF"/>
        </w:rPr>
        <w:t>www.zjpubservice.com</w:t>
      </w:r>
      <w:r>
        <w:rPr>
          <w:rFonts w:hint="eastAsia" w:cs="宋体" w:asciiTheme="minorEastAsia" w:hAnsiTheme="minorEastAsia" w:eastAsiaTheme="minorEastAsia"/>
          <w:kern w:val="0"/>
          <w:szCs w:val="21"/>
          <w:shd w:val="clear" w:color="auto" w:fill="FFFFFF"/>
        </w:rPr>
        <w:fldChar w:fldCharType="end"/>
      </w:r>
      <w:r>
        <w:rPr>
          <w:rFonts w:hint="eastAsia" w:cs="宋体" w:asciiTheme="minorEastAsia" w:hAnsiTheme="minorEastAsia" w:eastAsiaTheme="minorEastAsia"/>
          <w:kern w:val="0"/>
          <w:szCs w:val="21"/>
          <w:shd w:val="clear" w:color="auto" w:fill="FFFFFF"/>
        </w:rPr>
        <w:t>)上发布。</w:t>
      </w:r>
    </w:p>
    <w:bookmarkEnd w:id="7"/>
    <w:bookmarkEnd w:id="8"/>
    <w:bookmarkEnd w:id="9"/>
    <w:bookmarkEnd w:id="10"/>
    <w:bookmarkEnd w:id="11"/>
    <w:bookmarkEnd w:id="12"/>
    <w:bookmarkEnd w:id="13"/>
    <w:bookmarkEnd w:id="14"/>
    <w:bookmarkEnd w:id="15"/>
    <w:bookmarkEnd w:id="16"/>
    <w:bookmarkEnd w:id="17"/>
    <w:bookmarkEnd w:id="24"/>
    <w:bookmarkEnd w:id="25"/>
    <w:p>
      <w:pPr>
        <w:pStyle w:val="8"/>
        <w:spacing w:line="360" w:lineRule="auto"/>
        <w:ind w:firstLine="0" w:firstLineChars="0"/>
        <w:jc w:val="left"/>
        <w:rPr>
          <w:rFonts w:asciiTheme="minorEastAsia" w:hAnsiTheme="minorEastAsia" w:eastAsiaTheme="minorEastAsia"/>
          <w:b/>
          <w:szCs w:val="21"/>
        </w:rPr>
      </w:pPr>
      <w:bookmarkStart w:id="26" w:name="_Toc229305330"/>
      <w:bookmarkStart w:id="27" w:name="_Toc222030972"/>
      <w:bookmarkStart w:id="28" w:name="_Toc221949941"/>
      <w:bookmarkStart w:id="29" w:name="_Toc272158573"/>
      <w:bookmarkStart w:id="30" w:name="_Toc426899865"/>
      <w:bookmarkStart w:id="31" w:name="_Toc222033821"/>
      <w:bookmarkStart w:id="32" w:name="_Toc144974485"/>
      <w:bookmarkStart w:id="33" w:name="_Toc222029470"/>
      <w:bookmarkStart w:id="34" w:name="_Toc168476035"/>
      <w:bookmarkStart w:id="35" w:name="_Toc222032639"/>
      <w:bookmarkStart w:id="36" w:name="_Toc168475632"/>
      <w:bookmarkStart w:id="37" w:name="_Toc448481027"/>
      <w:r>
        <w:rPr>
          <w:rFonts w:hint="eastAsia" w:asciiTheme="minorEastAsia" w:hAnsiTheme="minorEastAsia" w:eastAsiaTheme="minorEastAsia"/>
          <w:b/>
          <w:szCs w:val="21"/>
        </w:rPr>
        <w:t>7、</w:t>
      </w:r>
      <w:r>
        <w:rPr>
          <w:rFonts w:asciiTheme="minorEastAsia" w:hAnsiTheme="minorEastAsia" w:eastAsiaTheme="minorEastAsia"/>
          <w:b/>
          <w:szCs w:val="21"/>
        </w:rPr>
        <w:t>联系方式</w:t>
      </w:r>
      <w:bookmarkEnd w:id="26"/>
      <w:bookmarkEnd w:id="27"/>
      <w:bookmarkEnd w:id="28"/>
      <w:bookmarkEnd w:id="29"/>
      <w:bookmarkEnd w:id="30"/>
      <w:bookmarkEnd w:id="31"/>
      <w:bookmarkEnd w:id="32"/>
      <w:bookmarkEnd w:id="33"/>
      <w:bookmarkEnd w:id="34"/>
      <w:bookmarkEnd w:id="35"/>
      <w:bookmarkEnd w:id="36"/>
      <w:bookmarkEnd w:id="37"/>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r>
        <w:rPr>
          <w:rFonts w:hint="eastAsia" w:cs="宋体" w:asciiTheme="minorEastAsia" w:hAnsiTheme="minorEastAsia" w:eastAsiaTheme="minorEastAsia"/>
          <w:sz w:val="21"/>
          <w:shd w:val="clear" w:color="auto" w:fill="FFFFFF"/>
        </w:rPr>
        <w:t>招 标 人：台州市北部湾区经济开发集团有限公司</w:t>
      </w: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r>
        <w:rPr>
          <w:rFonts w:hint="eastAsia" w:cs="宋体" w:asciiTheme="minorEastAsia" w:hAnsiTheme="minorEastAsia" w:eastAsiaTheme="minorEastAsia"/>
          <w:sz w:val="21"/>
          <w:shd w:val="clear" w:color="auto" w:fill="FFFFFF"/>
        </w:rPr>
        <w:t xml:space="preserve">联 系 人：薛君 </w:t>
      </w: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r>
        <w:rPr>
          <w:rFonts w:hint="eastAsia" w:cs="宋体" w:asciiTheme="minorEastAsia" w:hAnsiTheme="minorEastAsia" w:eastAsiaTheme="minorEastAsia"/>
          <w:sz w:val="21"/>
          <w:shd w:val="clear" w:color="auto" w:fill="FFFFFF"/>
        </w:rPr>
        <w:t xml:space="preserve">电  话：0576-83318539 </w:t>
      </w: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r>
        <w:rPr>
          <w:rFonts w:hint="eastAsia" w:cs="宋体" w:asciiTheme="minorEastAsia" w:hAnsiTheme="minorEastAsia" w:eastAsiaTheme="minorEastAsia"/>
          <w:sz w:val="21"/>
          <w:shd w:val="clear" w:color="auto" w:fill="FFFFFF"/>
        </w:rPr>
        <w:t xml:space="preserve">招标代理人：浙江省三门县工程建设监理有限公司 </w:t>
      </w: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r>
        <w:rPr>
          <w:rFonts w:hint="eastAsia" w:cs="宋体" w:asciiTheme="minorEastAsia" w:hAnsiTheme="minorEastAsia" w:eastAsiaTheme="minorEastAsia"/>
          <w:sz w:val="21"/>
          <w:shd w:val="clear" w:color="auto" w:fill="FFFFFF"/>
        </w:rPr>
        <w:t>联  系  人：倪海微</w:t>
      </w:r>
    </w:p>
    <w:p>
      <w:pPr>
        <w:pStyle w:val="19"/>
        <w:shd w:val="clear" w:color="auto" w:fill="FFFFFF"/>
        <w:adjustRightInd/>
        <w:snapToGrid/>
        <w:spacing w:before="0" w:beforeAutospacing="0" w:after="0" w:afterAutospacing="0" w:line="360" w:lineRule="auto"/>
        <w:ind w:firstLine="420" w:firstLineChars="200"/>
        <w:rPr>
          <w:rFonts w:cs="宋体" w:asciiTheme="minorEastAsia" w:hAnsiTheme="minorEastAsia" w:eastAsiaTheme="minorEastAsia"/>
          <w:sz w:val="21"/>
          <w:shd w:val="clear" w:color="auto" w:fill="FFFFFF"/>
        </w:rPr>
      </w:pPr>
      <w:r>
        <w:rPr>
          <w:rFonts w:hint="eastAsia" w:cs="宋体" w:asciiTheme="minorEastAsia" w:hAnsiTheme="minorEastAsia" w:eastAsiaTheme="minorEastAsia"/>
          <w:sz w:val="21"/>
          <w:shd w:val="clear" w:color="auto" w:fill="FFFFFF"/>
        </w:rPr>
        <w:t>联系电话：0576-83325775</w:t>
      </w:r>
    </w:p>
    <w:p>
      <w:pPr>
        <w:spacing w:line="360" w:lineRule="exact"/>
        <w:jc w:val="both"/>
        <w:rPr>
          <w:rFonts w:asciiTheme="minorEastAsia" w:hAnsiTheme="minorEastAsia" w:eastAsiaTheme="minorEastAsia"/>
        </w:rPr>
      </w:pPr>
    </w:p>
    <w:p>
      <w:pPr>
        <w:pStyle w:val="2"/>
        <w:rPr>
          <w:rFonts w:asciiTheme="minorEastAsia" w:hAnsiTheme="minorEastAsia" w:eastAsiaTheme="minorEastAsia"/>
        </w:rPr>
      </w:pPr>
    </w:p>
    <w:p>
      <w:pPr>
        <w:pStyle w:val="3"/>
        <w:ind w:firstLine="210"/>
        <w:rPr>
          <w:rFonts w:asciiTheme="minorEastAsia" w:hAnsiTheme="minorEastAsia" w:eastAsiaTheme="minorEastAsia"/>
          <w:szCs w:val="21"/>
        </w:rPr>
      </w:pPr>
    </w:p>
    <w:p>
      <w:pPr>
        <w:spacing w:line="360" w:lineRule="exact"/>
        <w:jc w:val="right"/>
        <w:rPr>
          <w:rFonts w:asciiTheme="minorEastAsia" w:hAnsiTheme="minorEastAsia" w:eastAsiaTheme="minorEastAsia"/>
        </w:rPr>
      </w:pPr>
      <w:r>
        <w:rPr>
          <w:rFonts w:hint="eastAsia" w:asciiTheme="minorEastAsia" w:hAnsiTheme="minorEastAsia" w:eastAsiaTheme="minorEastAsia"/>
        </w:rPr>
        <w:t>招标人：</w:t>
      </w:r>
      <w:r>
        <w:rPr>
          <w:rFonts w:hint="eastAsia" w:cs="宋体" w:asciiTheme="minorEastAsia" w:hAnsiTheme="minorEastAsia" w:eastAsiaTheme="minorEastAsia"/>
        </w:rPr>
        <w:t>台州市北部湾区经济开发集团有限公司</w:t>
      </w:r>
    </w:p>
    <w:p>
      <w:pPr>
        <w:spacing w:line="360" w:lineRule="exact"/>
        <w:jc w:val="right"/>
        <w:rPr>
          <w:rFonts w:asciiTheme="minorEastAsia" w:hAnsiTheme="minorEastAsia" w:eastAsiaTheme="minorEastAsia"/>
        </w:rPr>
      </w:pPr>
      <w:r>
        <w:rPr>
          <w:rFonts w:hint="eastAsia" w:asciiTheme="minorEastAsia" w:hAnsiTheme="minorEastAsia" w:eastAsiaTheme="minorEastAsia"/>
        </w:rPr>
        <w:t>招标代理机构：</w:t>
      </w:r>
      <w:r>
        <w:rPr>
          <w:rFonts w:hint="eastAsia" w:cs="宋体" w:asciiTheme="minorEastAsia" w:hAnsiTheme="minorEastAsia" w:eastAsiaTheme="minorEastAsia"/>
          <w:shd w:val="clear" w:color="auto" w:fill="FFFFFF"/>
        </w:rPr>
        <w:t>浙江省三门县工程建设监理有限公司</w:t>
      </w:r>
    </w:p>
    <w:p>
      <w:pPr>
        <w:spacing w:line="360" w:lineRule="exact"/>
        <w:jc w:val="right"/>
        <w:rPr>
          <w:rFonts w:asciiTheme="minorEastAsia" w:hAnsiTheme="minorEastAsia" w:eastAsiaTheme="minorEastAsia"/>
        </w:rPr>
      </w:pPr>
      <w:r>
        <w:rPr>
          <w:rFonts w:hint="eastAsia" w:asciiTheme="minorEastAsia" w:hAnsiTheme="minorEastAsia" w:eastAsiaTheme="minorEastAsia"/>
        </w:rPr>
        <w:t>行业主管部门：</w:t>
      </w:r>
      <w:r>
        <w:rPr>
          <w:rFonts w:asciiTheme="minorEastAsia" w:hAnsiTheme="minorEastAsia" w:eastAsiaTheme="minorEastAsia"/>
        </w:rPr>
        <w:t>三门县</w:t>
      </w:r>
      <w:r>
        <w:rPr>
          <w:rFonts w:hint="eastAsia" w:asciiTheme="minorEastAsia" w:hAnsiTheme="minorEastAsia" w:eastAsiaTheme="minorEastAsia"/>
        </w:rPr>
        <w:t>住房和城乡建设局</w:t>
      </w:r>
    </w:p>
    <w:p>
      <w:pPr>
        <w:wordWrap w:val="0"/>
        <w:spacing w:line="360" w:lineRule="exact"/>
        <w:jc w:val="right"/>
        <w:rPr>
          <w:rFonts w:asciiTheme="minorEastAsia" w:hAnsiTheme="minorEastAsia" w:eastAsiaTheme="minorEastAsia"/>
        </w:rPr>
      </w:pPr>
      <w:r>
        <w:rPr>
          <w:rFonts w:asciiTheme="minorEastAsia" w:hAnsiTheme="minorEastAsia" w:eastAsiaTheme="minorEastAsia"/>
        </w:rPr>
        <w:t>20</w:t>
      </w:r>
      <w:r>
        <w:rPr>
          <w:rFonts w:hint="eastAsia" w:asciiTheme="minorEastAsia" w:hAnsiTheme="minorEastAsia" w:eastAsiaTheme="minorEastAsia"/>
        </w:rPr>
        <w:t>23</w:t>
      </w:r>
      <w:r>
        <w:rPr>
          <w:rFonts w:asciiTheme="minorEastAsia" w:hAnsiTheme="minorEastAsia" w:eastAsiaTheme="minorEastAsia"/>
        </w:rPr>
        <w:t>年</w:t>
      </w:r>
      <w:r>
        <w:rPr>
          <w:rFonts w:hint="eastAsia" w:asciiTheme="minorEastAsia" w:hAnsiTheme="minorEastAsia" w:eastAsiaTheme="minorEastAsia"/>
        </w:rPr>
        <w:t>8</w:t>
      </w:r>
      <w:r>
        <w:rPr>
          <w:rFonts w:asciiTheme="minorEastAsia" w:hAnsiTheme="minorEastAsia" w:eastAsiaTheme="minorEastAsia"/>
        </w:rPr>
        <w:t>月</w:t>
      </w:r>
      <w:r>
        <w:rPr>
          <w:rFonts w:hint="eastAsia" w:asciiTheme="minorEastAsia" w:hAnsiTheme="minorEastAsia" w:eastAsiaTheme="minorEastAsia"/>
        </w:rPr>
        <w:t>3日</w:t>
      </w:r>
      <w:bookmarkStart w:id="38" w:name="_Toc109826643"/>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5"/>
        <w:jc w:val="center"/>
        <w:rPr>
          <w:rFonts w:ascii="黑体" w:hAnsi="黑体" w:cs="黑体"/>
          <w:sz w:val="31"/>
          <w:szCs w:val="31"/>
        </w:rPr>
      </w:pPr>
      <w:r>
        <w:rPr>
          <w:rFonts w:ascii="黑体" w:hAnsi="黑体" w:cs="黑体"/>
          <w:spacing w:val="13"/>
          <w:sz w:val="31"/>
          <w:szCs w:val="31"/>
        </w:rPr>
        <w:t>第</w:t>
      </w:r>
      <w:r>
        <w:rPr>
          <w:rFonts w:ascii="黑体" w:hAnsi="黑体" w:cs="黑体"/>
          <w:spacing w:val="7"/>
          <w:sz w:val="31"/>
          <w:szCs w:val="31"/>
        </w:rPr>
        <w:t>二章 投标人须知</w:t>
      </w:r>
      <w:bookmarkEnd w:id="38"/>
    </w:p>
    <w:p>
      <w:pPr>
        <w:pStyle w:val="6"/>
        <w:spacing w:after="0" w:line="415" w:lineRule="auto"/>
        <w:jc w:val="center"/>
        <w:rPr>
          <w:rFonts w:ascii="黑体" w:hAnsi="黑体" w:eastAsia="黑体" w:cs="黑体"/>
          <w:sz w:val="28"/>
          <w:szCs w:val="28"/>
        </w:rPr>
      </w:pPr>
      <w:bookmarkStart w:id="39" w:name="_Toc109826644"/>
      <w:r>
        <w:rPr>
          <w:rFonts w:ascii="黑体" w:hAnsi="黑体" w:eastAsia="黑体" w:cs="黑体"/>
          <w:spacing w:val="-1"/>
          <w:sz w:val="28"/>
          <w:szCs w:val="28"/>
        </w:rPr>
        <w:t>投标人须知前附</w:t>
      </w:r>
      <w:r>
        <w:rPr>
          <w:rFonts w:ascii="黑体" w:hAnsi="黑体" w:eastAsia="黑体" w:cs="黑体"/>
          <w:sz w:val="28"/>
          <w:szCs w:val="28"/>
        </w:rPr>
        <w:t>表</w:t>
      </w:r>
      <w:bookmarkEnd w:id="39"/>
    </w:p>
    <w:tbl>
      <w:tblPr>
        <w:tblStyle w:val="27"/>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1781"/>
        <w:gridCol w:w="165"/>
        <w:gridCol w:w="69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14" w:type="dxa"/>
            <w:vAlign w:val="center"/>
          </w:tcPr>
          <w:p>
            <w:pPr>
              <w:spacing w:before="37" w:line="225" w:lineRule="auto"/>
              <w:ind w:left="173"/>
              <w:jc w:val="both"/>
              <w:rPr>
                <w:rFonts w:cs="宋体" w:asciiTheme="minorEastAsia" w:hAnsiTheme="minorEastAsia" w:eastAsiaTheme="minorEastAsia"/>
              </w:rPr>
            </w:pPr>
            <w:r>
              <w:rPr>
                <w:rFonts w:cs="宋体" w:asciiTheme="minorEastAsia" w:hAnsiTheme="minorEastAsia" w:eastAsiaTheme="minorEastAsia"/>
                <w:spacing w:val="7"/>
              </w:rPr>
              <w:t>条款号</w:t>
            </w:r>
          </w:p>
        </w:tc>
        <w:tc>
          <w:tcPr>
            <w:tcW w:w="1781" w:type="dxa"/>
            <w:vAlign w:val="center"/>
          </w:tcPr>
          <w:p>
            <w:pPr>
              <w:spacing w:before="37" w:line="225" w:lineRule="auto"/>
              <w:ind w:left="192"/>
              <w:jc w:val="both"/>
              <w:rPr>
                <w:rFonts w:cs="宋体" w:asciiTheme="minorEastAsia" w:hAnsiTheme="minorEastAsia" w:eastAsiaTheme="minorEastAsia"/>
              </w:rPr>
            </w:pPr>
            <w:r>
              <w:rPr>
                <w:rFonts w:cs="宋体" w:asciiTheme="minorEastAsia" w:hAnsiTheme="minorEastAsia" w:eastAsiaTheme="minorEastAsia"/>
                <w:spacing w:val="7"/>
              </w:rPr>
              <w:t>条</w:t>
            </w:r>
            <w:r>
              <w:rPr>
                <w:rFonts w:cs="宋体" w:asciiTheme="minorEastAsia" w:hAnsiTheme="minorEastAsia" w:eastAsiaTheme="minorEastAsia"/>
                <w:spacing w:val="6"/>
              </w:rPr>
              <w:t>款名称</w:t>
            </w:r>
          </w:p>
        </w:tc>
        <w:tc>
          <w:tcPr>
            <w:tcW w:w="7087" w:type="dxa"/>
            <w:gridSpan w:val="2"/>
            <w:vAlign w:val="center"/>
          </w:tcPr>
          <w:p>
            <w:pPr>
              <w:spacing w:before="37" w:line="225" w:lineRule="auto"/>
              <w:ind w:left="2346"/>
              <w:jc w:val="both"/>
              <w:rPr>
                <w:rFonts w:cs="宋体" w:asciiTheme="minorEastAsia" w:hAnsiTheme="minorEastAsia" w:eastAsiaTheme="minorEastAsia"/>
              </w:rPr>
            </w:pPr>
            <w:r>
              <w:rPr>
                <w:rFonts w:cs="宋体" w:asciiTheme="minorEastAsia" w:hAnsiTheme="minorEastAsia" w:eastAsiaTheme="minorEastAsia"/>
                <w:spacing w:val="9"/>
              </w:rPr>
              <w:t>编</w:t>
            </w:r>
            <w:r>
              <w:rPr>
                <w:rFonts w:cs="宋体" w:asciiTheme="minorEastAsia" w:hAnsiTheme="minorEastAsia" w:eastAsiaTheme="minorEastAsia"/>
                <w:spacing w:val="6"/>
              </w:rPr>
              <w:t>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14" w:type="dxa"/>
            <w:vAlign w:val="center"/>
          </w:tcPr>
          <w:p>
            <w:pPr>
              <w:spacing w:line="404" w:lineRule="auto"/>
              <w:jc w:val="both"/>
              <w:rPr>
                <w:rFonts w:asciiTheme="minorEastAsia" w:hAnsiTheme="minorEastAsia" w:eastAsiaTheme="minorEastAsia"/>
              </w:rPr>
            </w:pPr>
          </w:p>
          <w:p>
            <w:pPr>
              <w:spacing w:before="65"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w:t>
            </w:r>
            <w:r>
              <w:rPr>
                <w:rFonts w:cs="宋体" w:asciiTheme="minorEastAsia" w:hAnsiTheme="minorEastAsia" w:eastAsiaTheme="minorEastAsia"/>
                <w:spacing w:val="1"/>
              </w:rPr>
              <w:t>1.2</w:t>
            </w:r>
          </w:p>
        </w:tc>
        <w:tc>
          <w:tcPr>
            <w:tcW w:w="1781" w:type="dxa"/>
            <w:vAlign w:val="center"/>
          </w:tcPr>
          <w:p>
            <w:pPr>
              <w:spacing w:line="372" w:lineRule="auto"/>
              <w:jc w:val="both"/>
              <w:rPr>
                <w:rFonts w:asciiTheme="minorEastAsia" w:hAnsiTheme="minorEastAsia" w:eastAsiaTheme="minorEastAsia"/>
              </w:rPr>
            </w:pPr>
          </w:p>
          <w:p>
            <w:pPr>
              <w:spacing w:before="65" w:line="229" w:lineRule="auto"/>
              <w:ind w:left="611"/>
              <w:jc w:val="both"/>
              <w:rPr>
                <w:rFonts w:cs="宋体" w:asciiTheme="minorEastAsia" w:hAnsiTheme="minorEastAsia" w:eastAsiaTheme="minorEastAsia"/>
              </w:rPr>
            </w:pPr>
            <w:r>
              <w:rPr>
                <w:rFonts w:cs="宋体" w:asciiTheme="minorEastAsia" w:hAnsiTheme="minorEastAsia" w:eastAsiaTheme="minorEastAsia"/>
                <w:spacing w:val="7"/>
              </w:rPr>
              <w:t>招</w:t>
            </w:r>
            <w:r>
              <w:rPr>
                <w:rFonts w:cs="宋体" w:asciiTheme="minorEastAsia" w:hAnsiTheme="minorEastAsia" w:eastAsiaTheme="minorEastAsia"/>
                <w:spacing w:val="6"/>
              </w:rPr>
              <w:t>标人</w:t>
            </w:r>
          </w:p>
        </w:tc>
        <w:tc>
          <w:tcPr>
            <w:tcW w:w="7087" w:type="dxa"/>
            <w:gridSpan w:val="2"/>
            <w:vAlign w:val="center"/>
          </w:tcPr>
          <w:p>
            <w:pPr>
              <w:spacing w:before="31" w:line="231" w:lineRule="auto"/>
              <w:ind w:left="114"/>
              <w:jc w:val="both"/>
              <w:rPr>
                <w:rFonts w:cs="宋体" w:asciiTheme="minorEastAsia" w:hAnsiTheme="minorEastAsia" w:eastAsiaTheme="minorEastAsia"/>
              </w:rPr>
            </w:pPr>
            <w:r>
              <w:rPr>
                <w:rFonts w:cs="宋体" w:asciiTheme="minorEastAsia" w:hAnsiTheme="minorEastAsia" w:eastAsiaTheme="minorEastAsia"/>
                <w:spacing w:val="14"/>
              </w:rPr>
              <w:t>名</w:t>
            </w:r>
            <w:r>
              <w:rPr>
                <w:rFonts w:cs="宋体" w:asciiTheme="minorEastAsia" w:hAnsiTheme="minorEastAsia" w:eastAsiaTheme="minorEastAsia"/>
                <w:spacing w:val="9"/>
              </w:rPr>
              <w:t>称：台州市北部湾区经济开发集团有限公司</w:t>
            </w:r>
          </w:p>
          <w:p>
            <w:pPr>
              <w:spacing w:before="20" w:line="226" w:lineRule="auto"/>
              <w:ind w:left="112"/>
              <w:jc w:val="both"/>
              <w:rPr>
                <w:rFonts w:cs="宋体" w:asciiTheme="minorEastAsia" w:hAnsiTheme="minorEastAsia" w:eastAsiaTheme="minorEastAsia"/>
              </w:rPr>
            </w:pPr>
            <w:r>
              <w:rPr>
                <w:rFonts w:cs="宋体" w:asciiTheme="minorEastAsia" w:hAnsiTheme="minorEastAsia" w:eastAsiaTheme="minorEastAsia"/>
                <w:spacing w:val="6"/>
              </w:rPr>
              <w:t>地址：</w:t>
            </w:r>
            <w:r>
              <w:rPr>
                <w:rFonts w:cs="宋体" w:asciiTheme="minorEastAsia" w:hAnsiTheme="minorEastAsia" w:eastAsiaTheme="minorEastAsia"/>
                <w:spacing w:val="1"/>
              </w:rPr>
              <w:t>三门县环湖东路</w:t>
            </w:r>
            <w:r>
              <w:rPr>
                <w:rFonts w:hint="eastAsia" w:cs="宋体" w:asciiTheme="minorEastAsia" w:hAnsiTheme="minorEastAsia" w:eastAsiaTheme="minorEastAsia"/>
                <w:spacing w:val="1"/>
              </w:rPr>
              <w:t>2号</w:t>
            </w:r>
          </w:p>
          <w:p>
            <w:pPr>
              <w:spacing w:before="28" w:line="231" w:lineRule="auto"/>
              <w:ind w:left="113"/>
              <w:jc w:val="both"/>
              <w:rPr>
                <w:rFonts w:cs="宋体" w:asciiTheme="minorEastAsia" w:hAnsiTheme="minorEastAsia" w:eastAsiaTheme="minorEastAsia"/>
              </w:rPr>
            </w:pPr>
            <w:r>
              <w:rPr>
                <w:rFonts w:cs="宋体" w:asciiTheme="minorEastAsia" w:hAnsiTheme="minorEastAsia" w:eastAsiaTheme="minorEastAsia"/>
                <w:spacing w:val="11"/>
              </w:rPr>
              <w:t>联</w:t>
            </w:r>
            <w:r>
              <w:rPr>
                <w:rFonts w:cs="宋体" w:asciiTheme="minorEastAsia" w:hAnsiTheme="minorEastAsia" w:eastAsiaTheme="minorEastAsia"/>
                <w:spacing w:val="8"/>
              </w:rPr>
              <w:t xml:space="preserve">系人：薛君 </w:t>
            </w:r>
          </w:p>
          <w:p>
            <w:pPr>
              <w:spacing w:before="23" w:line="225" w:lineRule="auto"/>
              <w:ind w:left="136"/>
              <w:jc w:val="both"/>
              <w:rPr>
                <w:rFonts w:cs="宋体" w:asciiTheme="minorEastAsia" w:hAnsiTheme="minorEastAsia" w:eastAsiaTheme="minorEastAsia"/>
              </w:rPr>
            </w:pPr>
            <w:r>
              <w:rPr>
                <w:rFonts w:cs="宋体" w:asciiTheme="minorEastAsia" w:hAnsiTheme="minorEastAsia" w:eastAsiaTheme="minorEastAsia"/>
                <w:spacing w:val="4"/>
              </w:rPr>
              <w:t>电话：</w:t>
            </w:r>
            <w:r>
              <w:rPr>
                <w:rFonts w:hint="eastAsia" w:cs="宋体" w:asciiTheme="minorEastAsia" w:hAnsiTheme="minorEastAsia" w:eastAsiaTheme="minorEastAsia"/>
                <w:spacing w:val="4"/>
              </w:rPr>
              <w:t xml:space="preserve">0576-83318539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914" w:type="dxa"/>
            <w:vAlign w:val="center"/>
          </w:tcPr>
          <w:p>
            <w:pPr>
              <w:spacing w:line="404" w:lineRule="auto"/>
              <w:jc w:val="both"/>
              <w:rPr>
                <w:rFonts w:asciiTheme="minorEastAsia" w:hAnsiTheme="minorEastAsia" w:eastAsiaTheme="minorEastAsia"/>
              </w:rPr>
            </w:pPr>
          </w:p>
          <w:p>
            <w:pPr>
              <w:spacing w:before="65"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1.1</w:t>
            </w:r>
            <w:r>
              <w:rPr>
                <w:rFonts w:cs="宋体" w:asciiTheme="minorEastAsia" w:hAnsiTheme="minorEastAsia" w:eastAsiaTheme="minorEastAsia"/>
                <w:spacing w:val="1"/>
              </w:rPr>
              <w:t>.3</w:t>
            </w:r>
          </w:p>
        </w:tc>
        <w:tc>
          <w:tcPr>
            <w:tcW w:w="1781" w:type="dxa"/>
            <w:vAlign w:val="center"/>
          </w:tcPr>
          <w:p>
            <w:pPr>
              <w:spacing w:line="372" w:lineRule="auto"/>
              <w:jc w:val="both"/>
              <w:rPr>
                <w:rFonts w:asciiTheme="minorEastAsia" w:hAnsiTheme="minorEastAsia" w:eastAsiaTheme="minorEastAsia"/>
              </w:rPr>
            </w:pPr>
          </w:p>
          <w:p>
            <w:pPr>
              <w:spacing w:before="65" w:line="227" w:lineRule="auto"/>
              <w:ind w:left="296"/>
              <w:jc w:val="both"/>
              <w:rPr>
                <w:rFonts w:cs="宋体" w:asciiTheme="minorEastAsia" w:hAnsiTheme="minorEastAsia" w:eastAsiaTheme="minorEastAsia"/>
              </w:rPr>
            </w:pPr>
            <w:r>
              <w:rPr>
                <w:rFonts w:cs="宋体" w:asciiTheme="minorEastAsia" w:hAnsiTheme="minorEastAsia" w:eastAsiaTheme="minorEastAsia"/>
                <w:spacing w:val="8"/>
              </w:rPr>
              <w:t>招标代理机构</w:t>
            </w:r>
          </w:p>
        </w:tc>
        <w:tc>
          <w:tcPr>
            <w:tcW w:w="7087" w:type="dxa"/>
            <w:gridSpan w:val="2"/>
            <w:vAlign w:val="center"/>
          </w:tcPr>
          <w:p>
            <w:pPr>
              <w:spacing w:before="31" w:line="231" w:lineRule="auto"/>
              <w:ind w:left="114"/>
              <w:jc w:val="both"/>
              <w:rPr>
                <w:rFonts w:cs="宋体" w:asciiTheme="minorEastAsia" w:hAnsiTheme="minorEastAsia" w:eastAsiaTheme="minorEastAsia"/>
              </w:rPr>
            </w:pPr>
            <w:r>
              <w:rPr>
                <w:rFonts w:cs="宋体" w:asciiTheme="minorEastAsia" w:hAnsiTheme="minorEastAsia" w:eastAsiaTheme="minorEastAsia"/>
                <w:spacing w:val="10"/>
              </w:rPr>
              <w:t>名</w:t>
            </w:r>
            <w:r>
              <w:rPr>
                <w:rFonts w:cs="宋体" w:asciiTheme="minorEastAsia" w:hAnsiTheme="minorEastAsia" w:eastAsiaTheme="minorEastAsia"/>
                <w:spacing w:val="9"/>
              </w:rPr>
              <w:t>称：浙江省三门县工程建设监理有限公司</w:t>
            </w:r>
          </w:p>
          <w:p>
            <w:pPr>
              <w:spacing w:before="20" w:line="226" w:lineRule="auto"/>
              <w:ind w:left="112"/>
              <w:jc w:val="both"/>
              <w:rPr>
                <w:rFonts w:cs="宋体" w:asciiTheme="minorEastAsia" w:hAnsiTheme="minorEastAsia" w:eastAsiaTheme="minorEastAsia"/>
              </w:rPr>
            </w:pPr>
            <w:r>
              <w:rPr>
                <w:rFonts w:cs="宋体" w:asciiTheme="minorEastAsia" w:hAnsiTheme="minorEastAsia" w:eastAsiaTheme="minorEastAsia"/>
                <w:spacing w:val="1"/>
              </w:rPr>
              <w:t>地址：三门县环湖南路</w:t>
            </w:r>
            <w:r>
              <w:rPr>
                <w:rFonts w:hint="eastAsia" w:cs="宋体" w:asciiTheme="minorEastAsia" w:hAnsiTheme="minorEastAsia" w:eastAsiaTheme="minorEastAsia"/>
                <w:spacing w:val="1"/>
              </w:rPr>
              <w:t>39-14</w:t>
            </w:r>
          </w:p>
          <w:p>
            <w:pPr>
              <w:spacing w:before="28" w:line="231" w:lineRule="auto"/>
              <w:ind w:left="113"/>
              <w:jc w:val="both"/>
              <w:rPr>
                <w:rFonts w:cs="宋体" w:asciiTheme="minorEastAsia" w:hAnsiTheme="minorEastAsia" w:eastAsiaTheme="minorEastAsia"/>
              </w:rPr>
            </w:pPr>
            <w:r>
              <w:rPr>
                <w:rFonts w:cs="宋体" w:asciiTheme="minorEastAsia" w:hAnsiTheme="minorEastAsia" w:eastAsiaTheme="minorEastAsia"/>
                <w:spacing w:val="8"/>
              </w:rPr>
              <w:t>联系人：倪海微</w:t>
            </w:r>
          </w:p>
          <w:p>
            <w:pPr>
              <w:spacing w:before="21" w:line="226" w:lineRule="auto"/>
              <w:ind w:left="136"/>
              <w:jc w:val="both"/>
              <w:rPr>
                <w:rFonts w:cs="宋体" w:asciiTheme="minorEastAsia" w:hAnsiTheme="minorEastAsia" w:eastAsiaTheme="minorEastAsia"/>
              </w:rPr>
            </w:pPr>
            <w:r>
              <w:rPr>
                <w:rFonts w:cs="宋体" w:asciiTheme="minorEastAsia" w:hAnsiTheme="minorEastAsia" w:eastAsiaTheme="minorEastAsia"/>
                <w:spacing w:val="4"/>
              </w:rPr>
              <w:t>电话：0576-8332</w:t>
            </w:r>
            <w:r>
              <w:rPr>
                <w:rFonts w:hint="eastAsia" w:cs="宋体" w:asciiTheme="minorEastAsia" w:hAnsiTheme="minorEastAsia" w:eastAsiaTheme="minorEastAsia"/>
                <w:spacing w:val="4"/>
              </w:rPr>
              <w:t>5775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 w:hRule="atLeast"/>
        </w:trPr>
        <w:tc>
          <w:tcPr>
            <w:tcW w:w="914" w:type="dxa"/>
            <w:vAlign w:val="center"/>
          </w:tcPr>
          <w:p>
            <w:pPr>
              <w:spacing w:before="149" w:line="193" w:lineRule="auto"/>
              <w:ind w:left="240"/>
              <w:jc w:val="both"/>
              <w:rPr>
                <w:rFonts w:cs="宋体" w:asciiTheme="minorEastAsia" w:hAnsiTheme="minorEastAsia" w:eastAsiaTheme="minorEastAsia"/>
              </w:rPr>
            </w:pPr>
            <w:r>
              <w:rPr>
                <w:rFonts w:cs="宋体" w:asciiTheme="minorEastAsia" w:hAnsiTheme="minorEastAsia" w:eastAsiaTheme="minorEastAsia"/>
              </w:rPr>
              <w:t>1.1.4</w:t>
            </w:r>
          </w:p>
        </w:tc>
        <w:tc>
          <w:tcPr>
            <w:tcW w:w="1781" w:type="dxa"/>
            <w:vAlign w:val="center"/>
          </w:tcPr>
          <w:p>
            <w:pPr>
              <w:spacing w:before="117" w:line="229" w:lineRule="auto"/>
              <w:ind w:left="507"/>
              <w:jc w:val="both"/>
              <w:rPr>
                <w:rFonts w:cs="宋体" w:asciiTheme="minorEastAsia" w:hAnsiTheme="minorEastAsia" w:eastAsiaTheme="minorEastAsia"/>
              </w:rPr>
            </w:pPr>
            <w:r>
              <w:rPr>
                <w:rFonts w:cs="宋体" w:asciiTheme="minorEastAsia" w:hAnsiTheme="minorEastAsia" w:eastAsiaTheme="minorEastAsia"/>
                <w:spacing w:val="9"/>
              </w:rPr>
              <w:t>工</w:t>
            </w:r>
            <w:r>
              <w:rPr>
                <w:rFonts w:cs="宋体" w:asciiTheme="minorEastAsia" w:hAnsiTheme="minorEastAsia" w:eastAsiaTheme="minorEastAsia"/>
                <w:spacing w:val="6"/>
              </w:rPr>
              <w:t>程名称</w:t>
            </w:r>
          </w:p>
        </w:tc>
        <w:tc>
          <w:tcPr>
            <w:tcW w:w="7087" w:type="dxa"/>
            <w:gridSpan w:val="2"/>
            <w:vAlign w:val="center"/>
          </w:tcPr>
          <w:p>
            <w:pPr>
              <w:spacing w:before="117" w:line="225" w:lineRule="auto"/>
              <w:ind w:left="128"/>
              <w:jc w:val="both"/>
              <w:rPr>
                <w:rFonts w:cs="宋体" w:asciiTheme="minorEastAsia" w:hAnsiTheme="minorEastAsia" w:eastAsiaTheme="minorEastAsia"/>
              </w:rPr>
            </w:pPr>
            <w:r>
              <w:rPr>
                <w:rFonts w:hint="eastAsia" w:cs="宋体" w:asciiTheme="minorEastAsia" w:hAnsiTheme="minorEastAsia" w:eastAsiaTheme="minorEastAsia"/>
              </w:rPr>
              <w:t>三门县绿色智慧停车项目-道路停车位改造照明提升工程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914" w:type="dxa"/>
            <w:vAlign w:val="center"/>
          </w:tcPr>
          <w:p>
            <w:pPr>
              <w:spacing w:before="232"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1.1</w:t>
            </w:r>
            <w:r>
              <w:rPr>
                <w:rFonts w:cs="宋体" w:asciiTheme="minorEastAsia" w:hAnsiTheme="minorEastAsia" w:eastAsiaTheme="minorEastAsia"/>
                <w:spacing w:val="1"/>
              </w:rPr>
              <w:t>.5</w:t>
            </w:r>
          </w:p>
        </w:tc>
        <w:tc>
          <w:tcPr>
            <w:tcW w:w="1781" w:type="dxa"/>
            <w:vAlign w:val="center"/>
          </w:tcPr>
          <w:p>
            <w:pPr>
              <w:spacing w:before="201" w:line="229" w:lineRule="auto"/>
              <w:ind w:left="507"/>
              <w:jc w:val="both"/>
              <w:rPr>
                <w:rFonts w:cs="宋体" w:asciiTheme="minorEastAsia" w:hAnsiTheme="minorEastAsia" w:eastAsiaTheme="minorEastAsia"/>
              </w:rPr>
            </w:pPr>
            <w:r>
              <w:rPr>
                <w:rFonts w:cs="宋体" w:asciiTheme="minorEastAsia" w:hAnsiTheme="minorEastAsia" w:eastAsiaTheme="minorEastAsia"/>
                <w:spacing w:val="9"/>
              </w:rPr>
              <w:t>建</w:t>
            </w:r>
            <w:r>
              <w:rPr>
                <w:rFonts w:cs="宋体" w:asciiTheme="minorEastAsia" w:hAnsiTheme="minorEastAsia" w:eastAsiaTheme="minorEastAsia"/>
                <w:spacing w:val="6"/>
              </w:rPr>
              <w:t>设地点</w:t>
            </w:r>
          </w:p>
        </w:tc>
        <w:tc>
          <w:tcPr>
            <w:tcW w:w="7087" w:type="dxa"/>
            <w:gridSpan w:val="2"/>
            <w:vAlign w:val="center"/>
          </w:tcPr>
          <w:p>
            <w:pPr>
              <w:spacing w:before="201" w:line="228" w:lineRule="auto"/>
              <w:ind w:left="114"/>
              <w:jc w:val="both"/>
              <w:rPr>
                <w:rFonts w:cs="宋体" w:asciiTheme="minorEastAsia" w:hAnsiTheme="minorEastAsia" w:eastAsiaTheme="minorEastAsia"/>
              </w:rPr>
            </w:pPr>
            <w:r>
              <w:rPr>
                <w:rFonts w:cs="宋体" w:asciiTheme="minorEastAsia" w:hAnsiTheme="minorEastAsia" w:eastAsiaTheme="minorEastAsia"/>
                <w:spacing w:val="11"/>
              </w:rPr>
              <w:t>三门县大湖塘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trPr>
        <w:tc>
          <w:tcPr>
            <w:tcW w:w="914" w:type="dxa"/>
            <w:vAlign w:val="center"/>
          </w:tcPr>
          <w:p>
            <w:pPr>
              <w:spacing w:before="264" w:line="193" w:lineRule="auto"/>
              <w:ind w:left="240"/>
              <w:jc w:val="both"/>
              <w:rPr>
                <w:rFonts w:cs="宋体" w:asciiTheme="minorEastAsia" w:hAnsiTheme="minorEastAsia" w:eastAsiaTheme="minorEastAsia"/>
              </w:rPr>
            </w:pPr>
            <w:r>
              <w:rPr>
                <w:rFonts w:cs="宋体" w:asciiTheme="minorEastAsia" w:hAnsiTheme="minorEastAsia" w:eastAsiaTheme="minorEastAsia"/>
                <w:spacing w:val="4"/>
              </w:rPr>
              <w:t>1.2.</w:t>
            </w:r>
            <w:r>
              <w:rPr>
                <w:rFonts w:cs="宋体" w:asciiTheme="minorEastAsia" w:hAnsiTheme="minorEastAsia" w:eastAsiaTheme="minorEastAsia"/>
                <w:spacing w:val="3"/>
              </w:rPr>
              <w:t>1</w:t>
            </w:r>
          </w:p>
        </w:tc>
        <w:tc>
          <w:tcPr>
            <w:tcW w:w="1781" w:type="dxa"/>
            <w:vAlign w:val="center"/>
          </w:tcPr>
          <w:p>
            <w:pPr>
              <w:spacing w:before="95" w:line="274" w:lineRule="exact"/>
              <w:ind w:left="408"/>
              <w:jc w:val="both"/>
              <w:rPr>
                <w:rFonts w:cs="宋体" w:asciiTheme="minorEastAsia" w:hAnsiTheme="minorEastAsia" w:eastAsiaTheme="minorEastAsia"/>
              </w:rPr>
            </w:pPr>
            <w:r>
              <w:rPr>
                <w:rFonts w:cs="宋体" w:asciiTheme="minorEastAsia" w:hAnsiTheme="minorEastAsia" w:eastAsiaTheme="minorEastAsia"/>
                <w:spacing w:val="7"/>
                <w:position w:val="4"/>
              </w:rPr>
              <w:t>资</w:t>
            </w:r>
            <w:r>
              <w:rPr>
                <w:rFonts w:cs="宋体" w:asciiTheme="minorEastAsia" w:hAnsiTheme="minorEastAsia" w:eastAsiaTheme="minorEastAsia"/>
                <w:spacing w:val="6"/>
                <w:position w:val="4"/>
              </w:rPr>
              <w:t>金来源及</w:t>
            </w:r>
          </w:p>
          <w:p>
            <w:pPr>
              <w:spacing w:before="1" w:line="226" w:lineRule="auto"/>
              <w:ind w:left="522"/>
              <w:jc w:val="both"/>
              <w:rPr>
                <w:rFonts w:cs="宋体" w:asciiTheme="minorEastAsia" w:hAnsiTheme="minorEastAsia" w:eastAsiaTheme="minorEastAsia"/>
              </w:rPr>
            </w:pPr>
            <w:r>
              <w:rPr>
                <w:rFonts w:cs="宋体" w:asciiTheme="minorEastAsia" w:hAnsiTheme="minorEastAsia" w:eastAsiaTheme="minorEastAsia"/>
                <w:spacing w:val="3"/>
              </w:rPr>
              <w:t>出资比</w:t>
            </w:r>
            <w:r>
              <w:rPr>
                <w:rFonts w:cs="宋体" w:asciiTheme="minorEastAsia" w:hAnsiTheme="minorEastAsia" w:eastAsiaTheme="minorEastAsia"/>
                <w:spacing w:val="2"/>
              </w:rPr>
              <w:t>例</w:t>
            </w:r>
          </w:p>
        </w:tc>
        <w:tc>
          <w:tcPr>
            <w:tcW w:w="7087" w:type="dxa"/>
            <w:gridSpan w:val="2"/>
            <w:vAlign w:val="center"/>
          </w:tcPr>
          <w:p>
            <w:pPr>
              <w:spacing w:before="201" w:line="228" w:lineRule="auto"/>
              <w:ind w:left="114"/>
              <w:jc w:val="both"/>
              <w:rPr>
                <w:rFonts w:cs="宋体" w:asciiTheme="minorEastAsia" w:hAnsiTheme="minorEastAsia" w:eastAsiaTheme="minorEastAsia"/>
              </w:rPr>
            </w:pPr>
            <w:r>
              <w:rPr>
                <w:rFonts w:cs="宋体" w:asciiTheme="minorEastAsia" w:hAnsiTheme="minorEastAsia" w:eastAsiaTheme="minorEastAsia"/>
                <w:spacing w:val="1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 w:hRule="atLeast"/>
        </w:trPr>
        <w:tc>
          <w:tcPr>
            <w:tcW w:w="914" w:type="dxa"/>
            <w:vAlign w:val="center"/>
          </w:tcPr>
          <w:p>
            <w:pPr>
              <w:spacing w:before="149"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w:t>
            </w:r>
            <w:r>
              <w:rPr>
                <w:rFonts w:cs="宋体" w:asciiTheme="minorEastAsia" w:hAnsiTheme="minorEastAsia" w:eastAsiaTheme="minorEastAsia"/>
                <w:spacing w:val="1"/>
              </w:rPr>
              <w:t>2.2</w:t>
            </w:r>
          </w:p>
        </w:tc>
        <w:tc>
          <w:tcPr>
            <w:tcW w:w="1781" w:type="dxa"/>
            <w:vAlign w:val="center"/>
          </w:tcPr>
          <w:p>
            <w:pPr>
              <w:spacing w:before="117" w:line="225" w:lineRule="auto"/>
              <w:ind w:left="304"/>
              <w:jc w:val="both"/>
              <w:rPr>
                <w:rFonts w:cs="宋体" w:asciiTheme="minorEastAsia" w:hAnsiTheme="minorEastAsia" w:eastAsiaTheme="minorEastAsia"/>
              </w:rPr>
            </w:pPr>
            <w:r>
              <w:rPr>
                <w:rFonts w:cs="宋体" w:asciiTheme="minorEastAsia" w:hAnsiTheme="minorEastAsia" w:eastAsiaTheme="minorEastAsia"/>
                <w:spacing w:val="10"/>
              </w:rPr>
              <w:t>资</w:t>
            </w:r>
            <w:r>
              <w:rPr>
                <w:rFonts w:cs="宋体" w:asciiTheme="minorEastAsia" w:hAnsiTheme="minorEastAsia" w:eastAsiaTheme="minorEastAsia"/>
                <w:spacing w:val="6"/>
              </w:rPr>
              <w:t>金落实情况</w:t>
            </w:r>
          </w:p>
        </w:tc>
        <w:tc>
          <w:tcPr>
            <w:tcW w:w="7087" w:type="dxa"/>
            <w:gridSpan w:val="2"/>
            <w:vAlign w:val="center"/>
          </w:tcPr>
          <w:p>
            <w:pPr>
              <w:spacing w:before="117" w:line="225" w:lineRule="auto"/>
              <w:ind w:left="135"/>
              <w:jc w:val="both"/>
              <w:rPr>
                <w:rFonts w:cs="宋体" w:asciiTheme="minorEastAsia" w:hAnsiTheme="minorEastAsia" w:eastAsiaTheme="minorEastAsia"/>
              </w:rPr>
            </w:pPr>
            <w:r>
              <w:rPr>
                <w:rFonts w:cs="宋体" w:asciiTheme="minorEastAsia" w:hAnsiTheme="minorEastAsia" w:eastAsiaTheme="minorEastAsia"/>
                <w:spacing w:val="-1"/>
              </w:rPr>
              <w:t>已落</w:t>
            </w:r>
            <w:r>
              <w:rPr>
                <w:rFonts w:cs="宋体" w:asciiTheme="minorEastAsia" w:hAnsiTheme="minorEastAsia" w:eastAsiaTheme="minorEastAsia"/>
              </w:rPr>
              <w:t>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14" w:type="dxa"/>
            <w:vAlign w:val="center"/>
          </w:tcPr>
          <w:p>
            <w:pPr>
              <w:spacing w:before="65" w:line="193" w:lineRule="auto"/>
              <w:ind w:firstLine="218" w:firstLineChars="100"/>
              <w:jc w:val="both"/>
              <w:rPr>
                <w:rFonts w:cs="宋体" w:asciiTheme="minorEastAsia" w:hAnsiTheme="minorEastAsia" w:eastAsiaTheme="minorEastAsia"/>
              </w:rPr>
            </w:pPr>
            <w:r>
              <w:rPr>
                <w:rFonts w:cs="宋体" w:asciiTheme="minorEastAsia" w:hAnsiTheme="minorEastAsia" w:eastAsiaTheme="minorEastAsia"/>
                <w:spacing w:val="4"/>
              </w:rPr>
              <w:t>1.3.</w:t>
            </w:r>
            <w:r>
              <w:rPr>
                <w:rFonts w:cs="宋体" w:asciiTheme="minorEastAsia" w:hAnsiTheme="minorEastAsia" w:eastAsiaTheme="minorEastAsia"/>
                <w:spacing w:val="3"/>
              </w:rPr>
              <w:t>1</w:t>
            </w:r>
          </w:p>
        </w:tc>
        <w:tc>
          <w:tcPr>
            <w:tcW w:w="1781" w:type="dxa"/>
            <w:vAlign w:val="center"/>
          </w:tcPr>
          <w:p>
            <w:pPr>
              <w:spacing w:before="65" w:line="267" w:lineRule="auto"/>
              <w:ind w:right="326"/>
              <w:jc w:val="both"/>
              <w:rPr>
                <w:rFonts w:cs="宋体" w:asciiTheme="minorEastAsia" w:hAnsiTheme="minorEastAsia" w:eastAsiaTheme="minorEastAsia"/>
              </w:rPr>
            </w:pPr>
            <w:r>
              <w:rPr>
                <w:rFonts w:cs="宋体" w:asciiTheme="minorEastAsia" w:hAnsiTheme="minorEastAsia" w:eastAsiaTheme="minorEastAsia"/>
              </w:rPr>
              <w:t xml:space="preserve"> </w:t>
            </w:r>
            <w:r>
              <w:rPr>
                <w:rFonts w:hint="eastAsia" w:cs="宋体" w:asciiTheme="minorEastAsia" w:hAnsiTheme="minorEastAsia" w:eastAsiaTheme="minorEastAsia"/>
              </w:rPr>
              <w:t xml:space="preserve">   </w:t>
            </w:r>
            <w:r>
              <w:rPr>
                <w:rFonts w:cs="宋体" w:asciiTheme="minorEastAsia" w:hAnsiTheme="minorEastAsia" w:eastAsiaTheme="minorEastAsia"/>
                <w:spacing w:val="7"/>
              </w:rPr>
              <w:t>招标范围</w:t>
            </w:r>
          </w:p>
        </w:tc>
        <w:tc>
          <w:tcPr>
            <w:tcW w:w="7087" w:type="dxa"/>
            <w:gridSpan w:val="2"/>
            <w:vAlign w:val="center"/>
          </w:tcPr>
          <w:p>
            <w:pPr>
              <w:spacing w:before="2" w:line="244" w:lineRule="auto"/>
              <w:ind w:left="111" w:right="107" w:firstLine="1"/>
              <w:jc w:val="both"/>
              <w:rPr>
                <w:rFonts w:cs="宋体" w:asciiTheme="minorEastAsia" w:hAnsiTheme="minorEastAsia" w:eastAsiaTheme="minorEastAsia"/>
              </w:rPr>
            </w:pPr>
            <w:r>
              <w:rPr>
                <w:rFonts w:hint="eastAsia" w:cs="Times New Roman" w:asciiTheme="minorEastAsia" w:hAnsiTheme="minorEastAsia" w:eastAsiaTheme="minorEastAsia"/>
                <w:bCs/>
              </w:rPr>
              <w:t>主要包括</w:t>
            </w:r>
            <w:r>
              <w:rPr>
                <w:rFonts w:hint="eastAsia" w:ascii="宋体" w:hAnsi="宋体" w:eastAsia="宋体" w:cs="Times New Roman"/>
                <w:lang w:val="zh-CN"/>
              </w:rPr>
              <w:t>水幕电影、</w:t>
            </w:r>
            <w:r>
              <w:rPr>
                <w:rFonts w:hint="eastAsia" w:ascii="宋体" w:hAnsi="宋体" w:eastAsia="宋体" w:cs="Times New Roman"/>
              </w:rPr>
              <w:t>景观亮化</w:t>
            </w:r>
            <w:r>
              <w:rPr>
                <w:rFonts w:hint="eastAsia" w:ascii="宋体" w:hAnsi="宋体" w:eastAsia="宋体" w:cs="Times New Roman"/>
                <w:lang w:val="zh-CN"/>
              </w:rPr>
              <w:t>及</w:t>
            </w:r>
            <w:r>
              <w:rPr>
                <w:rFonts w:hint="eastAsia" w:ascii="宋体" w:hAnsi="宋体" w:eastAsia="宋体" w:cs="Times New Roman"/>
              </w:rPr>
              <w:t>建筑</w:t>
            </w:r>
            <w:r>
              <w:rPr>
                <w:rFonts w:hint="eastAsia" w:ascii="宋体" w:hAnsi="宋体" w:eastAsia="宋体" w:cs="Times New Roman"/>
                <w:lang w:val="zh-CN"/>
              </w:rPr>
              <w:t>亮化工程</w:t>
            </w:r>
            <w:r>
              <w:rPr>
                <w:rFonts w:hint="eastAsia" w:cs="Times New Roman" w:asciiTheme="minorEastAsia" w:hAnsiTheme="minorEastAsia" w:eastAsiaTheme="minorEastAsia"/>
                <w:bCs/>
              </w:rPr>
              <w:t>等内</w:t>
            </w:r>
            <w:r>
              <w:rPr>
                <w:rFonts w:hint="eastAsia" w:cs="Times New Roman" w:asciiTheme="minorEastAsia" w:hAnsiTheme="minorEastAsia" w:eastAsiaTheme="minorEastAsia"/>
                <w:bCs/>
                <w:color w:val="000000" w:themeColor="text1"/>
                <w14:textFill>
                  <w14:solidFill>
                    <w14:schemeClr w14:val="tx1"/>
                  </w14:solidFill>
                </w14:textFill>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14" w:type="dxa"/>
            <w:vAlign w:val="center"/>
          </w:tcPr>
          <w:p>
            <w:pPr>
              <w:spacing w:before="257"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w:t>
            </w:r>
            <w:r>
              <w:rPr>
                <w:rFonts w:cs="宋体" w:asciiTheme="minorEastAsia" w:hAnsiTheme="minorEastAsia" w:eastAsiaTheme="minorEastAsia"/>
                <w:spacing w:val="1"/>
              </w:rPr>
              <w:t>3.2</w:t>
            </w:r>
          </w:p>
        </w:tc>
        <w:tc>
          <w:tcPr>
            <w:tcW w:w="1781" w:type="dxa"/>
            <w:vAlign w:val="center"/>
          </w:tcPr>
          <w:p>
            <w:pPr>
              <w:spacing w:before="226" w:line="229" w:lineRule="auto"/>
              <w:ind w:left="507"/>
              <w:jc w:val="both"/>
              <w:rPr>
                <w:rFonts w:cs="宋体" w:asciiTheme="minorEastAsia" w:hAnsiTheme="minorEastAsia" w:eastAsiaTheme="minorEastAsia"/>
              </w:rPr>
            </w:pPr>
            <w:r>
              <w:rPr>
                <w:rFonts w:cs="宋体" w:asciiTheme="minorEastAsia" w:hAnsiTheme="minorEastAsia" w:eastAsiaTheme="minorEastAsia"/>
                <w:spacing w:val="9"/>
              </w:rPr>
              <w:t>工</w:t>
            </w:r>
            <w:r>
              <w:rPr>
                <w:rFonts w:cs="宋体" w:asciiTheme="minorEastAsia" w:hAnsiTheme="minorEastAsia" w:eastAsiaTheme="minorEastAsia"/>
                <w:spacing w:val="6"/>
              </w:rPr>
              <w:t>期要求</w:t>
            </w:r>
          </w:p>
        </w:tc>
        <w:tc>
          <w:tcPr>
            <w:tcW w:w="7087" w:type="dxa"/>
            <w:gridSpan w:val="2"/>
            <w:vAlign w:val="center"/>
          </w:tcPr>
          <w:p>
            <w:pPr>
              <w:spacing w:before="226" w:line="229" w:lineRule="auto"/>
              <w:ind w:left="115"/>
              <w:jc w:val="both"/>
              <w:rPr>
                <w:rFonts w:cs="宋体" w:asciiTheme="minorEastAsia" w:hAnsiTheme="minorEastAsia" w:eastAsiaTheme="minorEastAsia"/>
              </w:rPr>
            </w:pPr>
            <w:r>
              <w:rPr>
                <w:rFonts w:hint="eastAsia" w:cs="宋体" w:asciiTheme="minorEastAsia" w:hAnsiTheme="minorEastAsia" w:eastAsiaTheme="minorEastAsia"/>
                <w:shd w:val="clear" w:color="auto" w:fill="FFFFFF"/>
              </w:rPr>
              <w:t>不超过50日历天</w:t>
            </w:r>
            <w:r>
              <w:rPr>
                <w:rFonts w:asciiTheme="minorEastAsia" w:hAnsiTheme="minorEastAsia" w:eastAsiaTheme="minorEastAsia"/>
              </w:rPr>
              <w:t>（投标人在投标文件中必须明确工期天数）</w:t>
            </w:r>
            <w:r>
              <w:rPr>
                <w:rFonts w:hint="eastAsia" w:asciiTheme="minorEastAsia" w:hAnsiTheme="minorEastAsia" w:eastAsiaTheme="minor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 w:hRule="atLeast"/>
        </w:trPr>
        <w:tc>
          <w:tcPr>
            <w:tcW w:w="914" w:type="dxa"/>
            <w:vAlign w:val="center"/>
          </w:tcPr>
          <w:p>
            <w:pPr>
              <w:spacing w:before="233"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1.3</w:t>
            </w:r>
            <w:r>
              <w:rPr>
                <w:rFonts w:cs="宋体" w:asciiTheme="minorEastAsia" w:hAnsiTheme="minorEastAsia" w:eastAsiaTheme="minorEastAsia"/>
                <w:spacing w:val="1"/>
              </w:rPr>
              <w:t>.3</w:t>
            </w:r>
          </w:p>
        </w:tc>
        <w:tc>
          <w:tcPr>
            <w:tcW w:w="1781" w:type="dxa"/>
            <w:vAlign w:val="center"/>
          </w:tcPr>
          <w:p>
            <w:pPr>
              <w:spacing w:before="201" w:line="229" w:lineRule="auto"/>
              <w:ind w:left="505"/>
              <w:jc w:val="both"/>
              <w:rPr>
                <w:rFonts w:cs="宋体" w:asciiTheme="minorEastAsia" w:hAnsiTheme="minorEastAsia" w:eastAsiaTheme="minorEastAsia"/>
              </w:rPr>
            </w:pPr>
            <w:r>
              <w:rPr>
                <w:rFonts w:cs="宋体" w:asciiTheme="minorEastAsia" w:hAnsiTheme="minorEastAsia" w:eastAsiaTheme="minorEastAsia"/>
                <w:spacing w:val="7"/>
              </w:rPr>
              <w:t>质量要求</w:t>
            </w:r>
          </w:p>
        </w:tc>
        <w:tc>
          <w:tcPr>
            <w:tcW w:w="7087" w:type="dxa"/>
            <w:gridSpan w:val="2"/>
            <w:vAlign w:val="center"/>
          </w:tcPr>
          <w:p>
            <w:pPr>
              <w:spacing w:before="201" w:line="228" w:lineRule="auto"/>
              <w:ind w:left="113"/>
              <w:jc w:val="both"/>
              <w:rPr>
                <w:rFonts w:cs="宋体" w:asciiTheme="minorEastAsia" w:hAnsiTheme="minorEastAsia" w:eastAsiaTheme="minorEastAsia"/>
              </w:rPr>
            </w:pPr>
            <w:r>
              <w:rPr>
                <w:rFonts w:cs="宋体" w:asciiTheme="minorEastAsia" w:hAnsiTheme="minorEastAsia" w:eastAsiaTheme="minorEastAsia"/>
                <w:spacing w:val="4"/>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4" w:type="dxa"/>
            <w:vAlign w:val="center"/>
          </w:tcPr>
          <w:p>
            <w:pPr>
              <w:spacing w:line="265" w:lineRule="auto"/>
              <w:jc w:val="both"/>
              <w:rPr>
                <w:rFonts w:asciiTheme="minorEastAsia" w:hAnsiTheme="minorEastAsia" w:eastAsiaTheme="minorEastAsia"/>
              </w:rPr>
            </w:pPr>
          </w:p>
          <w:p>
            <w:pPr>
              <w:spacing w:line="266" w:lineRule="auto"/>
              <w:jc w:val="both"/>
              <w:rPr>
                <w:rFonts w:asciiTheme="minorEastAsia" w:hAnsiTheme="minorEastAsia" w:eastAsiaTheme="minorEastAsia"/>
              </w:rPr>
            </w:pPr>
          </w:p>
          <w:p>
            <w:pPr>
              <w:spacing w:before="65" w:line="193" w:lineRule="auto"/>
              <w:ind w:left="240"/>
              <w:jc w:val="both"/>
              <w:rPr>
                <w:rFonts w:cs="宋体" w:asciiTheme="minorEastAsia" w:hAnsiTheme="minorEastAsia" w:eastAsiaTheme="minorEastAsia"/>
              </w:rPr>
            </w:pPr>
            <w:r>
              <w:rPr>
                <w:rFonts w:cs="宋体" w:asciiTheme="minorEastAsia" w:hAnsiTheme="minorEastAsia" w:eastAsiaTheme="minorEastAsia"/>
                <w:spacing w:val="4"/>
              </w:rPr>
              <w:t>1.4.</w:t>
            </w:r>
            <w:r>
              <w:rPr>
                <w:rFonts w:cs="宋体" w:asciiTheme="minorEastAsia" w:hAnsiTheme="minorEastAsia" w:eastAsiaTheme="minorEastAsia"/>
                <w:spacing w:val="3"/>
              </w:rPr>
              <w:t>1</w:t>
            </w:r>
          </w:p>
        </w:tc>
        <w:tc>
          <w:tcPr>
            <w:tcW w:w="1781" w:type="dxa"/>
            <w:vAlign w:val="center"/>
          </w:tcPr>
          <w:p>
            <w:pPr>
              <w:spacing w:before="295" w:line="260" w:lineRule="auto"/>
              <w:ind w:left="190" w:right="88" w:hanging="77"/>
              <w:jc w:val="both"/>
              <w:rPr>
                <w:rFonts w:cs="宋体" w:asciiTheme="minorEastAsia" w:hAnsiTheme="minorEastAsia" w:eastAsiaTheme="minorEastAsia"/>
              </w:rPr>
            </w:pPr>
            <w:r>
              <w:rPr>
                <w:rFonts w:cs="宋体" w:asciiTheme="minorEastAsia" w:hAnsiTheme="minorEastAsia" w:eastAsiaTheme="minorEastAsia"/>
                <w:spacing w:val="6"/>
              </w:rPr>
              <w:t>投</w:t>
            </w:r>
            <w:r>
              <w:rPr>
                <w:rFonts w:cs="宋体" w:asciiTheme="minorEastAsia" w:hAnsiTheme="minorEastAsia" w:eastAsiaTheme="minorEastAsia"/>
                <w:spacing w:val="4"/>
              </w:rPr>
              <w:t>标人资质条件、</w:t>
            </w:r>
            <w:r>
              <w:rPr>
                <w:rFonts w:cs="宋体" w:asciiTheme="minorEastAsia" w:hAnsiTheme="minorEastAsia" w:eastAsiaTheme="minorEastAsia"/>
                <w:spacing w:val="11"/>
              </w:rPr>
              <w:t>项</w:t>
            </w:r>
            <w:r>
              <w:rPr>
                <w:rFonts w:cs="宋体" w:asciiTheme="minorEastAsia" w:hAnsiTheme="minorEastAsia" w:eastAsiaTheme="minorEastAsia"/>
                <w:spacing w:val="8"/>
              </w:rPr>
              <w:t>目负责人资格</w:t>
            </w:r>
            <w:r>
              <w:rPr>
                <w:rFonts w:cs="宋体" w:asciiTheme="minorEastAsia" w:hAnsiTheme="minorEastAsia" w:eastAsiaTheme="minorEastAsia"/>
                <w:spacing w:val="11"/>
              </w:rPr>
              <w:t>要</w:t>
            </w:r>
            <w:r>
              <w:rPr>
                <w:rFonts w:cs="宋体" w:asciiTheme="minorEastAsia" w:hAnsiTheme="minorEastAsia" w:eastAsiaTheme="minorEastAsia"/>
                <w:spacing w:val="8"/>
              </w:rPr>
              <w:t>求和其他等求</w:t>
            </w:r>
          </w:p>
        </w:tc>
        <w:tc>
          <w:tcPr>
            <w:tcW w:w="7087" w:type="dxa"/>
            <w:gridSpan w:val="2"/>
            <w:vAlign w:val="center"/>
          </w:tcPr>
          <w:p>
            <w:pPr>
              <w:spacing w:before="150" w:line="228" w:lineRule="auto"/>
              <w:ind w:left="115"/>
              <w:jc w:val="both"/>
              <w:rPr>
                <w:rFonts w:cs="宋体" w:asciiTheme="minorEastAsia" w:hAnsiTheme="minorEastAsia" w:eastAsiaTheme="minorEastAsia"/>
                <w:spacing w:val="3"/>
              </w:rPr>
            </w:pPr>
            <w:r>
              <w:rPr>
                <w:rFonts w:cs="宋体" w:asciiTheme="minorEastAsia" w:hAnsiTheme="minorEastAsia" w:eastAsiaTheme="minorEastAsia"/>
                <w:spacing w:val="3"/>
              </w:rPr>
              <w:t>1、投标人资质条件：</w:t>
            </w:r>
            <w:r>
              <w:rPr>
                <w:rFonts w:hint="eastAsia" w:ascii="宋体" w:hAnsi="宋体" w:eastAsia="宋体" w:cs="宋体"/>
                <w:color w:val="auto"/>
                <w:u w:val="single"/>
                <w:shd w:val="clear" w:color="auto" w:fill="FFFFFF"/>
              </w:rPr>
              <w:t>具备市政公用工程施工总承包三级及以上资质或具备城市及道路照明工程专业承包一级及以上资质</w:t>
            </w:r>
            <w:r>
              <w:rPr>
                <w:rFonts w:hint="eastAsia" w:cs="宋体" w:asciiTheme="minorEastAsia" w:hAnsiTheme="minorEastAsia" w:eastAsiaTheme="minorEastAsia"/>
                <w:spacing w:val="3"/>
              </w:rPr>
              <w:t>。</w:t>
            </w:r>
          </w:p>
          <w:p>
            <w:pPr>
              <w:spacing w:before="150" w:line="228" w:lineRule="auto"/>
              <w:ind w:left="115"/>
              <w:jc w:val="both"/>
              <w:rPr>
                <w:rFonts w:cs="宋体" w:asciiTheme="minorEastAsia" w:hAnsiTheme="minorEastAsia" w:eastAsiaTheme="minorEastAsia"/>
                <w:spacing w:val="3"/>
              </w:rPr>
            </w:pPr>
            <w:r>
              <w:rPr>
                <w:rFonts w:hint="eastAsia" w:cs="宋体" w:asciiTheme="minorEastAsia" w:hAnsiTheme="minorEastAsia" w:eastAsiaTheme="minorEastAsia"/>
                <w:spacing w:val="3"/>
              </w:rPr>
              <w:t>2、项目负责人：</w:t>
            </w:r>
            <w:r>
              <w:rPr>
                <w:rFonts w:hint="eastAsia" w:ascii="宋体" w:hAnsi="宋体" w:eastAsia="宋体" w:cs="宋体"/>
                <w:color w:val="auto"/>
                <w:u w:val="single"/>
                <w:shd w:val="clear" w:color="auto" w:fill="FFFFFF"/>
              </w:rPr>
              <w:t>具有市政公用工程专业注册建造师二级及以上资格或</w:t>
            </w:r>
            <w:r>
              <w:rPr>
                <w:rFonts w:hint="eastAsia" w:ascii="宋体" w:hAnsi="宋体" w:eastAsia="宋体" w:cs="宋体"/>
                <w:color w:val="000000" w:themeColor="text1"/>
                <w:u w:val="single"/>
                <w:shd w:val="clear" w:color="auto" w:fill="FFFFFF"/>
                <w14:textFill>
                  <w14:solidFill>
                    <w14:schemeClr w14:val="tx1"/>
                  </w14:solidFill>
                </w14:textFill>
              </w:rPr>
              <w:t xml:space="preserve"> </w:t>
            </w:r>
            <w:r>
              <w:rPr>
                <w:rFonts w:hint="eastAsia" w:ascii="宋体" w:hAnsi="宋体" w:eastAsia="宋体" w:cs="宋体"/>
                <w:color w:val="auto"/>
                <w:u w:val="single"/>
                <w:shd w:val="clear" w:color="auto" w:fill="FFFFFF"/>
              </w:rPr>
              <w:t>机电工程专业注册建造师二级及以上资格；无在建工程。</w:t>
            </w:r>
          </w:p>
          <w:p>
            <w:pPr>
              <w:spacing w:before="150" w:line="228" w:lineRule="auto"/>
              <w:ind w:left="115"/>
              <w:jc w:val="both"/>
              <w:rPr>
                <w:rFonts w:asciiTheme="minorEastAsia" w:hAnsiTheme="minorEastAsia" w:eastAsiaTheme="minorEastAsia"/>
              </w:rPr>
            </w:pPr>
            <w:r>
              <w:rPr>
                <w:rFonts w:cs="宋体" w:asciiTheme="minorEastAsia" w:hAnsiTheme="minorEastAsia" w:eastAsiaTheme="minorEastAsia"/>
                <w:spacing w:val="3"/>
              </w:rPr>
              <w:t>3、其他要求：详见投标人须知正文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trPr>
        <w:tc>
          <w:tcPr>
            <w:tcW w:w="914" w:type="dxa"/>
            <w:vAlign w:val="center"/>
          </w:tcPr>
          <w:p>
            <w:pPr>
              <w:spacing w:before="235" w:line="193" w:lineRule="auto"/>
              <w:ind w:left="240"/>
              <w:jc w:val="both"/>
              <w:rPr>
                <w:rFonts w:cs="宋体" w:asciiTheme="minorEastAsia" w:hAnsiTheme="minorEastAsia" w:eastAsiaTheme="minorEastAsia"/>
              </w:rPr>
            </w:pPr>
            <w:r>
              <w:rPr>
                <w:rFonts w:cs="宋体" w:asciiTheme="minorEastAsia" w:hAnsiTheme="minorEastAsia" w:eastAsiaTheme="minorEastAsia"/>
                <w:spacing w:val="2"/>
              </w:rPr>
              <w:t>1.4</w:t>
            </w:r>
            <w:r>
              <w:rPr>
                <w:rFonts w:cs="宋体" w:asciiTheme="minorEastAsia" w:hAnsiTheme="minorEastAsia" w:eastAsiaTheme="minorEastAsia"/>
                <w:spacing w:val="1"/>
              </w:rPr>
              <w:t>.3</w:t>
            </w:r>
          </w:p>
        </w:tc>
        <w:tc>
          <w:tcPr>
            <w:tcW w:w="1781" w:type="dxa"/>
            <w:vAlign w:val="center"/>
          </w:tcPr>
          <w:p>
            <w:pPr>
              <w:spacing w:before="66" w:line="253" w:lineRule="auto"/>
              <w:ind w:left="717" w:right="185" w:hanging="524"/>
              <w:jc w:val="both"/>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spacing w:val="9"/>
                <w14:textFill>
                  <w14:solidFill>
                    <w14:schemeClr w14:val="tx1"/>
                  </w14:solidFill>
                </w14:textFill>
              </w:rPr>
              <w:t>是</w:t>
            </w:r>
            <w:r>
              <w:rPr>
                <w:rFonts w:cs="宋体" w:asciiTheme="minorEastAsia" w:hAnsiTheme="minorEastAsia" w:eastAsiaTheme="minorEastAsia"/>
                <w:color w:val="000000" w:themeColor="text1"/>
                <w:spacing w:val="8"/>
                <w14:textFill>
                  <w14:solidFill>
                    <w14:schemeClr w14:val="tx1"/>
                  </w14:solidFill>
                </w14:textFill>
              </w:rPr>
              <w:t>否接受联合体</w:t>
            </w:r>
            <w:r>
              <w:rPr>
                <w:rFonts w:cs="宋体" w:asciiTheme="minorEastAsia" w:hAnsiTheme="minorEastAsia" w:eastAsiaTheme="minorEastAsia"/>
                <w:color w:val="000000" w:themeColor="text1"/>
                <w:spacing w:val="4"/>
                <w14:textFill>
                  <w14:solidFill>
                    <w14:schemeClr w14:val="tx1"/>
                  </w14:solidFill>
                </w14:textFill>
              </w:rPr>
              <w:t>投</w:t>
            </w:r>
            <w:r>
              <w:rPr>
                <w:rFonts w:cs="宋体" w:asciiTheme="minorEastAsia" w:hAnsiTheme="minorEastAsia" w:eastAsiaTheme="minorEastAsia"/>
                <w:color w:val="000000" w:themeColor="text1"/>
                <w:spacing w:val="3"/>
                <w14:textFill>
                  <w14:solidFill>
                    <w14:schemeClr w14:val="tx1"/>
                  </w14:solidFill>
                </w14:textFill>
              </w:rPr>
              <w:t>标</w:t>
            </w:r>
          </w:p>
        </w:tc>
        <w:tc>
          <w:tcPr>
            <w:tcW w:w="7087" w:type="dxa"/>
            <w:gridSpan w:val="2"/>
            <w:vAlign w:val="center"/>
          </w:tcPr>
          <w:p>
            <w:pPr>
              <w:ind w:firstLine="210" w:firstLineChars="100"/>
              <w:jc w:val="both"/>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不接受</w:t>
            </w:r>
            <w:r>
              <w:rPr>
                <w:rFonts w:hint="eastAsia" w:asciiTheme="minorEastAsia" w:hAnsiTheme="minorEastAsia" w:eastAsiaTheme="minorEastAsia"/>
                <w:b/>
                <w:color w:val="000000" w:themeColor="text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trPr>
        <w:tc>
          <w:tcPr>
            <w:tcW w:w="914" w:type="dxa"/>
            <w:vAlign w:val="center"/>
          </w:tcPr>
          <w:p>
            <w:pPr>
              <w:spacing w:before="181" w:line="193" w:lineRule="auto"/>
              <w:ind w:left="240"/>
              <w:jc w:val="both"/>
              <w:rPr>
                <w:rFonts w:cs="宋体" w:asciiTheme="minorEastAsia" w:hAnsiTheme="minorEastAsia" w:eastAsiaTheme="minorEastAsia"/>
              </w:rPr>
            </w:pPr>
            <w:r>
              <w:rPr>
                <w:rFonts w:cs="宋体" w:asciiTheme="minorEastAsia" w:hAnsiTheme="minorEastAsia" w:eastAsiaTheme="minorEastAsia"/>
                <w:spacing w:val="4"/>
              </w:rPr>
              <w:t>1.9.</w:t>
            </w:r>
            <w:r>
              <w:rPr>
                <w:rFonts w:cs="宋体" w:asciiTheme="minorEastAsia" w:hAnsiTheme="minorEastAsia" w:eastAsiaTheme="minorEastAsia"/>
                <w:spacing w:val="3"/>
              </w:rPr>
              <w:t>1</w:t>
            </w:r>
          </w:p>
        </w:tc>
        <w:tc>
          <w:tcPr>
            <w:tcW w:w="1781" w:type="dxa"/>
            <w:vAlign w:val="center"/>
          </w:tcPr>
          <w:p>
            <w:pPr>
              <w:spacing w:before="150" w:line="228" w:lineRule="auto"/>
              <w:ind w:left="111"/>
              <w:jc w:val="both"/>
              <w:rPr>
                <w:rFonts w:cs="宋体" w:asciiTheme="minorEastAsia" w:hAnsiTheme="minorEastAsia" w:eastAsiaTheme="minorEastAsia"/>
              </w:rPr>
            </w:pPr>
            <w:r>
              <w:rPr>
                <w:rFonts w:cs="宋体" w:asciiTheme="minorEastAsia" w:hAnsiTheme="minorEastAsia" w:eastAsiaTheme="minorEastAsia"/>
                <w:spacing w:val="7"/>
              </w:rPr>
              <w:t>踏勘现场</w:t>
            </w:r>
          </w:p>
        </w:tc>
        <w:tc>
          <w:tcPr>
            <w:tcW w:w="7087" w:type="dxa"/>
            <w:gridSpan w:val="2"/>
            <w:vAlign w:val="center"/>
          </w:tcPr>
          <w:p>
            <w:pPr>
              <w:spacing w:before="150" w:line="228" w:lineRule="auto"/>
              <w:ind w:left="115"/>
              <w:jc w:val="both"/>
              <w:rPr>
                <w:rFonts w:cs="宋体" w:asciiTheme="minorEastAsia" w:hAnsiTheme="minorEastAsia" w:eastAsiaTheme="minorEastAsia"/>
              </w:rPr>
            </w:pPr>
            <w:r>
              <w:rPr>
                <w:rFonts w:cs="宋体" w:asciiTheme="minorEastAsia" w:hAnsiTheme="minorEastAsia" w:eastAsiaTheme="minorEastAsia"/>
                <w:spacing w:val="6"/>
              </w:rPr>
              <w:t>不组</w:t>
            </w:r>
            <w:r>
              <w:rPr>
                <w:rFonts w:cs="宋体" w:asciiTheme="minorEastAsia" w:hAnsiTheme="minorEastAsia" w:eastAsiaTheme="minorEastAsia"/>
                <w:spacing w:val="3"/>
              </w:rPr>
              <w:t>织， 由潜在投标人自行前往现场踏勘。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 w:hRule="atLeast"/>
        </w:trPr>
        <w:tc>
          <w:tcPr>
            <w:tcW w:w="914" w:type="dxa"/>
            <w:vAlign w:val="center"/>
          </w:tcPr>
          <w:p>
            <w:pPr>
              <w:spacing w:before="255" w:line="193" w:lineRule="auto"/>
              <w:ind w:firstLine="208" w:firstLineChars="100"/>
              <w:jc w:val="both"/>
              <w:rPr>
                <w:rFonts w:cs="宋体" w:asciiTheme="minorEastAsia" w:hAnsiTheme="minorEastAsia" w:eastAsiaTheme="minorEastAsia"/>
              </w:rPr>
            </w:pPr>
            <w:r>
              <w:rPr>
                <w:rFonts w:cs="宋体" w:asciiTheme="minorEastAsia" w:hAnsiTheme="minorEastAsia" w:eastAsiaTheme="minorEastAsia"/>
                <w:spacing w:val="-1"/>
              </w:rPr>
              <w:t>1.1</w:t>
            </w:r>
            <w:r>
              <w:rPr>
                <w:rFonts w:cs="宋体" w:asciiTheme="minorEastAsia" w:hAnsiTheme="minorEastAsia" w:eastAsiaTheme="minorEastAsia"/>
              </w:rPr>
              <w:t>0</w:t>
            </w:r>
          </w:p>
        </w:tc>
        <w:tc>
          <w:tcPr>
            <w:tcW w:w="1781" w:type="dxa"/>
            <w:vAlign w:val="center"/>
          </w:tcPr>
          <w:p>
            <w:pPr>
              <w:spacing w:before="223" w:line="225" w:lineRule="auto"/>
              <w:ind w:left="113"/>
              <w:jc w:val="both"/>
              <w:rPr>
                <w:rFonts w:cs="宋体" w:asciiTheme="minorEastAsia" w:hAnsiTheme="minorEastAsia" w:eastAsiaTheme="minorEastAsia"/>
              </w:rPr>
            </w:pPr>
            <w:r>
              <w:rPr>
                <w:rFonts w:cs="宋体" w:asciiTheme="minorEastAsia" w:hAnsiTheme="minorEastAsia" w:eastAsiaTheme="minorEastAsia"/>
                <w:spacing w:val="10"/>
              </w:rPr>
              <w:t>投</w:t>
            </w:r>
            <w:r>
              <w:rPr>
                <w:rFonts w:cs="宋体" w:asciiTheme="minorEastAsia" w:hAnsiTheme="minorEastAsia" w:eastAsiaTheme="minorEastAsia"/>
                <w:spacing w:val="7"/>
              </w:rPr>
              <w:t>标预备会</w:t>
            </w:r>
          </w:p>
        </w:tc>
        <w:tc>
          <w:tcPr>
            <w:tcW w:w="7087" w:type="dxa"/>
            <w:gridSpan w:val="2"/>
            <w:vAlign w:val="center"/>
          </w:tcPr>
          <w:p>
            <w:pPr>
              <w:spacing w:before="223" w:line="230" w:lineRule="auto"/>
              <w:ind w:left="115"/>
              <w:jc w:val="both"/>
              <w:rPr>
                <w:rFonts w:cs="宋体" w:asciiTheme="minorEastAsia" w:hAnsiTheme="minorEastAsia" w:eastAsiaTheme="minorEastAsia"/>
              </w:rPr>
            </w:pPr>
            <w:r>
              <w:rPr>
                <w:rFonts w:cs="宋体" w:asciiTheme="minorEastAsia" w:hAnsiTheme="minorEastAsia" w:eastAsiaTheme="minorEastAsia"/>
                <w:spacing w:val="6"/>
              </w:rPr>
              <w:t>不召</w:t>
            </w:r>
            <w:r>
              <w:rPr>
                <w:rFonts w:cs="宋体" w:asciiTheme="minorEastAsia" w:hAnsiTheme="minorEastAsia" w:eastAsiaTheme="minorEastAsia"/>
                <w:spacing w:val="5"/>
              </w:rPr>
              <w:t>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914" w:type="dxa"/>
            <w:vAlign w:val="center"/>
          </w:tcPr>
          <w:p>
            <w:pPr>
              <w:spacing w:before="65" w:line="193" w:lineRule="auto"/>
              <w:ind w:firstLine="208" w:firstLineChars="100"/>
              <w:jc w:val="both"/>
              <w:rPr>
                <w:rFonts w:cs="宋体" w:asciiTheme="minorEastAsia" w:hAnsiTheme="minorEastAsia" w:eastAsiaTheme="minorEastAsia"/>
              </w:rPr>
            </w:pPr>
            <w:r>
              <w:rPr>
                <w:rFonts w:cs="宋体" w:asciiTheme="minorEastAsia" w:hAnsiTheme="minorEastAsia" w:eastAsiaTheme="minorEastAsia"/>
                <w:spacing w:val="-1"/>
              </w:rPr>
              <w:t>1.1</w:t>
            </w:r>
            <w:r>
              <w:rPr>
                <w:rFonts w:cs="宋体" w:asciiTheme="minorEastAsia" w:hAnsiTheme="minorEastAsia" w:eastAsiaTheme="minorEastAsia"/>
              </w:rPr>
              <w:t>1</w:t>
            </w:r>
          </w:p>
        </w:tc>
        <w:tc>
          <w:tcPr>
            <w:tcW w:w="1781" w:type="dxa"/>
            <w:vAlign w:val="center"/>
          </w:tcPr>
          <w:p>
            <w:pPr>
              <w:spacing w:before="65" w:line="229" w:lineRule="auto"/>
              <w:ind w:firstLine="436" w:firstLineChars="200"/>
              <w:jc w:val="both"/>
              <w:rPr>
                <w:rFonts w:cs="宋体" w:asciiTheme="minorEastAsia" w:hAnsiTheme="minorEastAsia" w:eastAsiaTheme="minorEastAsia"/>
              </w:rPr>
            </w:pPr>
            <w:r>
              <w:rPr>
                <w:rFonts w:cs="宋体" w:asciiTheme="minorEastAsia" w:hAnsiTheme="minorEastAsia" w:eastAsiaTheme="minorEastAsia"/>
                <w:spacing w:val="4"/>
              </w:rPr>
              <w:t>分</w:t>
            </w:r>
            <w:r>
              <w:rPr>
                <w:rFonts w:cs="宋体" w:asciiTheme="minorEastAsia" w:hAnsiTheme="minorEastAsia" w:eastAsiaTheme="minorEastAsia"/>
                <w:spacing w:val="3"/>
              </w:rPr>
              <w:t>包</w:t>
            </w:r>
          </w:p>
        </w:tc>
        <w:tc>
          <w:tcPr>
            <w:tcW w:w="7087" w:type="dxa"/>
            <w:gridSpan w:val="2"/>
            <w:vAlign w:val="center"/>
          </w:tcPr>
          <w:p>
            <w:pPr>
              <w:spacing w:before="34" w:line="223" w:lineRule="auto"/>
              <w:ind w:left="121"/>
              <w:jc w:val="both"/>
              <w:rPr>
                <w:rFonts w:cs="宋体" w:asciiTheme="minorEastAsia" w:hAnsiTheme="minorEastAsia" w:eastAsiaTheme="minorEastAsia"/>
              </w:rPr>
            </w:pPr>
            <w:r>
              <w:rPr>
                <w:rFonts w:cs="宋体" w:asciiTheme="minorEastAsia" w:hAnsiTheme="minorEastAsia" w:eastAsiaTheme="minorEastAsia"/>
                <w:spacing w:val="12"/>
              </w:rPr>
              <w:t>不允</w:t>
            </w:r>
            <w:r>
              <w:rPr>
                <w:rFonts w:cs="宋体" w:asciiTheme="minorEastAsia" w:hAnsiTheme="minorEastAsia" w:eastAsiaTheme="minorEastAsia"/>
                <w:spacing w:val="11"/>
              </w:rPr>
              <w:t>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 w:hRule="atLeast"/>
        </w:trPr>
        <w:tc>
          <w:tcPr>
            <w:tcW w:w="914" w:type="dxa"/>
            <w:vAlign w:val="center"/>
          </w:tcPr>
          <w:p>
            <w:pPr>
              <w:spacing w:before="162" w:line="193" w:lineRule="auto"/>
              <w:ind w:firstLine="208" w:firstLineChars="100"/>
              <w:jc w:val="both"/>
              <w:rPr>
                <w:rFonts w:cs="宋体" w:asciiTheme="minorEastAsia" w:hAnsiTheme="minorEastAsia" w:eastAsiaTheme="minorEastAsia"/>
                <w:spacing w:val="-1"/>
              </w:rPr>
            </w:pPr>
            <w:r>
              <w:rPr>
                <w:rFonts w:cs="宋体" w:asciiTheme="minorEastAsia" w:hAnsiTheme="minorEastAsia" w:eastAsiaTheme="minorEastAsia"/>
                <w:spacing w:val="-1"/>
              </w:rPr>
              <w:t>1.1</w:t>
            </w:r>
            <w:r>
              <w:rPr>
                <w:rFonts w:cs="宋体" w:asciiTheme="minorEastAsia" w:hAnsiTheme="minorEastAsia" w:eastAsiaTheme="minorEastAsia"/>
              </w:rPr>
              <w:t>2</w:t>
            </w:r>
          </w:p>
        </w:tc>
        <w:tc>
          <w:tcPr>
            <w:tcW w:w="1781" w:type="dxa"/>
            <w:vAlign w:val="center"/>
          </w:tcPr>
          <w:p>
            <w:pPr>
              <w:spacing w:before="130" w:line="228" w:lineRule="auto"/>
              <w:ind w:left="715"/>
              <w:jc w:val="both"/>
              <w:rPr>
                <w:rFonts w:cs="宋体" w:asciiTheme="minorEastAsia" w:hAnsiTheme="minorEastAsia" w:eastAsiaTheme="minorEastAsia"/>
                <w:spacing w:val="4"/>
              </w:rPr>
            </w:pPr>
            <w:r>
              <w:rPr>
                <w:rFonts w:cs="宋体" w:asciiTheme="minorEastAsia" w:hAnsiTheme="minorEastAsia" w:eastAsiaTheme="minorEastAsia"/>
                <w:spacing w:val="5"/>
              </w:rPr>
              <w:t>偏</w:t>
            </w:r>
            <w:r>
              <w:rPr>
                <w:rFonts w:cs="宋体" w:asciiTheme="minorEastAsia" w:hAnsiTheme="minorEastAsia" w:eastAsiaTheme="minorEastAsia"/>
                <w:spacing w:val="4"/>
              </w:rPr>
              <w:t>离</w:t>
            </w:r>
          </w:p>
        </w:tc>
        <w:tc>
          <w:tcPr>
            <w:tcW w:w="7087" w:type="dxa"/>
            <w:gridSpan w:val="2"/>
            <w:vAlign w:val="center"/>
          </w:tcPr>
          <w:p>
            <w:pPr>
              <w:spacing w:before="130" w:line="228" w:lineRule="auto"/>
              <w:ind w:left="115"/>
              <w:jc w:val="both"/>
              <w:rPr>
                <w:rFonts w:cs="宋体" w:asciiTheme="minorEastAsia" w:hAnsiTheme="minorEastAsia" w:eastAsiaTheme="minorEastAsia"/>
                <w:position w:val="-4"/>
              </w:rPr>
            </w:pPr>
            <w:r>
              <w:rPr>
                <w:rFonts w:cs="宋体" w:asciiTheme="minorEastAsia" w:hAnsiTheme="minorEastAsia" w:eastAsiaTheme="minorEastAsia"/>
                <w:spacing w:val="6"/>
              </w:rPr>
              <w:t>不允</w:t>
            </w:r>
            <w:r>
              <w:rPr>
                <w:rFonts w:cs="宋体" w:asciiTheme="minorEastAsia" w:hAnsiTheme="minorEastAsia" w:eastAsiaTheme="minorEastAsia"/>
                <w:spacing w:val="5"/>
              </w:rPr>
              <w:t>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914" w:type="dxa"/>
            <w:vAlign w:val="center"/>
          </w:tcPr>
          <w:p>
            <w:pPr>
              <w:spacing w:line="315" w:lineRule="auto"/>
              <w:jc w:val="both"/>
              <w:rPr>
                <w:rFonts w:asciiTheme="minorEastAsia" w:hAnsiTheme="minorEastAsia" w:eastAsiaTheme="minorEastAsia"/>
              </w:rPr>
            </w:pPr>
          </w:p>
          <w:p>
            <w:pPr>
              <w:spacing w:line="316" w:lineRule="auto"/>
              <w:jc w:val="both"/>
              <w:rPr>
                <w:rFonts w:asciiTheme="minorEastAsia" w:hAnsiTheme="minorEastAsia" w:eastAsiaTheme="minorEastAsia"/>
              </w:rPr>
            </w:pPr>
          </w:p>
          <w:p>
            <w:pPr>
              <w:spacing w:before="65" w:line="193" w:lineRule="auto"/>
              <w:ind w:left="332"/>
              <w:jc w:val="both"/>
              <w:rPr>
                <w:rFonts w:cs="宋体" w:asciiTheme="minorEastAsia" w:hAnsiTheme="minorEastAsia" w:eastAsiaTheme="minorEastAsia"/>
                <w:spacing w:val="-1"/>
              </w:rPr>
            </w:pPr>
            <w:r>
              <w:rPr>
                <w:rFonts w:cs="宋体" w:asciiTheme="minorEastAsia" w:hAnsiTheme="minorEastAsia" w:eastAsiaTheme="minorEastAsia"/>
                <w:spacing w:val="8"/>
              </w:rPr>
              <w:t>2.1</w:t>
            </w:r>
          </w:p>
        </w:tc>
        <w:tc>
          <w:tcPr>
            <w:tcW w:w="1781" w:type="dxa"/>
            <w:vAlign w:val="center"/>
          </w:tcPr>
          <w:p>
            <w:pPr>
              <w:spacing w:line="463" w:lineRule="auto"/>
              <w:jc w:val="both"/>
              <w:rPr>
                <w:rFonts w:asciiTheme="minorEastAsia" w:hAnsiTheme="minorEastAsia" w:eastAsiaTheme="minorEastAsia"/>
              </w:rPr>
            </w:pPr>
          </w:p>
          <w:p>
            <w:pPr>
              <w:spacing w:before="65" w:line="266" w:lineRule="auto"/>
              <w:ind w:left="504" w:right="185" w:hanging="312"/>
              <w:jc w:val="both"/>
              <w:rPr>
                <w:rFonts w:cs="宋体" w:asciiTheme="minorEastAsia" w:hAnsiTheme="minorEastAsia" w:eastAsiaTheme="minorEastAsia"/>
                <w:spacing w:val="4"/>
              </w:rPr>
            </w:pPr>
            <w:r>
              <w:rPr>
                <w:rFonts w:cs="宋体" w:asciiTheme="minorEastAsia" w:hAnsiTheme="minorEastAsia" w:eastAsiaTheme="minorEastAsia"/>
                <w:spacing w:val="10"/>
              </w:rPr>
              <w:t>构</w:t>
            </w:r>
            <w:r>
              <w:rPr>
                <w:rFonts w:cs="宋体" w:asciiTheme="minorEastAsia" w:hAnsiTheme="minorEastAsia" w:eastAsiaTheme="minorEastAsia"/>
                <w:spacing w:val="8"/>
              </w:rPr>
              <w:t>成招标文件的</w:t>
            </w:r>
            <w:r>
              <w:rPr>
                <w:rFonts w:cs="宋体" w:asciiTheme="minorEastAsia" w:hAnsiTheme="minorEastAsia" w:eastAsiaTheme="minorEastAsia"/>
                <w:spacing w:val="7"/>
              </w:rPr>
              <w:t>其他材料</w:t>
            </w:r>
          </w:p>
        </w:tc>
        <w:tc>
          <w:tcPr>
            <w:tcW w:w="7087" w:type="dxa"/>
            <w:gridSpan w:val="2"/>
            <w:vAlign w:val="center"/>
          </w:tcPr>
          <w:p>
            <w:pPr>
              <w:spacing w:before="123" w:line="226" w:lineRule="auto"/>
              <w:ind w:left="113"/>
              <w:jc w:val="both"/>
              <w:rPr>
                <w:rFonts w:cs="宋体" w:asciiTheme="minorEastAsia" w:hAnsiTheme="minorEastAsia" w:eastAsiaTheme="minorEastAsia"/>
              </w:rPr>
            </w:pPr>
            <w:r>
              <w:rPr>
                <w:rFonts w:cs="宋体" w:asciiTheme="minorEastAsia" w:hAnsiTheme="minorEastAsia" w:eastAsiaTheme="minorEastAsia"/>
                <w:spacing w:val="8"/>
              </w:rPr>
              <w:t>其</w:t>
            </w:r>
            <w:r>
              <w:rPr>
                <w:rFonts w:cs="宋体" w:asciiTheme="minorEastAsia" w:hAnsiTheme="minorEastAsia" w:eastAsiaTheme="minorEastAsia"/>
                <w:spacing w:val="5"/>
              </w:rPr>
              <w:t>他材料：</w:t>
            </w:r>
          </w:p>
          <w:p>
            <w:pPr>
              <w:spacing w:before="28" w:line="239" w:lineRule="auto"/>
              <w:ind w:left="113" w:right="107" w:firstLine="14"/>
              <w:jc w:val="both"/>
              <w:rPr>
                <w:rFonts w:cs="宋体" w:asciiTheme="minorEastAsia" w:hAnsiTheme="minorEastAsia" w:eastAsiaTheme="minorEastAsia"/>
                <w:spacing w:val="6"/>
              </w:rPr>
            </w:pPr>
            <w:r>
              <w:rPr>
                <w:rFonts w:cs="宋体" w:asciiTheme="minorEastAsia" w:hAnsiTheme="minorEastAsia" w:eastAsiaTheme="minorEastAsia"/>
                <w:spacing w:val="6"/>
              </w:rPr>
              <w:t>1) 电子招标文件 (含工程量清单) 及投标工具安装程序 (</w:t>
            </w:r>
            <w:r>
              <w:rPr>
                <w:rFonts w:hint="eastAsia" w:cs="宋体" w:asciiTheme="minorEastAsia" w:hAnsiTheme="minorEastAsia" w:eastAsiaTheme="minorEastAsia"/>
              </w:rPr>
              <w:t>三门投标编制4.0.2.8版本</w:t>
            </w:r>
            <w:r>
              <w:rPr>
                <w:rFonts w:cs="宋体" w:asciiTheme="minorEastAsia" w:hAnsiTheme="minorEastAsia" w:eastAsiaTheme="minorEastAsia"/>
                <w:spacing w:val="5"/>
              </w:rPr>
              <w:t>) ；</w:t>
            </w:r>
          </w:p>
          <w:p>
            <w:pPr>
              <w:spacing w:before="27" w:line="228" w:lineRule="auto"/>
              <w:ind w:left="114"/>
              <w:jc w:val="both"/>
              <w:rPr>
                <w:rFonts w:cs="宋体" w:asciiTheme="minorEastAsia" w:hAnsiTheme="minorEastAsia" w:eastAsiaTheme="minorEastAsia"/>
              </w:rPr>
            </w:pPr>
            <w:r>
              <w:rPr>
                <w:rFonts w:cs="宋体" w:asciiTheme="minorEastAsia" w:hAnsiTheme="minorEastAsia" w:eastAsiaTheme="minorEastAsia"/>
                <w:spacing w:val="7"/>
              </w:rPr>
              <w:t>2) 施工图纸电子文档</w:t>
            </w:r>
            <w:r>
              <w:rPr>
                <w:rFonts w:cs="宋体" w:asciiTheme="minorEastAsia" w:hAnsiTheme="minorEastAsia" w:eastAsiaTheme="minorEastAsia"/>
                <w:spacing w:val="6"/>
              </w:rPr>
              <w:t>；</w:t>
            </w:r>
          </w:p>
          <w:p>
            <w:pPr>
              <w:spacing w:before="23" w:line="227" w:lineRule="auto"/>
              <w:ind w:left="116"/>
              <w:jc w:val="both"/>
              <w:rPr>
                <w:rFonts w:cs="宋体" w:asciiTheme="minorEastAsia" w:hAnsiTheme="minorEastAsia" w:eastAsiaTheme="minorEastAsia"/>
                <w:position w:val="-4"/>
              </w:rPr>
            </w:pPr>
            <w:r>
              <w:rPr>
                <w:rFonts w:cs="宋体" w:asciiTheme="minorEastAsia" w:hAnsiTheme="minorEastAsia" w:eastAsiaTheme="minorEastAsia"/>
                <w:spacing w:val="8"/>
              </w:rPr>
              <w:t>3</w:t>
            </w:r>
            <w:r>
              <w:rPr>
                <w:rFonts w:cs="宋体" w:asciiTheme="minorEastAsia" w:hAnsiTheme="minorEastAsia" w:eastAsiaTheme="minorEastAsia"/>
                <w:spacing w:val="7"/>
              </w:rPr>
              <w:t>) 施工图预算书 (招标控制价)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914" w:type="dxa"/>
            <w:vAlign w:val="center"/>
          </w:tcPr>
          <w:p>
            <w:pPr>
              <w:spacing w:before="255" w:line="192" w:lineRule="auto"/>
              <w:ind w:left="332"/>
              <w:jc w:val="both"/>
              <w:rPr>
                <w:rFonts w:cs="宋体" w:asciiTheme="minorEastAsia" w:hAnsiTheme="minorEastAsia" w:eastAsiaTheme="minorEastAsia"/>
                <w:spacing w:val="-1"/>
              </w:rPr>
            </w:pPr>
            <w:r>
              <w:rPr>
                <w:rFonts w:cs="宋体" w:asciiTheme="minorEastAsia" w:hAnsiTheme="minorEastAsia" w:eastAsiaTheme="minorEastAsia"/>
                <w:spacing w:val="4"/>
              </w:rPr>
              <w:t>2.3</w:t>
            </w:r>
          </w:p>
        </w:tc>
        <w:tc>
          <w:tcPr>
            <w:tcW w:w="1781" w:type="dxa"/>
            <w:vAlign w:val="center"/>
          </w:tcPr>
          <w:p>
            <w:pPr>
              <w:spacing w:before="222" w:line="229" w:lineRule="auto"/>
              <w:ind w:left="298"/>
              <w:jc w:val="both"/>
              <w:rPr>
                <w:rFonts w:cs="宋体" w:asciiTheme="minorEastAsia" w:hAnsiTheme="minorEastAsia" w:eastAsiaTheme="minorEastAsia"/>
                <w:spacing w:val="4"/>
              </w:rPr>
            </w:pPr>
            <w:r>
              <w:rPr>
                <w:rFonts w:cs="宋体" w:asciiTheme="minorEastAsia" w:hAnsiTheme="minorEastAsia" w:eastAsiaTheme="minorEastAsia"/>
                <w:spacing w:val="8"/>
              </w:rPr>
              <w:t>投标截止时</w:t>
            </w:r>
            <w:r>
              <w:rPr>
                <w:rFonts w:cs="宋体" w:asciiTheme="minorEastAsia" w:hAnsiTheme="minorEastAsia" w:eastAsiaTheme="minorEastAsia"/>
                <w:spacing w:val="7"/>
              </w:rPr>
              <w:t>间</w:t>
            </w:r>
          </w:p>
        </w:tc>
        <w:tc>
          <w:tcPr>
            <w:tcW w:w="7087" w:type="dxa"/>
            <w:gridSpan w:val="2"/>
            <w:vAlign w:val="center"/>
          </w:tcPr>
          <w:p>
            <w:pPr>
              <w:spacing w:before="222" w:line="227" w:lineRule="auto"/>
              <w:ind w:left="114"/>
              <w:jc w:val="both"/>
              <w:rPr>
                <w:rFonts w:cs="宋体" w:asciiTheme="minorEastAsia" w:hAnsiTheme="minorEastAsia" w:eastAsiaTheme="minorEastAsia"/>
                <w:position w:val="-4"/>
              </w:rPr>
            </w:pPr>
            <w:r>
              <w:rPr>
                <w:rFonts w:cs="宋体" w:asciiTheme="minorEastAsia" w:hAnsiTheme="minorEastAsia" w:eastAsiaTheme="minorEastAsia"/>
                <w:spacing w:val="13"/>
              </w:rPr>
              <w:t>详</w:t>
            </w:r>
            <w:r>
              <w:rPr>
                <w:rFonts w:cs="宋体" w:asciiTheme="minorEastAsia" w:hAnsiTheme="minorEastAsia" w:eastAsiaTheme="minorEastAsia"/>
                <w:spacing w:val="9"/>
              </w:rPr>
              <w:t>见本工程招标公告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14" w:type="dxa"/>
            <w:vAlign w:val="center"/>
          </w:tcPr>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5" w:lineRule="auto"/>
              <w:jc w:val="both"/>
              <w:rPr>
                <w:rFonts w:asciiTheme="minorEastAsia" w:hAnsiTheme="minorEastAsia" w:eastAsiaTheme="minorEastAsia"/>
              </w:rPr>
            </w:pPr>
          </w:p>
          <w:p>
            <w:pPr>
              <w:spacing w:line="246" w:lineRule="auto"/>
              <w:jc w:val="both"/>
              <w:rPr>
                <w:rFonts w:asciiTheme="minorEastAsia" w:hAnsiTheme="minorEastAsia" w:eastAsiaTheme="minorEastAsia"/>
              </w:rPr>
            </w:pPr>
          </w:p>
          <w:p>
            <w:pPr>
              <w:spacing w:before="65" w:line="191" w:lineRule="auto"/>
              <w:ind w:left="334"/>
              <w:jc w:val="both"/>
              <w:rPr>
                <w:rFonts w:cs="宋体" w:asciiTheme="minorEastAsia" w:hAnsiTheme="minorEastAsia" w:eastAsiaTheme="minorEastAsia"/>
                <w:spacing w:val="-1"/>
              </w:rPr>
            </w:pPr>
            <w:r>
              <w:rPr>
                <w:rFonts w:cs="宋体" w:asciiTheme="minorEastAsia" w:hAnsiTheme="minorEastAsia" w:eastAsiaTheme="minorEastAsia"/>
                <w:spacing w:val="8"/>
              </w:rPr>
              <w:t>3</w:t>
            </w:r>
            <w:r>
              <w:rPr>
                <w:rFonts w:cs="宋体" w:asciiTheme="minorEastAsia" w:hAnsiTheme="minorEastAsia" w:eastAsiaTheme="minorEastAsia"/>
                <w:spacing w:val="7"/>
              </w:rPr>
              <w:t>.1</w:t>
            </w:r>
          </w:p>
        </w:tc>
        <w:tc>
          <w:tcPr>
            <w:tcW w:w="1781" w:type="dxa"/>
            <w:vAlign w:val="center"/>
          </w:tcPr>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3"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line="244" w:lineRule="auto"/>
              <w:jc w:val="both"/>
              <w:rPr>
                <w:rFonts w:asciiTheme="minorEastAsia" w:hAnsiTheme="minorEastAsia" w:eastAsiaTheme="minorEastAsia"/>
              </w:rPr>
            </w:pPr>
          </w:p>
          <w:p>
            <w:pPr>
              <w:spacing w:before="65" w:line="228" w:lineRule="auto"/>
              <w:ind w:left="298"/>
              <w:jc w:val="both"/>
              <w:rPr>
                <w:rFonts w:cs="宋体" w:asciiTheme="minorEastAsia" w:hAnsiTheme="minorEastAsia" w:eastAsiaTheme="minorEastAsia"/>
                <w:spacing w:val="4"/>
              </w:rPr>
            </w:pPr>
            <w:r>
              <w:rPr>
                <w:rFonts w:cs="宋体" w:asciiTheme="minorEastAsia" w:hAnsiTheme="minorEastAsia" w:eastAsiaTheme="minorEastAsia"/>
                <w:spacing w:val="8"/>
              </w:rPr>
              <w:t>投标文件组</w:t>
            </w:r>
            <w:r>
              <w:rPr>
                <w:rFonts w:cs="宋体" w:asciiTheme="minorEastAsia" w:hAnsiTheme="minorEastAsia" w:eastAsiaTheme="minorEastAsia"/>
                <w:spacing w:val="7"/>
              </w:rPr>
              <w:t>成</w:t>
            </w:r>
          </w:p>
        </w:tc>
        <w:tc>
          <w:tcPr>
            <w:tcW w:w="7087" w:type="dxa"/>
            <w:gridSpan w:val="2"/>
            <w:vAlign w:val="center"/>
          </w:tcPr>
          <w:p>
            <w:pPr>
              <w:spacing w:line="280" w:lineRule="exact"/>
              <w:jc w:val="both"/>
              <w:rPr>
                <w:rFonts w:asciiTheme="minorEastAsia" w:hAnsiTheme="minorEastAsia" w:eastAsiaTheme="minorEastAsia"/>
                <w:b/>
              </w:rPr>
            </w:pPr>
            <w:r>
              <w:rPr>
                <w:rFonts w:hint="eastAsia" w:asciiTheme="minorEastAsia" w:hAnsiTheme="minorEastAsia" w:eastAsiaTheme="minorEastAsia"/>
                <w:b/>
              </w:rPr>
              <w:t>投标文件由资信标、技术标和商务标三部分组成，由三门投标编制4.0.2.8  版本生成后缀名.已加密投标文件</w:t>
            </w:r>
            <w:r>
              <w:rPr>
                <w:rFonts w:asciiTheme="minorEastAsia" w:hAnsiTheme="minorEastAsia" w:eastAsiaTheme="minorEastAsia"/>
                <w:b/>
              </w:rPr>
              <w:t>。</w:t>
            </w:r>
          </w:p>
          <w:p>
            <w:pPr>
              <w:pStyle w:val="8"/>
              <w:spacing w:line="280" w:lineRule="exact"/>
              <w:ind w:firstLine="0" w:firstLineChars="0"/>
              <w:rPr>
                <w:rFonts w:asciiTheme="minorEastAsia" w:hAnsiTheme="minorEastAsia" w:eastAsiaTheme="minorEastAsia"/>
                <w:b/>
                <w:bCs/>
                <w:szCs w:val="21"/>
              </w:rPr>
            </w:pPr>
            <w:r>
              <w:rPr>
                <w:rFonts w:hint="eastAsia" w:asciiTheme="minorEastAsia" w:hAnsiTheme="minorEastAsia" w:eastAsiaTheme="minorEastAsia"/>
                <w:b/>
                <w:bCs/>
                <w:szCs w:val="21"/>
              </w:rPr>
              <w:t>1、资信标</w:t>
            </w:r>
          </w:p>
          <w:p>
            <w:pPr>
              <w:pStyle w:val="8"/>
              <w:spacing w:line="280" w:lineRule="exact"/>
              <w:rPr>
                <w:rFonts w:asciiTheme="minorEastAsia" w:hAnsiTheme="minorEastAsia" w:eastAsiaTheme="minorEastAsia"/>
                <w:szCs w:val="21"/>
              </w:rPr>
            </w:pPr>
            <w:r>
              <w:rPr>
                <w:rFonts w:hint="eastAsia" w:asciiTheme="minorEastAsia" w:hAnsiTheme="minorEastAsia" w:eastAsiaTheme="minorEastAsia"/>
                <w:szCs w:val="21"/>
              </w:rPr>
              <w:t>由三门投标编制4.0.2.8版本生成的资信标电子投标文件包括：</w:t>
            </w:r>
          </w:p>
          <w:p>
            <w:pPr>
              <w:pStyle w:val="8"/>
              <w:numPr>
                <w:ilvl w:val="0"/>
                <w:numId w:val="2"/>
              </w:numPr>
              <w:spacing w:line="280" w:lineRule="exact"/>
              <w:ind w:firstLineChars="0"/>
              <w:rPr>
                <w:rFonts w:asciiTheme="minorEastAsia" w:hAnsiTheme="minorEastAsia" w:eastAsiaTheme="minorEastAsia"/>
                <w:szCs w:val="21"/>
              </w:rPr>
            </w:pPr>
            <w:r>
              <w:rPr>
                <w:rFonts w:asciiTheme="minorEastAsia" w:hAnsiTheme="minorEastAsia" w:eastAsiaTheme="minorEastAsia"/>
                <w:szCs w:val="21"/>
              </w:rPr>
              <w:t>项目负责人简历表（投标文件格式一）；</w:t>
            </w:r>
          </w:p>
          <w:p>
            <w:pPr>
              <w:pStyle w:val="8"/>
              <w:numPr>
                <w:ilvl w:val="0"/>
                <w:numId w:val="2"/>
              </w:numPr>
              <w:spacing w:line="280" w:lineRule="exact"/>
              <w:ind w:firstLineChars="0"/>
              <w:rPr>
                <w:rFonts w:asciiTheme="minorEastAsia" w:hAnsiTheme="minorEastAsia" w:eastAsiaTheme="minorEastAsia"/>
                <w:szCs w:val="21"/>
              </w:rPr>
            </w:pPr>
            <w:r>
              <w:rPr>
                <w:rFonts w:hint="eastAsia" w:asciiTheme="minorEastAsia" w:hAnsiTheme="minorEastAsia" w:eastAsiaTheme="minorEastAsia"/>
                <w:szCs w:val="21"/>
              </w:rPr>
              <w:t>项目</w:t>
            </w:r>
            <w:r>
              <w:rPr>
                <w:rFonts w:asciiTheme="minorEastAsia" w:hAnsiTheme="minorEastAsia" w:eastAsiaTheme="minorEastAsia"/>
                <w:szCs w:val="21"/>
              </w:rPr>
              <w:t>技术负责人简历表（投标文件格式二）；</w:t>
            </w:r>
          </w:p>
          <w:p>
            <w:pPr>
              <w:pStyle w:val="8"/>
              <w:numPr>
                <w:ilvl w:val="0"/>
                <w:numId w:val="2"/>
              </w:numPr>
              <w:spacing w:line="280" w:lineRule="exact"/>
              <w:ind w:firstLineChars="0"/>
              <w:rPr>
                <w:rFonts w:asciiTheme="minorEastAsia" w:hAnsiTheme="minorEastAsia" w:eastAsiaTheme="minorEastAsia"/>
                <w:szCs w:val="21"/>
              </w:rPr>
            </w:pPr>
            <w:r>
              <w:rPr>
                <w:rFonts w:asciiTheme="minorEastAsia" w:hAnsiTheme="minorEastAsia" w:eastAsiaTheme="minorEastAsia"/>
                <w:szCs w:val="21"/>
              </w:rPr>
              <w:t>主要施工机械设备表（投标文件格式三）；</w:t>
            </w:r>
          </w:p>
          <w:p>
            <w:pPr>
              <w:pStyle w:val="8"/>
              <w:numPr>
                <w:ilvl w:val="0"/>
                <w:numId w:val="2"/>
              </w:numPr>
              <w:spacing w:line="280" w:lineRule="exact"/>
              <w:ind w:firstLineChars="0"/>
              <w:rPr>
                <w:rFonts w:asciiTheme="minorEastAsia" w:hAnsiTheme="minorEastAsia" w:eastAsiaTheme="minorEastAsia"/>
                <w:szCs w:val="21"/>
              </w:rPr>
            </w:pPr>
            <w:r>
              <w:rPr>
                <w:rFonts w:asciiTheme="minorEastAsia" w:hAnsiTheme="minorEastAsia" w:eastAsiaTheme="minorEastAsia"/>
                <w:szCs w:val="21"/>
              </w:rPr>
              <w:t>台州市建设工程投标人资格自查表（投标文件格式四）；</w:t>
            </w:r>
          </w:p>
          <w:p>
            <w:pPr>
              <w:pStyle w:val="8"/>
              <w:numPr>
                <w:ilvl w:val="0"/>
                <w:numId w:val="2"/>
              </w:numPr>
              <w:spacing w:line="280" w:lineRule="exact"/>
              <w:ind w:firstLineChars="0"/>
              <w:rPr>
                <w:rFonts w:asciiTheme="minorEastAsia" w:hAnsiTheme="minorEastAsia" w:eastAsiaTheme="minorEastAsia"/>
                <w:szCs w:val="21"/>
              </w:rPr>
            </w:pPr>
            <w:r>
              <w:rPr>
                <w:rFonts w:asciiTheme="minorEastAsia" w:hAnsiTheme="minorEastAsia" w:eastAsiaTheme="minorEastAsia"/>
                <w:szCs w:val="21"/>
              </w:rPr>
              <w:t>台州市建设工程投标项目负责人资格自查表（投标文件格式五）；</w:t>
            </w:r>
          </w:p>
          <w:p>
            <w:pPr>
              <w:pStyle w:val="8"/>
              <w:numPr>
                <w:ilvl w:val="0"/>
                <w:numId w:val="2"/>
              </w:numPr>
              <w:spacing w:line="280" w:lineRule="exact"/>
              <w:ind w:firstLineChars="0"/>
              <w:rPr>
                <w:rFonts w:asciiTheme="minorEastAsia" w:hAnsiTheme="minorEastAsia" w:eastAsiaTheme="minorEastAsia"/>
                <w:szCs w:val="21"/>
              </w:rPr>
            </w:pPr>
            <w:r>
              <w:rPr>
                <w:rFonts w:asciiTheme="minorEastAsia" w:hAnsiTheme="minorEastAsia" w:eastAsiaTheme="minorEastAsia"/>
                <w:szCs w:val="21"/>
              </w:rPr>
              <w:t>台州市建设工程诚信投标承诺书（投标文件格式</w:t>
            </w:r>
            <w:r>
              <w:rPr>
                <w:rFonts w:hint="eastAsia" w:asciiTheme="minorEastAsia" w:hAnsiTheme="minorEastAsia" w:eastAsiaTheme="minorEastAsia"/>
                <w:szCs w:val="21"/>
              </w:rPr>
              <w:t>六</w:t>
            </w:r>
            <w:r>
              <w:rPr>
                <w:rFonts w:asciiTheme="minorEastAsia" w:hAnsiTheme="minorEastAsia" w:eastAsiaTheme="minorEastAsia"/>
                <w:szCs w:val="21"/>
              </w:rPr>
              <w:t>）；</w:t>
            </w:r>
          </w:p>
          <w:p>
            <w:pPr>
              <w:pStyle w:val="8"/>
              <w:numPr>
                <w:ilvl w:val="0"/>
                <w:numId w:val="2"/>
              </w:numPr>
              <w:spacing w:line="280" w:lineRule="exact"/>
              <w:ind w:firstLineChars="0"/>
              <w:rPr>
                <w:rFonts w:cs="宋体"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台州市建设工程安全生产任职资格承诺书（投标文件格式</w:t>
            </w:r>
            <w:r>
              <w:rPr>
                <w:rFonts w:hint="eastAsia" w:asciiTheme="minorEastAsia" w:hAnsiTheme="minorEastAsia" w:eastAsiaTheme="minorEastAsia"/>
                <w:color w:val="000000" w:themeColor="text1"/>
                <w:szCs w:val="21"/>
                <w14:textFill>
                  <w14:solidFill>
                    <w14:schemeClr w14:val="tx1"/>
                  </w14:solidFill>
                </w14:textFill>
              </w:rPr>
              <w:t>七</w:t>
            </w:r>
            <w:r>
              <w:rPr>
                <w:rFonts w:asciiTheme="minorEastAsia" w:hAnsiTheme="minorEastAsia" w:eastAsiaTheme="minorEastAsia"/>
                <w:color w:val="000000" w:themeColor="text1"/>
                <w:szCs w:val="21"/>
                <w14:textFill>
                  <w14:solidFill>
                    <w14:schemeClr w14:val="tx1"/>
                  </w14:solidFill>
                </w14:textFill>
              </w:rPr>
              <w:t>）；</w:t>
            </w:r>
          </w:p>
          <w:p>
            <w:pPr>
              <w:pStyle w:val="8"/>
              <w:numPr>
                <w:ilvl w:val="0"/>
                <w:numId w:val="2"/>
              </w:numPr>
              <w:spacing w:line="280" w:lineRule="exact"/>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法定代表人授权委托书</w:t>
            </w:r>
            <w:r>
              <w:rPr>
                <w:rFonts w:asciiTheme="minorEastAsia" w:hAnsiTheme="minorEastAsia" w:eastAsiaTheme="minorEastAsia"/>
                <w:color w:val="000000" w:themeColor="text1"/>
                <w:szCs w:val="21"/>
                <w14:textFill>
                  <w14:solidFill>
                    <w14:schemeClr w14:val="tx1"/>
                  </w14:solidFill>
                </w14:textFill>
              </w:rPr>
              <w:t>（投标文件格式</w:t>
            </w:r>
            <w:r>
              <w:rPr>
                <w:rFonts w:hint="eastAsia" w:asciiTheme="minorEastAsia" w:hAnsiTheme="minorEastAsia" w:eastAsiaTheme="minorEastAsia"/>
                <w:color w:val="000000" w:themeColor="text1"/>
                <w:szCs w:val="21"/>
                <w14:textFill>
                  <w14:solidFill>
                    <w14:schemeClr w14:val="tx1"/>
                  </w14:solidFill>
                </w14:textFill>
              </w:rPr>
              <w:t>八</w:t>
            </w:r>
            <w:r>
              <w:rPr>
                <w:rFonts w:asciiTheme="minorEastAsia" w:hAnsiTheme="minorEastAsia" w:eastAsiaTheme="minorEastAsia"/>
                <w:color w:val="000000" w:themeColor="text1"/>
                <w:szCs w:val="21"/>
                <w14:textFill>
                  <w14:solidFill>
                    <w14:schemeClr w14:val="tx1"/>
                  </w14:solidFill>
                </w14:textFill>
              </w:rPr>
              <w:t>）或法定代表人身份证明</w:t>
            </w:r>
            <w:r>
              <w:rPr>
                <w:rFonts w:hint="eastAsia" w:asciiTheme="minorEastAsia" w:hAnsiTheme="minorEastAsia" w:eastAsiaTheme="minorEastAsia"/>
                <w:color w:val="000000" w:themeColor="text1"/>
                <w:szCs w:val="21"/>
                <w14:textFill>
                  <w14:solidFill>
                    <w14:schemeClr w14:val="tx1"/>
                  </w14:solidFill>
                </w14:textFill>
              </w:rPr>
              <w:t>（投标文件格式九）</w:t>
            </w:r>
            <w:r>
              <w:rPr>
                <w:rFonts w:asciiTheme="minorEastAsia" w:hAnsiTheme="minorEastAsia" w:eastAsiaTheme="minorEastAsia"/>
                <w:color w:val="000000" w:themeColor="text1"/>
                <w:szCs w:val="21"/>
                <w14:textFill>
                  <w14:solidFill>
                    <w14:schemeClr w14:val="tx1"/>
                  </w14:solidFill>
                </w14:textFill>
              </w:rPr>
              <w:t>；</w:t>
            </w:r>
          </w:p>
          <w:p>
            <w:pPr>
              <w:pStyle w:val="8"/>
              <w:numPr>
                <w:ilvl w:val="0"/>
                <w:numId w:val="2"/>
              </w:numPr>
              <w:spacing w:line="280" w:lineRule="exact"/>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停工证明（投标文件格式十）</w:t>
            </w:r>
          </w:p>
          <w:p>
            <w:pPr>
              <w:pStyle w:val="8"/>
              <w:numPr>
                <w:ilvl w:val="0"/>
                <w:numId w:val="2"/>
              </w:numPr>
              <w:spacing w:line="280" w:lineRule="exact"/>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未验收证明（投标文件格式十一）</w:t>
            </w:r>
          </w:p>
          <w:p>
            <w:pPr>
              <w:pStyle w:val="8"/>
              <w:numPr>
                <w:ilvl w:val="0"/>
                <w:numId w:val="2"/>
              </w:numPr>
              <w:spacing w:line="280" w:lineRule="exact"/>
              <w:ind w:firstLineChars="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产品</w:t>
            </w:r>
            <w:r>
              <w:rPr>
                <w:rFonts w:asciiTheme="minorEastAsia" w:hAnsiTheme="minorEastAsia" w:eastAsiaTheme="minorEastAsia"/>
                <w:color w:val="000000" w:themeColor="text1"/>
                <w:szCs w:val="21"/>
                <w14:textFill>
                  <w14:solidFill>
                    <w14:schemeClr w14:val="tx1"/>
                  </w14:solidFill>
                </w14:textFill>
              </w:rPr>
              <w:t>承诺书</w:t>
            </w:r>
            <w:r>
              <w:rPr>
                <w:rFonts w:hint="eastAsia" w:asciiTheme="minorEastAsia" w:hAnsiTheme="minorEastAsia" w:eastAsiaTheme="minorEastAsia"/>
                <w:color w:val="000000" w:themeColor="text1"/>
                <w:szCs w:val="21"/>
                <w14:textFill>
                  <w14:solidFill>
                    <w14:schemeClr w14:val="tx1"/>
                  </w14:solidFill>
                </w14:textFill>
              </w:rPr>
              <w:t>（投标文件格式十</w:t>
            </w:r>
            <w:r>
              <w:rPr>
                <w:rFonts w:hint="eastAsia" w:asciiTheme="minorEastAsia" w:hAnsiTheme="minorEastAsia" w:eastAsiaTheme="minorEastAsia"/>
                <w:color w:val="000000" w:themeColor="text1"/>
                <w:szCs w:val="21"/>
                <w:lang w:eastAsia="zh-CN"/>
                <w14:textFill>
                  <w14:solidFill>
                    <w14:schemeClr w14:val="tx1"/>
                  </w14:solidFill>
                </w14:textFill>
              </w:rPr>
              <w:t>二</w:t>
            </w:r>
            <w:r>
              <w:rPr>
                <w:rFonts w:hint="eastAsia" w:asciiTheme="minorEastAsia" w:hAnsiTheme="minorEastAsia" w:eastAsiaTheme="minorEastAsia"/>
                <w:color w:val="000000" w:themeColor="text1"/>
                <w:szCs w:val="21"/>
                <w14:textFill>
                  <w14:solidFill>
                    <w14:schemeClr w14:val="tx1"/>
                  </w14:solidFill>
                </w14:textFill>
              </w:rPr>
              <w:t>）</w:t>
            </w:r>
          </w:p>
          <w:p>
            <w:pPr>
              <w:pStyle w:val="8"/>
              <w:numPr>
                <w:ilvl w:val="0"/>
                <w:numId w:val="2"/>
              </w:numPr>
              <w:spacing w:line="280" w:lineRule="exact"/>
              <w:ind w:firstLineChars="0"/>
              <w:rPr>
                <w:rFonts w:asciiTheme="minorEastAsia" w:hAnsiTheme="minorEastAsia" w:eastAsiaTheme="minorEastAsia"/>
                <w:color w:val="000000" w:themeColor="text1"/>
                <w:szCs w:val="21"/>
                <w14:textFill>
                  <w14:solidFill>
                    <w14:schemeClr w14:val="tx1"/>
                  </w14:solidFill>
                </w14:textFill>
              </w:rPr>
            </w:pPr>
            <w:r>
              <w:rPr>
                <w:rFonts w:hint="eastAsia"/>
                <w:b/>
              </w:rPr>
              <w:t>如投标保证金未采用现金、电子保函系统方式，则须提供工程保函（分为银行保函、保险机构保证保险保单、融资担保公司保函）</w:t>
            </w:r>
          </w:p>
          <w:p>
            <w:pPr>
              <w:pStyle w:val="8"/>
              <w:adjustRightInd w:val="0"/>
              <w:spacing w:line="320" w:lineRule="exact"/>
              <w:ind w:firstLine="0" w:firstLineChars="0"/>
              <w:rPr>
                <w:rFonts w:hAnsi="宋体" w:cs="微软雅黑"/>
                <w:b/>
                <w:bCs/>
                <w:szCs w:val="21"/>
              </w:rPr>
            </w:pPr>
            <w:r>
              <w:rPr>
                <w:rFonts w:hint="eastAsia"/>
                <w:szCs w:val="28"/>
              </w:rPr>
              <w:t>（1</w:t>
            </w:r>
            <w:r>
              <w:rPr>
                <w:rFonts w:hint="eastAsia"/>
                <w:szCs w:val="28"/>
                <w:lang w:val="en-US" w:eastAsia="zh-CN"/>
              </w:rPr>
              <w:t>3</w:t>
            </w:r>
            <w:r>
              <w:rPr>
                <w:rFonts w:hint="eastAsia"/>
                <w:szCs w:val="28"/>
              </w:rPr>
              <w:t>）</w:t>
            </w:r>
            <w:r>
              <w:rPr>
                <w:rFonts w:hint="eastAsia" w:hAnsi="宋体" w:cs="微软雅黑"/>
                <w:b/>
                <w:bCs/>
                <w:spacing w:val="-10"/>
                <w:szCs w:val="21"/>
              </w:rPr>
              <w:t>证书、证明相关材料</w:t>
            </w:r>
            <w:r>
              <w:rPr>
                <w:rFonts w:hint="eastAsia" w:hAnsi="宋体" w:cs="微软雅黑"/>
                <w:b/>
                <w:bCs/>
                <w:szCs w:val="21"/>
              </w:rPr>
              <w:t>：</w:t>
            </w:r>
          </w:p>
          <w:p>
            <w:pPr>
              <w:pStyle w:val="32"/>
              <w:kinsoku w:val="0"/>
              <w:overflowPunct w:val="0"/>
              <w:spacing w:line="320" w:lineRule="exact"/>
              <w:ind w:right="91" w:firstLine="110" w:firstLineChars="50"/>
              <w:rPr>
                <w:rFonts w:hint="default" w:hAnsi="宋体"/>
                <w:sz w:val="21"/>
                <w:szCs w:val="21"/>
              </w:rPr>
            </w:pPr>
            <w:r>
              <w:rPr>
                <w:rFonts w:hAnsi="宋体" w:cs="Calibri"/>
                <w:spacing w:val="5"/>
                <w:sz w:val="21"/>
                <w:szCs w:val="21"/>
              </w:rPr>
              <w:t>①</w:t>
            </w:r>
            <w:r>
              <w:rPr>
                <w:rFonts w:hAnsi="宋体"/>
                <w:spacing w:val="-4"/>
                <w:sz w:val="21"/>
                <w:szCs w:val="21"/>
              </w:rPr>
              <w:t>《省外企业进浙承接业务备案证明》</w:t>
            </w:r>
            <w:r>
              <w:rPr>
                <w:rFonts w:hAnsi="宋体"/>
                <w:spacing w:val="2"/>
                <w:sz w:val="21"/>
                <w:szCs w:val="21"/>
              </w:rPr>
              <w:t>（</w:t>
            </w:r>
            <w:r>
              <w:rPr>
                <w:rFonts w:hAnsi="宋体"/>
                <w:spacing w:val="1"/>
                <w:sz w:val="21"/>
                <w:szCs w:val="21"/>
              </w:rPr>
              <w:t>仅指浙江省省外企业</w:t>
            </w:r>
            <w:r>
              <w:rPr>
                <w:rFonts w:hAnsi="宋体"/>
                <w:spacing w:val="-106"/>
                <w:sz w:val="21"/>
                <w:szCs w:val="21"/>
              </w:rPr>
              <w:t xml:space="preserve">）  </w:t>
            </w:r>
            <w:r>
              <w:rPr>
                <w:rFonts w:hAnsi="宋体"/>
                <w:sz w:val="21"/>
                <w:szCs w:val="21"/>
              </w:rPr>
              <w:t xml:space="preserve">  ；</w:t>
            </w:r>
          </w:p>
          <w:p>
            <w:pPr>
              <w:pStyle w:val="32"/>
              <w:kinsoku w:val="0"/>
              <w:overflowPunct w:val="0"/>
              <w:spacing w:before="40" w:line="320" w:lineRule="exact"/>
              <w:ind w:left="107" w:right="88"/>
              <w:rPr>
                <w:rFonts w:hint="default" w:hAnsi="宋体" w:cs="微软雅黑"/>
                <w:b/>
                <w:bCs/>
                <w:sz w:val="21"/>
                <w:szCs w:val="21"/>
              </w:rPr>
            </w:pPr>
            <w:r>
              <w:rPr>
                <w:rFonts w:hAnsi="宋体" w:cs="Calibri"/>
                <w:sz w:val="21"/>
                <w:szCs w:val="21"/>
              </w:rPr>
              <w:t>②</w:t>
            </w:r>
            <w:r>
              <w:rPr>
                <w:spacing w:val="-15"/>
                <w:sz w:val="21"/>
                <w:szCs w:val="21"/>
              </w:rPr>
              <w:t>《企业营业执照》、《安全生产许可证》和《建筑业企</w:t>
            </w:r>
            <w:r>
              <w:rPr>
                <w:spacing w:val="-8"/>
                <w:sz w:val="21"/>
                <w:szCs w:val="21"/>
              </w:rPr>
              <w:t>业资质证书</w:t>
            </w:r>
            <w:r>
              <w:rPr>
                <w:spacing w:val="-180"/>
                <w:sz w:val="21"/>
                <w:szCs w:val="21"/>
              </w:rPr>
              <w:t xml:space="preserve">》    </w:t>
            </w:r>
            <w:r>
              <w:rPr>
                <w:rFonts w:ascii="微软雅黑" w:eastAsia="微软雅黑" w:cs="微软雅黑"/>
                <w:b/>
                <w:bCs/>
                <w:sz w:val="21"/>
                <w:szCs w:val="21"/>
              </w:rPr>
              <w:t>（</w:t>
            </w:r>
            <w:r>
              <w:rPr>
                <w:rFonts w:ascii="微软雅黑" w:eastAsia="微软雅黑" w:cs="微软雅黑"/>
                <w:b/>
                <w:bCs/>
                <w:spacing w:val="-3"/>
                <w:sz w:val="21"/>
                <w:szCs w:val="21"/>
              </w:rPr>
              <w:t>若为住房和城乡建设部同意企业资质电子化试</w:t>
            </w:r>
            <w:r>
              <w:rPr>
                <w:rFonts w:ascii="微软雅黑" w:eastAsia="微软雅黑" w:cs="微软雅黑"/>
                <w:b/>
                <w:bCs/>
                <w:spacing w:val="-6"/>
                <w:sz w:val="21"/>
                <w:szCs w:val="21"/>
              </w:rPr>
              <w:t>点的省、市可提供企业电子资质证书</w:t>
            </w:r>
            <w:r>
              <w:rPr>
                <w:rFonts w:ascii="微软雅黑" w:eastAsia="微软雅黑" w:cs="微软雅黑"/>
                <w:b/>
                <w:bCs/>
                <w:spacing w:val="-67"/>
                <w:sz w:val="21"/>
                <w:szCs w:val="21"/>
              </w:rPr>
              <w:t>）</w:t>
            </w:r>
            <w:r>
              <w:rPr>
                <w:rFonts w:ascii="微软雅黑" w:eastAsia="微软雅黑" w:cs="微软雅黑"/>
                <w:b/>
                <w:bCs/>
                <w:spacing w:val="-12"/>
                <w:sz w:val="21"/>
                <w:szCs w:val="21"/>
              </w:rPr>
              <w:t>，投标人提供的《建筑业企业资质证书》上的有关内容真实性均以全国建筑市场监</w:t>
            </w:r>
            <w:r>
              <w:rPr>
                <w:rFonts w:ascii="微软雅黑" w:eastAsia="微软雅黑" w:cs="微软雅黑"/>
                <w:b/>
                <w:bCs/>
                <w:spacing w:val="-10"/>
                <w:sz w:val="21"/>
                <w:szCs w:val="21"/>
              </w:rPr>
              <w:t>管公共服务平台查询网址：</w:t>
            </w:r>
            <w:r>
              <w:fldChar w:fldCharType="begin"/>
            </w:r>
            <w:r>
              <w:instrText xml:space="preserve"> HYPERLINK "http://jzsc.mohurd.gov.cn/" </w:instrText>
            </w:r>
            <w:r>
              <w:fldChar w:fldCharType="separate"/>
            </w:r>
            <w:r>
              <w:rPr>
                <w:rFonts w:eastAsia="微软雅黑"/>
                <w:b/>
                <w:bCs/>
                <w:spacing w:val="-6"/>
                <w:sz w:val="21"/>
                <w:szCs w:val="21"/>
              </w:rPr>
              <w:t>http://jzsc.mohurd.gov.cn/</w:t>
            </w:r>
            <w:r>
              <w:rPr>
                <w:rFonts w:eastAsia="微软雅黑"/>
                <w:b/>
                <w:bCs/>
                <w:spacing w:val="-6"/>
                <w:sz w:val="21"/>
                <w:szCs w:val="21"/>
              </w:rPr>
              <w:fldChar w:fldCharType="end"/>
            </w:r>
            <w:r>
              <w:rPr>
                <w:rFonts w:ascii="微软雅黑" w:eastAsia="微软雅黑" w:cs="微软雅黑"/>
                <w:b/>
                <w:bCs/>
                <w:spacing w:val="-6"/>
                <w:sz w:val="21"/>
                <w:szCs w:val="21"/>
              </w:rPr>
              <w:t>（</w:t>
            </w:r>
            <w:r>
              <w:rPr>
                <w:rFonts w:ascii="微软雅黑" w:eastAsia="微软雅黑" w:cs="微软雅黑"/>
                <w:b/>
                <w:bCs/>
                <w:sz w:val="21"/>
                <w:szCs w:val="21"/>
              </w:rPr>
              <w:t>或省、直辖市相应平台）</w:t>
            </w:r>
            <w:r>
              <w:rPr>
                <w:rFonts w:ascii="微软雅黑" w:eastAsia="微软雅黑" w:cs="微软雅黑"/>
                <w:b/>
                <w:bCs/>
                <w:spacing w:val="-3"/>
                <w:sz w:val="21"/>
                <w:szCs w:val="21"/>
              </w:rPr>
              <w:t>中查询结果为准。</w:t>
            </w:r>
          </w:p>
          <w:p>
            <w:pPr>
              <w:pStyle w:val="32"/>
              <w:kinsoku w:val="0"/>
              <w:overflowPunct w:val="0"/>
              <w:spacing w:before="9" w:line="320" w:lineRule="exact"/>
              <w:ind w:left="104" w:right="94"/>
              <w:rPr>
                <w:rFonts w:hint="default" w:hAnsi="宋体"/>
                <w:szCs w:val="21"/>
              </w:rPr>
            </w:pPr>
            <w:r>
              <w:rPr>
                <w:rFonts w:hAnsi="宋体" w:cs="Calibri"/>
                <w:szCs w:val="21"/>
              </w:rPr>
              <w:t>③</w:t>
            </w:r>
            <w:r>
              <w:rPr>
                <w:sz w:val="21"/>
                <w:szCs w:val="21"/>
              </w:rPr>
              <w:t>项目负责人的《项目负责人建造师注册证书》、《安全生产考核合格证》，（《建造师临时执业证书》不予认可）。若为</w:t>
            </w:r>
            <w:r>
              <w:rPr>
                <w:rFonts w:hAnsi="宋体" w:cs="微软雅黑"/>
                <w:b/>
                <w:bCs/>
                <w:sz w:val="21"/>
                <w:szCs w:val="21"/>
              </w:rPr>
              <w:t>住房和城乡建设部同意的建设领域从业人员有关证书电子化试点的省、市，可提供从业人员的电子证书</w:t>
            </w:r>
            <w:r>
              <w:rPr>
                <w:rFonts w:hAnsi="宋体"/>
                <w:sz w:val="21"/>
                <w:szCs w:val="21"/>
              </w:rPr>
              <w:t>。</w:t>
            </w:r>
            <w:r>
              <w:rPr>
                <w:rFonts w:hAnsi="宋体" w:cs="微软雅黑"/>
                <w:b/>
                <w:bCs/>
                <w:sz w:val="21"/>
                <w:szCs w:val="21"/>
              </w:rPr>
              <w:t>以全国建筑市场监管公共服务平台查询网址：</w:t>
            </w:r>
            <w:r>
              <w:fldChar w:fldCharType="begin"/>
            </w:r>
            <w:r>
              <w:instrText xml:space="preserve"> HYPERLINK "http://jzsc.mohurd.gov.cn/" </w:instrText>
            </w:r>
            <w:r>
              <w:fldChar w:fldCharType="separate"/>
            </w:r>
            <w:r>
              <w:rPr>
                <w:rFonts w:hAnsi="宋体"/>
                <w:b/>
                <w:bCs/>
                <w:sz w:val="21"/>
                <w:szCs w:val="21"/>
              </w:rPr>
              <w:t>http://jzsc.mohurd.gov.cn/</w:t>
            </w:r>
            <w:r>
              <w:rPr>
                <w:rFonts w:hAnsi="宋体"/>
                <w:b/>
                <w:bCs/>
                <w:sz w:val="21"/>
                <w:szCs w:val="21"/>
              </w:rPr>
              <w:fldChar w:fldCharType="end"/>
            </w:r>
            <w:r>
              <w:rPr>
                <w:rFonts w:hAnsi="宋体" w:cs="微软雅黑"/>
                <w:b/>
                <w:bCs/>
                <w:sz w:val="21"/>
                <w:szCs w:val="21"/>
              </w:rPr>
              <w:t>（或省、直辖市相应平台）中查询结果为准。若投标人拟派项目负责人为一级建造师的，应使用电子注册证书（具体使用要求按《住房和城乡建设部办公厅关于 全面实行一级建造师电子注册证书的通知》（建办市【2021】40号）相关规定执行）。一级建造师电子证书打印后 ，应在个人签名处手写本人签名，未手写签名或与签名图像笔迹不一致的，该电子证书无效。</w:t>
            </w:r>
          </w:p>
          <w:p>
            <w:pPr>
              <w:pStyle w:val="8"/>
              <w:adjustRightInd w:val="0"/>
              <w:spacing w:line="320" w:lineRule="exact"/>
              <w:ind w:firstLine="313" w:firstLineChars="150"/>
              <w:rPr>
                <w:rFonts w:ascii="宋体" w:hAnsi="宋体" w:cs="微软雅黑"/>
                <w:b/>
                <w:bCs/>
                <w:szCs w:val="21"/>
              </w:rPr>
            </w:pPr>
            <w:r>
              <w:rPr>
                <w:rFonts w:hint="eastAsia" w:ascii="宋体" w:hAnsi="宋体" w:cs="微软雅黑"/>
                <w:b/>
                <w:bCs/>
                <w:spacing w:val="-1"/>
                <w:szCs w:val="21"/>
              </w:rPr>
              <w:t>项目负责人提供投标截止时间前近</w:t>
            </w:r>
            <w:r>
              <w:rPr>
                <w:rFonts w:ascii="宋体" w:hAnsi="宋体"/>
                <w:b/>
                <w:bCs/>
                <w:szCs w:val="21"/>
              </w:rPr>
              <w:t>3</w:t>
            </w:r>
            <w:r>
              <w:rPr>
                <w:rFonts w:hint="eastAsia" w:ascii="宋体" w:hAnsi="宋体" w:cs="微软雅黑"/>
                <w:b/>
                <w:bCs/>
                <w:spacing w:val="-1"/>
                <w:szCs w:val="21"/>
              </w:rPr>
              <w:t>个月内任一个月的</w:t>
            </w:r>
            <w:r>
              <w:rPr>
                <w:rFonts w:hint="eastAsia" w:ascii="宋体" w:hAnsi="宋体" w:cs="微软雅黑"/>
                <w:b/>
                <w:bCs/>
                <w:spacing w:val="-8"/>
                <w:szCs w:val="21"/>
              </w:rPr>
              <w:t>社保缴纳证明</w:t>
            </w:r>
            <w:r>
              <w:rPr>
                <w:rFonts w:hint="eastAsia" w:ascii="宋体" w:hAnsi="宋体" w:cs="微软雅黑"/>
                <w:b/>
                <w:bCs/>
                <w:szCs w:val="21"/>
              </w:rPr>
              <w:t>（</w:t>
            </w:r>
            <w:r>
              <w:rPr>
                <w:rFonts w:hint="eastAsia" w:ascii="宋体" w:hAnsi="宋体" w:cs="微软雅黑"/>
                <w:b/>
                <w:bCs/>
                <w:spacing w:val="-3"/>
                <w:szCs w:val="21"/>
              </w:rPr>
              <w:t>提供有效证明材料</w:t>
            </w:r>
            <w:r>
              <w:rPr>
                <w:rFonts w:hint="eastAsia" w:ascii="宋体" w:hAnsi="宋体" w:cs="微软雅黑"/>
                <w:b/>
                <w:bCs/>
                <w:spacing w:val="-73"/>
                <w:szCs w:val="21"/>
              </w:rPr>
              <w:t>）</w:t>
            </w:r>
            <w:r>
              <w:rPr>
                <w:rFonts w:hint="eastAsia" w:ascii="宋体" w:hAnsi="宋体" w:cs="微软雅黑"/>
                <w:b/>
                <w:bCs/>
                <w:spacing w:val="-10"/>
                <w:szCs w:val="21"/>
              </w:rPr>
              <w:t>，若项目负责人已退休但仍可执业的，</w:t>
            </w:r>
            <w:r>
              <w:rPr>
                <w:rFonts w:hint="eastAsia" w:ascii="宋体" w:hAnsi="宋体" w:cs="微软雅黑"/>
                <w:b/>
                <w:bCs/>
                <w:szCs w:val="21"/>
              </w:rPr>
              <w:t>社保缴纳证明可凭社保部门出具的退休证明及聘用合同替代。</w:t>
            </w:r>
          </w:p>
          <w:p>
            <w:pPr>
              <w:pStyle w:val="8"/>
              <w:numPr>
                <w:ilvl w:val="0"/>
                <w:numId w:val="3"/>
              </w:numPr>
              <w:adjustRightInd w:val="0"/>
              <w:spacing w:line="320" w:lineRule="exact"/>
              <w:ind w:firstLine="0" w:firstLineChars="0"/>
            </w:pPr>
            <w:r>
              <w:rPr>
                <w:rFonts w:hint="eastAsia"/>
              </w:rPr>
              <w:t>其他证明材料（如有）。</w:t>
            </w:r>
          </w:p>
          <w:p>
            <w:pPr>
              <w:pStyle w:val="8"/>
              <w:numPr>
                <w:ilvl w:val="0"/>
                <w:numId w:val="3"/>
              </w:numPr>
              <w:adjustRightInd w:val="0"/>
              <w:spacing w:line="320" w:lineRule="exact"/>
              <w:ind w:firstLine="0" w:firstLineChars="0"/>
            </w:pPr>
            <w:r>
              <w:rPr>
                <w:rFonts w:hint="eastAsia"/>
              </w:rPr>
              <w:t>评标办法资信标内容均需上传至资信标处，如上传至其他位置作无效标处理。</w:t>
            </w:r>
          </w:p>
          <w:p>
            <w:pPr>
              <w:pStyle w:val="8"/>
              <w:adjustRightInd w:val="0"/>
              <w:spacing w:line="360" w:lineRule="auto"/>
              <w:ind w:firstLine="0" w:firstLineChars="0"/>
              <w:rPr>
                <w:rFonts w:ascii="仿宋" w:hAnsi="仿宋" w:eastAsia="仿宋" w:cs="仿宋"/>
              </w:rPr>
            </w:pPr>
            <w:r>
              <w:rPr>
                <w:rFonts w:hint="eastAsia"/>
                <w:snapToGrid w:val="0"/>
                <w:szCs w:val="21"/>
              </w:rPr>
              <w:t>备注：以上内容（投标函除外）均需在三门投标编制4.0.2.8版本中自行添加后自动生成，添加的内容须为清晰的电子文档。投标函格式由三门投标编制4.0.2.8版本中商务标处自动生成</w:t>
            </w:r>
            <w:r>
              <w:rPr>
                <w:rFonts w:hint="eastAsia" w:ascii="仿宋" w:hAnsi="仿宋" w:eastAsia="仿宋" w:cs="仿宋"/>
                <w:b/>
                <w:bCs/>
                <w:spacing w:val="-1"/>
                <w:szCs w:val="21"/>
              </w:rPr>
              <w:t>。</w:t>
            </w:r>
          </w:p>
          <w:p>
            <w:pPr>
              <w:pStyle w:val="8"/>
              <w:adjustRightInd w:val="0"/>
              <w:spacing w:line="360" w:lineRule="auto"/>
              <w:rPr>
                <w:rFonts w:ascii="仿宋" w:hAnsi="仿宋" w:eastAsia="仿宋" w:cs="仿宋"/>
                <w:szCs w:val="21"/>
              </w:rPr>
            </w:pPr>
            <w:r>
              <w:rPr>
                <w:rFonts w:hint="eastAsia" w:ascii="仿宋" w:hAnsi="仿宋" w:eastAsia="仿宋" w:cs="仿宋"/>
                <w:szCs w:val="21"/>
              </w:rPr>
              <w:t>备注：</w:t>
            </w:r>
            <w:r>
              <w:rPr>
                <w:rFonts w:hint="eastAsia" w:ascii="仿宋" w:hAnsi="仿宋" w:eastAsia="仿宋" w:cs="仿宋"/>
              </w:rPr>
              <w:t>（1）</w:t>
            </w:r>
            <w:r>
              <w:rPr>
                <w:rFonts w:hint="eastAsia" w:ascii="仿宋" w:hAnsi="仿宋" w:eastAsia="仿宋" w:cs="仿宋"/>
                <w:szCs w:val="21"/>
              </w:rPr>
              <w:t>以上资信标内容均需在三门投标编制4.0.2.8版本中的资信标对应处自行添加后自动生成，添加的内容须为清晰的电子文档。</w:t>
            </w:r>
          </w:p>
          <w:p>
            <w:pPr>
              <w:pStyle w:val="8"/>
              <w:adjustRightInd w:val="0"/>
              <w:spacing w:line="360" w:lineRule="auto"/>
              <w:rPr>
                <w:rFonts w:ascii="仿宋" w:hAnsi="仿宋" w:eastAsia="仿宋" w:cs="仿宋"/>
                <w:szCs w:val="21"/>
              </w:rPr>
            </w:pPr>
            <w:r>
              <w:rPr>
                <w:rFonts w:hint="eastAsia" w:ascii="仿宋" w:hAnsi="仿宋" w:eastAsia="仿宋" w:cs="仿宋"/>
                <w:bCs/>
                <w:snapToGrid w:val="0"/>
                <w:szCs w:val="21"/>
              </w:rPr>
              <w:t>（2）企业资质证书及项目负责人建造师注册证书未能在</w:t>
            </w:r>
            <w:r>
              <w:rPr>
                <w:rFonts w:hint="eastAsia" w:ascii="仿宋" w:hAnsi="仿宋" w:eastAsia="仿宋" w:cs="仿宋"/>
                <w:bCs/>
                <w:szCs w:val="21"/>
              </w:rPr>
              <w:t>全国建筑市场监管公共服务平台或省、直辖市相应平台查询到的作无效标处理。</w:t>
            </w:r>
          </w:p>
          <w:p>
            <w:pPr>
              <w:pStyle w:val="8"/>
              <w:spacing w:line="280" w:lineRule="exact"/>
              <w:ind w:firstLine="0" w:firstLineChars="0"/>
              <w:rPr>
                <w:rFonts w:asciiTheme="minorEastAsia" w:hAnsiTheme="minorEastAsia" w:eastAsiaTheme="minorEastAsia"/>
                <w:b/>
                <w:bCs/>
                <w:szCs w:val="21"/>
              </w:rPr>
            </w:pPr>
            <w:r>
              <w:rPr>
                <w:rFonts w:hint="eastAsia" w:asciiTheme="minorEastAsia" w:hAnsiTheme="minorEastAsia" w:eastAsiaTheme="minorEastAsia"/>
                <w:b/>
                <w:bCs/>
                <w:szCs w:val="21"/>
              </w:rPr>
              <w:t>2、技术标</w:t>
            </w:r>
          </w:p>
          <w:p>
            <w:pPr>
              <w:pStyle w:val="8"/>
              <w:spacing w:line="400" w:lineRule="exact"/>
              <w:rPr>
                <w:rFonts w:asciiTheme="minorEastAsia" w:hAnsiTheme="minorEastAsia" w:eastAsiaTheme="minorEastAsia"/>
                <w:color w:val="0000FF"/>
                <w:szCs w:val="21"/>
              </w:rPr>
            </w:pPr>
            <w:r>
              <w:rPr>
                <w:rFonts w:hint="eastAsia" w:asciiTheme="minorEastAsia" w:hAnsiTheme="minorEastAsia" w:eastAsiaTheme="minorEastAsia"/>
                <w:color w:val="0000FF"/>
                <w:szCs w:val="21"/>
              </w:rPr>
              <w:t>由三门投标编制4.0.2.8版本生成的技术标电子投标文件包括：</w:t>
            </w:r>
          </w:p>
          <w:p>
            <w:pPr>
              <w:pStyle w:val="8"/>
              <w:numPr>
                <w:ilvl w:val="0"/>
                <w:numId w:val="4"/>
              </w:numPr>
              <w:spacing w:line="400" w:lineRule="exact"/>
              <w:ind w:firstLineChars="0"/>
              <w:rPr>
                <w:rFonts w:asciiTheme="minorEastAsia" w:hAnsiTheme="minorEastAsia" w:eastAsiaTheme="minorEastAsia"/>
                <w:szCs w:val="21"/>
              </w:rPr>
            </w:pPr>
            <w:r>
              <w:rPr>
                <w:rFonts w:hint="eastAsia" w:asciiTheme="minorEastAsia" w:hAnsiTheme="minorEastAsia" w:eastAsiaTheme="minorEastAsia"/>
                <w:szCs w:val="21"/>
              </w:rPr>
              <w:t>针对本工程的特点、难点分析和解决措施等（格式自拟）；</w:t>
            </w:r>
          </w:p>
          <w:p>
            <w:pPr>
              <w:pStyle w:val="8"/>
              <w:numPr>
                <w:ilvl w:val="0"/>
                <w:numId w:val="4"/>
              </w:numPr>
              <w:spacing w:line="400" w:lineRule="exact"/>
              <w:ind w:firstLineChars="0"/>
              <w:rPr>
                <w:rFonts w:asciiTheme="minorEastAsia" w:hAnsiTheme="minorEastAsia" w:eastAsiaTheme="minorEastAsia"/>
                <w:szCs w:val="21"/>
              </w:rPr>
            </w:pPr>
            <w:r>
              <w:rPr>
                <w:rFonts w:hint="eastAsia" w:asciiTheme="minorEastAsia" w:hAnsiTheme="minorEastAsia" w:eastAsiaTheme="minorEastAsia"/>
                <w:szCs w:val="21"/>
              </w:rPr>
              <w:t>质量保修期承诺（格式自拟）；</w:t>
            </w:r>
          </w:p>
          <w:p>
            <w:pPr>
              <w:pStyle w:val="8"/>
              <w:numPr>
                <w:ilvl w:val="0"/>
                <w:numId w:val="4"/>
              </w:numPr>
              <w:spacing w:line="400" w:lineRule="exact"/>
              <w:ind w:firstLineChars="0"/>
              <w:rPr>
                <w:rFonts w:asciiTheme="minorEastAsia" w:hAnsiTheme="minorEastAsia" w:eastAsiaTheme="minorEastAsia"/>
                <w:szCs w:val="21"/>
              </w:rPr>
            </w:pPr>
            <w:r>
              <w:rPr>
                <w:rFonts w:hint="eastAsia" w:asciiTheme="minorEastAsia" w:hAnsiTheme="minorEastAsia" w:eastAsiaTheme="minorEastAsia"/>
                <w:szCs w:val="21"/>
              </w:rPr>
              <w:t>投标产品技术参数资料（格式自拟）：</w:t>
            </w:r>
          </w:p>
          <w:p>
            <w:pPr>
              <w:pStyle w:val="8"/>
              <w:numPr>
                <w:ilvl w:val="0"/>
                <w:numId w:val="4"/>
              </w:numPr>
              <w:spacing w:line="400" w:lineRule="exact"/>
              <w:ind w:firstLineChars="0"/>
              <w:rPr>
                <w:rFonts w:asciiTheme="minorEastAsia" w:hAnsiTheme="minorEastAsia" w:eastAsiaTheme="minorEastAsia"/>
                <w:szCs w:val="21"/>
              </w:rPr>
            </w:pPr>
            <w:r>
              <w:rPr>
                <w:rFonts w:hint="eastAsia" w:asciiTheme="minorEastAsia" w:hAnsiTheme="minorEastAsia" w:eastAsiaTheme="minorEastAsia"/>
                <w:szCs w:val="21"/>
              </w:rPr>
              <w:t>投标人认为需要提供的其他材料（所有评分项涉及到的证书及证明材料）。</w:t>
            </w:r>
          </w:p>
          <w:p>
            <w:pPr>
              <w:pStyle w:val="8"/>
              <w:spacing w:line="400" w:lineRule="exact"/>
              <w:rPr>
                <w:rFonts w:asciiTheme="minorEastAsia" w:hAnsiTheme="minorEastAsia" w:eastAsiaTheme="minorEastAsia"/>
                <w:color w:val="0000FF"/>
                <w:szCs w:val="21"/>
              </w:rPr>
            </w:pPr>
            <w:r>
              <w:rPr>
                <w:rFonts w:hint="eastAsia" w:asciiTheme="minorEastAsia" w:hAnsiTheme="minorEastAsia" w:eastAsiaTheme="minorEastAsia"/>
                <w:color w:val="0000FF"/>
                <w:szCs w:val="21"/>
              </w:rPr>
              <w:t>备注：（1）以上技术标内容均需在三门投标编制4.0.2.8版本中的技术标对应处自行添加后自动生成，添加的内容须为清晰的电子文档。</w:t>
            </w:r>
          </w:p>
          <w:p>
            <w:pPr>
              <w:pStyle w:val="8"/>
              <w:spacing w:line="400" w:lineRule="exact"/>
              <w:ind w:firstLine="0" w:firstLineChars="0"/>
              <w:rPr>
                <w:rFonts w:asciiTheme="minorEastAsia" w:hAnsiTheme="minorEastAsia" w:eastAsiaTheme="minorEastAsia"/>
                <w:b/>
                <w:bCs/>
                <w:szCs w:val="21"/>
              </w:rPr>
            </w:pPr>
            <w:r>
              <w:rPr>
                <w:rFonts w:hint="eastAsia" w:asciiTheme="minorEastAsia" w:hAnsiTheme="minorEastAsia" w:eastAsiaTheme="minorEastAsia"/>
                <w:b/>
                <w:bCs/>
                <w:szCs w:val="21"/>
              </w:rPr>
              <w:t>3、商务标</w:t>
            </w:r>
          </w:p>
          <w:p>
            <w:pPr>
              <w:spacing w:line="280" w:lineRule="exact"/>
              <w:ind w:firstLine="420" w:firstLineChars="200"/>
              <w:jc w:val="both"/>
              <w:rPr>
                <w:rFonts w:cs="宋体" w:asciiTheme="minorEastAsia" w:hAnsiTheme="minorEastAsia" w:eastAsiaTheme="minorEastAsia"/>
                <w:position w:val="-4"/>
              </w:rPr>
            </w:pPr>
            <w:r>
              <w:rPr>
                <w:rFonts w:hint="eastAsia" w:asciiTheme="minorEastAsia" w:hAnsiTheme="minorEastAsia" w:eastAsiaTheme="minorEastAsia"/>
                <w:color w:val="auto"/>
              </w:rPr>
              <w:t>由三门投标编制 4.0.2.8 版本生成的商务标电子投标文件</w:t>
            </w:r>
            <w:r>
              <w:rPr>
                <w:rFonts w:hint="eastAsia" w:cs="宋体" w:asciiTheme="minorEastAsia" w:hAnsiTheme="minorEastAsia" w:eastAsiaTheme="minor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914" w:type="dxa"/>
            <w:vAlign w:val="center"/>
          </w:tcPr>
          <w:p>
            <w:pPr>
              <w:ind w:firstLine="224" w:firstLineChars="100"/>
              <w:jc w:val="both"/>
              <w:rPr>
                <w:rFonts w:cs="宋体" w:asciiTheme="minorEastAsia" w:hAnsiTheme="minorEastAsia" w:eastAsiaTheme="minorEastAsia"/>
                <w:spacing w:val="-1"/>
              </w:rPr>
            </w:pPr>
            <w:r>
              <w:rPr>
                <w:rFonts w:cs="宋体" w:asciiTheme="minorEastAsia" w:hAnsiTheme="minorEastAsia" w:eastAsiaTheme="minorEastAsia"/>
                <w:spacing w:val="7"/>
              </w:rPr>
              <w:t>3</w:t>
            </w:r>
            <w:r>
              <w:rPr>
                <w:rFonts w:cs="宋体" w:asciiTheme="minorEastAsia" w:hAnsiTheme="minorEastAsia" w:eastAsiaTheme="minorEastAsia"/>
                <w:spacing w:val="6"/>
              </w:rPr>
              <w:t>.2.1</w:t>
            </w:r>
          </w:p>
        </w:tc>
        <w:tc>
          <w:tcPr>
            <w:tcW w:w="1781" w:type="dxa"/>
            <w:vAlign w:val="center"/>
          </w:tcPr>
          <w:p>
            <w:pPr>
              <w:spacing w:line="360" w:lineRule="exact"/>
              <w:ind w:right="289"/>
              <w:jc w:val="both"/>
              <w:rPr>
                <w:rFonts w:cs="宋体" w:asciiTheme="minorEastAsia" w:hAnsiTheme="minorEastAsia" w:eastAsiaTheme="minorEastAsia"/>
                <w:spacing w:val="4"/>
              </w:rPr>
            </w:pPr>
            <w:r>
              <w:rPr>
                <w:rFonts w:cs="宋体" w:asciiTheme="minorEastAsia" w:hAnsiTheme="minorEastAsia" w:eastAsiaTheme="minorEastAsia"/>
                <w:spacing w:val="8"/>
              </w:rPr>
              <w:t>招标控制价及最高投标限</w:t>
            </w:r>
            <w:r>
              <w:rPr>
                <w:rFonts w:cs="宋体" w:asciiTheme="minorEastAsia" w:hAnsiTheme="minorEastAsia" w:eastAsiaTheme="minorEastAsia"/>
                <w:spacing w:val="7"/>
              </w:rPr>
              <w:t>价</w:t>
            </w:r>
          </w:p>
        </w:tc>
        <w:tc>
          <w:tcPr>
            <w:tcW w:w="7087" w:type="dxa"/>
            <w:gridSpan w:val="2"/>
            <w:vAlign w:val="center"/>
          </w:tcPr>
          <w:p>
            <w:pPr>
              <w:spacing w:line="260" w:lineRule="exact"/>
              <w:ind w:left="113"/>
              <w:jc w:val="both"/>
              <w:rPr>
                <w:rFonts w:cs="宋体" w:asciiTheme="minorEastAsia" w:hAnsiTheme="minorEastAsia" w:eastAsiaTheme="minorEastAsia"/>
                <w:color w:val="000000" w:themeColor="text1"/>
                <w:u w:val="single"/>
                <w14:textFill>
                  <w14:solidFill>
                    <w14:schemeClr w14:val="tx1"/>
                  </w14:solidFill>
                </w14:textFill>
              </w:rPr>
            </w:pPr>
            <w:r>
              <w:rPr>
                <w:rFonts w:cs="宋体" w:asciiTheme="minorEastAsia" w:hAnsiTheme="minorEastAsia" w:eastAsiaTheme="minorEastAsia"/>
                <w:color w:val="000000" w:themeColor="text1"/>
                <w:spacing w:val="8"/>
                <w:u w:val="single"/>
                <w14:textFill>
                  <w14:solidFill>
                    <w14:schemeClr w14:val="tx1"/>
                  </w14:solidFill>
                </w14:textFill>
              </w:rPr>
              <w:t>招标控制</w:t>
            </w:r>
            <w:r>
              <w:rPr>
                <w:rFonts w:cs="宋体" w:asciiTheme="minorEastAsia" w:hAnsiTheme="minorEastAsia" w:eastAsiaTheme="minorEastAsia"/>
                <w:color w:val="000000" w:themeColor="text1"/>
                <w:spacing w:val="4"/>
                <w:u w:val="single"/>
                <w14:textFill>
                  <w14:solidFill>
                    <w14:schemeClr w14:val="tx1"/>
                  </w14:solidFill>
                </w14:textFill>
              </w:rPr>
              <w:t>价：</w:t>
            </w:r>
            <w:r>
              <w:rPr>
                <w:rFonts w:hint="eastAsia" w:cs="宋体" w:asciiTheme="minorEastAsia" w:hAnsiTheme="minorEastAsia" w:eastAsiaTheme="minorEastAsia"/>
                <w:kern w:val="2"/>
                <w:u w:val="single"/>
                <w:shd w:val="clear" w:color="auto" w:fill="FFFFFF"/>
              </w:rPr>
              <w:t>1252.6500</w:t>
            </w:r>
            <w:r>
              <w:rPr>
                <w:rFonts w:hint="eastAsia" w:cs="宋体" w:asciiTheme="minorEastAsia" w:hAnsiTheme="minorEastAsia" w:eastAsiaTheme="minorEastAsia"/>
                <w:color w:val="000000" w:themeColor="text1"/>
                <w:spacing w:val="4"/>
                <w:u w:val="single"/>
                <w14:textFill>
                  <w14:solidFill>
                    <w14:schemeClr w14:val="tx1"/>
                  </w14:solidFill>
                </w14:textFill>
              </w:rPr>
              <w:t>万</w:t>
            </w:r>
            <w:r>
              <w:rPr>
                <w:rFonts w:cs="宋体" w:asciiTheme="minorEastAsia" w:hAnsiTheme="minorEastAsia" w:eastAsiaTheme="minorEastAsia"/>
                <w:color w:val="000000" w:themeColor="text1"/>
                <w:spacing w:val="4"/>
                <w:u w:val="single"/>
                <w14:textFill>
                  <w14:solidFill>
                    <w14:schemeClr w14:val="tx1"/>
                  </w14:solidFill>
                </w14:textFill>
              </w:rPr>
              <w:t>元；(详见招标人招标控制价)；</w:t>
            </w:r>
          </w:p>
          <w:p>
            <w:pPr>
              <w:spacing w:line="260" w:lineRule="exact"/>
              <w:ind w:left="114"/>
              <w:jc w:val="both"/>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spacing w:val="5"/>
                <w:u w:val="single"/>
                <w14:textFill>
                  <w14:solidFill>
                    <w14:schemeClr w14:val="tx1"/>
                  </w14:solidFill>
                </w14:textFill>
              </w:rPr>
              <w:t>最高投标限价：</w:t>
            </w:r>
            <w:r>
              <w:rPr>
                <w:rFonts w:hint="eastAsia" w:cs="宋体" w:asciiTheme="minorEastAsia" w:hAnsiTheme="minorEastAsia" w:eastAsiaTheme="minorEastAsia"/>
                <w:color w:val="000000" w:themeColor="text1"/>
                <w:spacing w:val="5"/>
                <w:u w:val="single"/>
                <w14:textFill>
                  <w14:solidFill>
                    <w14:schemeClr w14:val="tx1"/>
                  </w14:solidFill>
                </w14:textFill>
              </w:rPr>
              <w:t>1014.6465万</w:t>
            </w:r>
            <w:r>
              <w:rPr>
                <w:rFonts w:cs="宋体" w:asciiTheme="minorEastAsia" w:hAnsiTheme="minorEastAsia" w:eastAsiaTheme="minorEastAsia"/>
                <w:color w:val="000000" w:themeColor="text1"/>
                <w:spacing w:val="5"/>
                <w:u w:val="single"/>
                <w14:textFill>
                  <w14:solidFill>
                    <w14:schemeClr w14:val="tx1"/>
                  </w14:solidFill>
                </w14:textFill>
              </w:rPr>
              <w:t>元。（招标控制价×8</w:t>
            </w:r>
            <w:r>
              <w:rPr>
                <w:rFonts w:hint="eastAsia" w:cs="宋体" w:asciiTheme="minorEastAsia" w:hAnsiTheme="minorEastAsia" w:eastAsiaTheme="minorEastAsia"/>
                <w:color w:val="000000" w:themeColor="text1"/>
                <w:spacing w:val="5"/>
                <w:u w:val="single"/>
                <w14:textFill>
                  <w14:solidFill>
                    <w14:schemeClr w14:val="tx1"/>
                  </w14:solidFill>
                </w14:textFill>
              </w:rPr>
              <w:t>1</w:t>
            </w:r>
            <w:r>
              <w:rPr>
                <w:rFonts w:cs="宋体" w:asciiTheme="minorEastAsia" w:hAnsiTheme="minorEastAsia" w:eastAsiaTheme="minorEastAsia"/>
                <w:color w:val="000000" w:themeColor="text1"/>
                <w:spacing w:val="5"/>
                <w:u w:val="single"/>
                <w14:textFill>
                  <w14:solidFill>
                    <w14:schemeClr w14:val="tx1"/>
                  </w14:solidFill>
                </w14:textFill>
              </w:rPr>
              <w:t>%；）</w:t>
            </w:r>
            <w:r>
              <w:rPr>
                <w:rFonts w:cs="宋体" w:asciiTheme="minorEastAsia" w:hAnsiTheme="minorEastAsia" w:eastAsiaTheme="minorEastAsia"/>
                <w:color w:val="000000" w:themeColor="text1"/>
                <w:spacing w:val="5"/>
                <w14:textFill>
                  <w14:solidFill>
                    <w14:schemeClr w14:val="tx1"/>
                  </w14:solidFill>
                </w14:textFill>
              </w:rPr>
              <w:t xml:space="preserve"> </w:t>
            </w:r>
          </w:p>
          <w:p>
            <w:pPr>
              <w:spacing w:line="260" w:lineRule="exact"/>
              <w:ind w:left="114"/>
              <w:jc w:val="both"/>
              <w:rPr>
                <w:rFonts w:cs="宋体" w:asciiTheme="minorEastAsia" w:hAnsiTheme="minorEastAsia" w:eastAsiaTheme="minorEastAsia"/>
                <w:position w:val="-4"/>
              </w:rPr>
            </w:pPr>
            <w:r>
              <w:rPr>
                <w:rFonts w:cs="宋体" w:asciiTheme="minorEastAsia" w:hAnsiTheme="minorEastAsia" w:eastAsiaTheme="minorEastAsia"/>
                <w:spacing w:val="10"/>
              </w:rPr>
              <w:t>投标人的投标总报价超过最高投标限价的，作无效标处理</w:t>
            </w:r>
            <w:r>
              <w:rPr>
                <w:rFonts w:cs="宋体" w:asciiTheme="minorEastAsia" w:hAnsiTheme="minorEastAsia" w:eastAsiaTheme="minorEastAsia"/>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 w:hRule="atLeast"/>
        </w:trPr>
        <w:tc>
          <w:tcPr>
            <w:tcW w:w="914" w:type="dxa"/>
            <w:vAlign w:val="center"/>
          </w:tcPr>
          <w:p>
            <w:pPr>
              <w:spacing w:before="210" w:line="191" w:lineRule="auto"/>
              <w:ind w:left="228"/>
              <w:jc w:val="both"/>
              <w:rPr>
                <w:rFonts w:cs="宋体" w:asciiTheme="minorEastAsia" w:hAnsiTheme="minorEastAsia" w:eastAsiaTheme="minorEastAsia"/>
                <w:spacing w:val="-1"/>
              </w:rPr>
            </w:pPr>
            <w:r>
              <w:rPr>
                <w:rFonts w:cs="宋体" w:asciiTheme="minorEastAsia" w:hAnsiTheme="minorEastAsia" w:eastAsiaTheme="minorEastAsia"/>
                <w:spacing w:val="7"/>
              </w:rPr>
              <w:t>3</w:t>
            </w:r>
            <w:r>
              <w:rPr>
                <w:rFonts w:cs="宋体" w:asciiTheme="minorEastAsia" w:hAnsiTheme="minorEastAsia" w:eastAsiaTheme="minorEastAsia"/>
                <w:spacing w:val="6"/>
              </w:rPr>
              <w:t>.3.1</w:t>
            </w:r>
          </w:p>
        </w:tc>
        <w:tc>
          <w:tcPr>
            <w:tcW w:w="1781" w:type="dxa"/>
            <w:vAlign w:val="center"/>
          </w:tcPr>
          <w:p>
            <w:pPr>
              <w:spacing w:before="178" w:line="229" w:lineRule="auto"/>
              <w:ind w:left="401"/>
              <w:jc w:val="both"/>
              <w:rPr>
                <w:rFonts w:cs="宋体" w:asciiTheme="minorEastAsia" w:hAnsiTheme="minorEastAsia" w:eastAsiaTheme="minorEastAsia"/>
                <w:spacing w:val="4"/>
              </w:rPr>
            </w:pPr>
            <w:r>
              <w:rPr>
                <w:rFonts w:cs="宋体" w:asciiTheme="minorEastAsia" w:hAnsiTheme="minorEastAsia" w:eastAsiaTheme="minorEastAsia"/>
                <w:spacing w:val="10"/>
              </w:rPr>
              <w:t>投</w:t>
            </w:r>
            <w:r>
              <w:rPr>
                <w:rFonts w:cs="宋体" w:asciiTheme="minorEastAsia" w:hAnsiTheme="minorEastAsia" w:eastAsiaTheme="minorEastAsia"/>
                <w:spacing w:val="7"/>
              </w:rPr>
              <w:t>标有效期</w:t>
            </w:r>
          </w:p>
        </w:tc>
        <w:tc>
          <w:tcPr>
            <w:tcW w:w="7087" w:type="dxa"/>
            <w:gridSpan w:val="2"/>
            <w:vAlign w:val="center"/>
          </w:tcPr>
          <w:p>
            <w:pPr>
              <w:spacing w:before="178" w:line="228" w:lineRule="auto"/>
              <w:ind w:left="113"/>
              <w:jc w:val="both"/>
              <w:rPr>
                <w:rFonts w:cs="宋体" w:asciiTheme="minorEastAsia" w:hAnsiTheme="minorEastAsia" w:eastAsiaTheme="minorEastAsia"/>
                <w:position w:val="-4"/>
              </w:rPr>
            </w:pPr>
            <w:r>
              <w:rPr>
                <w:rFonts w:cs="宋体" w:asciiTheme="minorEastAsia" w:hAnsiTheme="minorEastAsia" w:eastAsiaTheme="minorEastAsia"/>
                <w:spacing w:val="8"/>
              </w:rPr>
              <w:t>90</w:t>
            </w:r>
            <w:r>
              <w:rPr>
                <w:rFonts w:cs="宋体" w:asciiTheme="minorEastAsia" w:hAnsiTheme="minorEastAsia" w:eastAsiaTheme="minorEastAsia"/>
                <w:spacing w:val="4"/>
              </w:rPr>
              <w:t>日历天 (自投标截止日起计算)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14" w:type="dxa"/>
            <w:vAlign w:val="center"/>
          </w:tcPr>
          <w:p>
            <w:pPr>
              <w:spacing w:line="241" w:lineRule="auto"/>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line="242" w:lineRule="auto"/>
              <w:jc w:val="both"/>
              <w:rPr>
                <w:rFonts w:asciiTheme="minorEastAsia" w:hAnsiTheme="minorEastAsia" w:eastAsiaTheme="minorEastAsia"/>
              </w:rPr>
            </w:pPr>
          </w:p>
          <w:p>
            <w:pPr>
              <w:spacing w:before="65" w:line="191" w:lineRule="auto"/>
              <w:ind w:left="228"/>
              <w:jc w:val="both"/>
              <w:rPr>
                <w:rFonts w:cs="宋体" w:asciiTheme="minorEastAsia" w:hAnsiTheme="minorEastAsia" w:eastAsiaTheme="minorEastAsia"/>
                <w:spacing w:val="-1"/>
              </w:rPr>
            </w:pPr>
            <w:r>
              <w:rPr>
                <w:rFonts w:cs="宋体" w:asciiTheme="minorEastAsia" w:hAnsiTheme="minorEastAsia" w:eastAsiaTheme="minorEastAsia"/>
                <w:spacing w:val="7"/>
              </w:rPr>
              <w:t>3</w:t>
            </w:r>
            <w:r>
              <w:rPr>
                <w:rFonts w:cs="宋体" w:asciiTheme="minorEastAsia" w:hAnsiTheme="minorEastAsia" w:eastAsiaTheme="minorEastAsia"/>
                <w:spacing w:val="6"/>
              </w:rPr>
              <w:t>.4.1</w:t>
            </w:r>
          </w:p>
        </w:tc>
        <w:tc>
          <w:tcPr>
            <w:tcW w:w="1781" w:type="dxa"/>
            <w:vAlign w:val="center"/>
          </w:tcPr>
          <w:p>
            <w:pPr>
              <w:spacing w:line="257" w:lineRule="auto"/>
              <w:jc w:val="both"/>
              <w:rPr>
                <w:rFonts w:asciiTheme="minorEastAsia" w:hAnsiTheme="minorEastAsia" w:eastAsiaTheme="minorEastAsia"/>
              </w:rPr>
            </w:pPr>
          </w:p>
          <w:p>
            <w:pPr>
              <w:spacing w:line="257" w:lineRule="auto"/>
              <w:jc w:val="both"/>
              <w:rPr>
                <w:rFonts w:asciiTheme="minorEastAsia" w:hAnsiTheme="minorEastAsia" w:eastAsiaTheme="minorEastAsia"/>
              </w:rPr>
            </w:pPr>
          </w:p>
          <w:p>
            <w:pPr>
              <w:spacing w:line="257"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line="258" w:lineRule="auto"/>
              <w:jc w:val="both"/>
              <w:rPr>
                <w:rFonts w:asciiTheme="minorEastAsia" w:hAnsiTheme="minorEastAsia" w:eastAsiaTheme="minorEastAsia"/>
              </w:rPr>
            </w:pPr>
          </w:p>
          <w:p>
            <w:pPr>
              <w:spacing w:before="65" w:line="229" w:lineRule="auto"/>
              <w:ind w:left="401"/>
              <w:jc w:val="both"/>
              <w:rPr>
                <w:rFonts w:cs="宋体" w:asciiTheme="minorEastAsia" w:hAnsiTheme="minorEastAsia" w:eastAsiaTheme="minorEastAsia"/>
                <w:spacing w:val="4"/>
              </w:rPr>
            </w:pPr>
            <w:r>
              <w:rPr>
                <w:rFonts w:cs="宋体" w:asciiTheme="minorEastAsia" w:hAnsiTheme="minorEastAsia" w:eastAsiaTheme="minorEastAsia"/>
                <w:spacing w:val="10"/>
              </w:rPr>
              <w:t>投</w:t>
            </w:r>
            <w:r>
              <w:rPr>
                <w:rFonts w:cs="宋体" w:asciiTheme="minorEastAsia" w:hAnsiTheme="minorEastAsia" w:eastAsiaTheme="minorEastAsia"/>
                <w:spacing w:val="7"/>
              </w:rPr>
              <w:t>标担保</w:t>
            </w:r>
          </w:p>
        </w:tc>
        <w:tc>
          <w:tcPr>
            <w:tcW w:w="7087" w:type="dxa"/>
            <w:gridSpan w:val="2"/>
            <w:vAlign w:val="center"/>
          </w:tcPr>
          <w:p>
            <w:pPr>
              <w:spacing w:line="288" w:lineRule="auto"/>
              <w:ind w:firstLine="375" w:firstLineChars="179"/>
            </w:pPr>
            <w:r>
              <w:rPr/>
              <w:sym w:font="Wingdings" w:char="F0FE"/>
            </w:r>
            <w:r>
              <w:rPr>
                <w:rFonts w:hint="eastAsia"/>
                <w:b/>
                <w:bCs/>
              </w:rPr>
              <w:t>要求递交投标保证金。</w:t>
            </w:r>
          </w:p>
          <w:p>
            <w:pPr>
              <w:spacing w:line="288" w:lineRule="auto"/>
              <w:ind w:firstLine="375" w:firstLineChars="179"/>
            </w:pPr>
            <w:r>
              <w:t>1</w:t>
            </w:r>
            <w:r>
              <w:rPr>
                <w:rFonts w:hint="eastAsia"/>
              </w:rPr>
              <w:t>、担保金额：不低于</w:t>
            </w:r>
            <w:r>
              <w:rPr>
                <w:u w:val="single"/>
              </w:rPr>
              <w:t xml:space="preserve"> </w:t>
            </w:r>
            <w:r>
              <w:rPr>
                <w:rFonts w:hint="eastAsia" w:eastAsiaTheme="minorEastAsia"/>
                <w:u w:val="single"/>
              </w:rPr>
              <w:t>20</w:t>
            </w:r>
            <w:r>
              <w:rPr>
                <w:rFonts w:hint="eastAsia"/>
              </w:rPr>
              <w:t>万元。</w:t>
            </w:r>
          </w:p>
          <w:p>
            <w:pPr>
              <w:spacing w:line="288" w:lineRule="auto"/>
              <w:ind w:firstLine="375" w:firstLineChars="179"/>
            </w:pPr>
            <w:r>
              <w:t>2</w:t>
            </w:r>
            <w:r>
              <w:rPr>
                <w:rFonts w:hint="eastAsia"/>
              </w:rPr>
              <w:t>、投标保证金缴纳方式（任选一种）：现金、银行保函、保险机构保证保险保单、融资担保公司保函。</w:t>
            </w:r>
          </w:p>
          <w:p>
            <w:pPr>
              <w:spacing w:line="288" w:lineRule="auto"/>
              <w:ind w:firstLine="271" w:firstLineChars="129"/>
              <w:rPr>
                <w:b/>
                <w:bCs/>
              </w:rPr>
            </w:pPr>
            <w:r>
              <w:rPr>
                <w:rFonts w:hint="eastAsia"/>
                <w:b/>
                <w:bCs/>
              </w:rPr>
              <w:t>（</w:t>
            </w:r>
            <w:r>
              <w:rPr>
                <w:b/>
                <w:bCs/>
              </w:rPr>
              <w:t>1</w:t>
            </w:r>
            <w:r>
              <w:rPr>
                <w:rFonts w:hint="eastAsia"/>
                <w:b/>
                <w:bCs/>
              </w:rPr>
              <w:t>）现金</w:t>
            </w:r>
          </w:p>
          <w:p>
            <w:pPr>
              <w:spacing w:line="288" w:lineRule="auto"/>
              <w:ind w:firstLine="270" w:firstLineChars="129"/>
            </w:pPr>
            <w:r>
              <w:rPr>
                <w:rFonts w:hint="eastAsia"/>
              </w:rPr>
              <w:t>①电汇或网银转账（请不要使用“支付宝”等第三方支付平台），并通过“三门县建设工程项</w:t>
            </w:r>
            <w:r>
              <w:t>目交易系统</w:t>
            </w:r>
            <w:r>
              <w:rPr>
                <w:rFonts w:hint="eastAsia"/>
              </w:rPr>
              <w:t>”取得相应的取得投标保证金收款账户信息后支付，具体详见三门县公共资源交易中心网站“办事指南”栏目“三门县投标保证金（虚拟账户）缴纳操作说明”；</w:t>
            </w:r>
          </w:p>
          <w:p>
            <w:pPr>
              <w:spacing w:line="288" w:lineRule="auto"/>
              <w:ind w:firstLine="270" w:firstLineChars="129"/>
            </w:pPr>
            <w:r>
              <w:rPr>
                <w:rFonts w:hint="eastAsia"/>
              </w:rPr>
              <w:t>②投标保证金应在投标截止时间前到交易中心账户。</w:t>
            </w:r>
          </w:p>
          <w:p>
            <w:pPr>
              <w:spacing w:line="288" w:lineRule="auto"/>
              <w:ind w:firstLine="271" w:firstLineChars="129"/>
              <w:rPr>
                <w:b/>
                <w:bCs/>
              </w:rPr>
            </w:pPr>
            <w:r>
              <w:rPr>
                <w:rFonts w:hint="eastAsia"/>
                <w:b/>
                <w:bCs/>
              </w:rPr>
              <w:t>（</w:t>
            </w:r>
            <w:r>
              <w:rPr>
                <w:b/>
                <w:bCs/>
              </w:rPr>
              <w:t>2</w:t>
            </w:r>
            <w:r>
              <w:rPr>
                <w:rFonts w:hint="eastAsia"/>
                <w:b/>
                <w:bCs/>
              </w:rPr>
              <w:t>）银行保函、保险机构保证保险保单、融资担保公司保函（以下合称“工程保函”）</w:t>
            </w:r>
          </w:p>
          <w:p>
            <w:pPr>
              <w:spacing w:line="288" w:lineRule="auto"/>
              <w:ind w:firstLine="270" w:firstLineChars="129"/>
            </w:pPr>
            <w:r>
              <w:rPr>
                <w:rFonts w:hint="eastAsia"/>
              </w:rPr>
              <w:t>①工程保函的受益人：</w:t>
            </w:r>
            <w:r>
              <w:rPr>
                <w:rFonts w:hint="eastAsia"/>
                <w:u w:val="single"/>
              </w:rPr>
              <w:t xml:space="preserve"> </w:t>
            </w:r>
            <w:r>
              <w:rPr>
                <w:u w:val="single"/>
              </w:rPr>
              <w:t xml:space="preserve">台州市北部湾区经济开发集团有限公司 </w:t>
            </w:r>
            <w:r>
              <w:rPr>
                <w:rFonts w:hint="eastAsia"/>
              </w:rPr>
              <w:t>（招标人名称）；</w:t>
            </w:r>
          </w:p>
          <w:p>
            <w:pPr>
              <w:spacing w:line="288" w:lineRule="auto"/>
              <w:ind w:firstLine="270" w:firstLineChars="129"/>
            </w:pPr>
            <w:r>
              <w:rPr>
                <w:rFonts w:hint="eastAsia"/>
              </w:rPr>
              <w:t>②</w:t>
            </w:r>
            <w:r>
              <w:rPr>
                <w:rFonts w:hint="eastAsia"/>
                <w:b/>
                <w:bCs/>
              </w:rPr>
              <w:t>工程保函的有效期为</w:t>
            </w:r>
            <w:r>
              <w:rPr>
                <w:b/>
                <w:bCs/>
              </w:rPr>
              <w:t>1</w:t>
            </w:r>
            <w:r>
              <w:rPr>
                <w:rFonts w:hint="eastAsia"/>
                <w:b/>
                <w:bCs/>
              </w:rPr>
              <w:t>年</w:t>
            </w:r>
            <w:r>
              <w:rPr>
                <w:rFonts w:hint="eastAsia"/>
              </w:rPr>
              <w:t>；</w:t>
            </w:r>
          </w:p>
          <w:p>
            <w:pPr>
              <w:spacing w:line="288" w:lineRule="auto"/>
              <w:ind w:firstLine="270" w:firstLineChars="129"/>
            </w:pPr>
            <w:r>
              <w:rPr>
                <w:rFonts w:hint="eastAsia"/>
              </w:rPr>
              <w:t>③递交方式：</w:t>
            </w:r>
          </w:p>
          <w:p>
            <w:pPr>
              <w:spacing w:line="288" w:lineRule="auto"/>
              <w:ind w:firstLine="271" w:firstLineChars="129"/>
            </w:pPr>
            <w:r>
              <w:rPr>
                <w:rFonts w:hint="eastAsia"/>
                <w:b/>
                <w:bCs/>
              </w:rPr>
              <w:t>递交方式一（电子保函系统）</w:t>
            </w:r>
            <w:r>
              <w:rPr>
                <w:rFonts w:hint="eastAsia"/>
              </w:rPr>
              <w:t>：</w:t>
            </w:r>
          </w:p>
          <w:p>
            <w:pPr>
              <w:spacing w:line="288" w:lineRule="auto"/>
              <w:ind w:firstLine="270" w:firstLineChars="129"/>
            </w:pPr>
            <w:r>
              <w:rPr>
                <w:rFonts w:hint="eastAsia"/>
              </w:rPr>
              <w:t>通过三门县建设工程项</w:t>
            </w:r>
            <w:r>
              <w:t>目交易系统</w:t>
            </w:r>
            <w:r>
              <w:rPr>
                <w:rFonts w:hint="eastAsia"/>
              </w:rPr>
              <w:t>在“业务</w:t>
            </w:r>
            <w:r>
              <w:t>管理</w:t>
            </w:r>
            <w:r>
              <w:rPr>
                <w:rFonts w:hint="eastAsia"/>
              </w:rPr>
              <w:t>—费用</w:t>
            </w:r>
            <w:r>
              <w:t>管理</w:t>
            </w:r>
            <w:r>
              <w:rPr>
                <w:rFonts w:hint="eastAsia"/>
              </w:rPr>
              <w:t>”栏目选择“电子保函”递交方式，并按系统流程进行操作、申购电子保函。</w:t>
            </w:r>
          </w:p>
          <w:p>
            <w:pPr>
              <w:spacing w:line="288" w:lineRule="auto"/>
              <w:ind w:firstLine="270" w:firstLineChars="129"/>
            </w:pPr>
            <w:r>
              <w:rPr>
                <w:rFonts w:hint="eastAsia"/>
              </w:rPr>
              <w:t>注：电子保单生效时间为投保第二天</w:t>
            </w:r>
            <w:r>
              <w:t>00:00,</w:t>
            </w:r>
            <w:r>
              <w:rPr>
                <w:rFonts w:hint="eastAsia"/>
              </w:rPr>
              <w:t>各投标人须在投标截止时间前</w:t>
            </w:r>
            <w:r>
              <w:t>1</w:t>
            </w:r>
            <w:r>
              <w:rPr>
                <w:rFonts w:hint="eastAsia"/>
              </w:rPr>
              <w:t>天申购电子保函；付款后请确认已收到出单提醒短信，或者在系统中查看保单状态为“已出单”，因未确认保函出单情况导致递交投标保证金失败的，所有后果由投标人自行承担。</w:t>
            </w:r>
          </w:p>
          <w:p>
            <w:pPr>
              <w:spacing w:line="288" w:lineRule="auto"/>
              <w:ind w:firstLine="271" w:firstLineChars="129"/>
            </w:pPr>
            <w:r>
              <w:rPr>
                <w:rFonts w:hint="eastAsia"/>
                <w:b/>
                <w:bCs/>
              </w:rPr>
              <w:t>递交方式二（非电子保函系统）</w:t>
            </w:r>
            <w:r>
              <w:rPr>
                <w:rFonts w:hint="eastAsia"/>
              </w:rPr>
              <w:t>：</w:t>
            </w:r>
          </w:p>
          <w:p>
            <w:pPr>
              <w:spacing w:line="288" w:lineRule="auto"/>
              <w:ind w:firstLine="271" w:firstLineChars="129"/>
            </w:pPr>
            <w:r>
              <w:rPr>
                <w:rFonts w:hint="eastAsia" w:ascii="宋体" w:hAnsi="Wingdings" w:cs="宋体"/>
                <w:b/>
                <w:bCs/>
              </w:rPr>
              <w:sym w:font="Wingdings" w:char="F0FE"/>
            </w:r>
            <w:r>
              <w:rPr>
                <w:rFonts w:hint="eastAsia" w:ascii="宋体" w:hAnsi="宋体" w:cs="宋体"/>
                <w:bCs/>
              </w:rPr>
              <w:t>采用电子文件投标的项目</w:t>
            </w:r>
            <w:r>
              <w:rPr>
                <w:rFonts w:hint="eastAsia"/>
              </w:rPr>
              <w:t>，工程保函电子版本（纸质保函的扫描件、以</w:t>
            </w:r>
            <w:r>
              <w:t>PDF</w:t>
            </w:r>
            <w:r>
              <w:rPr>
                <w:rFonts w:hint="eastAsia"/>
              </w:rPr>
              <w:t>等格式签盖电子印章的电子保函）作为电子投标文件的资信标组成部分，在投标截止时间前随电子投标文件的资信标一起上传交易系统进行递交。</w:t>
            </w:r>
            <w:r>
              <w:rPr>
                <w:rFonts w:hint="eastAsia"/>
                <w:b/>
                <w:bCs/>
              </w:rPr>
              <w:t>电子版本形式的工程保函须注明“本保函的电子版本（纸质保函的扫描件、以</w:t>
            </w:r>
            <w:r>
              <w:rPr>
                <w:b/>
                <w:bCs/>
              </w:rPr>
              <w:t>PDF</w:t>
            </w:r>
            <w:r>
              <w:rPr>
                <w:rFonts w:hint="eastAsia"/>
                <w:b/>
                <w:bCs/>
              </w:rPr>
              <w:t>等格式签盖电子印章的电子保函）不影响索赔、代偿，与原件具有同等效力。”（如无法在工程保函中载明此条款的，可通过另签协议等方式进行约定，相关文件随工程保函一并提交）。</w:t>
            </w:r>
          </w:p>
          <w:p>
            <w:pPr>
              <w:spacing w:line="288" w:lineRule="auto"/>
              <w:ind w:firstLine="270" w:firstLineChars="129"/>
            </w:pPr>
            <w:r>
              <w:rPr>
                <w:rFonts w:hint="eastAsia"/>
              </w:rPr>
              <w:t>注：</w:t>
            </w:r>
            <w:r>
              <w:rPr>
                <w:rFonts w:hint="eastAsia"/>
                <w:b/>
                <w:bCs/>
              </w:rPr>
              <w:t>工程保函的保险（保证）责任必须包括“投标人须知</w:t>
            </w:r>
            <w:r>
              <w:rPr>
                <w:b/>
                <w:bCs/>
              </w:rPr>
              <w:t xml:space="preserve"> 3.4.4</w:t>
            </w:r>
            <w:r>
              <w:rPr>
                <w:rFonts w:hint="eastAsia"/>
                <w:b/>
                <w:bCs/>
              </w:rPr>
              <w:t>”所列条款。（温馨提示：请各投标单位仔细核对工程保函的保险责任所列条款。）</w:t>
            </w:r>
          </w:p>
          <w:p>
            <w:pPr>
              <w:spacing w:line="288" w:lineRule="auto"/>
              <w:ind w:firstLine="270" w:firstLineChars="129"/>
            </w:pPr>
            <w:r>
              <w:t>3</w:t>
            </w:r>
            <w:r>
              <w:rPr>
                <w:rFonts w:hint="eastAsia"/>
              </w:rPr>
              <w:t>、注意事项</w:t>
            </w:r>
          </w:p>
          <w:p>
            <w:pPr>
              <w:spacing w:line="288" w:lineRule="auto"/>
              <w:ind w:firstLine="270" w:firstLineChars="129"/>
            </w:pPr>
            <w:r>
              <w:rPr>
                <w:rFonts w:hint="eastAsia"/>
              </w:rPr>
              <w:t>①若招标文件允许联合体投标且投标人以联合体身份投标的，由联合体牵头人提交投标保证金；</w:t>
            </w:r>
          </w:p>
          <w:p>
            <w:pPr>
              <w:spacing w:line="288" w:lineRule="auto"/>
              <w:ind w:firstLine="270" w:firstLineChars="129"/>
            </w:pPr>
            <w:r>
              <w:rPr>
                <w:rFonts w:hint="eastAsia"/>
              </w:rPr>
              <w:t>②投标保证金收款账号根据不同工程（标段）由系统随机生成，此账号只在本工程（标段）中使用有效，请注意核对；</w:t>
            </w:r>
          </w:p>
          <w:p>
            <w:pPr>
              <w:spacing w:line="288" w:lineRule="auto"/>
              <w:ind w:firstLine="270" w:firstLineChars="129"/>
            </w:pPr>
            <w:r>
              <w:rPr>
                <w:rFonts w:hint="eastAsia"/>
              </w:rPr>
              <w:t>③因各银行系统到账时间不同，采用现金方式缴纳投标保证金的，请尽量提前缴纳，以实际到帐时间为准；</w:t>
            </w:r>
          </w:p>
          <w:p>
            <w:pPr>
              <w:spacing w:line="288" w:lineRule="auto"/>
              <w:ind w:firstLine="271" w:firstLineChars="129"/>
              <w:rPr>
                <w:b/>
              </w:rPr>
            </w:pPr>
            <w:r>
              <w:rPr>
                <w:rFonts w:hint="eastAsia"/>
                <w:b/>
              </w:rPr>
              <w:t>④以现金形式提交的投标保证金应当从投标人基本账户转出；</w:t>
            </w:r>
          </w:p>
          <w:p>
            <w:pPr>
              <w:ind w:firstLine="267"/>
            </w:pPr>
            <w:r>
              <w:rPr>
                <w:rFonts w:hint="eastAsia"/>
              </w:rPr>
              <w:t>⑤若有疑问，请咨询技术服务热线：</w:t>
            </w:r>
            <w:r>
              <w:t>13968512856</w:t>
            </w:r>
            <w:r>
              <w:rPr>
                <w:rFonts w:hint="eastAsia"/>
              </w:rPr>
              <w:t>。</w:t>
            </w:r>
          </w:p>
          <w:p>
            <w:pPr>
              <w:pStyle w:val="2"/>
              <w:jc w:val="both"/>
              <w:rPr>
                <w:rFonts w:asciiTheme="minorEastAsia" w:hAnsiTheme="minorEastAsia" w:eastAsiaTheme="minorEastAsia"/>
              </w:rPr>
            </w:pPr>
            <w:r>
              <w:rPr>
                <w:rFonts w:hint="eastAsia"/>
                <w:b/>
              </w:rPr>
              <w:t>⑥以上未按要求提供或提供不清晰的，评标委员会可能做出不利于投标人的评审结果，由此造成的风险由投标人自行承担</w:t>
            </w:r>
            <w:r>
              <w:rPr>
                <w:rFonts w:hint="eastAsia" w:cs="宋体" w:asciiTheme="minorEastAsia" w:hAnsiTheme="minorEastAsia" w:eastAsiaTheme="minorEastAsia"/>
                <w:b/>
                <w:bCs/>
                <w:color w:val="auto"/>
              </w:rPr>
              <w:t>。</w:t>
            </w:r>
            <w:r>
              <w:rPr>
                <w:rFonts w:asciiTheme="minorEastAsia" w:hAnsiTheme="minorEastAsia" w:eastAsiaTheme="minorEastAsia"/>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 w:hRule="atLeast"/>
        </w:trPr>
        <w:tc>
          <w:tcPr>
            <w:tcW w:w="914" w:type="dxa"/>
            <w:vAlign w:val="center"/>
          </w:tcPr>
          <w:p>
            <w:pPr>
              <w:spacing w:before="199" w:line="190" w:lineRule="auto"/>
              <w:ind w:left="334"/>
              <w:jc w:val="both"/>
              <w:rPr>
                <w:rFonts w:cs="宋体" w:asciiTheme="minorEastAsia" w:hAnsiTheme="minorEastAsia" w:eastAsiaTheme="minorEastAsia"/>
                <w:spacing w:val="-1"/>
              </w:rPr>
            </w:pPr>
            <w:r>
              <w:rPr>
                <w:rFonts w:cs="宋体" w:asciiTheme="minorEastAsia" w:hAnsiTheme="minorEastAsia" w:eastAsiaTheme="minorEastAsia"/>
                <w:spacing w:val="5"/>
              </w:rPr>
              <w:t>3</w:t>
            </w:r>
            <w:r>
              <w:rPr>
                <w:rFonts w:cs="宋体" w:asciiTheme="minorEastAsia" w:hAnsiTheme="minorEastAsia" w:eastAsiaTheme="minorEastAsia"/>
                <w:spacing w:val="3"/>
              </w:rPr>
              <w:t>.5</w:t>
            </w:r>
          </w:p>
        </w:tc>
        <w:tc>
          <w:tcPr>
            <w:tcW w:w="1781" w:type="dxa"/>
            <w:vAlign w:val="center"/>
          </w:tcPr>
          <w:p>
            <w:pPr>
              <w:spacing w:before="31" w:line="239" w:lineRule="auto"/>
              <w:ind w:left="298" w:right="291"/>
              <w:jc w:val="both"/>
              <w:rPr>
                <w:rFonts w:cs="宋体" w:asciiTheme="minorEastAsia" w:hAnsiTheme="minorEastAsia" w:eastAsiaTheme="minorEastAsia"/>
                <w:spacing w:val="4"/>
              </w:rPr>
            </w:pPr>
            <w:r>
              <w:rPr>
                <w:rFonts w:cs="宋体" w:asciiTheme="minorEastAsia" w:hAnsiTheme="minorEastAsia" w:eastAsiaTheme="minorEastAsia"/>
                <w:spacing w:val="11"/>
              </w:rPr>
              <w:t>是</w:t>
            </w:r>
            <w:r>
              <w:rPr>
                <w:rFonts w:cs="宋体" w:asciiTheme="minorEastAsia" w:hAnsiTheme="minorEastAsia" w:eastAsiaTheme="minorEastAsia"/>
                <w:spacing w:val="7"/>
              </w:rPr>
              <w:t>否允许递交</w:t>
            </w:r>
            <w:r>
              <w:rPr>
                <w:rFonts w:cs="宋体" w:asciiTheme="minorEastAsia" w:hAnsiTheme="minorEastAsia" w:eastAsiaTheme="minorEastAsia"/>
                <w:spacing w:val="8"/>
              </w:rPr>
              <w:t>备选投标方</w:t>
            </w:r>
            <w:r>
              <w:rPr>
                <w:rFonts w:cs="宋体" w:asciiTheme="minorEastAsia" w:hAnsiTheme="minorEastAsia" w:eastAsiaTheme="minorEastAsia"/>
                <w:spacing w:val="7"/>
              </w:rPr>
              <w:t>案</w:t>
            </w:r>
          </w:p>
        </w:tc>
        <w:tc>
          <w:tcPr>
            <w:tcW w:w="7087" w:type="dxa"/>
            <w:gridSpan w:val="2"/>
            <w:vAlign w:val="center"/>
          </w:tcPr>
          <w:p>
            <w:pPr>
              <w:spacing w:before="166" w:line="228" w:lineRule="auto"/>
              <w:ind w:left="115"/>
              <w:jc w:val="both"/>
              <w:rPr>
                <w:rFonts w:cs="宋体" w:asciiTheme="minorEastAsia" w:hAnsiTheme="minorEastAsia" w:eastAsiaTheme="minorEastAsia"/>
                <w:position w:val="-4"/>
              </w:rPr>
            </w:pPr>
            <w:r>
              <w:rPr>
                <w:rFonts w:cs="宋体" w:asciiTheme="minorEastAsia" w:hAnsiTheme="minorEastAsia" w:eastAsiaTheme="minorEastAsia"/>
                <w:spacing w:val="6"/>
              </w:rPr>
              <w:t>不允</w:t>
            </w:r>
            <w:r>
              <w:rPr>
                <w:rFonts w:cs="宋体" w:asciiTheme="minorEastAsia" w:hAnsiTheme="minorEastAsia" w:eastAsiaTheme="minorEastAsia"/>
                <w:spacing w:val="5"/>
              </w:rPr>
              <w:t>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914" w:type="dxa"/>
            <w:vAlign w:val="center"/>
          </w:tcPr>
          <w:p>
            <w:pPr>
              <w:jc w:val="both"/>
              <w:rPr>
                <w:rFonts w:asciiTheme="minorEastAsia" w:hAnsiTheme="minorEastAsia" w:eastAsiaTheme="minorEastAsia"/>
              </w:rPr>
            </w:pPr>
          </w:p>
          <w:p>
            <w:pPr>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line="241" w:lineRule="auto"/>
              <w:jc w:val="both"/>
              <w:rPr>
                <w:rFonts w:asciiTheme="minorEastAsia" w:hAnsiTheme="minorEastAsia" w:eastAsiaTheme="minorEastAsia"/>
              </w:rPr>
            </w:pPr>
          </w:p>
          <w:p>
            <w:pPr>
              <w:spacing w:before="58" w:line="195" w:lineRule="auto"/>
              <w:ind w:left="277"/>
              <w:jc w:val="both"/>
              <w:rPr>
                <w:rFonts w:cs="宋体" w:asciiTheme="minorEastAsia" w:hAnsiTheme="minorEastAsia" w:eastAsiaTheme="minorEastAsia"/>
                <w:spacing w:val="-1"/>
              </w:rPr>
            </w:pPr>
            <w:r>
              <w:rPr>
                <w:rFonts w:cs="Times New Roman" w:asciiTheme="minorEastAsia" w:hAnsiTheme="minorEastAsia" w:eastAsiaTheme="minorEastAsia"/>
                <w:spacing w:val="-3"/>
              </w:rPr>
              <w:t>3.6. 1</w:t>
            </w:r>
          </w:p>
        </w:tc>
        <w:tc>
          <w:tcPr>
            <w:tcW w:w="1781" w:type="dxa"/>
            <w:vAlign w:val="center"/>
          </w:tcPr>
          <w:p>
            <w:pPr>
              <w:spacing w:line="254" w:lineRule="auto"/>
              <w:jc w:val="both"/>
              <w:rPr>
                <w:rFonts w:asciiTheme="minorEastAsia" w:hAnsiTheme="minorEastAsia" w:eastAsiaTheme="minorEastAsia"/>
              </w:rPr>
            </w:pPr>
          </w:p>
          <w:p>
            <w:pPr>
              <w:spacing w:before="65" w:line="226" w:lineRule="auto"/>
              <w:ind w:firstLine="210" w:firstLineChars="100"/>
              <w:jc w:val="both"/>
              <w:rPr>
                <w:rFonts w:asciiTheme="minorEastAsia" w:hAnsiTheme="minorEastAsia" w:eastAsiaTheme="minorEastAsia"/>
              </w:rPr>
            </w:pPr>
          </w:p>
          <w:p>
            <w:pPr>
              <w:spacing w:before="65" w:line="226" w:lineRule="auto"/>
              <w:ind w:firstLine="226" w:firstLineChars="100"/>
              <w:jc w:val="both"/>
              <w:rPr>
                <w:rFonts w:cs="宋体" w:asciiTheme="minorEastAsia" w:hAnsiTheme="minorEastAsia" w:eastAsiaTheme="minorEastAsia"/>
              </w:rPr>
            </w:pPr>
            <w:r>
              <w:rPr>
                <w:rFonts w:cs="宋体" w:asciiTheme="minorEastAsia" w:hAnsiTheme="minorEastAsia" w:eastAsiaTheme="minorEastAsia"/>
                <w:spacing w:val="8"/>
              </w:rPr>
              <w:t>投标文件其</w:t>
            </w:r>
            <w:r>
              <w:rPr>
                <w:rFonts w:cs="宋体" w:asciiTheme="minorEastAsia" w:hAnsiTheme="minorEastAsia" w:eastAsiaTheme="minorEastAsia"/>
                <w:spacing w:val="7"/>
              </w:rPr>
              <w:t>它</w:t>
            </w:r>
          </w:p>
          <w:p>
            <w:pPr>
              <w:spacing w:before="169" w:line="228" w:lineRule="auto"/>
              <w:ind w:left="504"/>
              <w:jc w:val="both"/>
              <w:rPr>
                <w:rFonts w:cs="宋体" w:asciiTheme="minorEastAsia" w:hAnsiTheme="minorEastAsia" w:eastAsiaTheme="minorEastAsia"/>
                <w:spacing w:val="4"/>
              </w:rPr>
            </w:pPr>
            <w:r>
              <w:rPr>
                <w:rFonts w:cs="宋体" w:asciiTheme="minorEastAsia" w:hAnsiTheme="minorEastAsia" w:eastAsiaTheme="minorEastAsia"/>
                <w:spacing w:val="8"/>
              </w:rPr>
              <w:t>格</w:t>
            </w:r>
            <w:r>
              <w:rPr>
                <w:rFonts w:cs="宋体" w:asciiTheme="minorEastAsia" w:hAnsiTheme="minorEastAsia" w:eastAsiaTheme="minorEastAsia"/>
                <w:spacing w:val="7"/>
              </w:rPr>
              <w:t>式要求</w:t>
            </w:r>
          </w:p>
        </w:tc>
        <w:tc>
          <w:tcPr>
            <w:tcW w:w="7087" w:type="dxa"/>
            <w:gridSpan w:val="2"/>
            <w:vAlign w:val="center"/>
          </w:tcPr>
          <w:p>
            <w:pPr>
              <w:spacing w:before="171" w:line="228" w:lineRule="auto"/>
              <w:ind w:firstLine="232" w:firstLineChars="100"/>
              <w:jc w:val="both"/>
              <w:rPr>
                <w:rFonts w:cs="宋体" w:asciiTheme="minorEastAsia" w:hAnsiTheme="minorEastAsia" w:eastAsiaTheme="minorEastAsia"/>
              </w:rPr>
            </w:pPr>
            <w:r>
              <w:rPr>
                <w:rFonts w:cs="宋体" w:asciiTheme="minorEastAsia" w:hAnsiTheme="minorEastAsia" w:eastAsiaTheme="minorEastAsia"/>
                <w:spacing w:val="11"/>
              </w:rPr>
              <w:t>技</w:t>
            </w:r>
            <w:r>
              <w:rPr>
                <w:rFonts w:cs="宋体" w:asciiTheme="minorEastAsia" w:hAnsiTheme="minorEastAsia" w:eastAsiaTheme="minorEastAsia"/>
                <w:spacing w:val="8"/>
              </w:rPr>
              <w:t>术文件编制要求：</w:t>
            </w:r>
          </w:p>
          <w:p>
            <w:pPr>
              <w:spacing w:before="51" w:line="261" w:lineRule="auto"/>
              <w:ind w:right="88"/>
              <w:jc w:val="both"/>
              <w:rPr>
                <w:rFonts w:cs="宋体" w:asciiTheme="minorEastAsia" w:hAnsiTheme="minorEastAsia" w:eastAsiaTheme="minorEastAsia"/>
                <w:b/>
                <w:color w:val="000000" w:themeColor="text1"/>
                <w14:textFill>
                  <w14:solidFill>
                    <w14:schemeClr w14:val="tx1"/>
                  </w14:solidFill>
                </w14:textFill>
              </w:rPr>
            </w:pPr>
            <w:r>
              <w:rPr>
                <w:rFonts w:cs="宋体" w:asciiTheme="minorEastAsia" w:hAnsiTheme="minorEastAsia" w:eastAsiaTheme="minorEastAsia"/>
                <w:b/>
                <w:color w:val="000000" w:themeColor="text1"/>
                <w:spacing w:val="12"/>
                <w14:textFill>
                  <w14:solidFill>
                    <w14:schemeClr w14:val="tx1"/>
                  </w14:solidFill>
                </w14:textFill>
              </w:rPr>
              <w:t>(</w:t>
            </w:r>
            <w:r>
              <w:rPr>
                <w:rFonts w:cs="宋体" w:asciiTheme="minorEastAsia" w:hAnsiTheme="minorEastAsia" w:eastAsiaTheme="minorEastAsia"/>
                <w:b/>
                <w:color w:val="000000" w:themeColor="text1"/>
                <w:spacing w:val="11"/>
                <w14:textFill>
                  <w14:solidFill>
                    <w14:schemeClr w14:val="tx1"/>
                  </w14:solidFill>
                </w14:textFill>
              </w:rPr>
              <w:t>1)技术文件采用暗标形式，不得出现投标人名称、投标人</w:t>
            </w:r>
            <w:r>
              <w:rPr>
                <w:rFonts w:cs="宋体" w:asciiTheme="minorEastAsia" w:hAnsiTheme="minorEastAsia" w:eastAsiaTheme="minorEastAsia"/>
                <w:b/>
                <w:color w:val="000000" w:themeColor="text1"/>
                <w:spacing w:val="20"/>
                <w14:textFill>
                  <w14:solidFill>
                    <w14:schemeClr w14:val="tx1"/>
                  </w14:solidFill>
                </w14:textFill>
              </w:rPr>
              <w:t>的</w:t>
            </w:r>
            <w:r>
              <w:rPr>
                <w:rFonts w:cs="宋体" w:asciiTheme="minorEastAsia" w:hAnsiTheme="minorEastAsia" w:eastAsiaTheme="minorEastAsia"/>
                <w:b/>
                <w:color w:val="000000" w:themeColor="text1"/>
                <w:spacing w:val="12"/>
                <w14:textFill>
                  <w14:solidFill>
                    <w14:schemeClr w14:val="tx1"/>
                  </w14:solidFill>
                </w14:textFill>
              </w:rPr>
              <w:t>人员姓名及其他任何能影射或能推断出投标人的标记、文</w:t>
            </w:r>
            <w:r>
              <w:rPr>
                <w:rFonts w:cs="宋体" w:asciiTheme="minorEastAsia" w:hAnsiTheme="minorEastAsia" w:eastAsiaTheme="minorEastAsia"/>
                <w:b/>
                <w:color w:val="000000" w:themeColor="text1"/>
                <w:spacing w:val="11"/>
                <w14:textFill>
                  <w14:solidFill>
                    <w14:schemeClr w14:val="tx1"/>
                  </w14:solidFill>
                </w14:textFill>
              </w:rPr>
              <w:t>字</w:t>
            </w:r>
            <w:r>
              <w:rPr>
                <w:rFonts w:cs="宋体" w:asciiTheme="minorEastAsia" w:hAnsiTheme="minorEastAsia" w:eastAsiaTheme="minorEastAsia"/>
                <w:b/>
                <w:color w:val="000000" w:themeColor="text1"/>
                <w:spacing w:val="7"/>
                <w14:textFill>
                  <w14:solidFill>
                    <w14:schemeClr w14:val="tx1"/>
                  </w14:solidFill>
                </w14:textFill>
              </w:rPr>
              <w:t>描述及图案，否则作无效标处理</w:t>
            </w:r>
            <w:r>
              <w:rPr>
                <w:rFonts w:hint="eastAsia" w:cs="宋体" w:asciiTheme="minorEastAsia" w:hAnsiTheme="minorEastAsia" w:eastAsiaTheme="minorEastAsia"/>
                <w:b/>
                <w:color w:val="000000" w:themeColor="text1"/>
                <w:spacing w:val="7"/>
                <w14:textFill>
                  <w14:solidFill>
                    <w14:schemeClr w14:val="tx1"/>
                  </w14:solidFill>
                </w14:textFill>
              </w:rPr>
              <w:t>.</w:t>
            </w:r>
          </w:p>
          <w:p>
            <w:pPr>
              <w:spacing w:before="52" w:line="227" w:lineRule="auto"/>
              <w:jc w:val="both"/>
              <w:rPr>
                <w:rFonts w:cs="宋体" w:asciiTheme="minorEastAsia" w:hAnsiTheme="minorEastAsia" w:eastAsiaTheme="minorEastAsia"/>
              </w:rPr>
            </w:pPr>
            <w:r>
              <w:rPr>
                <w:rFonts w:cs="宋体" w:asciiTheme="minorEastAsia" w:hAnsiTheme="minorEastAsia" w:eastAsiaTheme="minorEastAsia"/>
                <w:spacing w:val="8"/>
              </w:rPr>
              <w:t>(2)</w:t>
            </w:r>
            <w:r>
              <w:rPr>
                <w:rFonts w:cs="宋体" w:asciiTheme="minorEastAsia" w:hAnsiTheme="minorEastAsia" w:eastAsiaTheme="minorEastAsia"/>
                <w:spacing w:val="4"/>
                <w:u w:val="single"/>
              </w:rPr>
              <w:t>技术文件必须采用</w:t>
            </w:r>
            <w:r>
              <w:rPr>
                <w:rFonts w:cs="宋体" w:asciiTheme="minorEastAsia" w:hAnsiTheme="minorEastAsia" w:eastAsiaTheme="minorEastAsia"/>
                <w:u w:val="single"/>
              </w:rPr>
              <w:t>A</w:t>
            </w:r>
            <w:r>
              <w:rPr>
                <w:rFonts w:cs="宋体" w:asciiTheme="minorEastAsia" w:hAnsiTheme="minorEastAsia" w:eastAsiaTheme="minorEastAsia"/>
                <w:spacing w:val="4"/>
                <w:u w:val="single"/>
              </w:rPr>
              <w:t>4幅面，页数不得超过</w:t>
            </w:r>
            <w:r>
              <w:rPr>
                <w:rFonts w:hint="eastAsia" w:cs="宋体" w:asciiTheme="minorEastAsia" w:hAnsiTheme="minorEastAsia" w:eastAsiaTheme="minorEastAsia"/>
                <w:spacing w:val="4"/>
                <w:u w:val="single"/>
              </w:rPr>
              <w:t>20</w:t>
            </w:r>
            <w:r>
              <w:rPr>
                <w:rFonts w:cs="宋体" w:asciiTheme="minorEastAsia" w:hAnsiTheme="minorEastAsia" w:eastAsiaTheme="minorEastAsia"/>
                <w:spacing w:val="4"/>
                <w:u w:val="single"/>
              </w:rPr>
              <w:t>面</w:t>
            </w:r>
            <w:r>
              <w:rPr>
                <w:rFonts w:hint="eastAsia" w:cs="宋体" w:asciiTheme="minorEastAsia" w:hAnsiTheme="minorEastAsia" w:eastAsiaTheme="minorEastAsia"/>
                <w:spacing w:val="4"/>
                <w:u w:val="single"/>
              </w:rPr>
              <w:t>(不包括封面、目录)</w:t>
            </w:r>
            <w:r>
              <w:rPr>
                <w:rFonts w:cs="宋体" w:asciiTheme="minorEastAsia" w:hAnsiTheme="minorEastAsia" w:eastAsiaTheme="minorEastAsia"/>
                <w:spacing w:val="4"/>
              </w:rPr>
              <w:t>；</w:t>
            </w:r>
          </w:p>
          <w:p>
            <w:pPr>
              <w:spacing w:before="25" w:line="228" w:lineRule="auto"/>
              <w:jc w:val="both"/>
              <w:rPr>
                <w:rFonts w:cs="宋体" w:asciiTheme="minorEastAsia" w:hAnsiTheme="minorEastAsia" w:eastAsiaTheme="minorEastAsia"/>
              </w:rPr>
            </w:pPr>
            <w:r>
              <w:rPr>
                <w:rFonts w:cs="宋体" w:asciiTheme="minorEastAsia" w:hAnsiTheme="minorEastAsia" w:eastAsiaTheme="minorEastAsia"/>
                <w:spacing w:val="8"/>
              </w:rPr>
              <w:t>(3)建议技术文件字体为四号宋体，行距1.5倍</w:t>
            </w:r>
            <w:r>
              <w:rPr>
                <w:rFonts w:cs="宋体" w:asciiTheme="minorEastAsia" w:hAnsiTheme="minorEastAsia" w:eastAsiaTheme="minorEastAsia"/>
                <w:spacing w:val="5"/>
              </w:rPr>
              <w:t>。</w:t>
            </w:r>
          </w:p>
          <w:p>
            <w:pPr>
              <w:spacing w:before="24"/>
              <w:ind w:right="109"/>
              <w:jc w:val="both"/>
              <w:rPr>
                <w:rFonts w:cs="宋体" w:asciiTheme="minorEastAsia" w:hAnsiTheme="minorEastAsia" w:eastAsiaTheme="minorEastAsia"/>
                <w:position w:val="-4"/>
              </w:rPr>
            </w:pPr>
            <w:r>
              <w:rPr>
                <w:rFonts w:cs="宋体" w:asciiTheme="minorEastAsia" w:hAnsiTheme="minorEastAsia" w:eastAsiaTheme="minorEastAsia"/>
                <w:spacing w:val="10"/>
              </w:rPr>
              <w:t>(4)</w:t>
            </w:r>
            <w:r>
              <w:rPr>
                <w:rFonts w:cs="宋体" w:asciiTheme="minorEastAsia" w:hAnsiTheme="minorEastAsia" w:eastAsiaTheme="minorEastAsia"/>
                <w:spacing w:val="10"/>
                <w:u w:val="single"/>
              </w:rPr>
              <w:t>必须包含《危大工程清单及安全管理措施表》(格式</w:t>
            </w:r>
            <w:r>
              <w:rPr>
                <w:rFonts w:cs="宋体" w:asciiTheme="minorEastAsia" w:hAnsiTheme="minorEastAsia" w:eastAsiaTheme="minorEastAsia"/>
                <w:spacing w:val="9"/>
                <w:u w:val="single"/>
              </w:rPr>
              <w:t>见</w:t>
            </w:r>
            <w:r>
              <w:rPr>
                <w:rFonts w:cs="宋体" w:asciiTheme="minorEastAsia" w:hAnsiTheme="minorEastAsia" w:eastAsiaTheme="minorEastAsia"/>
                <w:spacing w:val="5"/>
                <w:u w:val="single"/>
              </w:rPr>
              <w:t>附</w:t>
            </w:r>
            <w:r>
              <w:rPr>
                <w:rFonts w:cs="宋体" w:asciiTheme="minorEastAsia" w:hAnsiTheme="minorEastAsia" w:eastAsiaTheme="minorEastAsia"/>
                <w:spacing w:val="4"/>
                <w:u w:val="single"/>
              </w:rPr>
              <w:t>件十一，由投标人自行添加到技术文件中)</w:t>
            </w:r>
            <w:r>
              <w:rPr>
                <w:rFonts w:cs="宋体" w:asciiTheme="minorEastAsia" w:hAnsiTheme="minorEastAsia" w:eastAsiaTheme="minorEastAsia"/>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914" w:type="dxa"/>
            <w:vAlign w:val="center"/>
          </w:tcPr>
          <w:p>
            <w:pPr>
              <w:spacing w:line="248" w:lineRule="auto"/>
              <w:jc w:val="both"/>
              <w:rPr>
                <w:rFonts w:asciiTheme="minorEastAsia" w:hAnsiTheme="minorEastAsia" w:eastAsiaTheme="minorEastAsia"/>
              </w:rPr>
            </w:pPr>
          </w:p>
          <w:p>
            <w:pPr>
              <w:spacing w:before="65" w:line="193" w:lineRule="auto"/>
              <w:jc w:val="both"/>
              <w:rPr>
                <w:rFonts w:cs="宋体" w:asciiTheme="minorEastAsia" w:hAnsiTheme="minorEastAsia" w:eastAsiaTheme="minorEastAsia"/>
                <w:spacing w:val="-1"/>
              </w:rPr>
            </w:pPr>
            <w:r>
              <w:rPr>
                <w:rFonts w:cs="宋体" w:asciiTheme="minorEastAsia" w:hAnsiTheme="minorEastAsia" w:eastAsiaTheme="minorEastAsia"/>
                <w:spacing w:val="9"/>
              </w:rPr>
              <w:t>4.1</w:t>
            </w:r>
          </w:p>
        </w:tc>
        <w:tc>
          <w:tcPr>
            <w:tcW w:w="1781" w:type="dxa"/>
            <w:vAlign w:val="center"/>
          </w:tcPr>
          <w:p>
            <w:pPr>
              <w:spacing w:line="264" w:lineRule="auto"/>
              <w:jc w:val="center"/>
              <w:rPr>
                <w:rFonts w:cs="宋体" w:asciiTheme="minorEastAsia" w:hAnsiTheme="minorEastAsia" w:eastAsiaTheme="minorEastAsia"/>
              </w:rPr>
            </w:pPr>
          </w:p>
          <w:p>
            <w:pPr>
              <w:spacing w:line="264" w:lineRule="auto"/>
              <w:jc w:val="center"/>
              <w:rPr>
                <w:rFonts w:cs="宋体" w:asciiTheme="minorEastAsia" w:hAnsiTheme="minorEastAsia" w:eastAsiaTheme="minorEastAsia"/>
              </w:rPr>
            </w:pPr>
          </w:p>
          <w:p>
            <w:pPr>
              <w:spacing w:before="65" w:line="273" w:lineRule="exact"/>
              <w:jc w:val="center"/>
              <w:rPr>
                <w:rFonts w:hint="eastAsia" w:cs="宋体" w:asciiTheme="minorEastAsia" w:hAnsiTheme="minorEastAsia" w:eastAsiaTheme="minorEastAsia"/>
                <w:spacing w:val="6"/>
                <w:position w:val="4"/>
              </w:rPr>
            </w:pPr>
            <w:r>
              <w:rPr>
                <w:rFonts w:hint="eastAsia" w:cs="宋体" w:asciiTheme="minorEastAsia" w:hAnsiTheme="minorEastAsia" w:eastAsiaTheme="minorEastAsia"/>
                <w:spacing w:val="9"/>
                <w:position w:val="4"/>
              </w:rPr>
              <w:t>投</w:t>
            </w:r>
            <w:r>
              <w:rPr>
                <w:rFonts w:hint="eastAsia" w:cs="宋体" w:asciiTheme="minorEastAsia" w:hAnsiTheme="minorEastAsia" w:eastAsiaTheme="minorEastAsia"/>
                <w:spacing w:val="6"/>
                <w:position w:val="4"/>
              </w:rPr>
              <w:t>标文件</w:t>
            </w:r>
          </w:p>
          <w:p>
            <w:pPr>
              <w:spacing w:before="65" w:line="273" w:lineRule="exact"/>
              <w:jc w:val="center"/>
              <w:rPr>
                <w:rFonts w:cs="宋体" w:asciiTheme="minorEastAsia" w:hAnsiTheme="minorEastAsia" w:eastAsiaTheme="minorEastAsia"/>
                <w:spacing w:val="4"/>
              </w:rPr>
            </w:pPr>
            <w:r>
              <w:rPr>
                <w:rFonts w:hint="eastAsia" w:cs="宋体" w:asciiTheme="minorEastAsia" w:hAnsiTheme="minorEastAsia" w:eastAsiaTheme="minorEastAsia"/>
                <w:spacing w:val="7"/>
              </w:rPr>
              <w:t>递交要求</w:t>
            </w:r>
          </w:p>
        </w:tc>
        <w:tc>
          <w:tcPr>
            <w:tcW w:w="7087" w:type="dxa"/>
            <w:gridSpan w:val="2"/>
            <w:vAlign w:val="center"/>
          </w:tcPr>
          <w:p>
            <w:pPr>
              <w:pStyle w:val="8"/>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w:t>
            </w:r>
            <w:r>
              <w:rPr>
                <w:rFonts w:hint="eastAsia" w:cs="宋体" w:asciiTheme="minorEastAsia" w:hAnsiTheme="minorEastAsia" w:eastAsiaTheme="minorEastAsia"/>
                <w:b/>
                <w:szCs w:val="21"/>
              </w:rPr>
              <w:t>本项目采用不见面开标形式，投标人无需到开标现场</w:t>
            </w:r>
            <w:r>
              <w:rPr>
                <w:rFonts w:hint="eastAsia" w:cs="宋体" w:asciiTheme="minorEastAsia" w:hAnsiTheme="minorEastAsia" w:eastAsiaTheme="minorEastAsia"/>
                <w:szCs w:val="21"/>
              </w:rPr>
              <w:t>，电子投标文件上传至三门县工程建设电子交易平台（步骤如下），投标截止时间后对加密的投标文件进行远程解密，如远程解密遇有问题的请联系章宏涛13968512856。</w:t>
            </w:r>
          </w:p>
          <w:p>
            <w:pPr>
              <w:pStyle w:val="8"/>
              <w:snapToGrid w:val="0"/>
              <w:ind w:firstLine="422"/>
              <w:rPr>
                <w:rFonts w:cs="宋体" w:asciiTheme="minorEastAsia" w:hAnsiTheme="minorEastAsia" w:eastAsiaTheme="minorEastAsia"/>
                <w:b/>
                <w:szCs w:val="21"/>
              </w:rPr>
            </w:pPr>
            <w:r>
              <w:rPr>
                <w:rFonts w:hint="eastAsia" w:cs="宋体" w:asciiTheme="minorEastAsia" w:hAnsiTheme="minorEastAsia" w:eastAsiaTheme="minorEastAsia"/>
                <w:b/>
                <w:szCs w:val="21"/>
              </w:rPr>
              <w:t>2.电子投标文件上传步骤：</w:t>
            </w:r>
          </w:p>
          <w:p>
            <w:pPr>
              <w:pStyle w:val="8"/>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1) 登录三门县工程建设电子交易平台（网址：</w:t>
            </w:r>
            <w:r>
              <w:rPr>
                <w:rFonts w:cs="宋体" w:asciiTheme="minorEastAsia" w:hAnsiTheme="minorEastAsia" w:eastAsiaTheme="minorEastAsia"/>
                <w:szCs w:val="21"/>
              </w:rPr>
              <w:t>http://www.sanmen.gov.cn/col/col1229610743/index.html</w:t>
            </w:r>
            <w:r>
              <w:rPr>
                <w:rFonts w:hint="eastAsia" w:cs="宋体" w:asciiTheme="minorEastAsia" w:hAnsiTheme="minorEastAsia" w:eastAsiaTheme="minorEastAsia"/>
                <w:szCs w:val="21"/>
              </w:rPr>
              <w:t>）；</w:t>
            </w:r>
          </w:p>
          <w:p>
            <w:pPr>
              <w:pStyle w:val="8"/>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2) 须先在电子交易系统中下载投标项目招标文件，后在 “我的待办”，选择投标项目，点击“上传标书（后缀名.已加密投标文件）” 并保存。</w:t>
            </w:r>
          </w:p>
          <w:p>
            <w:pPr>
              <w:spacing w:line="278" w:lineRule="exact"/>
              <w:ind w:left="548"/>
              <w:jc w:val="both"/>
              <w:rPr>
                <w:rFonts w:cs="宋体" w:asciiTheme="minorEastAsia" w:hAnsiTheme="minorEastAsia" w:eastAsiaTheme="minorEastAsia"/>
                <w:position w:val="-4"/>
              </w:rPr>
            </w:pPr>
            <w:r>
              <w:rPr>
                <w:rFonts w:hint="eastAsia" w:cs="宋体" w:asciiTheme="minorEastAsia" w:hAnsiTheme="minorEastAsia" w:eastAsiaTheme="minorEastAsia"/>
                <w:b/>
              </w:rPr>
              <w:t>投标人应在投标截止时间前上传完成电子投标文件。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 w:hRule="atLeast"/>
        </w:trPr>
        <w:tc>
          <w:tcPr>
            <w:tcW w:w="914" w:type="dxa"/>
            <w:vAlign w:val="center"/>
          </w:tcPr>
          <w:p>
            <w:pPr>
              <w:spacing w:line="248" w:lineRule="auto"/>
              <w:ind w:firstLine="224" w:firstLineChars="100"/>
              <w:jc w:val="both"/>
              <w:rPr>
                <w:rFonts w:asciiTheme="minorEastAsia" w:hAnsiTheme="minorEastAsia" w:eastAsiaTheme="minorEastAsia"/>
              </w:rPr>
            </w:pPr>
            <w:r>
              <w:rPr>
                <w:rFonts w:cs="宋体" w:asciiTheme="minorEastAsia" w:hAnsiTheme="minorEastAsia" w:eastAsiaTheme="minorEastAsia"/>
                <w:spacing w:val="7"/>
              </w:rPr>
              <w:t>4</w:t>
            </w:r>
            <w:r>
              <w:rPr>
                <w:rFonts w:cs="宋体" w:asciiTheme="minorEastAsia" w:hAnsiTheme="minorEastAsia" w:eastAsiaTheme="minorEastAsia"/>
                <w:spacing w:val="4"/>
              </w:rPr>
              <w:t>.1.2</w:t>
            </w:r>
          </w:p>
        </w:tc>
        <w:tc>
          <w:tcPr>
            <w:tcW w:w="1781" w:type="dxa"/>
            <w:vAlign w:val="center"/>
          </w:tcPr>
          <w:p>
            <w:pPr>
              <w:spacing w:line="264" w:lineRule="auto"/>
              <w:jc w:val="both"/>
              <w:rPr>
                <w:rFonts w:cs="宋体" w:asciiTheme="minorEastAsia" w:hAnsiTheme="minorEastAsia" w:eastAsiaTheme="minorEastAsia"/>
              </w:rPr>
            </w:pPr>
            <w:r>
              <w:rPr>
                <w:rFonts w:hint="eastAsia" w:cs="宋体" w:asciiTheme="minorEastAsia" w:hAnsiTheme="minorEastAsia" w:eastAsiaTheme="minorEastAsia"/>
              </w:rPr>
              <w:t>递交投标文件地点</w:t>
            </w:r>
          </w:p>
        </w:tc>
        <w:tc>
          <w:tcPr>
            <w:tcW w:w="7087" w:type="dxa"/>
            <w:gridSpan w:val="2"/>
            <w:vAlign w:val="center"/>
          </w:tcPr>
          <w:p>
            <w:pPr>
              <w:pStyle w:val="8"/>
              <w:snapToGrid w:val="0"/>
              <w:ind w:firstLine="0" w:firstLineChars="0"/>
              <w:rPr>
                <w:rFonts w:cs="宋体" w:asciiTheme="minorEastAsia" w:hAnsiTheme="minorEastAsia" w:eastAsiaTheme="minorEastAsia"/>
                <w:szCs w:val="21"/>
              </w:rPr>
            </w:pPr>
            <w:r>
              <w:rPr>
                <w:rFonts w:hint="eastAsia" w:cs="宋体" w:asciiTheme="minorEastAsia" w:hAnsiTheme="minorEastAsia" w:eastAsiaTheme="minorEastAsia"/>
                <w:spacing w:val="13"/>
                <w:szCs w:val="21"/>
              </w:rPr>
              <w:t xml:space="preserve">    详</w:t>
            </w:r>
            <w:r>
              <w:rPr>
                <w:rFonts w:hint="eastAsia" w:cs="宋体" w:asciiTheme="minorEastAsia" w:hAnsiTheme="minorEastAsia" w:eastAsiaTheme="minorEastAsia"/>
                <w:spacing w:val="9"/>
                <w:szCs w:val="21"/>
              </w:rPr>
              <w:t>见本工程招标公告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14" w:type="dxa"/>
            <w:vAlign w:val="center"/>
          </w:tcPr>
          <w:p>
            <w:pPr>
              <w:spacing w:line="248" w:lineRule="auto"/>
              <w:ind w:firstLine="220" w:firstLineChars="100"/>
              <w:jc w:val="both"/>
              <w:rPr>
                <w:rFonts w:cs="宋体" w:asciiTheme="minorEastAsia" w:hAnsiTheme="minorEastAsia" w:eastAsiaTheme="minorEastAsia"/>
                <w:spacing w:val="7"/>
              </w:rPr>
            </w:pPr>
            <w:r>
              <w:rPr>
                <w:rFonts w:cs="宋体" w:asciiTheme="minorEastAsia" w:hAnsiTheme="minorEastAsia" w:eastAsiaTheme="minorEastAsia"/>
                <w:spacing w:val="5"/>
              </w:rPr>
              <w:t>4.1.</w:t>
            </w:r>
            <w:r>
              <w:rPr>
                <w:rFonts w:cs="宋体" w:asciiTheme="minorEastAsia" w:hAnsiTheme="minorEastAsia" w:eastAsiaTheme="minorEastAsia"/>
                <w:spacing w:val="4"/>
              </w:rPr>
              <w:t>3</w:t>
            </w:r>
          </w:p>
        </w:tc>
        <w:tc>
          <w:tcPr>
            <w:tcW w:w="1781" w:type="dxa"/>
            <w:vAlign w:val="center"/>
          </w:tcPr>
          <w:p>
            <w:pPr>
              <w:spacing w:line="264" w:lineRule="auto"/>
              <w:jc w:val="both"/>
              <w:rPr>
                <w:rFonts w:cs="宋体" w:asciiTheme="minorEastAsia" w:hAnsiTheme="minorEastAsia" w:eastAsiaTheme="minorEastAsia"/>
              </w:rPr>
            </w:pPr>
            <w:r>
              <w:rPr>
                <w:rFonts w:hint="eastAsia" w:cs="宋体" w:asciiTheme="minorEastAsia" w:hAnsiTheme="minorEastAsia" w:eastAsiaTheme="minorEastAsia"/>
                <w:spacing w:val="9"/>
              </w:rPr>
              <w:t>是</w:t>
            </w:r>
            <w:r>
              <w:rPr>
                <w:rFonts w:hint="eastAsia" w:cs="宋体" w:asciiTheme="minorEastAsia" w:hAnsiTheme="minorEastAsia" w:eastAsiaTheme="minorEastAsia"/>
                <w:spacing w:val="8"/>
              </w:rPr>
              <w:t>否退还投标文</w:t>
            </w:r>
            <w:r>
              <w:rPr>
                <w:rFonts w:hint="eastAsia" w:cs="宋体" w:asciiTheme="minorEastAsia" w:hAnsiTheme="minorEastAsia" w:eastAsiaTheme="minorEastAsia"/>
                <w:spacing w:val="1"/>
              </w:rPr>
              <w:t>件</w:t>
            </w:r>
          </w:p>
        </w:tc>
        <w:tc>
          <w:tcPr>
            <w:tcW w:w="7087" w:type="dxa"/>
            <w:gridSpan w:val="2"/>
            <w:vAlign w:val="center"/>
          </w:tcPr>
          <w:p>
            <w:pPr>
              <w:pStyle w:val="8"/>
              <w:snapToGrid w:val="0"/>
              <w:ind w:firstLine="0" w:firstLineChars="0"/>
              <w:rPr>
                <w:rFonts w:cs="宋体" w:asciiTheme="minorEastAsia" w:hAnsiTheme="minorEastAsia" w:eastAsiaTheme="minorEastAsia"/>
                <w:spacing w:val="13"/>
                <w:szCs w:val="21"/>
              </w:rPr>
            </w:pPr>
            <w:r>
              <w:rPr>
                <w:rFonts w:hint="eastAsia" w:cs="宋体" w:asciiTheme="minorEastAsia" w:hAnsiTheme="minorEastAsia" w:eastAsiaTheme="minorEastAsia"/>
                <w:szCs w:val="21"/>
              </w:rPr>
              <w:t xml:space="preserve">    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 w:hRule="atLeast"/>
        </w:trPr>
        <w:tc>
          <w:tcPr>
            <w:tcW w:w="914" w:type="dxa"/>
            <w:vAlign w:val="center"/>
          </w:tcPr>
          <w:p>
            <w:pPr>
              <w:spacing w:before="202" w:line="191" w:lineRule="auto"/>
              <w:ind w:firstLine="226" w:firstLineChars="100"/>
              <w:jc w:val="both"/>
              <w:rPr>
                <w:rFonts w:cs="宋体" w:asciiTheme="minorEastAsia" w:hAnsiTheme="minorEastAsia" w:eastAsiaTheme="minorEastAsia"/>
                <w:spacing w:val="-1"/>
              </w:rPr>
            </w:pPr>
            <w:r>
              <w:rPr>
                <w:rFonts w:cs="宋体" w:asciiTheme="minorEastAsia" w:hAnsiTheme="minorEastAsia" w:eastAsiaTheme="minorEastAsia"/>
                <w:spacing w:val="8"/>
              </w:rPr>
              <w:t>5</w:t>
            </w:r>
            <w:r>
              <w:rPr>
                <w:rFonts w:cs="宋体" w:asciiTheme="minorEastAsia" w:hAnsiTheme="minorEastAsia" w:eastAsiaTheme="minorEastAsia"/>
                <w:spacing w:val="7"/>
              </w:rPr>
              <w:t>.1</w:t>
            </w:r>
          </w:p>
        </w:tc>
        <w:tc>
          <w:tcPr>
            <w:tcW w:w="1781" w:type="dxa"/>
            <w:vAlign w:val="center"/>
          </w:tcPr>
          <w:p>
            <w:pPr>
              <w:spacing w:before="36" w:line="271" w:lineRule="exact"/>
              <w:ind w:left="505"/>
              <w:jc w:val="both"/>
              <w:rPr>
                <w:rFonts w:cs="宋体" w:asciiTheme="minorEastAsia" w:hAnsiTheme="minorEastAsia" w:eastAsiaTheme="minorEastAsia"/>
              </w:rPr>
            </w:pPr>
            <w:r>
              <w:rPr>
                <w:rFonts w:hint="eastAsia" w:cs="宋体" w:asciiTheme="minorEastAsia" w:hAnsiTheme="minorEastAsia" w:eastAsiaTheme="minorEastAsia"/>
                <w:spacing w:val="7"/>
                <w:position w:val="4"/>
              </w:rPr>
              <w:t>开标时间</w:t>
            </w:r>
          </w:p>
          <w:p>
            <w:pPr>
              <w:spacing w:line="223" w:lineRule="auto"/>
              <w:ind w:left="611"/>
              <w:jc w:val="both"/>
              <w:rPr>
                <w:rFonts w:cs="宋体" w:asciiTheme="minorEastAsia" w:hAnsiTheme="minorEastAsia" w:eastAsiaTheme="minorEastAsia"/>
                <w:spacing w:val="4"/>
              </w:rPr>
            </w:pPr>
            <w:r>
              <w:rPr>
                <w:rFonts w:hint="eastAsia" w:cs="宋体" w:asciiTheme="minorEastAsia" w:hAnsiTheme="minorEastAsia" w:eastAsiaTheme="minorEastAsia"/>
                <w:spacing w:val="7"/>
              </w:rPr>
              <w:t>和</w:t>
            </w:r>
            <w:r>
              <w:rPr>
                <w:rFonts w:hint="eastAsia" w:cs="宋体" w:asciiTheme="minorEastAsia" w:hAnsiTheme="minorEastAsia" w:eastAsiaTheme="minorEastAsia"/>
                <w:spacing w:val="6"/>
              </w:rPr>
              <w:t>地点</w:t>
            </w:r>
          </w:p>
        </w:tc>
        <w:tc>
          <w:tcPr>
            <w:tcW w:w="7087" w:type="dxa"/>
            <w:gridSpan w:val="2"/>
            <w:vAlign w:val="center"/>
          </w:tcPr>
          <w:p>
            <w:pPr>
              <w:spacing w:before="170" w:line="227" w:lineRule="auto"/>
              <w:ind w:left="114"/>
              <w:jc w:val="both"/>
              <w:rPr>
                <w:rFonts w:cs="宋体" w:asciiTheme="minorEastAsia" w:hAnsiTheme="minorEastAsia" w:eastAsiaTheme="minorEastAsia"/>
                <w:position w:val="-4"/>
              </w:rPr>
            </w:pPr>
            <w:r>
              <w:rPr>
                <w:rFonts w:hint="eastAsia" w:cs="宋体" w:asciiTheme="minorEastAsia" w:hAnsiTheme="minorEastAsia" w:eastAsiaTheme="minorEastAsia"/>
                <w:spacing w:val="13"/>
              </w:rPr>
              <w:t>详</w:t>
            </w:r>
            <w:r>
              <w:rPr>
                <w:rFonts w:hint="eastAsia" w:cs="宋体" w:asciiTheme="minorEastAsia" w:hAnsiTheme="minorEastAsia" w:eastAsiaTheme="minorEastAsia"/>
                <w:spacing w:val="9"/>
              </w:rPr>
              <w:t>见本工程招标公告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914" w:type="dxa"/>
            <w:vAlign w:val="center"/>
          </w:tcPr>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spacing w:val="-1"/>
              </w:rPr>
            </w:pPr>
            <w:r>
              <w:rPr>
                <w:rFonts w:hint="eastAsia" w:cs="宋体" w:asciiTheme="minorEastAsia" w:hAnsiTheme="minorEastAsia" w:eastAsiaTheme="minorEastAsia"/>
              </w:rPr>
              <w:t>5.2</w:t>
            </w:r>
          </w:p>
        </w:tc>
        <w:tc>
          <w:tcPr>
            <w:tcW w:w="1781" w:type="dxa"/>
            <w:vAlign w:val="center"/>
          </w:tcPr>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rPr>
            </w:pPr>
          </w:p>
          <w:p>
            <w:pPr>
              <w:jc w:val="both"/>
              <w:rPr>
                <w:rFonts w:cs="宋体" w:asciiTheme="minorEastAsia" w:hAnsiTheme="minorEastAsia" w:eastAsiaTheme="minorEastAsia"/>
                <w:spacing w:val="4"/>
              </w:rPr>
            </w:pPr>
            <w:r>
              <w:rPr>
                <w:rFonts w:hint="eastAsia" w:cs="宋体" w:asciiTheme="minorEastAsia" w:hAnsiTheme="minorEastAsia" w:eastAsiaTheme="minorEastAsia"/>
              </w:rPr>
              <w:t>开标程序</w:t>
            </w:r>
          </w:p>
        </w:tc>
        <w:tc>
          <w:tcPr>
            <w:tcW w:w="7087" w:type="dxa"/>
            <w:gridSpan w:val="2"/>
            <w:vAlign w:val="center"/>
          </w:tcPr>
          <w:p>
            <w:pPr>
              <w:spacing w:line="260" w:lineRule="exact"/>
              <w:ind w:firstLine="420" w:firstLineChars="200"/>
              <w:jc w:val="both"/>
              <w:rPr>
                <w:rFonts w:cs="宋体" w:asciiTheme="minorEastAsia" w:hAnsiTheme="minorEastAsia" w:eastAsiaTheme="minorEastAsia"/>
              </w:rPr>
            </w:pPr>
            <w:r>
              <w:rPr>
                <w:rFonts w:hint="eastAsia" w:cs="宋体" w:asciiTheme="minorEastAsia" w:hAnsiTheme="minorEastAsia" w:eastAsiaTheme="minorEastAsia"/>
              </w:rPr>
              <w:t>1、本项目采用不见面开标形式，所有投标人的法定代表人或委托代理人在开标当日（投标截止时间前）登录三门县公共资源交易不见面开标大厅并签到，</w:t>
            </w:r>
            <w:r>
              <w:rPr>
                <w:rFonts w:hint="eastAsia" w:cs="宋体" w:asciiTheme="minorEastAsia" w:hAnsiTheme="minorEastAsia" w:eastAsiaTheme="minorEastAsia"/>
                <w:b/>
              </w:rPr>
              <w:t>未完成签到的，将无法解密投标文件，并视为放弃投标</w:t>
            </w:r>
            <w:r>
              <w:rPr>
                <w:rFonts w:hint="eastAsia" w:cs="宋体" w:asciiTheme="minorEastAsia" w:hAnsiTheme="minorEastAsia" w:eastAsiaTheme="minorEastAsia"/>
              </w:rPr>
              <w:t>。不见面开标大厅系统登录：插入CA锁并登录交易系统—业务办理—开评标—进入不见面开标系统。</w:t>
            </w:r>
          </w:p>
          <w:p>
            <w:pPr>
              <w:spacing w:line="260" w:lineRule="exact"/>
              <w:ind w:firstLine="420" w:firstLineChars="200"/>
              <w:jc w:val="both"/>
              <w:rPr>
                <w:rFonts w:cs="宋体" w:asciiTheme="minorEastAsia" w:hAnsiTheme="minorEastAsia" w:eastAsiaTheme="minorEastAsia"/>
              </w:rPr>
            </w:pPr>
            <w:r>
              <w:rPr>
                <w:rFonts w:hint="eastAsia" w:cs="宋体" w:asciiTheme="minorEastAsia" w:hAnsiTheme="minorEastAsia" w:eastAsiaTheme="minorEastAsia"/>
              </w:rPr>
              <w:t>2、招标代理开启不见面开标系统视频直播，开标全过程录像由三门县公共资源交易中心录制保存备查。</w:t>
            </w:r>
          </w:p>
          <w:p>
            <w:pPr>
              <w:spacing w:line="260" w:lineRule="exact"/>
              <w:ind w:firstLine="420" w:firstLineChars="200"/>
              <w:jc w:val="both"/>
              <w:rPr>
                <w:rFonts w:cs="宋体" w:asciiTheme="minorEastAsia" w:hAnsiTheme="minorEastAsia" w:eastAsiaTheme="minorEastAsia"/>
              </w:rPr>
            </w:pPr>
            <w:r>
              <w:rPr>
                <w:rFonts w:hint="eastAsia" w:cs="宋体" w:asciiTheme="minorEastAsia" w:hAnsiTheme="minorEastAsia" w:eastAsiaTheme="minorEastAsia"/>
              </w:rPr>
              <w:t>3、投标截止时间到达后，各投标人自行在不见面开标系统对电子投标文件进行解密，投标文件解密时间为</w:t>
            </w:r>
            <w:r>
              <w:rPr>
                <w:rFonts w:hint="eastAsia" w:cs="宋体" w:asciiTheme="minorEastAsia" w:hAnsiTheme="minorEastAsia" w:eastAsiaTheme="minorEastAsia"/>
                <w:b/>
                <w:bCs/>
              </w:rPr>
              <w:t>40分钟</w:t>
            </w:r>
            <w:r>
              <w:rPr>
                <w:rFonts w:hint="eastAsia" w:cs="宋体" w:asciiTheme="minorEastAsia" w:hAnsiTheme="minorEastAsia" w:eastAsiaTheme="minorEastAsia"/>
              </w:rPr>
              <w:t>（时间以招标人或招标代理机构确定“开始解密”时开始计算），逾期未解密的视为投标人放弃投标。</w:t>
            </w:r>
          </w:p>
          <w:p>
            <w:pPr>
              <w:spacing w:line="260" w:lineRule="exact"/>
              <w:ind w:firstLine="420" w:firstLineChars="200"/>
              <w:jc w:val="both"/>
              <w:rPr>
                <w:rFonts w:cs="宋体" w:asciiTheme="minorEastAsia" w:hAnsiTheme="minorEastAsia" w:eastAsiaTheme="minorEastAsia"/>
              </w:rPr>
            </w:pPr>
            <w:r>
              <w:rPr>
                <w:rFonts w:hint="eastAsia" w:cs="宋体" w:asciiTheme="minorEastAsia" w:hAnsiTheme="minorEastAsia" w:eastAsiaTheme="minorEastAsia"/>
              </w:rPr>
              <w:t>4、招标代理现场公布解密投标人投标文件情况。</w:t>
            </w:r>
          </w:p>
          <w:p>
            <w:pPr>
              <w:spacing w:line="260" w:lineRule="exact"/>
              <w:ind w:firstLine="420" w:firstLineChars="200"/>
              <w:jc w:val="both"/>
              <w:rPr>
                <w:rFonts w:cs="宋体" w:asciiTheme="minorEastAsia" w:hAnsiTheme="minorEastAsia" w:eastAsiaTheme="minorEastAsia"/>
              </w:rPr>
            </w:pPr>
            <w:r>
              <w:rPr>
                <w:rFonts w:hint="eastAsia" w:cs="宋体" w:asciiTheme="minorEastAsia" w:hAnsiTheme="minorEastAsia" w:eastAsiaTheme="minorEastAsia"/>
              </w:rPr>
              <w:t>5、评标委员会根据招标文件规定的程序及方法对投标文件进行评审。每个环节评审结果招标代理均在不见面开标大厅宣布。</w:t>
            </w:r>
            <w:r>
              <w:rPr>
                <w:rFonts w:hint="eastAsia" w:cs="宋体" w:asciiTheme="minorEastAsia" w:hAnsiTheme="minorEastAsia" w:eastAsiaTheme="minorEastAsia"/>
                <w:spacing w:val="9"/>
              </w:rPr>
              <w:t>。</w:t>
            </w:r>
          </w:p>
          <w:p>
            <w:pPr>
              <w:spacing w:line="260" w:lineRule="exact"/>
              <w:ind w:firstLine="420" w:firstLineChars="200"/>
              <w:jc w:val="both"/>
              <w:rPr>
                <w:rFonts w:cs="宋体" w:asciiTheme="minorEastAsia" w:hAnsiTheme="minorEastAsia" w:eastAsiaTheme="minorEastAsia"/>
              </w:rPr>
            </w:pPr>
            <w:r>
              <w:rPr>
                <w:rFonts w:hint="eastAsia" w:cs="宋体" w:asciiTheme="minorEastAsia" w:hAnsiTheme="minorEastAsia" w:eastAsiaTheme="minorEastAsia"/>
              </w:rPr>
              <w:t>5、各投标人的法定代表人或委托人代理人必须在开标、评标期间保持网络及电话畅通，若评标委员会要求投标人澄清或说明时，投标人在规定的时间（由评标委员会确定合理所需时间）以予澄清或说明，否则视为自动放弃；后果由该投标人自行承担。所有澄清或说明转换成PDF形式并签章后通过不见面开标系统传输。</w:t>
            </w:r>
          </w:p>
          <w:p>
            <w:pPr>
              <w:spacing w:line="260" w:lineRule="exact"/>
              <w:ind w:left="110" w:right="88" w:firstLine="17"/>
              <w:jc w:val="both"/>
              <w:rPr>
                <w:rFonts w:cs="宋体" w:asciiTheme="minorEastAsia" w:hAnsiTheme="minorEastAsia" w:eastAsiaTheme="minorEastAsia"/>
                <w:position w:val="-4"/>
              </w:rPr>
            </w:pPr>
            <w:r>
              <w:rPr>
                <w:rFonts w:hint="eastAsia" w:cs="宋体" w:asciiTheme="minorEastAsia" w:hAnsiTheme="minorEastAsia" w:eastAsiaTheme="minorEastAsia"/>
                <w:b/>
              </w:rPr>
              <w:t>注：若有异常情况或疑问的，可通过不见面开标系统音视频交互跟开标人联系，或及时咨询品茗公司，技术服务电话：章宏涛13968512856，也可加入QQ“三门交易平台交流群”（群号：146117595）进行业务咨询。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914" w:type="dxa"/>
            <w:vAlign w:val="center"/>
          </w:tcPr>
          <w:p>
            <w:pPr>
              <w:spacing w:line="271" w:lineRule="auto"/>
              <w:jc w:val="both"/>
              <w:rPr>
                <w:rFonts w:cs="宋体" w:asciiTheme="minorEastAsia" w:hAnsiTheme="minorEastAsia" w:eastAsiaTheme="minorEastAsia"/>
              </w:rPr>
            </w:pPr>
          </w:p>
          <w:p>
            <w:pPr>
              <w:spacing w:line="272" w:lineRule="auto"/>
              <w:jc w:val="both"/>
              <w:rPr>
                <w:rFonts w:cs="宋体" w:asciiTheme="minorEastAsia" w:hAnsiTheme="minorEastAsia" w:eastAsiaTheme="minorEastAsia"/>
              </w:rPr>
            </w:pPr>
          </w:p>
          <w:p>
            <w:pPr>
              <w:spacing w:before="65" w:line="191" w:lineRule="auto"/>
              <w:ind w:left="229"/>
              <w:jc w:val="both"/>
              <w:rPr>
                <w:rFonts w:cs="宋体" w:asciiTheme="minorEastAsia" w:hAnsiTheme="minorEastAsia" w:eastAsiaTheme="minorEastAsia"/>
                <w:spacing w:val="-1"/>
              </w:rPr>
            </w:pPr>
            <w:r>
              <w:rPr>
                <w:rFonts w:hint="eastAsia" w:cs="宋体" w:asciiTheme="minorEastAsia" w:hAnsiTheme="minorEastAsia" w:eastAsiaTheme="minorEastAsia"/>
                <w:spacing w:val="6"/>
              </w:rPr>
              <w:t>7.3.1</w:t>
            </w:r>
          </w:p>
        </w:tc>
        <w:tc>
          <w:tcPr>
            <w:tcW w:w="1781" w:type="dxa"/>
            <w:vAlign w:val="center"/>
          </w:tcPr>
          <w:p>
            <w:pPr>
              <w:spacing w:line="255" w:lineRule="auto"/>
              <w:jc w:val="both"/>
              <w:rPr>
                <w:rFonts w:cs="宋体" w:asciiTheme="minorEastAsia" w:hAnsiTheme="minorEastAsia" w:eastAsiaTheme="minorEastAsia"/>
              </w:rPr>
            </w:pPr>
          </w:p>
          <w:p>
            <w:pPr>
              <w:spacing w:line="256" w:lineRule="auto"/>
              <w:jc w:val="both"/>
              <w:rPr>
                <w:rFonts w:cs="宋体" w:asciiTheme="minorEastAsia" w:hAnsiTheme="minorEastAsia" w:eastAsiaTheme="minorEastAsia"/>
              </w:rPr>
            </w:pPr>
          </w:p>
          <w:p>
            <w:pPr>
              <w:spacing w:before="65" w:line="229" w:lineRule="auto"/>
              <w:ind w:left="298"/>
              <w:jc w:val="both"/>
              <w:rPr>
                <w:rFonts w:cs="宋体" w:asciiTheme="minorEastAsia" w:hAnsiTheme="minorEastAsia" w:eastAsiaTheme="minorEastAsia"/>
                <w:spacing w:val="4"/>
              </w:rPr>
            </w:pPr>
            <w:r>
              <w:rPr>
                <w:rFonts w:hint="eastAsia" w:cs="宋体" w:asciiTheme="minorEastAsia" w:hAnsiTheme="minorEastAsia" w:eastAsiaTheme="minorEastAsia"/>
                <w:spacing w:val="8"/>
              </w:rPr>
              <w:t>工程担</w:t>
            </w:r>
            <w:r>
              <w:rPr>
                <w:rFonts w:hint="eastAsia" w:cs="宋体" w:asciiTheme="minorEastAsia" w:hAnsiTheme="minorEastAsia" w:eastAsiaTheme="minorEastAsia"/>
                <w:spacing w:val="7"/>
              </w:rPr>
              <w:t>保</w:t>
            </w:r>
          </w:p>
        </w:tc>
        <w:tc>
          <w:tcPr>
            <w:tcW w:w="7087" w:type="dxa"/>
            <w:gridSpan w:val="2"/>
            <w:vAlign w:val="center"/>
          </w:tcPr>
          <w:p>
            <w:r>
              <w:rPr>
                <w:rFonts w:cs="宋体" w:asciiTheme="minorEastAsia" w:hAnsiTheme="minorEastAsia" w:eastAsiaTheme="minorEastAsia"/>
              </w:rPr>
              <w:t>1、</w:t>
            </w:r>
            <w:r>
              <w:rPr>
                <w:rFonts w:hint="eastAsia"/>
              </w:rPr>
              <w:t>工程履约担保采用</w:t>
            </w:r>
            <w:r>
              <w:t>现金或</w:t>
            </w:r>
            <w:r>
              <w:rPr>
                <w:b/>
              </w:rPr>
              <w:t>工程保函（</w:t>
            </w:r>
            <w:r>
              <w:rPr>
                <w:rFonts w:hint="eastAsia"/>
                <w:b/>
                <w:u w:val="single"/>
              </w:rPr>
              <w:t>仅指</w:t>
            </w:r>
            <w:r>
              <w:rPr>
                <w:b/>
              </w:rPr>
              <w:t>银行保函、保险机构保证保险保单）</w:t>
            </w:r>
            <w:r>
              <w:t>。</w:t>
            </w:r>
            <w:r>
              <w:rPr>
                <w:rFonts w:hint="eastAsia"/>
              </w:rPr>
              <w:t>如采用现金的</w:t>
            </w:r>
            <w:r>
              <w:t>，中标人</w:t>
            </w:r>
            <w:r>
              <w:rPr>
                <w:rFonts w:hint="eastAsia"/>
              </w:rPr>
              <w:t>必须通过其基本账户转出的转帐、电汇或银行汇票方式解入招标人指定的银行帐户。</w:t>
            </w:r>
          </w:p>
          <w:p>
            <w:r>
              <w:rPr>
                <w:rFonts w:hint="eastAsia"/>
              </w:rPr>
              <w:t>2、履约担保的金额：合同价的2%</w:t>
            </w:r>
          </w:p>
          <w:p>
            <w:pPr>
              <w:spacing w:line="260" w:lineRule="exact"/>
              <w:ind w:right="95"/>
              <w:jc w:val="both"/>
              <w:rPr>
                <w:rFonts w:cs="宋体" w:asciiTheme="minorEastAsia" w:hAnsiTheme="minorEastAsia" w:eastAsiaTheme="minorEastAsia"/>
                <w:position w:val="-4"/>
              </w:rPr>
            </w:pPr>
            <w:r>
              <w:rPr>
                <w:rFonts w:hint="eastAsia" w:ascii="宋体" w:hAnsi="宋体"/>
                <w:b/>
              </w:rPr>
              <w:t>3、农民工工资支付</w:t>
            </w:r>
            <w:r>
              <w:rPr>
                <w:rFonts w:ascii="宋体" w:hAnsi="宋体"/>
                <w:b/>
              </w:rPr>
              <w:t>担保的相关约定：</w:t>
            </w:r>
            <w:r>
              <w:rPr>
                <w:rFonts w:hint="eastAsia" w:ascii="宋体" w:hAnsi="宋体"/>
                <w:b/>
              </w:rPr>
              <w:t>按三人社[2019]41号《关于印发</w:t>
            </w:r>
            <w:r>
              <w:rPr>
                <w:rFonts w:ascii="宋体" w:hAnsi="宋体"/>
                <w:b/>
              </w:rPr>
              <w:t>三门县建设</w:t>
            </w:r>
            <w:r>
              <w:rPr>
                <w:rFonts w:hint="eastAsia" w:ascii="宋体" w:hAnsi="宋体"/>
                <w:b/>
              </w:rPr>
              <w:t>领域</w:t>
            </w:r>
            <w:r>
              <w:rPr>
                <w:rFonts w:ascii="宋体" w:hAnsi="宋体"/>
                <w:b/>
              </w:rPr>
              <w:t>民工工资管理办法（</w:t>
            </w:r>
            <w:r>
              <w:rPr>
                <w:rFonts w:hint="eastAsia" w:ascii="宋体" w:hAnsi="宋体"/>
                <w:b/>
              </w:rPr>
              <w:t>试行</w:t>
            </w:r>
            <w:r>
              <w:rPr>
                <w:rFonts w:ascii="宋体" w:hAnsi="宋体"/>
                <w:b/>
              </w:rPr>
              <w:t>）</w:t>
            </w:r>
            <w:r>
              <w:rPr>
                <w:rFonts w:hint="eastAsia" w:ascii="宋体" w:hAnsi="宋体"/>
                <w:b/>
              </w:rPr>
              <w:t>的</w:t>
            </w:r>
            <w:r>
              <w:rPr>
                <w:rFonts w:ascii="宋体" w:hAnsi="宋体"/>
                <w:b/>
              </w:rPr>
              <w:t>实施意见</w:t>
            </w:r>
            <w:r>
              <w:rPr>
                <w:rFonts w:hint="eastAsia" w:ascii="宋体" w:hAnsi="宋体"/>
                <w:b/>
              </w:rPr>
              <w:t>》及</w:t>
            </w:r>
            <w:r>
              <w:rPr>
                <w:rFonts w:ascii="宋体" w:hAnsi="宋体"/>
                <w:b/>
              </w:rPr>
              <w:t>浙建</w:t>
            </w:r>
            <w:r>
              <w:rPr>
                <w:rFonts w:hint="eastAsia" w:ascii="宋体" w:hAnsi="宋体"/>
                <w:b/>
              </w:rPr>
              <w:t>[</w:t>
            </w:r>
            <w:r>
              <w:rPr>
                <w:rFonts w:ascii="宋体" w:hAnsi="宋体"/>
                <w:b/>
              </w:rPr>
              <w:t>2020]7</w:t>
            </w:r>
            <w:r>
              <w:rPr>
                <w:rFonts w:hint="eastAsia" w:ascii="宋体" w:hAnsi="宋体"/>
                <w:b/>
              </w:rPr>
              <w:t>号《关于</w:t>
            </w:r>
            <w:r>
              <w:rPr>
                <w:rFonts w:ascii="宋体" w:hAnsi="宋体"/>
                <w:b/>
              </w:rPr>
              <w:t>在全省工程建设领域改革保证金制度的通知</w:t>
            </w:r>
            <w:r>
              <w:rPr>
                <w:rFonts w:hint="eastAsia" w:ascii="宋体" w:hAnsi="宋体"/>
                <w:b/>
              </w:rPr>
              <w:t>》等</w:t>
            </w:r>
            <w:r>
              <w:rPr>
                <w:rFonts w:ascii="宋体" w:hAnsi="宋体"/>
                <w:b/>
              </w:rPr>
              <w:t>相关文件执行</w:t>
            </w:r>
            <w:r>
              <w:rPr>
                <w:rFonts w:hint="eastAsia" w:cs="宋体" w:asciiTheme="minorEastAsia" w:hAnsiTheme="minorEastAsia" w:eastAsiaTheme="minorEastAsia"/>
                <w:b/>
                <w:bC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 w:hRule="atLeast"/>
        </w:trPr>
        <w:tc>
          <w:tcPr>
            <w:tcW w:w="914" w:type="dxa"/>
            <w:vAlign w:val="center"/>
          </w:tcPr>
          <w:p>
            <w:pPr>
              <w:spacing w:before="167" w:line="191" w:lineRule="auto"/>
              <w:ind w:left="398"/>
              <w:jc w:val="both"/>
              <w:rPr>
                <w:rFonts w:cs="宋体" w:asciiTheme="minorEastAsia" w:hAnsiTheme="minorEastAsia" w:eastAsiaTheme="minorEastAsia"/>
                <w:spacing w:val="-1"/>
              </w:rPr>
            </w:pPr>
            <w:r>
              <w:rPr>
                <w:rFonts w:hint="eastAsia" w:cs="宋体" w:asciiTheme="minorEastAsia" w:hAnsiTheme="minorEastAsia" w:eastAsiaTheme="minorEastAsia"/>
                <w:spacing w:val="-8"/>
              </w:rPr>
              <w:t>1</w:t>
            </w:r>
            <w:r>
              <w:rPr>
                <w:rFonts w:hint="eastAsia" w:cs="宋体" w:asciiTheme="minorEastAsia" w:hAnsiTheme="minorEastAsia" w:eastAsiaTheme="minorEastAsia"/>
                <w:spacing w:val="-6"/>
              </w:rPr>
              <w:t>0</w:t>
            </w:r>
          </w:p>
        </w:tc>
        <w:tc>
          <w:tcPr>
            <w:tcW w:w="8868" w:type="dxa"/>
            <w:gridSpan w:val="3"/>
            <w:vAlign w:val="center"/>
          </w:tcPr>
          <w:p>
            <w:pPr>
              <w:spacing w:before="135" w:line="226" w:lineRule="auto"/>
              <w:ind w:left="2852"/>
              <w:jc w:val="both"/>
              <w:rPr>
                <w:rFonts w:cs="宋体" w:asciiTheme="minorEastAsia" w:hAnsiTheme="minorEastAsia" w:eastAsiaTheme="minorEastAsia"/>
                <w:position w:val="-4"/>
              </w:rPr>
            </w:pPr>
            <w:r>
              <w:rPr>
                <w:rFonts w:hint="eastAsia" w:cs="宋体" w:asciiTheme="minorEastAsia" w:hAnsiTheme="minorEastAsia" w:eastAsiaTheme="minorEastAsia"/>
                <w:spacing w:val="8"/>
              </w:rPr>
              <w:t>需要补充的其他内</w:t>
            </w:r>
            <w:r>
              <w:rPr>
                <w:rFonts w:hint="eastAsia" w:cs="宋体" w:asciiTheme="minorEastAsia" w:hAnsiTheme="minorEastAsia" w:eastAsiaTheme="minorEastAsia"/>
                <w:spacing w:val="6"/>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14" w:type="dxa"/>
            <w:vAlign w:val="center"/>
          </w:tcPr>
          <w:p>
            <w:pPr>
              <w:spacing w:line="280" w:lineRule="auto"/>
              <w:jc w:val="both"/>
              <w:rPr>
                <w:rFonts w:cs="宋体" w:asciiTheme="minorEastAsia" w:hAnsiTheme="minorEastAsia" w:eastAsiaTheme="minorEastAsia"/>
              </w:rPr>
            </w:pPr>
          </w:p>
          <w:p>
            <w:pPr>
              <w:spacing w:line="280" w:lineRule="auto"/>
              <w:jc w:val="both"/>
              <w:rPr>
                <w:rFonts w:cs="宋体" w:asciiTheme="minorEastAsia" w:hAnsiTheme="minorEastAsia" w:eastAsiaTheme="minorEastAsia"/>
              </w:rPr>
            </w:pPr>
          </w:p>
          <w:p>
            <w:pPr>
              <w:spacing w:line="280" w:lineRule="auto"/>
              <w:jc w:val="both"/>
              <w:rPr>
                <w:rFonts w:cs="宋体" w:asciiTheme="minorEastAsia" w:hAnsiTheme="minorEastAsia" w:eastAsiaTheme="minorEastAsia"/>
              </w:rPr>
            </w:pPr>
          </w:p>
          <w:p>
            <w:pPr>
              <w:spacing w:line="280" w:lineRule="auto"/>
              <w:jc w:val="both"/>
              <w:rPr>
                <w:rFonts w:cs="宋体" w:asciiTheme="minorEastAsia" w:hAnsiTheme="minorEastAsia" w:eastAsiaTheme="minorEastAsia"/>
              </w:rPr>
            </w:pPr>
          </w:p>
          <w:p>
            <w:pPr>
              <w:spacing w:before="65" w:line="191" w:lineRule="auto"/>
              <w:ind w:left="292"/>
              <w:jc w:val="both"/>
              <w:rPr>
                <w:rFonts w:cs="宋体" w:asciiTheme="minorEastAsia" w:hAnsiTheme="minorEastAsia" w:eastAsiaTheme="minorEastAsia"/>
                <w:spacing w:val="-1"/>
              </w:rPr>
            </w:pPr>
            <w:r>
              <w:rPr>
                <w:rFonts w:hint="eastAsia" w:cs="宋体" w:asciiTheme="minorEastAsia" w:hAnsiTheme="minorEastAsia" w:eastAsiaTheme="minorEastAsia"/>
                <w:spacing w:val="7"/>
              </w:rPr>
              <w:t>1</w:t>
            </w:r>
            <w:r>
              <w:rPr>
                <w:rFonts w:hint="eastAsia" w:cs="宋体" w:asciiTheme="minorEastAsia" w:hAnsiTheme="minorEastAsia" w:eastAsiaTheme="minorEastAsia"/>
                <w:spacing w:val="4"/>
              </w:rPr>
              <w:t>0.1</w:t>
            </w:r>
          </w:p>
        </w:tc>
        <w:tc>
          <w:tcPr>
            <w:tcW w:w="1946" w:type="dxa"/>
            <w:gridSpan w:val="2"/>
            <w:vAlign w:val="center"/>
          </w:tcPr>
          <w:p>
            <w:pPr>
              <w:spacing w:line="318" w:lineRule="auto"/>
              <w:jc w:val="both"/>
              <w:rPr>
                <w:rFonts w:cs="宋体" w:asciiTheme="minorEastAsia" w:hAnsiTheme="minorEastAsia" w:eastAsiaTheme="minorEastAsia"/>
              </w:rPr>
            </w:pPr>
          </w:p>
          <w:p>
            <w:pPr>
              <w:spacing w:line="318" w:lineRule="auto"/>
              <w:jc w:val="both"/>
              <w:rPr>
                <w:rFonts w:cs="宋体" w:asciiTheme="minorEastAsia" w:hAnsiTheme="minorEastAsia" w:eastAsiaTheme="minorEastAsia"/>
              </w:rPr>
            </w:pPr>
          </w:p>
          <w:p>
            <w:pPr>
              <w:spacing w:line="319" w:lineRule="auto"/>
              <w:jc w:val="both"/>
              <w:rPr>
                <w:rFonts w:cs="宋体" w:asciiTheme="minorEastAsia" w:hAnsiTheme="minorEastAsia" w:eastAsiaTheme="minorEastAsia"/>
              </w:rPr>
            </w:pPr>
          </w:p>
          <w:p>
            <w:pPr>
              <w:spacing w:before="65" w:line="265" w:lineRule="auto"/>
              <w:ind w:left="819" w:right="181" w:hanging="605"/>
              <w:jc w:val="both"/>
              <w:rPr>
                <w:rFonts w:cs="宋体" w:asciiTheme="minorEastAsia" w:hAnsiTheme="minorEastAsia" w:eastAsiaTheme="minorEastAsia"/>
                <w:spacing w:val="4"/>
              </w:rPr>
            </w:pPr>
            <w:r>
              <w:rPr>
                <w:rFonts w:hint="eastAsia" w:cs="宋体" w:asciiTheme="minorEastAsia" w:hAnsiTheme="minorEastAsia" w:eastAsiaTheme="minorEastAsia"/>
                <w:spacing w:val="6"/>
              </w:rPr>
              <w:t>电子投标文件</w:t>
            </w:r>
            <w:r>
              <w:rPr>
                <w:rFonts w:hint="eastAsia" w:cs="宋体" w:asciiTheme="minorEastAsia" w:hAnsiTheme="minorEastAsia" w:eastAsiaTheme="minorEastAsia"/>
                <w:spacing w:val="5"/>
              </w:rPr>
              <w:t>编</w:t>
            </w:r>
            <w:r>
              <w:rPr>
                <w:rFonts w:hint="eastAsia" w:cs="宋体" w:asciiTheme="minorEastAsia" w:hAnsiTheme="minorEastAsia" w:eastAsiaTheme="minorEastAsia"/>
              </w:rPr>
              <w:t>制</w:t>
            </w:r>
          </w:p>
        </w:tc>
        <w:tc>
          <w:tcPr>
            <w:tcW w:w="6922" w:type="dxa"/>
            <w:vAlign w:val="center"/>
          </w:tcPr>
          <w:p>
            <w:pPr>
              <w:ind w:firstLine="413" w:firstLineChars="196"/>
              <w:jc w:val="both"/>
              <w:rPr>
                <w:rFonts w:cs="宋体" w:asciiTheme="minorEastAsia" w:hAnsiTheme="minorEastAsia" w:eastAsiaTheme="minorEastAsia"/>
                <w:b/>
              </w:rPr>
            </w:pPr>
            <w:r>
              <w:rPr>
                <w:rFonts w:hint="eastAsia" w:cs="宋体" w:asciiTheme="minorEastAsia" w:hAnsiTheme="minorEastAsia" w:eastAsiaTheme="minorEastAsia"/>
                <w:b/>
              </w:rPr>
              <w:t>本工程的投标文件必须使用投标工具安装程序（三门投标编制4.0.2.8版本）编制，下载地址及”建设工程电子投标编制操作手册”见</w:t>
            </w:r>
            <w:r>
              <w:rPr>
                <w:rFonts w:cs="宋体" w:asciiTheme="minorEastAsia" w:hAnsiTheme="minorEastAsia" w:eastAsiaTheme="minorEastAsia"/>
                <w:snapToGrid/>
                <w:color w:val="auto"/>
                <w:kern w:val="2"/>
              </w:rPr>
              <w:t>http://www.sanmen.gov.cn/col/col1229610743/index.html</w:t>
            </w:r>
            <w:r>
              <w:rPr>
                <w:rFonts w:hint="eastAsia" w:cs="宋体" w:asciiTheme="minorEastAsia" w:hAnsiTheme="minorEastAsia" w:eastAsiaTheme="minorEastAsia"/>
                <w:snapToGrid/>
                <w:color w:val="auto"/>
                <w:kern w:val="2"/>
              </w:rPr>
              <w:t>。</w:t>
            </w:r>
            <w:r>
              <w:rPr>
                <w:rFonts w:hint="eastAsia" w:cs="宋体" w:asciiTheme="minorEastAsia" w:hAnsiTheme="minorEastAsia" w:eastAsiaTheme="minorEastAsia"/>
                <w:b/>
              </w:rPr>
              <w:t>电子投标文件的编制和递交，应依照招标文件的规定进行。如未按招标文件要求编制、递交电子投标文件，将可能导致无效标，其后果由投标人自负。投标工具的开发商可根据投标人的要求，提供必要的培训和技术指导。</w:t>
            </w:r>
          </w:p>
          <w:p>
            <w:pPr>
              <w:ind w:firstLine="413" w:firstLineChars="196"/>
              <w:jc w:val="both"/>
              <w:rPr>
                <w:rFonts w:cs="宋体" w:asciiTheme="minorEastAsia" w:hAnsiTheme="minorEastAsia" w:eastAsiaTheme="minorEastAsia"/>
                <w:b/>
              </w:rPr>
            </w:pPr>
            <w:r>
              <w:rPr>
                <w:rFonts w:hint="eastAsia" w:cs="宋体" w:asciiTheme="minorEastAsia" w:hAnsiTheme="minorEastAsia" w:eastAsiaTheme="minorEastAsia"/>
                <w:b/>
              </w:rPr>
              <w:t>投标工具开发商：杭州品茗信息技术有限公司</w:t>
            </w:r>
          </w:p>
          <w:p>
            <w:pPr>
              <w:spacing w:line="230" w:lineRule="auto"/>
              <w:ind w:firstLine="422" w:firstLineChars="200"/>
              <w:jc w:val="both"/>
              <w:rPr>
                <w:rFonts w:cs="宋体" w:asciiTheme="minorEastAsia" w:hAnsiTheme="minorEastAsia" w:eastAsiaTheme="minorEastAsia"/>
                <w:position w:val="-4"/>
              </w:rPr>
            </w:pPr>
            <w:r>
              <w:rPr>
                <w:rFonts w:hint="eastAsia" w:cs="宋体" w:asciiTheme="minorEastAsia" w:hAnsiTheme="minorEastAsia" w:eastAsiaTheme="minorEastAsia"/>
                <w:b/>
              </w:rPr>
              <w:t>联系电话：章宏涛13968512856</w:t>
            </w:r>
            <w:r>
              <w:rPr>
                <w:rFonts w:hint="eastAsia" w:cs="宋体" w:asciiTheme="minorEastAsia" w:hAnsiTheme="minorEastAsia" w:eastAsiaTheme="minorEastAsia"/>
                <w:b/>
                <w:bCs/>
              </w:rPr>
              <w:t>，</w:t>
            </w:r>
            <w:r>
              <w:rPr>
                <w:rFonts w:hint="eastAsia" w:cs="Microsoft JhengHei" w:asciiTheme="minorEastAsia" w:hAnsiTheme="minorEastAsia" w:eastAsiaTheme="minorEastAsia"/>
                <w:b/>
                <w:bCs/>
                <w:color w:val="auto"/>
              </w:rPr>
              <w:t>金工13566824734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 w:hRule="atLeast"/>
        </w:trPr>
        <w:tc>
          <w:tcPr>
            <w:tcW w:w="914" w:type="dxa"/>
            <w:vAlign w:val="center"/>
          </w:tcPr>
          <w:p>
            <w:pPr>
              <w:spacing w:before="191" w:line="191" w:lineRule="auto"/>
              <w:ind w:firstLine="214" w:firstLineChars="100"/>
              <w:jc w:val="both"/>
              <w:rPr>
                <w:rFonts w:cs="宋体" w:asciiTheme="minorEastAsia" w:hAnsiTheme="minorEastAsia" w:eastAsiaTheme="minorEastAsia"/>
                <w:spacing w:val="-1"/>
              </w:rPr>
            </w:pPr>
            <w:r>
              <w:rPr>
                <w:rFonts w:hint="eastAsia" w:cs="宋体" w:asciiTheme="minorEastAsia" w:hAnsiTheme="minorEastAsia" w:eastAsiaTheme="minorEastAsia"/>
                <w:spacing w:val="2"/>
              </w:rPr>
              <w:t>10</w:t>
            </w:r>
            <w:r>
              <w:rPr>
                <w:rFonts w:hint="eastAsia" w:cs="宋体" w:asciiTheme="minorEastAsia" w:hAnsiTheme="minorEastAsia" w:eastAsiaTheme="minorEastAsia"/>
                <w:spacing w:val="1"/>
              </w:rPr>
              <w:t>.2</w:t>
            </w:r>
          </w:p>
        </w:tc>
        <w:tc>
          <w:tcPr>
            <w:tcW w:w="1946" w:type="dxa"/>
            <w:gridSpan w:val="2"/>
            <w:vAlign w:val="center"/>
          </w:tcPr>
          <w:p>
            <w:pPr>
              <w:spacing w:before="159" w:line="228" w:lineRule="auto"/>
              <w:ind w:left="191"/>
              <w:jc w:val="both"/>
              <w:rPr>
                <w:rFonts w:cs="宋体" w:asciiTheme="minorEastAsia" w:hAnsiTheme="minorEastAsia" w:eastAsiaTheme="minorEastAsia"/>
                <w:spacing w:val="4"/>
              </w:rPr>
            </w:pPr>
            <w:r>
              <w:rPr>
                <w:rFonts w:hint="eastAsia" w:cs="宋体" w:asciiTheme="minorEastAsia" w:hAnsiTheme="minorEastAsia" w:eastAsiaTheme="minorEastAsia"/>
                <w:spacing w:val="10"/>
              </w:rPr>
              <w:t>增</w:t>
            </w:r>
            <w:r>
              <w:rPr>
                <w:rFonts w:hint="eastAsia" w:cs="宋体" w:asciiTheme="minorEastAsia" w:hAnsiTheme="minorEastAsia" w:eastAsiaTheme="minorEastAsia"/>
                <w:spacing w:val="9"/>
              </w:rPr>
              <w:t>值税计税方式</w:t>
            </w:r>
          </w:p>
        </w:tc>
        <w:tc>
          <w:tcPr>
            <w:tcW w:w="6922" w:type="dxa"/>
            <w:vAlign w:val="center"/>
          </w:tcPr>
          <w:p>
            <w:pPr>
              <w:spacing w:before="159" w:line="228" w:lineRule="auto"/>
              <w:ind w:left="535"/>
              <w:jc w:val="both"/>
              <w:rPr>
                <w:rFonts w:cs="宋体" w:asciiTheme="minorEastAsia" w:hAnsiTheme="minorEastAsia" w:eastAsiaTheme="minorEastAsia"/>
                <w:position w:val="-4"/>
              </w:rPr>
            </w:pPr>
            <w:r>
              <w:rPr>
                <w:rFonts w:hint="eastAsia" w:cs="宋体" w:asciiTheme="minorEastAsia" w:hAnsiTheme="minorEastAsia" w:eastAsiaTheme="minorEastAsia"/>
                <w:spacing w:val="10"/>
              </w:rPr>
              <w:t>本工程采用一般计</w:t>
            </w:r>
            <w:r>
              <w:rPr>
                <w:rFonts w:hint="eastAsia" w:cs="宋体" w:asciiTheme="minorEastAsia" w:hAnsiTheme="minorEastAsia" w:eastAsiaTheme="minorEastAsia"/>
                <w:spacing w:val="8"/>
              </w:rPr>
              <w:t>税法，</w:t>
            </w:r>
            <w:r>
              <w:rPr>
                <w:rFonts w:hint="eastAsia" w:cs="宋体" w:asciiTheme="minorEastAsia" w:hAnsiTheme="minorEastAsia" w:eastAsiaTheme="minorEastAsia"/>
                <w:b/>
                <w:spacing w:val="8"/>
              </w:rPr>
              <w:t>须开具增值税专用发票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914" w:type="dxa"/>
            <w:vAlign w:val="center"/>
          </w:tcPr>
          <w:p>
            <w:pPr>
              <w:spacing w:before="270" w:line="191" w:lineRule="auto"/>
              <w:ind w:left="292"/>
              <w:jc w:val="both"/>
              <w:rPr>
                <w:rFonts w:cs="宋体" w:asciiTheme="minorEastAsia" w:hAnsiTheme="minorEastAsia" w:eastAsiaTheme="minorEastAsia"/>
                <w:spacing w:val="-1"/>
              </w:rPr>
            </w:pPr>
            <w:r>
              <w:rPr>
                <w:rFonts w:hint="eastAsia" w:cs="宋体" w:asciiTheme="minorEastAsia" w:hAnsiTheme="minorEastAsia" w:eastAsiaTheme="minorEastAsia"/>
                <w:spacing w:val="2"/>
              </w:rPr>
              <w:t>10.</w:t>
            </w:r>
            <w:r>
              <w:rPr>
                <w:rFonts w:hint="eastAsia" w:cs="宋体" w:asciiTheme="minorEastAsia" w:hAnsiTheme="minorEastAsia" w:eastAsiaTheme="minorEastAsia"/>
                <w:spacing w:val="1"/>
              </w:rPr>
              <w:t>3</w:t>
            </w:r>
          </w:p>
        </w:tc>
        <w:tc>
          <w:tcPr>
            <w:tcW w:w="1946" w:type="dxa"/>
            <w:gridSpan w:val="2"/>
            <w:vAlign w:val="center"/>
          </w:tcPr>
          <w:p>
            <w:pPr>
              <w:spacing w:before="159" w:line="228" w:lineRule="auto"/>
              <w:ind w:left="191"/>
              <w:jc w:val="both"/>
              <w:rPr>
                <w:rFonts w:cs="宋体" w:asciiTheme="minorEastAsia" w:hAnsiTheme="minorEastAsia" w:eastAsiaTheme="minorEastAsia"/>
                <w:spacing w:val="4"/>
              </w:rPr>
            </w:pPr>
            <w:r>
              <w:rPr>
                <w:rFonts w:hint="eastAsia" w:cs="宋体" w:asciiTheme="minorEastAsia" w:hAnsiTheme="minorEastAsia" w:eastAsiaTheme="minorEastAsia"/>
                <w:spacing w:val="9"/>
              </w:rPr>
              <w:t>中标</w:t>
            </w:r>
            <w:r>
              <w:rPr>
                <w:rFonts w:hint="eastAsia" w:cs="宋体" w:asciiTheme="minorEastAsia" w:hAnsiTheme="minorEastAsia" w:eastAsiaTheme="minorEastAsia"/>
              </w:rPr>
              <w:t>后提交投标文件份数</w:t>
            </w:r>
          </w:p>
        </w:tc>
        <w:tc>
          <w:tcPr>
            <w:tcW w:w="6922" w:type="dxa"/>
            <w:vAlign w:val="center"/>
          </w:tcPr>
          <w:p>
            <w:pPr>
              <w:spacing w:before="159" w:line="228" w:lineRule="auto"/>
              <w:jc w:val="both"/>
              <w:rPr>
                <w:rFonts w:cs="宋体" w:asciiTheme="minorEastAsia" w:hAnsiTheme="minorEastAsia" w:eastAsiaTheme="minorEastAsia"/>
                <w:position w:val="-4"/>
              </w:rPr>
            </w:pPr>
            <w:r>
              <w:rPr>
                <w:rFonts w:hint="eastAsia" w:cs="宋体" w:asciiTheme="minorEastAsia" w:hAnsiTheme="minorEastAsia" w:eastAsiaTheme="minorEastAsia"/>
                <w:spacing w:val="10"/>
              </w:rPr>
              <w:t>中标候选人在领取中标通知书前，需向招标人提供纸质投标文件5份（投标工具中所有内容打印成纸质文件，纸质文件上的水印码须与上传至“电子交易平台”上的投标文件的水印码一致）。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 w:hRule="atLeast"/>
        </w:trPr>
        <w:tc>
          <w:tcPr>
            <w:tcW w:w="914" w:type="dxa"/>
            <w:vAlign w:val="center"/>
          </w:tcPr>
          <w:p>
            <w:pPr>
              <w:spacing w:before="202" w:line="191" w:lineRule="auto"/>
              <w:ind w:left="292"/>
              <w:jc w:val="both"/>
              <w:rPr>
                <w:rFonts w:cs="宋体" w:asciiTheme="minorEastAsia" w:hAnsiTheme="minorEastAsia" w:eastAsiaTheme="minorEastAsia"/>
                <w:spacing w:val="-1"/>
              </w:rPr>
            </w:pPr>
            <w:r>
              <w:rPr>
                <w:rFonts w:hint="eastAsia" w:cs="宋体" w:asciiTheme="minorEastAsia" w:hAnsiTheme="minorEastAsia" w:eastAsiaTheme="minorEastAsia"/>
                <w:spacing w:val="1"/>
              </w:rPr>
              <w:t>10</w:t>
            </w:r>
            <w:r>
              <w:rPr>
                <w:rFonts w:hint="eastAsia" w:cs="宋体" w:asciiTheme="minorEastAsia" w:hAnsiTheme="minorEastAsia" w:eastAsiaTheme="minorEastAsia"/>
              </w:rPr>
              <w:t>.4</w:t>
            </w:r>
          </w:p>
        </w:tc>
        <w:tc>
          <w:tcPr>
            <w:tcW w:w="1946" w:type="dxa"/>
            <w:gridSpan w:val="2"/>
            <w:vAlign w:val="center"/>
          </w:tcPr>
          <w:p>
            <w:pPr>
              <w:ind w:firstLine="211" w:firstLineChars="100"/>
              <w:jc w:val="both"/>
              <w:rPr>
                <w:rFonts w:cs="宋体" w:asciiTheme="minorEastAsia" w:hAnsiTheme="minorEastAsia" w:eastAsiaTheme="minorEastAsia"/>
                <w:spacing w:val="4"/>
              </w:rPr>
            </w:pPr>
            <w:r>
              <w:rPr>
                <w:rFonts w:hint="eastAsia" w:cs="宋体" w:asciiTheme="minorEastAsia" w:hAnsiTheme="minorEastAsia" w:eastAsiaTheme="minorEastAsia"/>
                <w:b/>
              </w:rPr>
              <w:t>温馨提示</w:t>
            </w:r>
          </w:p>
        </w:tc>
        <w:tc>
          <w:tcPr>
            <w:tcW w:w="6922" w:type="dxa"/>
            <w:vAlign w:val="center"/>
          </w:tcPr>
          <w:p>
            <w:pPr>
              <w:jc w:val="both"/>
              <w:rPr>
                <w:rFonts w:cs="宋体" w:asciiTheme="minorEastAsia" w:hAnsiTheme="minorEastAsia" w:eastAsiaTheme="minorEastAsia"/>
                <w:position w:val="-4"/>
              </w:rPr>
            </w:pPr>
            <w:r>
              <w:rPr>
                <w:rFonts w:hint="eastAsia" w:cs="宋体" w:asciiTheme="minorEastAsia" w:hAnsiTheme="minorEastAsia" w:eastAsiaTheme="minorEastAsia"/>
                <w:b/>
              </w:rPr>
              <w:t>投标人须在递交投标保证金前在三门县工程建设电子交易平台中注册并核验通过。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914" w:type="dxa"/>
            <w:vAlign w:val="center"/>
          </w:tcPr>
          <w:p>
            <w:pPr>
              <w:spacing w:before="202" w:line="191" w:lineRule="auto"/>
              <w:ind w:firstLine="212" w:firstLineChars="100"/>
              <w:jc w:val="both"/>
              <w:rPr>
                <w:rFonts w:cs="宋体" w:asciiTheme="minorEastAsia" w:hAnsiTheme="minorEastAsia" w:eastAsiaTheme="minorEastAsia"/>
                <w:spacing w:val="-1"/>
              </w:rPr>
            </w:pPr>
            <w:r>
              <w:rPr>
                <w:rFonts w:hint="eastAsia" w:cs="宋体" w:asciiTheme="minorEastAsia" w:hAnsiTheme="minorEastAsia" w:eastAsiaTheme="minorEastAsia"/>
                <w:spacing w:val="1"/>
              </w:rPr>
              <w:t>10.5</w:t>
            </w:r>
          </w:p>
        </w:tc>
        <w:tc>
          <w:tcPr>
            <w:tcW w:w="1946" w:type="dxa"/>
            <w:gridSpan w:val="2"/>
            <w:vAlign w:val="center"/>
          </w:tcPr>
          <w:p>
            <w:pPr>
              <w:pStyle w:val="32"/>
              <w:kinsoku w:val="0"/>
              <w:overflowPunct w:val="0"/>
              <w:spacing w:before="20" w:line="329" w:lineRule="exact"/>
              <w:ind w:left="263"/>
              <w:rPr>
                <w:rFonts w:hint="default" w:cs="宋体" w:asciiTheme="minorEastAsia" w:hAnsiTheme="minorEastAsia" w:eastAsiaTheme="minorEastAsia"/>
                <w:b/>
                <w:bCs/>
                <w:sz w:val="21"/>
                <w:szCs w:val="21"/>
              </w:rPr>
            </w:pPr>
            <w:r>
              <w:rPr>
                <w:rFonts w:cs="宋体" w:asciiTheme="minorEastAsia" w:hAnsiTheme="minorEastAsia" w:eastAsiaTheme="minorEastAsia"/>
                <w:b/>
                <w:bCs/>
                <w:sz w:val="21"/>
                <w:szCs w:val="21"/>
              </w:rPr>
              <w:t>投标制作工具</w:t>
            </w:r>
          </w:p>
          <w:p>
            <w:pPr>
              <w:pStyle w:val="32"/>
              <w:kinsoku w:val="0"/>
              <w:overflowPunct w:val="0"/>
              <w:spacing w:line="329" w:lineRule="exact"/>
              <w:ind w:left="349"/>
              <w:rPr>
                <w:rFonts w:hint="default" w:cs="宋体" w:asciiTheme="minorEastAsia" w:hAnsiTheme="minorEastAsia" w:eastAsiaTheme="minorEastAsia"/>
                <w:spacing w:val="4"/>
                <w:sz w:val="21"/>
                <w:szCs w:val="21"/>
              </w:rPr>
            </w:pPr>
            <w:r>
              <w:rPr>
                <w:rFonts w:cs="宋体" w:asciiTheme="minorEastAsia" w:hAnsiTheme="minorEastAsia" w:eastAsiaTheme="minorEastAsia"/>
                <w:b/>
                <w:bCs/>
                <w:sz w:val="21"/>
                <w:szCs w:val="21"/>
              </w:rPr>
              <w:t>USB 加密锁</w:t>
            </w:r>
          </w:p>
        </w:tc>
        <w:tc>
          <w:tcPr>
            <w:tcW w:w="6922" w:type="dxa"/>
            <w:vAlign w:val="center"/>
          </w:tcPr>
          <w:p>
            <w:pPr>
              <w:jc w:val="both"/>
              <w:rPr>
                <w:rFonts w:cs="宋体" w:asciiTheme="minorEastAsia" w:hAnsiTheme="minorEastAsia" w:eastAsiaTheme="minorEastAsia"/>
                <w:position w:val="-4"/>
              </w:rPr>
            </w:pPr>
            <w:r>
              <w:rPr>
                <w:rFonts w:hint="eastAsia" w:cs="宋体" w:asciiTheme="minorEastAsia" w:hAnsiTheme="minorEastAsia" w:eastAsiaTheme="minorEastAsia"/>
                <w:b/>
                <w:bCs/>
              </w:rPr>
              <w:t>开标后，经核查若不同投标人投标工具软件USB加密锁号相同，所涉及投标文件均按无效标处理，同时投标保证金总额中的人民币 3万元不予以退还（如采用保函的，需补缴纳人民币3万元）。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914" w:type="dxa"/>
            <w:vAlign w:val="center"/>
          </w:tcPr>
          <w:p>
            <w:pPr>
              <w:spacing w:before="202" w:line="191" w:lineRule="auto"/>
              <w:ind w:firstLine="212" w:firstLineChars="100"/>
              <w:jc w:val="both"/>
              <w:rPr>
                <w:rFonts w:cs="宋体" w:asciiTheme="minorEastAsia" w:hAnsiTheme="minorEastAsia" w:eastAsiaTheme="minorEastAsia"/>
                <w:spacing w:val="1"/>
              </w:rPr>
            </w:pPr>
            <w:r>
              <w:rPr>
                <w:rFonts w:hint="eastAsia" w:cs="宋体" w:asciiTheme="minorEastAsia" w:hAnsiTheme="minorEastAsia" w:eastAsiaTheme="minorEastAsia"/>
                <w:spacing w:val="1"/>
              </w:rPr>
              <w:t>10.6</w:t>
            </w:r>
          </w:p>
        </w:tc>
        <w:tc>
          <w:tcPr>
            <w:tcW w:w="1946" w:type="dxa"/>
            <w:gridSpan w:val="2"/>
            <w:vAlign w:val="center"/>
          </w:tcPr>
          <w:p>
            <w:pPr>
              <w:pStyle w:val="32"/>
              <w:kinsoku w:val="0"/>
              <w:overflowPunct w:val="0"/>
              <w:spacing w:before="20" w:line="329" w:lineRule="exact"/>
              <w:ind w:left="263"/>
              <w:rPr>
                <w:rFonts w:hint="default" w:cs="宋体" w:asciiTheme="minorEastAsia" w:hAnsiTheme="minorEastAsia" w:eastAsiaTheme="minorEastAsia"/>
                <w:b/>
                <w:bCs/>
                <w:color w:val="000000" w:themeColor="text1"/>
                <w:sz w:val="21"/>
                <w:szCs w:val="21"/>
                <w14:textFill>
                  <w14:solidFill>
                    <w14:schemeClr w14:val="tx1"/>
                  </w14:solidFill>
                </w14:textFill>
              </w:rPr>
            </w:pPr>
            <w:r>
              <w:rPr>
                <w:rFonts w:cs="宋体" w:asciiTheme="minorEastAsia" w:hAnsiTheme="minorEastAsia" w:eastAsiaTheme="minorEastAsia"/>
                <w:b/>
                <w:bCs/>
                <w:color w:val="000000" w:themeColor="text1"/>
                <w:sz w:val="21"/>
                <w:szCs w:val="21"/>
                <w14:textFill>
                  <w14:solidFill>
                    <w14:schemeClr w14:val="tx1"/>
                  </w14:solidFill>
                </w14:textFill>
              </w:rPr>
              <w:t>特别约定</w:t>
            </w:r>
          </w:p>
        </w:tc>
        <w:tc>
          <w:tcPr>
            <w:tcW w:w="6922" w:type="dxa"/>
            <w:vAlign w:val="center"/>
          </w:tcPr>
          <w:p>
            <w:pPr>
              <w:jc w:val="both"/>
              <w:rPr>
                <w:rFonts w:cs="宋体" w:asciiTheme="minorEastAsia" w:hAnsiTheme="minorEastAsia" w:eastAsiaTheme="minorEastAsia"/>
                <w:b/>
                <w:bCs/>
                <w:color w:val="000000" w:themeColor="text1"/>
                <w14:textFill>
                  <w14:solidFill>
                    <w14:schemeClr w14:val="tx1"/>
                  </w14:solidFill>
                </w14:textFill>
              </w:rPr>
            </w:pPr>
            <w:r>
              <w:rPr>
                <w:rFonts w:hint="eastAsia" w:cs="宋体" w:asciiTheme="minorEastAsia" w:hAnsiTheme="minorEastAsia" w:eastAsiaTheme="minorEastAsia"/>
                <w:b/>
                <w:bCs/>
                <w:color w:val="auto"/>
              </w:rPr>
              <w:t>本项目的运维期和质保期一致，中标单位正常维护管理中，每年保证提供3个动画方案。</w:t>
            </w:r>
          </w:p>
        </w:tc>
      </w:tr>
    </w:tbl>
    <w:p>
      <w:pPr>
        <w:pStyle w:val="3"/>
        <w:ind w:firstLine="0" w:firstLineChars="0"/>
        <w:rPr>
          <w:rFonts w:eastAsiaTheme="minorEastAsia"/>
        </w:rPr>
        <w:sectPr>
          <w:pgSz w:w="11905" w:h="16837"/>
          <w:pgMar w:top="1440" w:right="1080" w:bottom="1440" w:left="1080" w:header="0" w:footer="850" w:gutter="0"/>
          <w:pgNumType w:chapStyle="1"/>
          <w:cols w:space="720" w:num="1"/>
          <w:docGrid w:linePitch="286" w:charSpace="0"/>
        </w:sectPr>
      </w:pPr>
      <w:bookmarkStart w:id="40" w:name="_bookmark5"/>
      <w:bookmarkEnd w:id="40"/>
    </w:p>
    <w:p>
      <w:pPr>
        <w:pStyle w:val="6"/>
        <w:jc w:val="both"/>
        <w:rPr>
          <w:rFonts w:cs="黑体" w:asciiTheme="minorEastAsia" w:hAnsiTheme="minorEastAsia" w:eastAsiaTheme="minorEastAsia"/>
          <w:sz w:val="21"/>
          <w:szCs w:val="21"/>
        </w:rPr>
      </w:pPr>
      <w:bookmarkStart w:id="41" w:name="_Toc109826645"/>
      <w:r>
        <w:rPr>
          <w:rFonts w:cs="黑体" w:asciiTheme="minorEastAsia" w:hAnsiTheme="minorEastAsia" w:eastAsiaTheme="minorEastAsia"/>
          <w:spacing w:val="-8"/>
          <w:sz w:val="21"/>
          <w:szCs w:val="21"/>
        </w:rPr>
        <w:t>1</w:t>
      </w:r>
      <w:r>
        <w:rPr>
          <w:rFonts w:cs="黑体" w:asciiTheme="minorEastAsia" w:hAnsiTheme="minorEastAsia" w:eastAsiaTheme="minorEastAsia"/>
          <w:spacing w:val="-4"/>
          <w:sz w:val="21"/>
          <w:szCs w:val="21"/>
        </w:rPr>
        <w:t>. 总则</w:t>
      </w:r>
      <w:bookmarkEnd w:id="41"/>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3"/>
        </w:rPr>
        <w:t xml:space="preserve">1. 1  </w:t>
      </w:r>
      <w:r>
        <w:rPr>
          <w:rFonts w:cs="黑体" w:asciiTheme="minorEastAsia" w:hAnsiTheme="minorEastAsia" w:eastAsiaTheme="minorEastAsia"/>
          <w:spacing w:val="-3"/>
        </w:rPr>
        <w:t>工程概</w:t>
      </w:r>
      <w:r>
        <w:rPr>
          <w:rFonts w:cs="黑体" w:asciiTheme="minorEastAsia" w:hAnsiTheme="minorEastAsia" w:eastAsiaTheme="minorEastAsia"/>
          <w:spacing w:val="-2"/>
        </w:rPr>
        <w:t>况</w:t>
      </w:r>
    </w:p>
    <w:p>
      <w:pPr>
        <w:adjustRightInd/>
        <w:snapToGrid/>
        <w:spacing w:line="440" w:lineRule="exact"/>
        <w:ind w:firstLine="476" w:firstLineChars="200"/>
        <w:rPr>
          <w:rFonts w:cs="宋体" w:asciiTheme="minorEastAsia" w:hAnsiTheme="minorEastAsia" w:eastAsiaTheme="minorEastAsia"/>
        </w:rPr>
      </w:pPr>
      <w:r>
        <w:rPr>
          <w:rFonts w:cs="Times New Roman" w:asciiTheme="minorEastAsia" w:hAnsiTheme="minorEastAsia" w:eastAsiaTheme="minorEastAsia"/>
          <w:spacing w:val="14"/>
        </w:rPr>
        <w:t>1.</w:t>
      </w:r>
      <w:r>
        <w:rPr>
          <w:rFonts w:cs="Times New Roman" w:asciiTheme="minorEastAsia" w:hAnsiTheme="minorEastAsia" w:eastAsiaTheme="minorEastAsia"/>
          <w:spacing w:val="7"/>
        </w:rPr>
        <w:t xml:space="preserve">1. 1 </w:t>
      </w:r>
      <w:r>
        <w:rPr>
          <w:rFonts w:cs="宋体" w:asciiTheme="minorEastAsia" w:hAnsiTheme="minorEastAsia" w:eastAsiaTheme="minorEastAsia"/>
          <w:spacing w:val="7"/>
        </w:rPr>
        <w:t>根据《中华人民共和国招标投标法》等有关法律、法规和规章的规定，本招标工</w:t>
      </w:r>
      <w:r>
        <w:rPr>
          <w:rFonts w:cs="宋体" w:asciiTheme="minorEastAsia" w:hAnsiTheme="minorEastAsia" w:eastAsiaTheme="minorEastAsia"/>
          <w:spacing w:val="10"/>
        </w:rPr>
        <w:t>程</w:t>
      </w:r>
      <w:r>
        <w:rPr>
          <w:rFonts w:cs="宋体" w:asciiTheme="minorEastAsia" w:hAnsiTheme="minorEastAsia" w:eastAsiaTheme="minorEastAsia"/>
          <w:spacing w:val="9"/>
        </w:rPr>
        <w:t>已具备招标条件，现对本招标工程进行招标。</w:t>
      </w:r>
    </w:p>
    <w:p>
      <w:pPr>
        <w:adjustRightInd/>
        <w:snapToGrid/>
        <w:spacing w:line="440" w:lineRule="exact"/>
        <w:ind w:firstLine="452" w:firstLineChars="200"/>
        <w:rPr>
          <w:rFonts w:cs="宋体" w:asciiTheme="minorEastAsia" w:hAnsiTheme="minorEastAsia" w:eastAsiaTheme="minorEastAsia"/>
        </w:rPr>
      </w:pPr>
      <w:r>
        <w:rPr>
          <w:rFonts w:cs="Times New Roman" w:asciiTheme="minorEastAsia" w:hAnsiTheme="minorEastAsia" w:eastAsiaTheme="minorEastAsia"/>
          <w:spacing w:val="8"/>
        </w:rPr>
        <w:t>1. 1</w:t>
      </w:r>
      <w:r>
        <w:rPr>
          <w:rFonts w:cs="Times New Roman" w:asciiTheme="minorEastAsia" w:hAnsiTheme="minorEastAsia" w:eastAsiaTheme="minorEastAsia"/>
          <w:spacing w:val="6"/>
        </w:rPr>
        <w:t>.</w:t>
      </w:r>
      <w:r>
        <w:rPr>
          <w:rFonts w:cs="Times New Roman" w:asciiTheme="minorEastAsia" w:hAnsiTheme="minorEastAsia" w:eastAsiaTheme="minorEastAsia"/>
          <w:spacing w:val="4"/>
        </w:rPr>
        <w:t xml:space="preserve">2  </w:t>
      </w:r>
      <w:r>
        <w:rPr>
          <w:rFonts w:cs="宋体" w:asciiTheme="minorEastAsia" w:hAnsiTheme="minorEastAsia" w:eastAsiaTheme="minorEastAsia"/>
          <w:spacing w:val="4"/>
        </w:rPr>
        <w:t>本招标工程招标人：见投标人须知前附表。</w:t>
      </w:r>
    </w:p>
    <w:p>
      <w:pPr>
        <w:adjustRightInd/>
        <w:snapToGrid/>
        <w:spacing w:line="440" w:lineRule="exact"/>
        <w:ind w:firstLine="460" w:firstLineChars="200"/>
        <w:rPr>
          <w:rFonts w:cs="宋体" w:asciiTheme="minorEastAsia" w:hAnsiTheme="minorEastAsia" w:eastAsiaTheme="minorEastAsia"/>
        </w:rPr>
      </w:pPr>
      <w:r>
        <w:rPr>
          <w:rFonts w:cs="Times New Roman" w:asciiTheme="minorEastAsia" w:hAnsiTheme="minorEastAsia" w:eastAsiaTheme="minorEastAsia"/>
          <w:spacing w:val="10"/>
        </w:rPr>
        <w:t>1</w:t>
      </w:r>
      <w:r>
        <w:rPr>
          <w:rFonts w:cs="Times New Roman" w:asciiTheme="minorEastAsia" w:hAnsiTheme="minorEastAsia" w:eastAsiaTheme="minorEastAsia"/>
          <w:spacing w:val="7"/>
        </w:rPr>
        <w:t>.</w:t>
      </w:r>
      <w:r>
        <w:rPr>
          <w:rFonts w:cs="Times New Roman" w:asciiTheme="minorEastAsia" w:hAnsiTheme="minorEastAsia" w:eastAsiaTheme="minorEastAsia"/>
          <w:spacing w:val="5"/>
        </w:rPr>
        <w:t xml:space="preserve"> 1.3  </w:t>
      </w:r>
      <w:r>
        <w:rPr>
          <w:rFonts w:cs="宋体" w:asciiTheme="minorEastAsia" w:hAnsiTheme="minorEastAsia" w:eastAsiaTheme="minorEastAsia"/>
          <w:spacing w:val="5"/>
        </w:rPr>
        <w:t>本招标工程招标代理机构：见投标人须知前附表。</w:t>
      </w:r>
    </w:p>
    <w:p>
      <w:pPr>
        <w:adjustRightInd/>
        <w:snapToGrid/>
        <w:spacing w:line="440" w:lineRule="exact"/>
        <w:ind w:firstLine="452" w:firstLineChars="200"/>
        <w:rPr>
          <w:rFonts w:cs="宋体" w:asciiTheme="minorEastAsia" w:hAnsiTheme="minorEastAsia" w:eastAsiaTheme="minorEastAsia"/>
        </w:rPr>
      </w:pPr>
      <w:r>
        <w:rPr>
          <w:rFonts w:cs="Times New Roman" w:asciiTheme="minorEastAsia" w:hAnsiTheme="minorEastAsia" w:eastAsiaTheme="minorEastAsia"/>
          <w:spacing w:val="8"/>
        </w:rPr>
        <w:t xml:space="preserve">1. </w:t>
      </w:r>
      <w:r>
        <w:rPr>
          <w:rFonts w:cs="Times New Roman" w:asciiTheme="minorEastAsia" w:hAnsiTheme="minorEastAsia" w:eastAsiaTheme="minorEastAsia"/>
          <w:spacing w:val="5"/>
        </w:rPr>
        <w:t>1</w:t>
      </w:r>
      <w:r>
        <w:rPr>
          <w:rFonts w:cs="Times New Roman" w:asciiTheme="minorEastAsia" w:hAnsiTheme="minorEastAsia" w:eastAsiaTheme="minorEastAsia"/>
          <w:spacing w:val="4"/>
        </w:rPr>
        <w:t xml:space="preserve">.4  </w:t>
      </w:r>
      <w:r>
        <w:rPr>
          <w:rFonts w:cs="宋体" w:asciiTheme="minorEastAsia" w:hAnsiTheme="minorEastAsia" w:eastAsiaTheme="minorEastAsia"/>
          <w:spacing w:val="4"/>
        </w:rPr>
        <w:t>本招标工程名称：见投标人须知前附表。</w:t>
      </w:r>
    </w:p>
    <w:p>
      <w:pPr>
        <w:adjustRightInd/>
        <w:snapToGrid/>
        <w:spacing w:line="440" w:lineRule="exact"/>
        <w:ind w:firstLine="440" w:firstLineChars="200"/>
        <w:rPr>
          <w:rFonts w:cs="宋体" w:asciiTheme="minorEastAsia" w:hAnsiTheme="minorEastAsia" w:eastAsiaTheme="minorEastAsia"/>
        </w:rPr>
      </w:pPr>
      <w:r>
        <w:rPr>
          <w:rFonts w:cs="Times New Roman" w:asciiTheme="minorEastAsia" w:hAnsiTheme="minorEastAsia" w:eastAsiaTheme="minorEastAsia"/>
          <w:spacing w:val="5"/>
        </w:rPr>
        <w:t xml:space="preserve">1. 1.5  </w:t>
      </w:r>
      <w:r>
        <w:rPr>
          <w:rFonts w:cs="宋体" w:asciiTheme="minorEastAsia" w:hAnsiTheme="minorEastAsia" w:eastAsiaTheme="minorEastAsia"/>
          <w:spacing w:val="5"/>
        </w:rPr>
        <w:t>本招标工程建设地点：见投标人须知前附表</w:t>
      </w:r>
      <w:r>
        <w:rPr>
          <w:rFonts w:cs="宋体" w:asciiTheme="minorEastAsia" w:hAnsiTheme="minorEastAsia" w:eastAsiaTheme="minorEastAsia"/>
          <w:spacing w:val="2"/>
        </w:rPr>
        <w:t>。</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10"/>
        </w:rPr>
        <w:t>1</w:t>
      </w:r>
      <w:r>
        <w:rPr>
          <w:rFonts w:cs="Times New Roman" w:asciiTheme="minorEastAsia" w:hAnsiTheme="minorEastAsia" w:eastAsiaTheme="minorEastAsia"/>
          <w:spacing w:val="9"/>
        </w:rPr>
        <w:t>.</w:t>
      </w:r>
      <w:r>
        <w:rPr>
          <w:rFonts w:cs="Times New Roman" w:asciiTheme="minorEastAsia" w:hAnsiTheme="minorEastAsia" w:eastAsiaTheme="minorEastAsia"/>
          <w:spacing w:val="5"/>
        </w:rPr>
        <w:t xml:space="preserve">2  </w:t>
      </w:r>
      <w:r>
        <w:rPr>
          <w:rFonts w:cs="黑体" w:asciiTheme="minorEastAsia" w:hAnsiTheme="minorEastAsia" w:eastAsiaTheme="minorEastAsia"/>
          <w:spacing w:val="5"/>
        </w:rPr>
        <w:t>资金来源和落实情况</w:t>
      </w:r>
    </w:p>
    <w:p>
      <w:pPr>
        <w:adjustRightInd/>
        <w:snapToGrid/>
        <w:spacing w:line="440" w:lineRule="exact"/>
        <w:ind w:firstLine="444" w:firstLineChars="200"/>
        <w:rPr>
          <w:rFonts w:cs="宋体" w:asciiTheme="minorEastAsia" w:hAnsiTheme="minorEastAsia" w:eastAsiaTheme="minorEastAsia"/>
        </w:rPr>
      </w:pPr>
      <w:r>
        <w:rPr>
          <w:rFonts w:cs="Times New Roman" w:asciiTheme="minorEastAsia" w:hAnsiTheme="minorEastAsia" w:eastAsiaTheme="minorEastAsia"/>
          <w:spacing w:val="6"/>
        </w:rPr>
        <w:t xml:space="preserve">1.2. 1  </w:t>
      </w:r>
      <w:r>
        <w:rPr>
          <w:rFonts w:cs="宋体" w:asciiTheme="minorEastAsia" w:hAnsiTheme="minorEastAsia" w:eastAsiaTheme="minorEastAsia"/>
          <w:spacing w:val="6"/>
        </w:rPr>
        <w:t>本招标工程的资金来源及出资比例：见投标人须知前附</w:t>
      </w:r>
      <w:r>
        <w:rPr>
          <w:rFonts w:cs="宋体" w:asciiTheme="minorEastAsia" w:hAnsiTheme="minorEastAsia" w:eastAsiaTheme="minorEastAsia"/>
          <w:spacing w:val="5"/>
        </w:rPr>
        <w:t>表</w:t>
      </w:r>
      <w:r>
        <w:rPr>
          <w:rFonts w:cs="宋体" w:asciiTheme="minorEastAsia" w:hAnsiTheme="minorEastAsia" w:eastAsiaTheme="minorEastAsia"/>
        </w:rPr>
        <w:t>。</w:t>
      </w:r>
    </w:p>
    <w:p>
      <w:pPr>
        <w:adjustRightInd/>
        <w:snapToGrid/>
        <w:spacing w:line="440" w:lineRule="exact"/>
        <w:ind w:firstLine="472" w:firstLineChars="200"/>
        <w:rPr>
          <w:rFonts w:cs="宋体" w:asciiTheme="minorEastAsia" w:hAnsiTheme="minorEastAsia" w:eastAsiaTheme="minorEastAsia"/>
        </w:rPr>
      </w:pPr>
      <w:r>
        <w:rPr>
          <w:rFonts w:cs="Times New Roman" w:asciiTheme="minorEastAsia" w:hAnsiTheme="minorEastAsia" w:eastAsiaTheme="minorEastAsia"/>
          <w:spacing w:val="13"/>
        </w:rPr>
        <w:t>1</w:t>
      </w:r>
      <w:r>
        <w:rPr>
          <w:rFonts w:cs="Times New Roman" w:asciiTheme="minorEastAsia" w:hAnsiTheme="minorEastAsia" w:eastAsiaTheme="minorEastAsia"/>
          <w:spacing w:val="7"/>
        </w:rPr>
        <w:t xml:space="preserve">.2.2  </w:t>
      </w:r>
      <w:r>
        <w:rPr>
          <w:rFonts w:cs="宋体" w:asciiTheme="minorEastAsia" w:hAnsiTheme="minorEastAsia" w:eastAsiaTheme="minorEastAsia"/>
          <w:spacing w:val="7"/>
        </w:rPr>
        <w:t>本招标工程的资金落实情况：见投标人须知前附表。</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7"/>
        </w:rPr>
        <w:t xml:space="preserve">1.3  </w:t>
      </w:r>
      <w:r>
        <w:rPr>
          <w:rFonts w:cs="黑体" w:asciiTheme="minorEastAsia" w:hAnsiTheme="minorEastAsia" w:eastAsiaTheme="minorEastAsia"/>
          <w:spacing w:val="7"/>
        </w:rPr>
        <w:t>招标范围、计划工期和质量要</w:t>
      </w:r>
      <w:r>
        <w:rPr>
          <w:rFonts w:cs="黑体" w:asciiTheme="minorEastAsia" w:hAnsiTheme="minorEastAsia" w:eastAsiaTheme="minorEastAsia"/>
          <w:spacing w:val="3"/>
        </w:rPr>
        <w:t>求</w:t>
      </w:r>
    </w:p>
    <w:p>
      <w:pPr>
        <w:adjustRightInd/>
        <w:snapToGrid/>
        <w:spacing w:line="440" w:lineRule="exact"/>
        <w:ind w:firstLine="444" w:firstLineChars="200"/>
        <w:rPr>
          <w:rFonts w:cs="宋体" w:asciiTheme="minorEastAsia" w:hAnsiTheme="minorEastAsia" w:eastAsiaTheme="minorEastAsia"/>
        </w:rPr>
      </w:pPr>
      <w:r>
        <w:rPr>
          <w:rFonts w:cs="Times New Roman" w:asciiTheme="minorEastAsia" w:hAnsiTheme="minorEastAsia" w:eastAsiaTheme="minorEastAsia"/>
          <w:spacing w:val="6"/>
        </w:rPr>
        <w:t>1</w:t>
      </w:r>
      <w:r>
        <w:rPr>
          <w:rFonts w:cs="Times New Roman" w:asciiTheme="minorEastAsia" w:hAnsiTheme="minorEastAsia" w:eastAsiaTheme="minorEastAsia"/>
          <w:spacing w:val="5"/>
        </w:rPr>
        <w:t xml:space="preserve">.3. 1  </w:t>
      </w:r>
      <w:r>
        <w:rPr>
          <w:rFonts w:cs="宋体" w:asciiTheme="minorEastAsia" w:hAnsiTheme="minorEastAsia" w:eastAsiaTheme="minorEastAsia"/>
          <w:spacing w:val="5"/>
        </w:rPr>
        <w:t>本招标工程的招标范围：见投标人须知前附表。</w:t>
      </w:r>
    </w:p>
    <w:p>
      <w:pPr>
        <w:adjustRightInd/>
        <w:snapToGrid/>
        <w:spacing w:line="440" w:lineRule="exact"/>
        <w:ind w:firstLine="448" w:firstLineChars="200"/>
        <w:rPr>
          <w:rFonts w:cs="宋体" w:asciiTheme="minorEastAsia" w:hAnsiTheme="minorEastAsia" w:eastAsiaTheme="minorEastAsia"/>
        </w:rPr>
      </w:pPr>
      <w:r>
        <w:rPr>
          <w:rFonts w:cs="Times New Roman" w:asciiTheme="minorEastAsia" w:hAnsiTheme="minorEastAsia" w:eastAsiaTheme="minorEastAsia"/>
          <w:spacing w:val="7"/>
        </w:rPr>
        <w:t xml:space="preserve">1.3.2  </w:t>
      </w:r>
      <w:r>
        <w:rPr>
          <w:rFonts w:cs="宋体" w:asciiTheme="minorEastAsia" w:hAnsiTheme="minorEastAsia" w:eastAsiaTheme="minorEastAsia"/>
          <w:spacing w:val="7"/>
        </w:rPr>
        <w:t>本招标工程的工期要求：见投标人须知前附表。</w:t>
      </w:r>
    </w:p>
    <w:p>
      <w:pPr>
        <w:adjustRightInd/>
        <w:snapToGrid/>
        <w:spacing w:line="440" w:lineRule="exact"/>
        <w:ind w:firstLine="448" w:firstLineChars="200"/>
        <w:rPr>
          <w:rFonts w:cs="宋体" w:asciiTheme="minorEastAsia" w:hAnsiTheme="minorEastAsia" w:eastAsiaTheme="minorEastAsia"/>
        </w:rPr>
      </w:pPr>
      <w:r>
        <w:rPr>
          <w:rFonts w:cs="Times New Roman" w:asciiTheme="minorEastAsia" w:hAnsiTheme="minorEastAsia" w:eastAsiaTheme="minorEastAsia"/>
          <w:spacing w:val="7"/>
        </w:rPr>
        <w:t xml:space="preserve">1.3.3  </w:t>
      </w:r>
      <w:r>
        <w:rPr>
          <w:rFonts w:cs="宋体" w:asciiTheme="minorEastAsia" w:hAnsiTheme="minorEastAsia" w:eastAsiaTheme="minorEastAsia"/>
          <w:spacing w:val="7"/>
        </w:rPr>
        <w:t>本招标工程的质量要求：见投标人须知前附表。</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5"/>
        </w:rPr>
        <w:t xml:space="preserve">1.4  </w:t>
      </w:r>
      <w:r>
        <w:rPr>
          <w:rFonts w:cs="黑体" w:asciiTheme="minorEastAsia" w:hAnsiTheme="minorEastAsia" w:eastAsiaTheme="minorEastAsia"/>
          <w:spacing w:val="5"/>
        </w:rPr>
        <w:t>投标人资格要</w:t>
      </w:r>
      <w:r>
        <w:rPr>
          <w:rFonts w:cs="黑体" w:asciiTheme="minorEastAsia" w:hAnsiTheme="minorEastAsia" w:eastAsiaTheme="minorEastAsia"/>
          <w:spacing w:val="4"/>
        </w:rPr>
        <w:t>求</w:t>
      </w:r>
    </w:p>
    <w:p>
      <w:pPr>
        <w:adjustRightInd/>
        <w:snapToGrid/>
        <w:spacing w:line="440" w:lineRule="exact"/>
        <w:ind w:firstLine="444" w:firstLineChars="200"/>
        <w:rPr>
          <w:rFonts w:cs="宋体" w:asciiTheme="minorEastAsia" w:hAnsiTheme="minorEastAsia" w:eastAsiaTheme="minorEastAsia"/>
        </w:rPr>
      </w:pPr>
      <w:r>
        <w:rPr>
          <w:rFonts w:cs="Times New Roman" w:asciiTheme="minorEastAsia" w:hAnsiTheme="minorEastAsia" w:eastAsiaTheme="minorEastAsia"/>
          <w:spacing w:val="6"/>
        </w:rPr>
        <w:t xml:space="preserve">1.4. 1 </w:t>
      </w:r>
      <w:r>
        <w:rPr>
          <w:rFonts w:cs="宋体" w:asciiTheme="minorEastAsia" w:hAnsiTheme="minorEastAsia" w:eastAsiaTheme="minorEastAsia"/>
          <w:spacing w:val="6"/>
        </w:rPr>
        <w:t>投标人应具备承担本招标工程的资质、资格和其他等要求</w:t>
      </w:r>
      <w:r>
        <w:rPr>
          <w:rFonts w:cs="宋体" w:asciiTheme="minorEastAsia" w:hAnsiTheme="minorEastAsia" w:eastAsiaTheme="minorEastAsia"/>
          <w:spacing w:val="2"/>
        </w:rPr>
        <w:t>。</w:t>
      </w:r>
    </w:p>
    <w:p>
      <w:pPr>
        <w:adjustRightInd/>
        <w:snapToGrid/>
        <w:spacing w:line="440" w:lineRule="exact"/>
        <w:ind w:firstLine="472" w:firstLineChars="200"/>
        <w:rPr>
          <w:rFonts w:cs="宋体" w:asciiTheme="minorEastAsia" w:hAnsiTheme="minorEastAsia" w:eastAsiaTheme="minorEastAsia"/>
        </w:rPr>
      </w:pPr>
      <w:r>
        <w:rPr>
          <w:rFonts w:cs="宋体" w:asciiTheme="minorEastAsia" w:hAnsiTheme="minorEastAsia" w:eastAsiaTheme="minorEastAsia"/>
          <w:spacing w:val="13"/>
        </w:rPr>
        <w:t>(</w:t>
      </w:r>
      <w:r>
        <w:rPr>
          <w:rFonts w:cs="Times New Roman" w:asciiTheme="minorEastAsia" w:hAnsiTheme="minorEastAsia" w:eastAsiaTheme="minorEastAsia"/>
          <w:spacing w:val="13"/>
        </w:rPr>
        <w:t>1</w:t>
      </w:r>
      <w:r>
        <w:rPr>
          <w:rFonts w:cs="宋体" w:asciiTheme="minorEastAsia" w:hAnsiTheme="minorEastAsia" w:eastAsiaTheme="minorEastAsia"/>
          <w:spacing w:val="13"/>
        </w:rPr>
        <w:t>) 资质条件：见投标人须知前附表</w:t>
      </w:r>
      <w:r>
        <w:rPr>
          <w:rFonts w:cs="宋体" w:asciiTheme="minorEastAsia" w:hAnsiTheme="minorEastAsia" w:eastAsiaTheme="minorEastAsia"/>
          <w:spacing w:val="11"/>
        </w:rPr>
        <w:t>；</w:t>
      </w:r>
    </w:p>
    <w:p>
      <w:pPr>
        <w:adjustRightInd/>
        <w:snapToGrid/>
        <w:spacing w:line="440" w:lineRule="exact"/>
        <w:ind w:firstLine="504" w:firstLineChars="200"/>
        <w:rPr>
          <w:rFonts w:cs="宋体" w:asciiTheme="minorEastAsia" w:hAnsiTheme="minorEastAsia" w:eastAsiaTheme="minorEastAsia"/>
        </w:rPr>
      </w:pPr>
      <w:r>
        <w:rPr>
          <w:rFonts w:cs="宋体" w:asciiTheme="minorEastAsia" w:hAnsiTheme="minorEastAsia" w:eastAsiaTheme="minorEastAsia"/>
          <w:spacing w:val="21"/>
        </w:rPr>
        <w:t>(</w:t>
      </w:r>
      <w:r>
        <w:rPr>
          <w:rFonts w:cs="Times New Roman" w:asciiTheme="minorEastAsia" w:hAnsiTheme="minorEastAsia" w:eastAsiaTheme="minorEastAsia"/>
          <w:spacing w:val="12"/>
        </w:rPr>
        <w:t>2</w:t>
      </w:r>
      <w:r>
        <w:rPr>
          <w:rFonts w:cs="宋体" w:asciiTheme="minorEastAsia" w:hAnsiTheme="minorEastAsia" w:eastAsiaTheme="minorEastAsia"/>
          <w:spacing w:val="12"/>
        </w:rPr>
        <w:t>) 项目负责人资格：见投标人须知前附表；</w:t>
      </w:r>
    </w:p>
    <w:p>
      <w:pPr>
        <w:adjustRightInd/>
        <w:snapToGrid/>
        <w:spacing w:line="440" w:lineRule="exact"/>
        <w:ind w:firstLine="492" w:firstLineChars="200"/>
        <w:rPr>
          <w:rFonts w:cs="宋体" w:asciiTheme="minorEastAsia" w:hAnsiTheme="minorEastAsia" w:eastAsiaTheme="minorEastAsia"/>
        </w:rPr>
      </w:pPr>
      <w:r>
        <w:rPr>
          <w:rFonts w:cs="宋体" w:asciiTheme="minorEastAsia" w:hAnsiTheme="minorEastAsia" w:eastAsiaTheme="minorEastAsia"/>
          <w:spacing w:val="18"/>
        </w:rPr>
        <w:t>(</w:t>
      </w:r>
      <w:r>
        <w:rPr>
          <w:rFonts w:cs="Times New Roman" w:asciiTheme="minorEastAsia" w:hAnsiTheme="minorEastAsia" w:eastAsiaTheme="minorEastAsia"/>
          <w:spacing w:val="15"/>
        </w:rPr>
        <w:t>3</w:t>
      </w:r>
      <w:r>
        <w:rPr>
          <w:rFonts w:cs="宋体" w:asciiTheme="minorEastAsia" w:hAnsiTheme="minorEastAsia" w:eastAsiaTheme="minorEastAsia"/>
          <w:spacing w:val="15"/>
        </w:rPr>
        <w:t>) 其他等要求：</w:t>
      </w:r>
    </w:p>
    <w:p>
      <w:pPr>
        <w:adjustRightInd/>
        <w:snapToGrid/>
        <w:spacing w:line="440" w:lineRule="exact"/>
        <w:ind w:firstLine="472" w:firstLineChars="200"/>
        <w:rPr>
          <w:rFonts w:cs="宋体" w:asciiTheme="minorEastAsia" w:hAnsiTheme="minorEastAsia" w:eastAsiaTheme="minorEastAsia"/>
        </w:rPr>
      </w:pPr>
      <w:r>
        <w:rPr>
          <w:rFonts w:cs="Times New Roman" w:asciiTheme="minorEastAsia" w:hAnsiTheme="minorEastAsia" w:eastAsiaTheme="minorEastAsia"/>
          <w:spacing w:val="13"/>
        </w:rPr>
        <w:t>1</w:t>
      </w:r>
      <w:r>
        <w:rPr>
          <w:rFonts w:cs="宋体" w:asciiTheme="minorEastAsia" w:hAnsiTheme="minorEastAsia" w:eastAsiaTheme="minorEastAsia"/>
          <w:spacing w:val="9"/>
        </w:rPr>
        <w:t>) 项目负责人在本工程投标文件提交截止日前，原以建造师身份承接 (包括已办理项</w:t>
      </w:r>
      <w:r>
        <w:rPr>
          <w:rFonts w:cs="宋体" w:asciiTheme="minorEastAsia" w:hAnsiTheme="minorEastAsia" w:eastAsiaTheme="minorEastAsia"/>
          <w:spacing w:val="7"/>
        </w:rPr>
        <w:t>目负责人变更手续) 的工程项目未通过竣工 (交工) 验收的 (以竣工验收记录或交工验收</w:t>
      </w:r>
      <w:r>
        <w:rPr>
          <w:rFonts w:cs="宋体" w:asciiTheme="minorEastAsia" w:hAnsiTheme="minorEastAsia" w:eastAsiaTheme="minorEastAsia"/>
          <w:spacing w:val="1"/>
        </w:rPr>
        <w:t>记</w:t>
      </w:r>
      <w:r>
        <w:rPr>
          <w:rFonts w:cs="宋体" w:asciiTheme="minorEastAsia" w:hAnsiTheme="minorEastAsia" w:eastAsiaTheme="minorEastAsia"/>
          <w:spacing w:val="9"/>
        </w:rPr>
        <w:t>录为准) ，项目负责人不得参加投标。发生下列情形之一的除外</w:t>
      </w:r>
      <w:r>
        <w:rPr>
          <w:rFonts w:cs="宋体" w:asciiTheme="minorEastAsia" w:hAnsiTheme="minorEastAsia" w:eastAsiaTheme="minorEastAsia"/>
          <w:spacing w:val="7"/>
        </w:rPr>
        <w:t>：</w:t>
      </w:r>
    </w:p>
    <w:p>
      <w:pPr>
        <w:adjustRightInd/>
        <w:snapToGrid/>
        <w:spacing w:line="440" w:lineRule="exact"/>
        <w:ind w:firstLine="420" w:firstLineChars="200"/>
        <w:rPr>
          <w:rFonts w:cs="宋体" w:asciiTheme="minorEastAsia" w:hAnsiTheme="minorEastAsia" w:eastAsiaTheme="minorEastAsia"/>
        </w:rPr>
      </w:pPr>
      <w:r>
        <w:rPr>
          <w:rFonts w:cs="Times New Roman" w:asciiTheme="minorEastAsia" w:hAnsiTheme="minorEastAsia" w:eastAsiaTheme="minorEastAsia"/>
        </w:rPr>
        <w:t>a</w:t>
      </w:r>
      <w:r>
        <w:rPr>
          <w:rFonts w:cs="Times New Roman" w:asciiTheme="minorEastAsia" w:hAnsiTheme="minorEastAsia" w:eastAsiaTheme="minorEastAsia"/>
          <w:spacing w:val="14"/>
        </w:rPr>
        <w:t>.</w:t>
      </w:r>
      <w:r>
        <w:rPr>
          <w:rFonts w:cs="宋体" w:asciiTheme="minorEastAsia" w:hAnsiTheme="minorEastAsia" w:eastAsiaTheme="minorEastAsia"/>
          <w:spacing w:val="9"/>
        </w:rPr>
        <w:t>原承接的项目与本工程属于同一工程相邻分段发包或分期施工的；</w:t>
      </w:r>
    </w:p>
    <w:p>
      <w:pPr>
        <w:adjustRightInd/>
        <w:snapToGrid/>
        <w:spacing w:line="440" w:lineRule="exact"/>
        <w:ind w:firstLine="420" w:firstLineChars="200"/>
        <w:rPr>
          <w:rFonts w:cs="宋体" w:asciiTheme="minorEastAsia" w:hAnsiTheme="minorEastAsia" w:eastAsiaTheme="minorEastAsia"/>
          <w:spacing w:val="6"/>
        </w:rPr>
      </w:pPr>
      <w:r>
        <w:rPr>
          <w:rFonts w:cs="Times New Roman" w:asciiTheme="minorEastAsia" w:hAnsiTheme="minorEastAsia" w:eastAsiaTheme="minorEastAsia"/>
          <w:position w:val="1"/>
        </w:rPr>
        <w:t>b</w:t>
      </w:r>
      <w:r>
        <w:rPr>
          <w:rFonts w:cs="Times New Roman" w:asciiTheme="minorEastAsia" w:hAnsiTheme="minorEastAsia" w:eastAsiaTheme="minorEastAsia"/>
          <w:spacing w:val="10"/>
          <w:position w:val="1"/>
        </w:rPr>
        <w:t xml:space="preserve">. </w:t>
      </w:r>
      <w:r>
        <w:rPr>
          <w:rFonts w:hint="eastAsia" w:cs="宋体" w:asciiTheme="minorEastAsia" w:hAnsiTheme="minorEastAsia" w:eastAsiaTheme="minorEastAsia"/>
          <w:spacing w:val="6"/>
        </w:rPr>
        <w:t>因非承包方原因致使工程项目停工超过120天（含），经建设单位同意的（并须提供经工程所在地建设（建筑业）行政主管部门同意停工的书面证明原件）。</w:t>
      </w:r>
    </w:p>
    <w:p>
      <w:pPr>
        <w:adjustRightInd/>
        <w:snapToGrid/>
        <w:spacing w:line="440" w:lineRule="exact"/>
        <w:ind w:firstLine="444" w:firstLineChars="200"/>
        <w:rPr>
          <w:rFonts w:cs="宋体" w:asciiTheme="minorEastAsia" w:hAnsiTheme="minorEastAsia" w:eastAsiaTheme="minorEastAsia"/>
          <w:spacing w:val="6"/>
        </w:rPr>
      </w:pPr>
      <w:r>
        <w:rPr>
          <w:rFonts w:cs="宋体" w:asciiTheme="minorEastAsia" w:hAnsiTheme="minorEastAsia" w:eastAsiaTheme="minorEastAsia"/>
          <w:spacing w:val="6"/>
        </w:rPr>
        <w:t>c.合同约定的工程已完工，</w:t>
      </w:r>
      <w:r>
        <w:rPr>
          <w:rFonts w:hint="eastAsia" w:cs="宋体" w:asciiTheme="minorEastAsia" w:hAnsiTheme="minorEastAsia" w:eastAsiaTheme="minorEastAsia"/>
          <w:spacing w:val="6"/>
        </w:rPr>
        <w:t>承包方向建设单位提交竣工（交工）报告时间已超过120天（含），且经建设单位同意可承接其他项目的（并须提供经工程所在地建设（建筑业）行政主管部门书面证明原件和竣工（交工）报告原件）。</w:t>
      </w:r>
    </w:p>
    <w:p>
      <w:pPr>
        <w:pStyle w:val="2"/>
        <w:spacing w:after="0" w:line="440" w:lineRule="exact"/>
        <w:ind w:firstLine="420" w:firstLineChars="199"/>
        <w:rPr>
          <w:rFonts w:asciiTheme="minorEastAsia" w:hAnsiTheme="minorEastAsia" w:eastAsiaTheme="minorEastAsia"/>
          <w:b/>
          <w:color w:val="auto"/>
          <w:u w:val="single"/>
        </w:rPr>
      </w:pPr>
      <w:r>
        <w:rPr>
          <w:rFonts w:asciiTheme="minorEastAsia" w:hAnsiTheme="minorEastAsia" w:eastAsiaTheme="minorEastAsia"/>
          <w:b/>
          <w:color w:val="auto"/>
        </w:rPr>
        <w:t>如发生以上情形，投标人应在递交投标文件的同时将有关书面证明材料</w:t>
      </w:r>
      <w:r>
        <w:rPr>
          <w:rFonts w:hint="eastAsia" w:asciiTheme="minorEastAsia" w:hAnsiTheme="minorEastAsia" w:eastAsiaTheme="minorEastAsia"/>
          <w:b/>
          <w:color w:val="auto"/>
        </w:rPr>
        <w:t>（以电子文档形式随资信标上传）</w:t>
      </w:r>
      <w:r>
        <w:rPr>
          <w:rFonts w:asciiTheme="minorEastAsia" w:hAnsiTheme="minorEastAsia" w:eastAsiaTheme="minorEastAsia"/>
          <w:b/>
          <w:color w:val="auto"/>
        </w:rPr>
        <w:t>提交给招标人，投标截止日后提供的证明材料视为瞒报、漏报，将不予认可。</w:t>
      </w:r>
    </w:p>
    <w:p>
      <w:pPr>
        <w:pStyle w:val="2"/>
        <w:spacing w:after="0" w:line="440" w:lineRule="exact"/>
        <w:ind w:firstLine="420" w:firstLineChars="199"/>
        <w:rPr>
          <w:rFonts w:asciiTheme="minorEastAsia" w:hAnsiTheme="minorEastAsia" w:eastAsiaTheme="minorEastAsia"/>
          <w:b/>
          <w:color w:val="auto"/>
        </w:rPr>
      </w:pPr>
      <w:r>
        <w:rPr>
          <w:rFonts w:asciiTheme="minorEastAsia" w:hAnsiTheme="minorEastAsia" w:eastAsiaTheme="minorEastAsia"/>
          <w:b/>
          <w:color w:val="auto"/>
        </w:rPr>
        <w:t>项目负责人在原承接项目的中标候选人公示、中标公示、中标通知书、合同、施工许可证、现场公告牌、管理部门的网站或文件中载明</w:t>
      </w:r>
      <w:r>
        <w:rPr>
          <w:rFonts w:hint="eastAsia" w:asciiTheme="minorEastAsia" w:hAnsiTheme="minorEastAsia" w:eastAsiaTheme="minorEastAsia"/>
          <w:b/>
          <w:color w:val="auto"/>
        </w:rPr>
        <w:t>以建造师身份</w:t>
      </w:r>
      <w:r>
        <w:rPr>
          <w:rFonts w:asciiTheme="minorEastAsia" w:hAnsiTheme="minorEastAsia" w:eastAsiaTheme="minorEastAsia"/>
          <w:b/>
          <w:color w:val="auto"/>
        </w:rPr>
        <w:t>担任项目负责人岗位的，均视为已承接该项目。</w:t>
      </w:r>
      <w:r>
        <w:rPr>
          <w:rFonts w:hint="eastAsia" w:asciiTheme="minorEastAsia" w:hAnsiTheme="minorEastAsia" w:eastAsiaTheme="minorEastAsia"/>
          <w:b/>
          <w:color w:val="auto"/>
        </w:rPr>
        <w:t>若是年度招标项目则以具体项目的承接作为是否已承接该项目的判断依据。如承接项目已取得竣工验收记录或交工验收记录的，该项目不作为在建。原承接项目已解除合同的，该项目不作为在建。</w:t>
      </w:r>
    </w:p>
    <w:p>
      <w:pPr>
        <w:pStyle w:val="2"/>
        <w:spacing w:after="0" w:line="440" w:lineRule="exact"/>
        <w:ind w:firstLine="420" w:firstLineChars="199"/>
        <w:rPr>
          <w:rFonts w:asciiTheme="minorEastAsia" w:hAnsiTheme="minorEastAsia" w:eastAsiaTheme="minorEastAsia"/>
          <w:b/>
          <w:color w:val="auto"/>
        </w:rPr>
      </w:pPr>
      <w:r>
        <w:rPr>
          <w:rFonts w:asciiTheme="minorEastAsia" w:hAnsiTheme="minorEastAsia" w:eastAsiaTheme="minorEastAsia"/>
          <w:b/>
          <w:color w:val="auto"/>
        </w:rPr>
        <w:t>1.4.2项目负责人不得同时在两个或者两个以上单位受聘或者执业（仅指项目负责人不得同时是其他单位的公务员或者事业单位在编人员，涉及到其他情形的，投标资格不受影响）。</w:t>
      </w:r>
    </w:p>
    <w:p>
      <w:pPr>
        <w:adjustRightInd/>
        <w:snapToGrid/>
        <w:spacing w:line="440" w:lineRule="exact"/>
        <w:ind w:firstLine="460" w:firstLineChars="200"/>
        <w:rPr>
          <w:rFonts w:cs="宋体" w:asciiTheme="minorEastAsia" w:hAnsiTheme="minorEastAsia" w:eastAsiaTheme="minorEastAsia"/>
        </w:rPr>
      </w:pPr>
      <w:r>
        <w:rPr>
          <w:rFonts w:cs="Times New Roman" w:asciiTheme="minorEastAsia" w:hAnsiTheme="minorEastAsia" w:eastAsiaTheme="minorEastAsia"/>
          <w:spacing w:val="10"/>
        </w:rPr>
        <w:t>1</w:t>
      </w:r>
      <w:r>
        <w:rPr>
          <w:rFonts w:cs="Times New Roman" w:asciiTheme="minorEastAsia" w:hAnsiTheme="minorEastAsia" w:eastAsiaTheme="minorEastAsia"/>
          <w:spacing w:val="6"/>
        </w:rPr>
        <w:t>.4.</w:t>
      </w:r>
      <w:r>
        <w:rPr>
          <w:rFonts w:hint="eastAsia" w:cs="Times New Roman" w:asciiTheme="minorEastAsia" w:hAnsiTheme="minorEastAsia" w:eastAsiaTheme="minorEastAsia"/>
          <w:spacing w:val="6"/>
        </w:rPr>
        <w:t>3</w:t>
      </w:r>
      <w:r>
        <w:rPr>
          <w:rFonts w:cs="宋体" w:asciiTheme="minorEastAsia" w:hAnsiTheme="minorEastAsia" w:eastAsiaTheme="minorEastAsia"/>
          <w:spacing w:val="6"/>
        </w:rPr>
        <w:t>投标人不得存在下列情形之一：</w:t>
      </w:r>
    </w:p>
    <w:p>
      <w:pPr>
        <w:adjustRightInd/>
        <w:snapToGrid/>
        <w:spacing w:line="440" w:lineRule="exact"/>
        <w:ind w:firstLine="488" w:firstLineChars="200"/>
        <w:rPr>
          <w:rFonts w:cs="宋体" w:asciiTheme="minorEastAsia" w:hAnsiTheme="minorEastAsia" w:eastAsiaTheme="minorEastAsia"/>
        </w:rPr>
      </w:pPr>
      <w:r>
        <w:rPr>
          <w:rFonts w:cs="宋体" w:asciiTheme="minorEastAsia" w:hAnsiTheme="minorEastAsia" w:eastAsiaTheme="minorEastAsia"/>
          <w:spacing w:val="17"/>
        </w:rPr>
        <w:t>(</w:t>
      </w:r>
      <w:r>
        <w:rPr>
          <w:rFonts w:cs="Times New Roman" w:asciiTheme="minorEastAsia" w:hAnsiTheme="minorEastAsia" w:eastAsiaTheme="minorEastAsia"/>
          <w:spacing w:val="11"/>
        </w:rPr>
        <w:t>1</w:t>
      </w:r>
      <w:r>
        <w:rPr>
          <w:rFonts w:cs="宋体" w:asciiTheme="minorEastAsia" w:hAnsiTheme="minorEastAsia" w:eastAsiaTheme="minorEastAsia"/>
          <w:spacing w:val="11"/>
        </w:rPr>
        <w:t>) 为招标人不具有独立法人资格的附属机构 (单位) ；</w:t>
      </w:r>
    </w:p>
    <w:p>
      <w:pPr>
        <w:adjustRightInd/>
        <w:snapToGrid/>
        <w:spacing w:line="440" w:lineRule="exact"/>
        <w:ind w:firstLine="508" w:firstLineChars="200"/>
        <w:rPr>
          <w:rFonts w:cs="宋体" w:asciiTheme="minorEastAsia" w:hAnsiTheme="minorEastAsia" w:eastAsiaTheme="minorEastAsia"/>
        </w:rPr>
      </w:pPr>
      <w:bookmarkStart w:id="42" w:name="_bookmark6"/>
      <w:bookmarkEnd w:id="42"/>
      <w:r>
        <w:rPr>
          <w:rFonts w:cs="宋体" w:asciiTheme="minorEastAsia" w:hAnsiTheme="minorEastAsia" w:eastAsiaTheme="minorEastAsia"/>
          <w:spacing w:val="22"/>
        </w:rPr>
        <w:t>(</w:t>
      </w:r>
      <w:r>
        <w:rPr>
          <w:rFonts w:cs="Times New Roman" w:asciiTheme="minorEastAsia" w:hAnsiTheme="minorEastAsia" w:eastAsiaTheme="minorEastAsia"/>
          <w:spacing w:val="19"/>
        </w:rPr>
        <w:t>2</w:t>
      </w:r>
      <w:r>
        <w:rPr>
          <w:rFonts w:cs="宋体" w:asciiTheme="minorEastAsia" w:hAnsiTheme="minorEastAsia" w:eastAsiaTheme="minorEastAsia"/>
          <w:spacing w:val="11"/>
        </w:rPr>
        <w:t>) 为本工程前期准备提供设计或咨询服务的，但设计施工总承包的除外；</w:t>
      </w:r>
    </w:p>
    <w:p>
      <w:pPr>
        <w:adjustRightInd/>
        <w:snapToGrid/>
        <w:spacing w:line="440" w:lineRule="exact"/>
        <w:ind w:firstLine="488" w:firstLineChars="200"/>
        <w:rPr>
          <w:rFonts w:cs="宋体" w:asciiTheme="minorEastAsia" w:hAnsiTheme="minorEastAsia" w:eastAsiaTheme="minorEastAsia"/>
        </w:rPr>
      </w:pPr>
      <w:r>
        <w:rPr>
          <w:rFonts w:cs="宋体" w:asciiTheme="minorEastAsia" w:hAnsiTheme="minorEastAsia" w:eastAsiaTheme="minorEastAsia"/>
          <w:spacing w:val="17"/>
        </w:rPr>
        <w:t>(</w:t>
      </w:r>
      <w:r>
        <w:rPr>
          <w:rFonts w:cs="Times New Roman" w:asciiTheme="minorEastAsia" w:hAnsiTheme="minorEastAsia" w:eastAsiaTheme="minorEastAsia"/>
          <w:spacing w:val="14"/>
        </w:rPr>
        <w:t>3</w:t>
      </w:r>
      <w:r>
        <w:rPr>
          <w:rFonts w:cs="宋体" w:asciiTheme="minorEastAsia" w:hAnsiTheme="minorEastAsia" w:eastAsiaTheme="minorEastAsia"/>
          <w:spacing w:val="14"/>
        </w:rPr>
        <w:t>) 为本工程的监理人；</w:t>
      </w:r>
    </w:p>
    <w:p>
      <w:pPr>
        <w:adjustRightInd/>
        <w:snapToGrid/>
        <w:spacing w:line="440" w:lineRule="exact"/>
        <w:ind w:firstLine="488" w:firstLineChars="200"/>
        <w:rPr>
          <w:rFonts w:cs="宋体" w:asciiTheme="minorEastAsia" w:hAnsiTheme="minorEastAsia" w:eastAsiaTheme="minorEastAsia"/>
        </w:rPr>
      </w:pPr>
      <w:r>
        <w:rPr>
          <w:rFonts w:cs="宋体" w:asciiTheme="minorEastAsia" w:hAnsiTheme="minorEastAsia" w:eastAsiaTheme="minorEastAsia"/>
          <w:spacing w:val="17"/>
        </w:rPr>
        <w:t>(</w:t>
      </w:r>
      <w:r>
        <w:rPr>
          <w:rFonts w:cs="Times New Roman" w:asciiTheme="minorEastAsia" w:hAnsiTheme="minorEastAsia" w:eastAsiaTheme="minorEastAsia"/>
          <w:spacing w:val="14"/>
        </w:rPr>
        <w:t>4</w:t>
      </w:r>
      <w:r>
        <w:rPr>
          <w:rFonts w:cs="宋体" w:asciiTheme="minorEastAsia" w:hAnsiTheme="minorEastAsia" w:eastAsiaTheme="minorEastAsia"/>
          <w:spacing w:val="14"/>
        </w:rPr>
        <w:t>) 为本工程的代建人；</w:t>
      </w:r>
    </w:p>
    <w:p>
      <w:pPr>
        <w:adjustRightInd/>
        <w:snapToGrid/>
        <w:spacing w:line="440" w:lineRule="exact"/>
        <w:ind w:firstLine="472" w:firstLineChars="200"/>
        <w:rPr>
          <w:rFonts w:cs="宋体" w:asciiTheme="minorEastAsia" w:hAnsiTheme="minorEastAsia" w:eastAsiaTheme="minorEastAsia"/>
        </w:rPr>
      </w:pPr>
      <w:r>
        <w:rPr>
          <w:rFonts w:cs="宋体" w:asciiTheme="minorEastAsia" w:hAnsiTheme="minorEastAsia" w:eastAsiaTheme="minorEastAsia"/>
          <w:spacing w:val="13"/>
        </w:rPr>
        <w:t>(</w:t>
      </w:r>
      <w:r>
        <w:rPr>
          <w:rFonts w:cs="Times New Roman" w:asciiTheme="minorEastAsia" w:hAnsiTheme="minorEastAsia" w:eastAsiaTheme="minorEastAsia"/>
          <w:spacing w:val="13"/>
        </w:rPr>
        <w:t>5</w:t>
      </w:r>
      <w:r>
        <w:rPr>
          <w:rFonts w:cs="宋体" w:asciiTheme="minorEastAsia" w:hAnsiTheme="minorEastAsia" w:eastAsiaTheme="minorEastAsia"/>
          <w:spacing w:val="13"/>
        </w:rPr>
        <w:t>) 为本工程提供招标代理服务的</w:t>
      </w:r>
      <w:r>
        <w:rPr>
          <w:rFonts w:cs="宋体" w:asciiTheme="minorEastAsia" w:hAnsiTheme="minorEastAsia" w:eastAsiaTheme="minorEastAsia"/>
          <w:spacing w:val="12"/>
        </w:rPr>
        <w:t>；</w:t>
      </w:r>
    </w:p>
    <w:p>
      <w:pPr>
        <w:adjustRightInd/>
        <w:snapToGrid/>
        <w:spacing w:line="440" w:lineRule="exact"/>
        <w:ind w:firstLine="508" w:firstLineChars="200"/>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19"/>
        </w:rPr>
        <w:t>6</w:t>
      </w:r>
      <w:r>
        <w:rPr>
          <w:rFonts w:cs="宋体" w:asciiTheme="minorEastAsia" w:hAnsiTheme="minorEastAsia" w:eastAsiaTheme="minorEastAsia"/>
          <w:spacing w:val="11"/>
        </w:rPr>
        <w:t>) 与本工程的监理人或代建人或招标代理机构同为一个法定代表人的；</w:t>
      </w:r>
    </w:p>
    <w:p>
      <w:pPr>
        <w:adjustRightInd/>
        <w:snapToGrid/>
        <w:spacing w:line="440" w:lineRule="exact"/>
        <w:ind w:firstLine="508" w:firstLineChars="200"/>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21"/>
        </w:rPr>
        <w:t>7</w:t>
      </w:r>
      <w:r>
        <w:rPr>
          <w:rFonts w:cs="宋体" w:asciiTheme="minorEastAsia" w:hAnsiTheme="minorEastAsia" w:eastAsiaTheme="minorEastAsia"/>
          <w:spacing w:val="11"/>
        </w:rPr>
        <w:t>) 与本工程的监理人或代建人或招标代理机构相互控股或参股的；</w:t>
      </w:r>
    </w:p>
    <w:p>
      <w:pPr>
        <w:adjustRightInd/>
        <w:snapToGrid/>
        <w:spacing w:line="440" w:lineRule="exact"/>
        <w:ind w:firstLine="508" w:firstLineChars="200"/>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21"/>
        </w:rPr>
        <w:t>8</w:t>
      </w:r>
      <w:r>
        <w:rPr>
          <w:rFonts w:cs="宋体" w:asciiTheme="minorEastAsia" w:hAnsiTheme="minorEastAsia" w:eastAsiaTheme="minorEastAsia"/>
          <w:spacing w:val="11"/>
        </w:rPr>
        <w:t>) 与本工程的监理人或代建人或招标代理机构相互任职或工作的；</w:t>
      </w:r>
    </w:p>
    <w:p>
      <w:pPr>
        <w:adjustRightInd/>
        <w:snapToGrid/>
        <w:spacing w:line="440" w:lineRule="exact"/>
        <w:ind w:firstLine="480" w:firstLineChars="200"/>
        <w:rPr>
          <w:rFonts w:cs="宋体" w:asciiTheme="minorEastAsia" w:hAnsiTheme="minorEastAsia" w:eastAsiaTheme="minorEastAsia"/>
        </w:rPr>
      </w:pPr>
      <w:r>
        <w:rPr>
          <w:rFonts w:cs="宋体" w:asciiTheme="minorEastAsia" w:hAnsiTheme="minorEastAsia" w:eastAsiaTheme="minorEastAsia"/>
          <w:spacing w:val="15"/>
        </w:rPr>
        <w:t>(</w:t>
      </w:r>
      <w:r>
        <w:rPr>
          <w:rFonts w:cs="Times New Roman" w:asciiTheme="minorEastAsia" w:hAnsiTheme="minorEastAsia" w:eastAsiaTheme="minorEastAsia"/>
          <w:spacing w:val="15"/>
        </w:rPr>
        <w:t>9</w:t>
      </w:r>
      <w:r>
        <w:rPr>
          <w:rFonts w:cs="宋体" w:asciiTheme="minorEastAsia" w:hAnsiTheme="minorEastAsia" w:eastAsiaTheme="minorEastAsia"/>
          <w:spacing w:val="15"/>
        </w:rPr>
        <w:t>) 被责令停业的；</w:t>
      </w:r>
    </w:p>
    <w:p>
      <w:pPr>
        <w:adjustRightInd/>
        <w:snapToGrid/>
        <w:spacing w:line="440" w:lineRule="exact"/>
        <w:ind w:firstLine="476" w:firstLineChars="200"/>
        <w:rPr>
          <w:rFonts w:cs="宋体" w:asciiTheme="minorEastAsia" w:hAnsiTheme="minorEastAsia" w:eastAsiaTheme="minorEastAsia"/>
        </w:rPr>
      </w:pPr>
      <w:r>
        <w:rPr>
          <w:rFonts w:cs="宋体" w:asciiTheme="minorEastAsia" w:hAnsiTheme="minorEastAsia" w:eastAsiaTheme="minorEastAsia"/>
          <w:spacing w:val="14"/>
        </w:rPr>
        <w:t>(</w:t>
      </w:r>
      <w:r>
        <w:rPr>
          <w:rFonts w:cs="Times New Roman" w:asciiTheme="minorEastAsia" w:hAnsiTheme="minorEastAsia" w:eastAsiaTheme="minorEastAsia"/>
          <w:spacing w:val="11"/>
        </w:rPr>
        <w:t>10</w:t>
      </w:r>
      <w:r>
        <w:rPr>
          <w:rFonts w:cs="宋体" w:asciiTheme="minorEastAsia" w:hAnsiTheme="minorEastAsia" w:eastAsiaTheme="minorEastAsia"/>
          <w:spacing w:val="11"/>
        </w:rPr>
        <w:t>) 被暂停或取消投标资格的 (包括项目负责人) ；</w:t>
      </w:r>
    </w:p>
    <w:p>
      <w:pPr>
        <w:adjustRightInd/>
        <w:snapToGrid/>
        <w:spacing w:line="440" w:lineRule="exact"/>
        <w:ind w:firstLine="508" w:firstLineChars="200"/>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15"/>
        </w:rPr>
        <w:t>1</w:t>
      </w:r>
      <w:r>
        <w:rPr>
          <w:rFonts w:cs="Times New Roman" w:asciiTheme="minorEastAsia" w:hAnsiTheme="minorEastAsia" w:eastAsiaTheme="minorEastAsia"/>
          <w:spacing w:val="11"/>
        </w:rPr>
        <w:t>1</w:t>
      </w:r>
      <w:r>
        <w:rPr>
          <w:rFonts w:cs="宋体" w:asciiTheme="minorEastAsia" w:hAnsiTheme="minorEastAsia" w:eastAsiaTheme="minorEastAsia"/>
          <w:spacing w:val="11"/>
        </w:rPr>
        <w:t>) 安全生产许可证超出有效期或处于暂扣时限内的；</w:t>
      </w:r>
    </w:p>
    <w:p>
      <w:pPr>
        <w:adjustRightInd/>
        <w:snapToGrid/>
        <w:spacing w:line="440" w:lineRule="exact"/>
        <w:ind w:firstLine="468" w:firstLineChars="200"/>
        <w:rPr>
          <w:rFonts w:cs="宋体" w:asciiTheme="minorEastAsia" w:hAnsiTheme="minorEastAsia" w:eastAsiaTheme="minorEastAsia"/>
        </w:rPr>
      </w:pPr>
      <w:r>
        <w:rPr>
          <w:rFonts w:cs="宋体" w:asciiTheme="minorEastAsia" w:hAnsiTheme="minorEastAsia" w:eastAsiaTheme="minorEastAsia"/>
          <w:spacing w:val="12"/>
        </w:rPr>
        <w:t>(</w:t>
      </w:r>
      <w:r>
        <w:rPr>
          <w:rFonts w:cs="Times New Roman" w:asciiTheme="minorEastAsia" w:hAnsiTheme="minorEastAsia" w:eastAsiaTheme="minorEastAsia"/>
          <w:spacing w:val="12"/>
        </w:rPr>
        <w:t>12</w:t>
      </w:r>
      <w:r>
        <w:rPr>
          <w:rFonts w:cs="宋体" w:asciiTheme="minorEastAsia" w:hAnsiTheme="minorEastAsia" w:eastAsiaTheme="minorEastAsia"/>
          <w:spacing w:val="12"/>
        </w:rPr>
        <w:t>) 根据《关于在国有投资建设工程项目招投标活动中实行行贿犯罪档案查询制度</w:t>
      </w:r>
      <w:r>
        <w:rPr>
          <w:rFonts w:cs="宋体" w:asciiTheme="minorEastAsia" w:hAnsiTheme="minorEastAsia" w:eastAsiaTheme="minorEastAsia"/>
          <w:spacing w:val="7"/>
        </w:rPr>
        <w:t>的</w:t>
      </w:r>
    </w:p>
    <w:p>
      <w:pPr>
        <w:adjustRightInd/>
        <w:snapToGrid/>
        <w:spacing w:line="440" w:lineRule="exact"/>
        <w:ind w:firstLine="468" w:firstLineChars="200"/>
        <w:rPr>
          <w:rFonts w:cs="宋体" w:asciiTheme="minorEastAsia" w:hAnsiTheme="minorEastAsia" w:eastAsiaTheme="minorEastAsia"/>
        </w:rPr>
      </w:pPr>
      <w:r>
        <w:rPr>
          <w:rFonts w:cs="宋体" w:asciiTheme="minorEastAsia" w:hAnsiTheme="minorEastAsia" w:eastAsiaTheme="minorEastAsia"/>
          <w:spacing w:val="12"/>
        </w:rPr>
        <w:t>通知》</w:t>
      </w:r>
      <w:r>
        <w:rPr>
          <w:rFonts w:cs="宋体" w:asciiTheme="minorEastAsia" w:hAnsiTheme="minorEastAsia" w:eastAsiaTheme="minorEastAsia"/>
          <w:spacing w:val="6"/>
        </w:rPr>
        <w:t xml:space="preserve"> (台建规</w:t>
      </w:r>
      <w:r>
        <w:rPr>
          <w:rFonts w:cs="Times New Roman" w:asciiTheme="minorEastAsia" w:hAnsiTheme="minorEastAsia" w:eastAsiaTheme="minorEastAsia"/>
          <w:spacing w:val="6"/>
        </w:rPr>
        <w:t xml:space="preserve">[2010]219 </w:t>
      </w:r>
      <w:r>
        <w:rPr>
          <w:rFonts w:cs="宋体" w:asciiTheme="minorEastAsia" w:hAnsiTheme="minorEastAsia" w:eastAsiaTheme="minorEastAsia"/>
          <w:spacing w:val="6"/>
        </w:rPr>
        <w:t xml:space="preserve">号) 规定，投标人 (包括法定代表人) 和项目负责人其一有行贿犯罪记录的 (由投标文件提交截止之日上溯 </w:t>
      </w:r>
      <w:r>
        <w:rPr>
          <w:rFonts w:cs="Times New Roman" w:asciiTheme="minorEastAsia" w:hAnsiTheme="minorEastAsia" w:eastAsiaTheme="minorEastAsia"/>
          <w:spacing w:val="6"/>
        </w:rPr>
        <w:t xml:space="preserve">3 </w:t>
      </w:r>
      <w:r>
        <w:rPr>
          <w:rFonts w:cs="宋体" w:asciiTheme="minorEastAsia" w:hAnsiTheme="minorEastAsia" w:eastAsiaTheme="minorEastAsia"/>
          <w:spacing w:val="6"/>
        </w:rPr>
        <w:t>年，行贿犯罪记录日期以法院判决生效日期</w:t>
      </w:r>
      <w:r>
        <w:rPr>
          <w:rFonts w:cs="宋体" w:asciiTheme="minorEastAsia" w:hAnsiTheme="minorEastAsia" w:eastAsiaTheme="minorEastAsia"/>
        </w:rPr>
        <w:t xml:space="preserve">为 </w:t>
      </w:r>
      <w:r>
        <w:rPr>
          <w:rFonts w:cs="宋体" w:asciiTheme="minorEastAsia" w:hAnsiTheme="minorEastAsia" w:eastAsiaTheme="minorEastAsia"/>
          <w:spacing w:val="3"/>
        </w:rPr>
        <w:t>准) ；</w:t>
      </w:r>
    </w:p>
    <w:p>
      <w:pPr>
        <w:adjustRightInd/>
        <w:snapToGrid/>
        <w:spacing w:line="440" w:lineRule="exact"/>
        <w:ind w:firstLine="500" w:firstLineChars="200"/>
        <w:rPr>
          <w:rFonts w:cs="宋体" w:asciiTheme="minorEastAsia" w:hAnsiTheme="minorEastAsia" w:eastAsiaTheme="minorEastAsia"/>
        </w:rPr>
      </w:pPr>
      <w:r>
        <w:rPr>
          <w:rFonts w:cs="宋体" w:asciiTheme="minorEastAsia" w:hAnsiTheme="minorEastAsia" w:eastAsiaTheme="minorEastAsia"/>
          <w:spacing w:val="20"/>
        </w:rPr>
        <w:t>(</w:t>
      </w:r>
      <w:r>
        <w:rPr>
          <w:rFonts w:cs="Times New Roman" w:asciiTheme="minorEastAsia" w:hAnsiTheme="minorEastAsia" w:eastAsiaTheme="minorEastAsia"/>
          <w:spacing w:val="20"/>
        </w:rPr>
        <w:t>13</w:t>
      </w:r>
      <w:r>
        <w:rPr>
          <w:rFonts w:cs="宋体" w:asciiTheme="minorEastAsia" w:hAnsiTheme="minorEastAsia" w:eastAsiaTheme="minorEastAsia"/>
          <w:spacing w:val="10"/>
        </w:rPr>
        <w:t>) 投标人及相关管理人员 (包括项目负责人) 安全生产任职资格不符合相关规定。</w:t>
      </w:r>
    </w:p>
    <w:p>
      <w:pPr>
        <w:adjustRightInd/>
        <w:snapToGrid/>
        <w:spacing w:line="440" w:lineRule="exact"/>
        <w:ind w:firstLine="508" w:firstLineChars="200"/>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12"/>
        </w:rPr>
        <w:t>1</w:t>
      </w:r>
      <w:r>
        <w:rPr>
          <w:rFonts w:cs="Times New Roman" w:asciiTheme="minorEastAsia" w:hAnsiTheme="minorEastAsia" w:eastAsiaTheme="minorEastAsia"/>
          <w:spacing w:val="11"/>
        </w:rPr>
        <w:t>4</w:t>
      </w:r>
      <w:r>
        <w:rPr>
          <w:rFonts w:cs="宋体" w:asciiTheme="minorEastAsia" w:hAnsiTheme="minorEastAsia" w:eastAsiaTheme="minorEastAsia"/>
          <w:spacing w:val="11"/>
        </w:rPr>
        <w:t>) 浙江省外企业《省外企业进浙承接业务备案证明》超出有效期或已注销的。</w:t>
      </w:r>
    </w:p>
    <w:p>
      <w:pPr>
        <w:spacing w:line="440" w:lineRule="exact"/>
        <w:ind w:firstLine="444" w:firstLineChars="200"/>
        <w:rPr>
          <w:rFonts w:asciiTheme="minorEastAsia" w:hAnsiTheme="minorEastAsia" w:eastAsiaTheme="minorEastAsia"/>
        </w:rPr>
      </w:pPr>
      <w:r>
        <w:rPr>
          <w:rFonts w:cs="Times New Roman" w:asciiTheme="minorEastAsia" w:hAnsiTheme="minorEastAsia" w:eastAsiaTheme="minorEastAsia"/>
          <w:spacing w:val="6"/>
        </w:rPr>
        <w:t>1.4.</w:t>
      </w:r>
      <w:r>
        <w:rPr>
          <w:rFonts w:hint="eastAsia" w:cs="Times New Roman" w:asciiTheme="minorEastAsia" w:hAnsiTheme="minorEastAsia" w:eastAsiaTheme="minorEastAsia"/>
          <w:spacing w:val="6"/>
        </w:rPr>
        <w:t xml:space="preserve">4  </w:t>
      </w:r>
      <w:r>
        <w:rPr>
          <w:rFonts w:cs="Times New Roman" w:asciiTheme="minorEastAsia" w:hAnsiTheme="minorEastAsia" w:eastAsiaTheme="minorEastAsia"/>
          <w:spacing w:val="6"/>
        </w:rPr>
        <w:t xml:space="preserve"> </w:t>
      </w:r>
      <w:r>
        <w:rPr>
          <w:rFonts w:asciiTheme="minorEastAsia" w:hAnsiTheme="minorEastAsia" w:eastAsiaTheme="minorEastAsia"/>
        </w:rPr>
        <w:t xml:space="preserve">投标人须知前附表规定接受联合体投标的，除应符合本章第1.4.1项、第1.4.2项和投标人须知前附表的要求外，还应遵守以下规定： </w:t>
      </w:r>
    </w:p>
    <w:p>
      <w:pPr>
        <w:adjustRightInd/>
        <w:snapToGrid/>
        <w:spacing w:line="440" w:lineRule="exact"/>
        <w:ind w:firstLine="420" w:firstLineChars="200"/>
        <w:rPr>
          <w:rFonts w:cs="宋体" w:asciiTheme="minorEastAsia" w:hAnsiTheme="minorEastAsia" w:eastAsiaTheme="minorEastAsia"/>
          <w:spacing w:val="10"/>
        </w:rPr>
      </w:pPr>
      <w:r>
        <w:rPr>
          <w:rFonts w:asciiTheme="minorEastAsia" w:hAnsiTheme="minorEastAsia" w:eastAsiaTheme="minorEastAsia"/>
        </w:rPr>
        <w:t>（</w:t>
      </w:r>
      <w:r>
        <w:rPr>
          <w:rFonts w:cs="宋体" w:asciiTheme="minorEastAsia" w:hAnsiTheme="minorEastAsia" w:eastAsiaTheme="minorEastAsia"/>
          <w:spacing w:val="10"/>
        </w:rPr>
        <w:t>1）联合体各方应按招标文件提供的格式签订联合体协议书，明确联合体牵头人和各方权利义务；</w:t>
      </w:r>
    </w:p>
    <w:p>
      <w:pPr>
        <w:adjustRightInd/>
        <w:snapToGrid/>
        <w:spacing w:line="440" w:lineRule="exact"/>
        <w:ind w:firstLine="460" w:firstLineChars="200"/>
        <w:rPr>
          <w:rFonts w:cs="宋体" w:asciiTheme="minorEastAsia" w:hAnsiTheme="minorEastAsia" w:eastAsiaTheme="minorEastAsia"/>
          <w:spacing w:val="10"/>
        </w:rPr>
      </w:pPr>
      <w:r>
        <w:rPr>
          <w:rFonts w:cs="宋体" w:asciiTheme="minorEastAsia" w:hAnsiTheme="minorEastAsia" w:eastAsiaTheme="minorEastAsia"/>
          <w:spacing w:val="10"/>
        </w:rPr>
        <w:t xml:space="preserve">（2）由同一专业的单位组成的联合体，按照资质等级较低的单位确定资质等级； </w:t>
      </w:r>
    </w:p>
    <w:p>
      <w:pPr>
        <w:adjustRightInd/>
        <w:snapToGrid/>
        <w:spacing w:line="440" w:lineRule="exact"/>
        <w:ind w:firstLine="460" w:firstLineChars="200"/>
        <w:rPr>
          <w:rFonts w:cs="宋体" w:asciiTheme="minorEastAsia" w:hAnsiTheme="minorEastAsia" w:eastAsiaTheme="minorEastAsia"/>
          <w:spacing w:val="10"/>
        </w:rPr>
      </w:pPr>
      <w:r>
        <w:rPr>
          <w:rFonts w:cs="宋体" w:asciiTheme="minorEastAsia" w:hAnsiTheme="minorEastAsia" w:eastAsiaTheme="minorEastAsia"/>
          <w:spacing w:val="10"/>
        </w:rPr>
        <w:t>（3）联合体各方不得再以自己名义单独或参加其他联合体在同一标段中投标。</w:t>
      </w:r>
    </w:p>
    <w:p>
      <w:pPr>
        <w:adjustRightInd/>
        <w:snapToGrid/>
        <w:spacing w:line="440" w:lineRule="exact"/>
        <w:ind w:firstLine="460" w:firstLineChars="200"/>
        <w:rPr>
          <w:rFonts w:cs="宋体" w:asciiTheme="minorEastAsia" w:hAnsiTheme="minorEastAsia" w:eastAsiaTheme="minorEastAsia"/>
          <w:spacing w:val="10"/>
        </w:rPr>
      </w:pPr>
      <w:r>
        <w:rPr>
          <w:rFonts w:cs="宋体" w:asciiTheme="minorEastAsia" w:hAnsiTheme="minorEastAsia" w:eastAsiaTheme="minorEastAsia"/>
          <w:spacing w:val="10"/>
        </w:rPr>
        <w:t>（4）招标文件如有同意联合体参加投标的，应在招标文件中写清由联合体的牵头人提交投标文件及缴纳投标保证金。</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5"/>
        </w:rPr>
        <w:t>1</w:t>
      </w:r>
      <w:r>
        <w:rPr>
          <w:rFonts w:cs="Times New Roman" w:asciiTheme="minorEastAsia" w:hAnsiTheme="minorEastAsia" w:eastAsiaTheme="minorEastAsia"/>
          <w:spacing w:val="3"/>
        </w:rPr>
        <w:t xml:space="preserve">.5  </w:t>
      </w:r>
      <w:r>
        <w:rPr>
          <w:rFonts w:cs="黑体" w:asciiTheme="minorEastAsia" w:hAnsiTheme="minorEastAsia" w:eastAsiaTheme="minorEastAsia"/>
          <w:spacing w:val="3"/>
        </w:rPr>
        <w:t>费用承担</w:t>
      </w:r>
    </w:p>
    <w:p>
      <w:pPr>
        <w:adjustRightInd/>
        <w:snapToGrid/>
        <w:spacing w:line="440" w:lineRule="exact"/>
        <w:ind w:firstLine="476" w:firstLineChars="200"/>
        <w:rPr>
          <w:rFonts w:cs="宋体" w:asciiTheme="minorEastAsia" w:hAnsiTheme="minorEastAsia" w:eastAsiaTheme="minorEastAsia"/>
        </w:rPr>
      </w:pPr>
      <w:r>
        <w:rPr>
          <w:rFonts w:cs="宋体" w:asciiTheme="minorEastAsia" w:hAnsiTheme="minorEastAsia" w:eastAsiaTheme="minorEastAsia"/>
          <w:spacing w:val="14"/>
          <w:position w:val="14"/>
        </w:rPr>
        <w:t>投</w:t>
      </w:r>
      <w:r>
        <w:rPr>
          <w:rFonts w:cs="宋体" w:asciiTheme="minorEastAsia" w:hAnsiTheme="minorEastAsia" w:eastAsiaTheme="minorEastAsia"/>
          <w:spacing w:val="12"/>
          <w:position w:val="14"/>
        </w:rPr>
        <w:t>标</w:t>
      </w:r>
      <w:r>
        <w:rPr>
          <w:rFonts w:cs="宋体" w:asciiTheme="minorEastAsia" w:hAnsiTheme="minorEastAsia" w:eastAsiaTheme="minorEastAsia"/>
          <w:spacing w:val="7"/>
          <w:position w:val="14"/>
        </w:rPr>
        <w:t>人准备和参加投标活动发生的费用自理。投标人网上免费下载招标文件，不收取任</w:t>
      </w:r>
    </w:p>
    <w:p>
      <w:pPr>
        <w:adjustRightInd/>
        <w:snapToGrid/>
        <w:spacing w:line="440" w:lineRule="exact"/>
        <w:ind w:firstLine="444" w:firstLineChars="200"/>
        <w:rPr>
          <w:rFonts w:cs="宋体" w:asciiTheme="minorEastAsia" w:hAnsiTheme="minorEastAsia" w:eastAsiaTheme="minorEastAsia"/>
        </w:rPr>
      </w:pPr>
      <w:r>
        <w:rPr>
          <w:rFonts w:cs="宋体" w:asciiTheme="minorEastAsia" w:hAnsiTheme="minorEastAsia" w:eastAsiaTheme="minorEastAsia"/>
          <w:spacing w:val="6"/>
        </w:rPr>
        <w:t>何</w:t>
      </w:r>
      <w:r>
        <w:rPr>
          <w:rFonts w:cs="宋体" w:asciiTheme="minorEastAsia" w:hAnsiTheme="minorEastAsia" w:eastAsiaTheme="minorEastAsia"/>
          <w:spacing w:val="5"/>
        </w:rPr>
        <w:t>工本费。</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2"/>
        </w:rPr>
        <w:t>1.</w:t>
      </w:r>
      <w:r>
        <w:rPr>
          <w:rFonts w:cs="Times New Roman" w:asciiTheme="minorEastAsia" w:hAnsiTheme="minorEastAsia" w:eastAsiaTheme="minorEastAsia"/>
          <w:spacing w:val="1"/>
        </w:rPr>
        <w:t xml:space="preserve">6  </w:t>
      </w:r>
      <w:r>
        <w:rPr>
          <w:rFonts w:cs="黑体" w:asciiTheme="minorEastAsia" w:hAnsiTheme="minorEastAsia" w:eastAsiaTheme="minorEastAsia"/>
          <w:spacing w:val="1"/>
        </w:rPr>
        <w:t>保密</w:t>
      </w:r>
    </w:p>
    <w:p>
      <w:pPr>
        <w:adjustRightInd/>
        <w:snapToGrid/>
        <w:spacing w:line="440" w:lineRule="exact"/>
        <w:ind w:firstLine="476" w:firstLineChars="200"/>
        <w:rPr>
          <w:rFonts w:cs="宋体" w:asciiTheme="minorEastAsia" w:hAnsiTheme="minorEastAsia" w:eastAsiaTheme="minorEastAsia"/>
        </w:rPr>
      </w:pPr>
      <w:r>
        <w:rPr>
          <w:rFonts w:cs="宋体" w:asciiTheme="minorEastAsia" w:hAnsiTheme="minorEastAsia" w:eastAsiaTheme="minorEastAsia"/>
          <w:spacing w:val="14"/>
          <w:position w:val="14"/>
        </w:rPr>
        <w:t>参与</w:t>
      </w:r>
      <w:r>
        <w:rPr>
          <w:rFonts w:cs="宋体" w:asciiTheme="minorEastAsia" w:hAnsiTheme="minorEastAsia" w:eastAsiaTheme="minorEastAsia"/>
          <w:spacing w:val="8"/>
          <w:position w:val="14"/>
        </w:rPr>
        <w:t>招</w:t>
      </w:r>
      <w:r>
        <w:rPr>
          <w:rFonts w:cs="宋体" w:asciiTheme="minorEastAsia" w:hAnsiTheme="minorEastAsia" w:eastAsiaTheme="minorEastAsia"/>
          <w:spacing w:val="7"/>
          <w:position w:val="14"/>
        </w:rPr>
        <w:t>标投标活动的各方应对招标文件和投标文件中的商业和技术等秘密保密，违者应</w:t>
      </w:r>
    </w:p>
    <w:p>
      <w:pPr>
        <w:adjustRightInd/>
        <w:snapToGrid/>
        <w:spacing w:line="440" w:lineRule="exact"/>
        <w:ind w:firstLine="484" w:firstLineChars="200"/>
        <w:rPr>
          <w:rFonts w:cs="宋体" w:asciiTheme="minorEastAsia" w:hAnsiTheme="minorEastAsia" w:eastAsiaTheme="minorEastAsia"/>
        </w:rPr>
      </w:pPr>
      <w:r>
        <w:rPr>
          <w:rFonts w:cs="宋体" w:asciiTheme="minorEastAsia" w:hAnsiTheme="minorEastAsia" w:eastAsiaTheme="minorEastAsia"/>
          <w:spacing w:val="16"/>
        </w:rPr>
        <w:t>对</w:t>
      </w:r>
      <w:r>
        <w:rPr>
          <w:rFonts w:cs="宋体" w:asciiTheme="minorEastAsia" w:hAnsiTheme="minorEastAsia" w:eastAsiaTheme="minorEastAsia"/>
          <w:spacing w:val="10"/>
        </w:rPr>
        <w:t>由</w:t>
      </w:r>
      <w:r>
        <w:rPr>
          <w:rFonts w:cs="宋体" w:asciiTheme="minorEastAsia" w:hAnsiTheme="minorEastAsia" w:eastAsiaTheme="minorEastAsia"/>
          <w:spacing w:val="8"/>
        </w:rPr>
        <w:t>此造成的后果承担法律责任。</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5"/>
        </w:rPr>
        <w:t>1</w:t>
      </w:r>
      <w:r>
        <w:rPr>
          <w:rFonts w:cs="Times New Roman" w:asciiTheme="minorEastAsia" w:hAnsiTheme="minorEastAsia" w:eastAsiaTheme="minorEastAsia"/>
          <w:spacing w:val="3"/>
        </w:rPr>
        <w:t xml:space="preserve">.7  </w:t>
      </w:r>
      <w:r>
        <w:rPr>
          <w:rFonts w:cs="黑体" w:asciiTheme="minorEastAsia" w:hAnsiTheme="minorEastAsia" w:eastAsiaTheme="minorEastAsia"/>
          <w:spacing w:val="3"/>
        </w:rPr>
        <w:t>语言文字</w:t>
      </w:r>
    </w:p>
    <w:p>
      <w:pPr>
        <w:adjustRightInd/>
        <w:snapToGrid/>
        <w:spacing w:line="440" w:lineRule="exact"/>
        <w:ind w:firstLine="484" w:firstLineChars="200"/>
        <w:rPr>
          <w:rFonts w:cs="宋体" w:asciiTheme="minorEastAsia" w:hAnsiTheme="minorEastAsia" w:eastAsiaTheme="minorEastAsia"/>
        </w:rPr>
      </w:pPr>
      <w:r>
        <w:rPr>
          <w:rFonts w:cs="宋体" w:asciiTheme="minorEastAsia" w:hAnsiTheme="minorEastAsia" w:eastAsiaTheme="minorEastAsia"/>
          <w:spacing w:val="16"/>
        </w:rPr>
        <w:t>除专</w:t>
      </w:r>
      <w:r>
        <w:rPr>
          <w:rFonts w:cs="宋体" w:asciiTheme="minorEastAsia" w:hAnsiTheme="minorEastAsia" w:eastAsiaTheme="minorEastAsia"/>
          <w:spacing w:val="11"/>
        </w:rPr>
        <w:t>用</w:t>
      </w:r>
      <w:r>
        <w:rPr>
          <w:rFonts w:cs="宋体" w:asciiTheme="minorEastAsia" w:hAnsiTheme="minorEastAsia" w:eastAsiaTheme="minorEastAsia"/>
          <w:spacing w:val="8"/>
        </w:rPr>
        <w:t>术语外，与招标投标有关的语言均使用中文。必要时专用术语应附有中文注释。</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5"/>
        </w:rPr>
        <w:t>1</w:t>
      </w:r>
      <w:r>
        <w:rPr>
          <w:rFonts w:cs="Times New Roman" w:asciiTheme="minorEastAsia" w:hAnsiTheme="minorEastAsia" w:eastAsiaTheme="minorEastAsia"/>
          <w:spacing w:val="3"/>
        </w:rPr>
        <w:t xml:space="preserve">.8  </w:t>
      </w:r>
      <w:r>
        <w:rPr>
          <w:rFonts w:cs="黑体" w:asciiTheme="minorEastAsia" w:hAnsiTheme="minorEastAsia" w:eastAsiaTheme="minorEastAsia"/>
          <w:spacing w:val="3"/>
        </w:rPr>
        <w:t>计量单位</w:t>
      </w:r>
    </w:p>
    <w:p>
      <w:pPr>
        <w:adjustRightInd/>
        <w:snapToGrid/>
        <w:spacing w:line="440" w:lineRule="exact"/>
        <w:ind w:firstLine="456" w:firstLineChars="200"/>
        <w:rPr>
          <w:rFonts w:cs="宋体" w:asciiTheme="minorEastAsia" w:hAnsiTheme="minorEastAsia" w:eastAsiaTheme="minorEastAsia"/>
          <w:spacing w:val="9"/>
        </w:rPr>
      </w:pPr>
      <w:r>
        <w:rPr>
          <w:rFonts w:cs="宋体" w:asciiTheme="minorEastAsia" w:hAnsiTheme="minorEastAsia" w:eastAsiaTheme="minorEastAsia"/>
          <w:spacing w:val="9"/>
        </w:rPr>
        <w:t>所有计量均采用中华人民共和国法定计量单位。</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5"/>
        </w:rPr>
        <w:t>1</w:t>
      </w:r>
      <w:r>
        <w:rPr>
          <w:rFonts w:cs="Times New Roman" w:asciiTheme="minorEastAsia" w:hAnsiTheme="minorEastAsia" w:eastAsiaTheme="minorEastAsia"/>
          <w:spacing w:val="3"/>
        </w:rPr>
        <w:t xml:space="preserve">.9  </w:t>
      </w:r>
      <w:r>
        <w:rPr>
          <w:rFonts w:cs="黑体" w:asciiTheme="minorEastAsia" w:hAnsiTheme="minorEastAsia" w:eastAsiaTheme="minorEastAsia"/>
          <w:spacing w:val="3"/>
        </w:rPr>
        <w:t>踏勘现场</w:t>
      </w:r>
    </w:p>
    <w:p>
      <w:pPr>
        <w:adjustRightInd/>
        <w:snapToGrid/>
        <w:spacing w:line="440" w:lineRule="exact"/>
        <w:ind w:firstLine="452" w:firstLineChars="200"/>
        <w:rPr>
          <w:rFonts w:cs="宋体" w:asciiTheme="minorEastAsia" w:hAnsiTheme="minorEastAsia" w:eastAsiaTheme="minorEastAsia"/>
        </w:rPr>
      </w:pPr>
      <w:r>
        <w:rPr>
          <w:rFonts w:cs="Times New Roman" w:asciiTheme="minorEastAsia" w:hAnsiTheme="minorEastAsia" w:eastAsiaTheme="minorEastAsia"/>
          <w:spacing w:val="8"/>
        </w:rPr>
        <w:t>1.</w:t>
      </w:r>
      <w:r>
        <w:rPr>
          <w:rFonts w:cs="Times New Roman" w:asciiTheme="minorEastAsia" w:hAnsiTheme="minorEastAsia" w:eastAsiaTheme="minorEastAsia"/>
          <w:spacing w:val="5"/>
        </w:rPr>
        <w:t>9</w:t>
      </w:r>
      <w:r>
        <w:rPr>
          <w:rFonts w:cs="Times New Roman" w:asciiTheme="minorEastAsia" w:hAnsiTheme="minorEastAsia" w:eastAsiaTheme="minorEastAsia"/>
          <w:spacing w:val="4"/>
        </w:rPr>
        <w:t xml:space="preserve">. 1  </w:t>
      </w:r>
      <w:r>
        <w:rPr>
          <w:rFonts w:cs="宋体" w:asciiTheme="minorEastAsia" w:hAnsiTheme="minorEastAsia" w:eastAsiaTheme="minorEastAsia"/>
          <w:spacing w:val="4"/>
        </w:rPr>
        <w:t>投标人须知前附表规定组织踏勘现场的，招标人按投标人须知前附表规定的时间、</w:t>
      </w:r>
      <w:r>
        <w:rPr>
          <w:rFonts w:cs="宋体" w:asciiTheme="minorEastAsia" w:hAnsiTheme="minorEastAsia" w:eastAsiaTheme="minorEastAsia"/>
          <w:spacing w:val="16"/>
        </w:rPr>
        <w:t>地</w:t>
      </w:r>
      <w:r>
        <w:rPr>
          <w:rFonts w:cs="宋体" w:asciiTheme="minorEastAsia" w:hAnsiTheme="minorEastAsia" w:eastAsiaTheme="minorEastAsia"/>
          <w:spacing w:val="8"/>
        </w:rPr>
        <w:t>点组织投标人踏勘工程现场。</w:t>
      </w:r>
    </w:p>
    <w:p>
      <w:pPr>
        <w:adjustRightInd/>
        <w:snapToGrid/>
        <w:spacing w:line="440" w:lineRule="exact"/>
        <w:ind w:firstLine="460" w:firstLineChars="200"/>
        <w:rPr>
          <w:rFonts w:cs="宋体" w:asciiTheme="minorEastAsia" w:hAnsiTheme="minorEastAsia" w:eastAsiaTheme="minorEastAsia"/>
        </w:rPr>
      </w:pPr>
      <w:r>
        <w:rPr>
          <w:rFonts w:cs="Times New Roman" w:asciiTheme="minorEastAsia" w:hAnsiTheme="minorEastAsia" w:eastAsiaTheme="minorEastAsia"/>
          <w:spacing w:val="10"/>
        </w:rPr>
        <w:t>1</w:t>
      </w:r>
      <w:r>
        <w:rPr>
          <w:rFonts w:cs="Times New Roman" w:asciiTheme="minorEastAsia" w:hAnsiTheme="minorEastAsia" w:eastAsiaTheme="minorEastAsia"/>
          <w:spacing w:val="6"/>
        </w:rPr>
        <w:t xml:space="preserve">.9.2  </w:t>
      </w:r>
      <w:r>
        <w:rPr>
          <w:rFonts w:cs="宋体" w:asciiTheme="minorEastAsia" w:hAnsiTheme="minorEastAsia" w:eastAsiaTheme="minorEastAsia"/>
          <w:spacing w:val="6"/>
        </w:rPr>
        <w:t>投标人踏勘现场发生的费用自理。</w:t>
      </w:r>
    </w:p>
    <w:p>
      <w:pPr>
        <w:adjustRightInd/>
        <w:snapToGrid/>
        <w:spacing w:line="440" w:lineRule="exact"/>
        <w:ind w:firstLine="460" w:firstLineChars="200"/>
        <w:rPr>
          <w:rFonts w:cs="宋体" w:asciiTheme="minorEastAsia" w:hAnsiTheme="minorEastAsia" w:eastAsiaTheme="minorEastAsia"/>
        </w:rPr>
      </w:pPr>
      <w:r>
        <w:rPr>
          <w:rFonts w:cs="Times New Roman" w:asciiTheme="minorEastAsia" w:hAnsiTheme="minorEastAsia" w:eastAsiaTheme="minorEastAsia"/>
          <w:spacing w:val="10"/>
        </w:rPr>
        <w:t>1.9.</w:t>
      </w:r>
      <w:r>
        <w:rPr>
          <w:rFonts w:cs="Times New Roman" w:asciiTheme="minorEastAsia" w:hAnsiTheme="minorEastAsia" w:eastAsiaTheme="minorEastAsia"/>
          <w:spacing w:val="6"/>
        </w:rPr>
        <w:t>3</w:t>
      </w:r>
      <w:r>
        <w:rPr>
          <w:rFonts w:hint="eastAsia" w:cs="Times New Roman" w:asciiTheme="minorEastAsia" w:hAnsiTheme="minorEastAsia" w:eastAsiaTheme="minorEastAsia"/>
          <w:spacing w:val="6"/>
        </w:rPr>
        <w:t xml:space="preserve">  </w:t>
      </w:r>
      <w:r>
        <w:rPr>
          <w:rFonts w:cs="宋体" w:asciiTheme="minorEastAsia" w:hAnsiTheme="minorEastAsia" w:eastAsiaTheme="minorEastAsia"/>
          <w:spacing w:val="5"/>
        </w:rPr>
        <w:t>除招标人的原因外，投标人自行负责在踏勘现场中所发生的人员伤亡和财产损失。</w:t>
      </w:r>
    </w:p>
    <w:p>
      <w:pPr>
        <w:adjustRightInd/>
        <w:snapToGrid/>
        <w:spacing w:line="440" w:lineRule="exact"/>
        <w:ind w:firstLine="484" w:firstLineChars="200"/>
        <w:rPr>
          <w:rFonts w:cs="宋体" w:asciiTheme="minorEastAsia" w:hAnsiTheme="minorEastAsia" w:eastAsiaTheme="minorEastAsia"/>
        </w:rPr>
      </w:pPr>
      <w:r>
        <w:rPr>
          <w:rFonts w:cs="Times New Roman" w:asciiTheme="minorEastAsia" w:hAnsiTheme="minorEastAsia" w:eastAsiaTheme="minorEastAsia"/>
          <w:spacing w:val="16"/>
          <w:position w:val="14"/>
        </w:rPr>
        <w:t>1.9</w:t>
      </w:r>
      <w:r>
        <w:rPr>
          <w:rFonts w:cs="Times New Roman" w:asciiTheme="minorEastAsia" w:hAnsiTheme="minorEastAsia" w:eastAsiaTheme="minorEastAsia"/>
          <w:spacing w:val="12"/>
          <w:position w:val="14"/>
        </w:rPr>
        <w:t>.</w:t>
      </w:r>
      <w:r>
        <w:rPr>
          <w:rFonts w:cs="Times New Roman" w:asciiTheme="minorEastAsia" w:hAnsiTheme="minorEastAsia" w:eastAsiaTheme="minorEastAsia"/>
          <w:spacing w:val="8"/>
          <w:position w:val="14"/>
        </w:rPr>
        <w:t xml:space="preserve">4  </w:t>
      </w:r>
      <w:r>
        <w:rPr>
          <w:rFonts w:cs="宋体" w:asciiTheme="minorEastAsia" w:hAnsiTheme="minorEastAsia" w:eastAsiaTheme="minorEastAsia"/>
          <w:spacing w:val="8"/>
          <w:position w:val="14"/>
        </w:rPr>
        <w:t>招标人在踏勘现场中介绍的工程场地和相关的周边环境情况，供投标人在编制投</w:t>
      </w:r>
    </w:p>
    <w:p>
      <w:pPr>
        <w:adjustRightInd/>
        <w:snapToGrid/>
        <w:spacing w:line="440" w:lineRule="exact"/>
        <w:ind w:firstLine="484" w:firstLineChars="200"/>
        <w:rPr>
          <w:rFonts w:cs="宋体" w:asciiTheme="minorEastAsia" w:hAnsiTheme="minorEastAsia" w:eastAsiaTheme="minorEastAsia"/>
        </w:rPr>
      </w:pPr>
      <w:r>
        <w:rPr>
          <w:rFonts w:cs="宋体" w:asciiTheme="minorEastAsia" w:hAnsiTheme="minorEastAsia" w:eastAsiaTheme="minorEastAsia"/>
          <w:spacing w:val="16"/>
        </w:rPr>
        <w:t>标</w:t>
      </w:r>
      <w:r>
        <w:rPr>
          <w:rFonts w:cs="宋体" w:asciiTheme="minorEastAsia" w:hAnsiTheme="minorEastAsia" w:eastAsiaTheme="minorEastAsia"/>
          <w:spacing w:val="9"/>
        </w:rPr>
        <w:t>文件时参考，招标人不对投标人据此作出的判断和决策负责。</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2"/>
        </w:rPr>
        <w:t>1.</w:t>
      </w:r>
      <w:r>
        <w:rPr>
          <w:rFonts w:cs="Times New Roman" w:asciiTheme="minorEastAsia" w:hAnsiTheme="minorEastAsia" w:eastAsiaTheme="minorEastAsia"/>
          <w:spacing w:val="-1"/>
        </w:rPr>
        <w:t xml:space="preserve"> 10  </w:t>
      </w:r>
      <w:r>
        <w:rPr>
          <w:rFonts w:cs="黑体" w:asciiTheme="minorEastAsia" w:hAnsiTheme="minorEastAsia" w:eastAsiaTheme="minorEastAsia"/>
          <w:spacing w:val="-1"/>
        </w:rPr>
        <w:t>投标预备会</w:t>
      </w:r>
    </w:p>
    <w:p>
      <w:pPr>
        <w:adjustRightInd/>
        <w:snapToGrid/>
        <w:spacing w:line="440" w:lineRule="exact"/>
        <w:ind w:firstLine="476" w:firstLineChars="200"/>
        <w:rPr>
          <w:rFonts w:cs="宋体" w:asciiTheme="minorEastAsia" w:hAnsiTheme="minorEastAsia" w:eastAsiaTheme="minorEastAsia"/>
        </w:rPr>
      </w:pPr>
      <w:r>
        <w:rPr>
          <w:rFonts w:cs="宋体" w:asciiTheme="minorEastAsia" w:hAnsiTheme="minorEastAsia" w:eastAsiaTheme="minorEastAsia"/>
          <w:spacing w:val="14"/>
          <w:position w:val="15"/>
        </w:rPr>
        <w:t>投标</w:t>
      </w:r>
      <w:r>
        <w:rPr>
          <w:rFonts w:cs="宋体" w:asciiTheme="minorEastAsia" w:hAnsiTheme="minorEastAsia" w:eastAsiaTheme="minorEastAsia"/>
          <w:spacing w:val="7"/>
          <w:position w:val="15"/>
        </w:rPr>
        <w:t>人须知前附表规定召开投标预备会的，招标人按投标人须知前附表规定的时间和地</w:t>
      </w:r>
    </w:p>
    <w:p>
      <w:pPr>
        <w:adjustRightInd/>
        <w:snapToGrid/>
        <w:spacing w:line="440" w:lineRule="exact"/>
        <w:ind w:firstLine="484" w:firstLineChars="200"/>
        <w:rPr>
          <w:rFonts w:cs="宋体" w:asciiTheme="minorEastAsia" w:hAnsiTheme="minorEastAsia" w:eastAsiaTheme="minorEastAsia"/>
        </w:rPr>
      </w:pPr>
      <w:r>
        <w:rPr>
          <w:rFonts w:cs="宋体" w:asciiTheme="minorEastAsia" w:hAnsiTheme="minorEastAsia" w:eastAsiaTheme="minorEastAsia"/>
          <w:spacing w:val="16"/>
        </w:rPr>
        <w:t>点</w:t>
      </w:r>
      <w:r>
        <w:rPr>
          <w:rFonts w:cs="宋体" w:asciiTheme="minorEastAsia" w:hAnsiTheme="minorEastAsia" w:eastAsiaTheme="minorEastAsia"/>
          <w:spacing w:val="13"/>
        </w:rPr>
        <w:t>召</w:t>
      </w:r>
      <w:r>
        <w:rPr>
          <w:rFonts w:cs="宋体" w:asciiTheme="minorEastAsia" w:hAnsiTheme="minorEastAsia" w:eastAsiaTheme="minorEastAsia"/>
          <w:spacing w:val="8"/>
        </w:rPr>
        <w:t>开投标预备会，澄清投标人提出的问题。</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6"/>
        </w:rPr>
        <w:t xml:space="preserve">1. 11  </w:t>
      </w:r>
      <w:r>
        <w:rPr>
          <w:rFonts w:cs="黑体" w:asciiTheme="minorEastAsia" w:hAnsiTheme="minorEastAsia" w:eastAsiaTheme="minorEastAsia"/>
          <w:spacing w:val="-6"/>
        </w:rPr>
        <w:t>分</w:t>
      </w:r>
      <w:r>
        <w:rPr>
          <w:rFonts w:cs="黑体" w:asciiTheme="minorEastAsia" w:hAnsiTheme="minorEastAsia" w:eastAsiaTheme="minorEastAsia"/>
          <w:spacing w:val="-5"/>
        </w:rPr>
        <w:t>包</w:t>
      </w:r>
    </w:p>
    <w:p>
      <w:pPr>
        <w:adjustRightInd/>
        <w:snapToGrid/>
        <w:spacing w:line="440" w:lineRule="exact"/>
        <w:ind w:firstLine="460" w:firstLineChars="200"/>
        <w:rPr>
          <w:rFonts w:cs="宋体" w:asciiTheme="minorEastAsia" w:hAnsiTheme="minorEastAsia" w:eastAsiaTheme="minorEastAsia"/>
        </w:rPr>
      </w:pPr>
      <w:r>
        <w:rPr>
          <w:rFonts w:cs="宋体" w:asciiTheme="minorEastAsia" w:hAnsiTheme="minorEastAsia" w:eastAsiaTheme="minorEastAsia"/>
          <w:spacing w:val="10"/>
          <w:position w:val="14"/>
        </w:rPr>
        <w:t>投</w:t>
      </w:r>
      <w:r>
        <w:rPr>
          <w:rFonts w:cs="宋体" w:asciiTheme="minorEastAsia" w:hAnsiTheme="minorEastAsia" w:eastAsiaTheme="minorEastAsia"/>
          <w:spacing w:val="9"/>
          <w:position w:val="14"/>
        </w:rPr>
        <w:t>标人拟在中标后将中标工程的部分非主体、非关键性工作进行分包的，应符合投标</w:t>
      </w:r>
    </w:p>
    <w:p>
      <w:pPr>
        <w:adjustRightInd/>
        <w:snapToGrid/>
        <w:spacing w:line="440" w:lineRule="exact"/>
        <w:ind w:firstLine="492" w:firstLineChars="200"/>
        <w:rPr>
          <w:rFonts w:cs="宋体" w:asciiTheme="minorEastAsia" w:hAnsiTheme="minorEastAsia" w:eastAsiaTheme="minorEastAsia"/>
        </w:rPr>
      </w:pPr>
      <w:r>
        <w:rPr>
          <w:rFonts w:cs="宋体" w:asciiTheme="minorEastAsia" w:hAnsiTheme="minorEastAsia" w:eastAsiaTheme="minorEastAsia"/>
          <w:spacing w:val="18"/>
        </w:rPr>
        <w:t>人</w:t>
      </w:r>
      <w:r>
        <w:rPr>
          <w:rFonts w:cs="宋体" w:asciiTheme="minorEastAsia" w:hAnsiTheme="minorEastAsia" w:eastAsiaTheme="minorEastAsia"/>
          <w:spacing w:val="16"/>
        </w:rPr>
        <w:t>须</w:t>
      </w:r>
      <w:r>
        <w:rPr>
          <w:rFonts w:cs="宋体" w:asciiTheme="minorEastAsia" w:hAnsiTheme="minorEastAsia" w:eastAsiaTheme="minorEastAsia"/>
          <w:spacing w:val="9"/>
        </w:rPr>
        <w:t>知前附表规定的分包内容、分包金额和接受分包的第三人资质要求等限制性条件。</w:t>
      </w:r>
    </w:p>
    <w:p>
      <w:pPr>
        <w:adjustRightInd/>
        <w:snapToGrid/>
        <w:spacing w:line="440" w:lineRule="exact"/>
        <w:rPr>
          <w:rFonts w:cs="黑体" w:asciiTheme="minorEastAsia" w:hAnsiTheme="minorEastAsia" w:eastAsiaTheme="minorEastAsia"/>
        </w:rPr>
      </w:pPr>
      <w:r>
        <w:rPr>
          <w:rFonts w:cs="Times New Roman" w:asciiTheme="minorEastAsia" w:hAnsiTheme="minorEastAsia" w:eastAsiaTheme="minorEastAsia"/>
          <w:spacing w:val="-8"/>
        </w:rPr>
        <w:t>1.</w:t>
      </w:r>
      <w:r>
        <w:rPr>
          <w:rFonts w:cs="Times New Roman" w:asciiTheme="minorEastAsia" w:hAnsiTheme="minorEastAsia" w:eastAsiaTheme="minorEastAsia"/>
          <w:spacing w:val="-4"/>
        </w:rPr>
        <w:t xml:space="preserve"> 12  </w:t>
      </w:r>
      <w:r>
        <w:rPr>
          <w:rFonts w:cs="黑体" w:asciiTheme="minorEastAsia" w:hAnsiTheme="minorEastAsia" w:eastAsiaTheme="minorEastAsia"/>
          <w:spacing w:val="-4"/>
        </w:rPr>
        <w:t>偏离</w:t>
      </w:r>
    </w:p>
    <w:p>
      <w:pPr>
        <w:adjustRightInd/>
        <w:snapToGrid/>
        <w:spacing w:line="440" w:lineRule="exact"/>
        <w:ind w:firstLine="456" w:firstLineChars="200"/>
        <w:rPr>
          <w:rFonts w:cs="宋体" w:asciiTheme="minorEastAsia" w:hAnsiTheme="minorEastAsia" w:eastAsiaTheme="minorEastAsia"/>
        </w:rPr>
      </w:pPr>
      <w:r>
        <w:rPr>
          <w:rFonts w:cs="宋体" w:asciiTheme="minorEastAsia" w:hAnsiTheme="minorEastAsia" w:eastAsiaTheme="minorEastAsia"/>
          <w:spacing w:val="9"/>
        </w:rPr>
        <w:t>投标人须知前附表允许投标文件偏离招标文件某些要求的，偏离应当符合招标文件规</w:t>
      </w:r>
      <w:r>
        <w:rPr>
          <w:rFonts w:cs="宋体" w:asciiTheme="minorEastAsia" w:hAnsiTheme="minorEastAsia" w:eastAsiaTheme="minorEastAsia"/>
          <w:spacing w:val="7"/>
        </w:rPr>
        <w:t>定</w:t>
      </w:r>
      <w:r>
        <w:rPr>
          <w:rFonts w:cs="宋体" w:asciiTheme="minorEastAsia" w:hAnsiTheme="minorEastAsia" w:eastAsiaTheme="minorEastAsia"/>
          <w:spacing w:val="6"/>
        </w:rPr>
        <w:t>的偏离范围和幅度</w:t>
      </w:r>
      <w:r>
        <w:rPr>
          <w:rFonts w:cs="宋体" w:asciiTheme="minorEastAsia" w:hAnsiTheme="minorEastAsia" w:eastAsiaTheme="minorEastAsia"/>
          <w:spacing w:val="4"/>
        </w:rPr>
        <w:t>。</w:t>
      </w:r>
    </w:p>
    <w:p>
      <w:pPr>
        <w:pStyle w:val="6"/>
        <w:spacing w:line="440" w:lineRule="exact"/>
        <w:jc w:val="center"/>
        <w:rPr>
          <w:rFonts w:cs="黑体" w:asciiTheme="minorEastAsia" w:hAnsiTheme="minorEastAsia" w:eastAsiaTheme="minorEastAsia"/>
          <w:sz w:val="28"/>
          <w:szCs w:val="28"/>
        </w:rPr>
      </w:pPr>
      <w:bookmarkStart w:id="43" w:name="_Toc109826646"/>
      <w:r>
        <w:rPr>
          <w:rFonts w:cs="Times New Roman" w:asciiTheme="minorEastAsia" w:hAnsiTheme="minorEastAsia" w:eastAsiaTheme="minorEastAsia"/>
          <w:spacing w:val="-1"/>
          <w:sz w:val="28"/>
          <w:szCs w:val="28"/>
        </w:rPr>
        <w:t xml:space="preserve">2.  </w:t>
      </w:r>
      <w:r>
        <w:rPr>
          <w:rFonts w:cs="黑体" w:asciiTheme="minorEastAsia" w:hAnsiTheme="minorEastAsia" w:eastAsiaTheme="minorEastAsia"/>
          <w:spacing w:val="-1"/>
          <w:sz w:val="28"/>
          <w:szCs w:val="28"/>
        </w:rPr>
        <w:t>招</w:t>
      </w:r>
      <w:r>
        <w:rPr>
          <w:rFonts w:cs="黑体" w:asciiTheme="minorEastAsia" w:hAnsiTheme="minorEastAsia" w:eastAsiaTheme="minorEastAsia"/>
          <w:sz w:val="28"/>
          <w:szCs w:val="28"/>
        </w:rPr>
        <w:t>标文件</w:t>
      </w:r>
      <w:bookmarkEnd w:id="43"/>
    </w:p>
    <w:p>
      <w:pPr>
        <w:spacing w:line="440" w:lineRule="exact"/>
        <w:rPr>
          <w:rFonts w:cs="黑体" w:asciiTheme="minorEastAsia" w:hAnsiTheme="minorEastAsia" w:eastAsiaTheme="minorEastAsia"/>
        </w:rPr>
      </w:pPr>
      <w:r>
        <w:rPr>
          <w:rFonts w:cs="Times New Roman" w:asciiTheme="minorEastAsia" w:hAnsiTheme="minorEastAsia" w:eastAsiaTheme="minorEastAsia"/>
          <w:spacing w:val="2"/>
        </w:rPr>
        <w:t xml:space="preserve">2. 1  </w:t>
      </w:r>
      <w:r>
        <w:rPr>
          <w:rFonts w:cs="黑体" w:asciiTheme="minorEastAsia" w:hAnsiTheme="minorEastAsia" w:eastAsiaTheme="minorEastAsia"/>
          <w:spacing w:val="2"/>
        </w:rPr>
        <w:t>招标文件的组</w:t>
      </w:r>
      <w:r>
        <w:rPr>
          <w:rFonts w:cs="黑体" w:asciiTheme="minorEastAsia" w:hAnsiTheme="minorEastAsia" w:eastAsiaTheme="minorEastAsia"/>
        </w:rPr>
        <w:t>成</w:t>
      </w:r>
    </w:p>
    <w:p>
      <w:pPr>
        <w:widowControl w:val="0"/>
        <w:overflowPunct w:val="0"/>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本招标文件包括：</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(1) 招标公告；</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(2) 投标人须知；</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(3) 评标办法；</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 合同条款及格式；</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(5) 工程量清单；</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(6) 图纸；</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(7) 技术标准和要求；</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(8) 投标文件格式；</w:t>
      </w:r>
    </w:p>
    <w:p>
      <w:pPr>
        <w:adjustRightInd/>
        <w:snapToGrid/>
        <w:spacing w:line="440" w:lineRule="exact"/>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(9) 投标人须知前附表规定的其他材料。</w:t>
      </w:r>
    </w:p>
    <w:p>
      <w:pPr>
        <w:spacing w:line="440" w:lineRule="exact"/>
        <w:rPr>
          <w:rFonts w:cs="黑体" w:asciiTheme="minorEastAsia" w:hAnsiTheme="minorEastAsia" w:eastAsiaTheme="minorEastAsia"/>
        </w:rPr>
      </w:pPr>
      <w:r>
        <w:rPr>
          <w:rFonts w:cs="黑体" w:asciiTheme="minorEastAsia" w:hAnsiTheme="minorEastAsia" w:eastAsiaTheme="minorEastAsia"/>
          <w:spacing w:val="21"/>
        </w:rPr>
        <w:t>除</w:t>
      </w:r>
      <w:r>
        <w:rPr>
          <w:rFonts w:cs="黑体" w:asciiTheme="minorEastAsia" w:hAnsiTheme="minorEastAsia" w:eastAsiaTheme="minorEastAsia"/>
          <w:spacing w:val="13"/>
        </w:rPr>
        <w:t>上款内容外，招标人在提交投标文件截止时间前，发布在交易场所(发布招标公告</w:t>
      </w:r>
      <w:r>
        <w:rPr>
          <w:rFonts w:cs="黑体" w:asciiTheme="minorEastAsia" w:hAnsiTheme="minorEastAsia" w:eastAsiaTheme="minorEastAsia"/>
          <w:spacing w:val="15"/>
        </w:rPr>
        <w:t>的</w:t>
      </w:r>
      <w:r>
        <w:rPr>
          <w:rFonts w:cs="黑体" w:asciiTheme="minorEastAsia" w:hAnsiTheme="minorEastAsia" w:eastAsiaTheme="minorEastAsia"/>
          <w:spacing w:val="13"/>
        </w:rPr>
        <w:t>媒体上)对招标文件的澄清或修改内容，均为招标文件的组成部分，对招标人和投标人</w:t>
      </w:r>
    </w:p>
    <w:p>
      <w:pPr>
        <w:spacing w:line="440" w:lineRule="exact"/>
        <w:rPr>
          <w:rFonts w:cs="黑体" w:asciiTheme="minorEastAsia" w:hAnsiTheme="minorEastAsia" w:eastAsiaTheme="minorEastAsia"/>
        </w:rPr>
      </w:pPr>
      <w:r>
        <w:rPr>
          <w:rFonts w:cs="黑体" w:asciiTheme="minorEastAsia" w:hAnsiTheme="minorEastAsia" w:eastAsiaTheme="minorEastAsia"/>
          <w:spacing w:val="10"/>
        </w:rPr>
        <w:t>起约束作用，投标人应经常浏览发布招标公告的媒体。</w:t>
      </w:r>
    </w:p>
    <w:p>
      <w:pPr>
        <w:spacing w:line="440" w:lineRule="exact"/>
        <w:rPr>
          <w:rFonts w:cs="黑体" w:asciiTheme="minorEastAsia" w:hAnsiTheme="minorEastAsia" w:eastAsiaTheme="minorEastAsia"/>
        </w:rPr>
      </w:pPr>
      <w:r>
        <w:rPr>
          <w:rFonts w:cs="Times New Roman" w:asciiTheme="minorEastAsia" w:hAnsiTheme="minorEastAsia" w:eastAsiaTheme="minorEastAsia"/>
          <w:spacing w:val="7"/>
        </w:rPr>
        <w:t xml:space="preserve">2.2  </w:t>
      </w:r>
      <w:r>
        <w:rPr>
          <w:rFonts w:cs="黑体" w:asciiTheme="minorEastAsia" w:hAnsiTheme="minorEastAsia" w:eastAsiaTheme="minorEastAsia"/>
          <w:spacing w:val="7"/>
        </w:rPr>
        <w:t>招标文件的澄</w:t>
      </w:r>
      <w:r>
        <w:rPr>
          <w:rFonts w:cs="黑体" w:asciiTheme="minorEastAsia" w:hAnsiTheme="minorEastAsia" w:eastAsiaTheme="minorEastAsia"/>
          <w:spacing w:val="5"/>
        </w:rPr>
        <w:t>清</w:t>
      </w:r>
    </w:p>
    <w:p>
      <w:pPr>
        <w:adjustRightInd/>
        <w:snapToGrid/>
        <w:spacing w:line="440" w:lineRule="exact"/>
        <w:ind w:firstLine="448" w:firstLineChars="200"/>
        <w:rPr>
          <w:rFonts w:cs="宋体" w:asciiTheme="minorEastAsia" w:hAnsiTheme="minorEastAsia" w:eastAsiaTheme="minorEastAsia"/>
          <w:spacing w:val="7"/>
          <w:position w:val="15"/>
        </w:rPr>
      </w:pPr>
      <w:r>
        <w:rPr>
          <w:rFonts w:cs="宋体" w:asciiTheme="minorEastAsia" w:hAnsiTheme="minorEastAsia" w:eastAsiaTheme="minorEastAsia"/>
          <w:spacing w:val="7"/>
          <w:position w:val="15"/>
        </w:rPr>
        <w:t>2.2.1 投标人从交易场所 (发布招标公告的媒体上) 自行下载的方式获取招标文件及相关附件。投标人在获取招标文件后，应仔细检查招标文件的所有内容，如有内容不全、对内</w:t>
      </w:r>
      <w:bookmarkStart w:id="44" w:name="_bookmark8"/>
      <w:bookmarkEnd w:id="44"/>
      <w:bookmarkStart w:id="45" w:name="_bookmark7"/>
      <w:bookmarkEnd w:id="45"/>
      <w:bookmarkStart w:id="46" w:name="_bookmark10"/>
      <w:bookmarkEnd w:id="46"/>
      <w:bookmarkStart w:id="47" w:name="_bookmark9"/>
      <w:bookmarkEnd w:id="47"/>
      <w:r>
        <w:rPr>
          <w:rFonts w:cs="宋体" w:asciiTheme="minorEastAsia" w:hAnsiTheme="minorEastAsia" w:eastAsiaTheme="minorEastAsia"/>
          <w:spacing w:val="7"/>
          <w:position w:val="15"/>
        </w:rPr>
        <w:t>容有疑问等问题应自招标文件发布在交易场所 (发布招标公告的媒体上) 10 日内向招标人提出，要求招标人对招标文件予以澄清。</w:t>
      </w:r>
    </w:p>
    <w:p>
      <w:pPr>
        <w:adjustRightInd/>
        <w:snapToGrid/>
        <w:spacing w:line="440" w:lineRule="exact"/>
        <w:ind w:firstLine="448" w:firstLineChars="200"/>
        <w:rPr>
          <w:rFonts w:cs="宋体" w:asciiTheme="minorEastAsia" w:hAnsiTheme="minorEastAsia" w:eastAsiaTheme="minorEastAsia"/>
          <w:spacing w:val="7"/>
          <w:position w:val="15"/>
        </w:rPr>
      </w:pPr>
      <w:r>
        <w:rPr>
          <w:rFonts w:cs="宋体" w:asciiTheme="minorEastAsia" w:hAnsiTheme="minorEastAsia" w:eastAsiaTheme="minorEastAsia"/>
          <w:spacing w:val="7"/>
          <w:position w:val="15"/>
        </w:rPr>
        <w:t>2.2.2 招标人的澄清将在交易场所 (发布招标公告的媒体上) 发布，所有获取招标文件的潜在投标人自行下载。澄清内容可能影响投标文件编制的，招标人应当在投标截止时间(投标截止时间详见投标人须知前附表 2.3 款规定) 至少 15 日前，将澄清的内容在交易场所 (发布招标公告的媒体上) 发布；不足 15 日的，招标人应当顺延投标文件的截止时间。</w:t>
      </w:r>
    </w:p>
    <w:p>
      <w:pPr>
        <w:adjustRightInd/>
        <w:snapToGrid/>
        <w:spacing w:line="440" w:lineRule="exact"/>
        <w:ind w:firstLine="448" w:firstLineChars="200"/>
        <w:rPr>
          <w:rFonts w:cs="宋体" w:asciiTheme="minorEastAsia" w:hAnsiTheme="minorEastAsia" w:eastAsiaTheme="minorEastAsia"/>
          <w:spacing w:val="7"/>
          <w:position w:val="15"/>
        </w:rPr>
      </w:pPr>
      <w:r>
        <w:rPr>
          <w:rFonts w:cs="宋体" w:asciiTheme="minorEastAsia" w:hAnsiTheme="minorEastAsia" w:eastAsiaTheme="minorEastAsia"/>
          <w:spacing w:val="7"/>
          <w:position w:val="15"/>
        </w:rPr>
        <w:t>2.2.3 招标人及招标代理机构的任何工作人员对投标人所作的任何口头解释、介绍、答</w:t>
      </w:r>
    </w:p>
    <w:p>
      <w:pPr>
        <w:adjustRightInd/>
        <w:snapToGrid/>
        <w:spacing w:line="440" w:lineRule="exact"/>
        <w:ind w:firstLine="448" w:firstLineChars="200"/>
        <w:rPr>
          <w:rFonts w:cs="宋体" w:asciiTheme="minorEastAsia" w:hAnsiTheme="minorEastAsia" w:eastAsiaTheme="minorEastAsia"/>
          <w:spacing w:val="7"/>
          <w:position w:val="15"/>
        </w:rPr>
      </w:pPr>
      <w:r>
        <w:rPr>
          <w:rFonts w:cs="宋体" w:asciiTheme="minorEastAsia" w:hAnsiTheme="minorEastAsia" w:eastAsiaTheme="minorEastAsia"/>
          <w:spacing w:val="7"/>
          <w:position w:val="15"/>
        </w:rPr>
        <w:t>复，只能供投标人参考，对招标人无任何约束力。</w:t>
      </w:r>
    </w:p>
    <w:p>
      <w:pPr>
        <w:adjustRightInd/>
        <w:snapToGrid/>
        <w:spacing w:line="440" w:lineRule="exact"/>
        <w:ind w:firstLine="448" w:firstLineChars="200"/>
        <w:rPr>
          <w:rFonts w:cs="宋体" w:asciiTheme="minorEastAsia" w:hAnsiTheme="minorEastAsia" w:eastAsiaTheme="minorEastAsia"/>
          <w:spacing w:val="7"/>
          <w:position w:val="15"/>
        </w:rPr>
      </w:pPr>
      <w:r>
        <w:rPr>
          <w:rFonts w:cs="宋体" w:asciiTheme="minorEastAsia" w:hAnsiTheme="minorEastAsia" w:eastAsiaTheme="minorEastAsia"/>
          <w:spacing w:val="7"/>
          <w:position w:val="15"/>
        </w:rPr>
        <w:t>2.3  招标文件的修改</w:t>
      </w:r>
    </w:p>
    <w:p>
      <w:pPr>
        <w:adjustRightInd/>
        <w:snapToGrid/>
        <w:spacing w:line="440" w:lineRule="exact"/>
        <w:ind w:firstLine="448" w:firstLineChars="200"/>
        <w:rPr>
          <w:rFonts w:cs="宋体" w:asciiTheme="minorEastAsia" w:hAnsiTheme="minorEastAsia" w:eastAsiaTheme="minorEastAsia"/>
          <w:spacing w:val="7"/>
          <w:position w:val="15"/>
        </w:rPr>
      </w:pPr>
      <w:r>
        <w:rPr>
          <w:rFonts w:cs="宋体" w:asciiTheme="minorEastAsia" w:hAnsiTheme="minorEastAsia" w:eastAsiaTheme="minorEastAsia"/>
          <w:spacing w:val="7"/>
          <w:position w:val="15"/>
        </w:rPr>
        <w:t>招标人可以对已发出的招标文件进行必要的修改。招标人的修改内容将在交易场所 (发布招标公告的媒体上) 发布，所有获取招标文件的潜在投标人自行下载。修改的内容可能影响投标文件编制的，招标人应当在提交投标截止时间至少 15 日前，将修改的内容在交易场所 (发布招标公告的媒体上) 发布；不足 15 日的，招标人应当顺延提交投标文件的截止时 间。</w:t>
      </w:r>
    </w:p>
    <w:p>
      <w:pPr>
        <w:pStyle w:val="35"/>
        <w:jc w:val="center"/>
        <w:outlineLvl w:val="2"/>
        <w:rPr>
          <w:rFonts w:ascii="宋体" w:hAnsi="宋体" w:eastAsia="宋体"/>
          <w:b/>
          <w:bCs/>
        </w:rPr>
      </w:pPr>
      <w:bookmarkStart w:id="48" w:name="_Toc109826647"/>
      <w:bookmarkStart w:id="49" w:name="_Toc3421"/>
      <w:bookmarkStart w:id="50" w:name="_Toc12264"/>
      <w:bookmarkStart w:id="51" w:name="_Toc20658456"/>
      <w:bookmarkStart w:id="52" w:name="_Toc283886215"/>
      <w:bookmarkStart w:id="53" w:name="_Toc144974518"/>
      <w:bookmarkStart w:id="54" w:name="_Toc237769263"/>
      <w:bookmarkStart w:id="55" w:name="_Toc179632568"/>
      <w:bookmarkStart w:id="56" w:name="_Toc152045550"/>
      <w:bookmarkStart w:id="57" w:name="_Toc282596270"/>
      <w:bookmarkStart w:id="58" w:name="_Toc237768799"/>
      <w:bookmarkStart w:id="59" w:name="_Toc283976506"/>
      <w:bookmarkStart w:id="60" w:name="_Toc152042326"/>
      <w:bookmarkStart w:id="61" w:name="_Toc321925392"/>
      <w:bookmarkStart w:id="62" w:name="_Toc288556257"/>
      <w:bookmarkStart w:id="63" w:name="_Toc372899832"/>
      <w:bookmarkStart w:id="64" w:name="_Toc372899709"/>
      <w:bookmarkStart w:id="65" w:name="_Toc531161991"/>
      <w:bookmarkStart w:id="66" w:name="_Toc394573903"/>
      <w:r>
        <w:rPr>
          <w:rFonts w:hint="eastAsia" w:ascii="宋体" w:hAnsi="宋体" w:eastAsia="宋体"/>
          <w:b/>
          <w:bCs/>
        </w:rPr>
        <w:t>3. 投标文件</w:t>
      </w:r>
      <w:bookmarkEnd w:id="48"/>
      <w:bookmarkEnd w:id="49"/>
      <w:bookmarkEnd w:id="50"/>
      <w:bookmarkEnd w:id="51"/>
    </w:p>
    <w:p>
      <w:pPr>
        <w:pStyle w:val="34"/>
        <w:outlineLvl w:val="9"/>
        <w:rPr>
          <w:rFonts w:asciiTheme="minorEastAsia" w:hAnsiTheme="minorEastAsia" w:eastAsiaTheme="minorEastAsia"/>
          <w:sz w:val="21"/>
          <w:szCs w:val="21"/>
        </w:rPr>
      </w:pPr>
      <w:bookmarkStart w:id="67" w:name="_Toc144974515"/>
      <w:bookmarkStart w:id="68" w:name="_Toc283886212"/>
      <w:bookmarkStart w:id="69" w:name="_Toc372899829"/>
      <w:bookmarkStart w:id="70" w:name="_Toc109826648"/>
      <w:bookmarkStart w:id="71" w:name="_Toc282596267"/>
      <w:bookmarkStart w:id="72" w:name="_Toc288556254"/>
      <w:bookmarkStart w:id="73" w:name="_Toc394573900"/>
      <w:bookmarkStart w:id="74" w:name="_Toc179632565"/>
      <w:bookmarkStart w:id="75" w:name="_Toc283976503"/>
      <w:bookmarkStart w:id="76" w:name="_Toc152045547"/>
      <w:bookmarkStart w:id="77" w:name="_Toc237769260"/>
      <w:bookmarkStart w:id="78" w:name="_Toc321925389"/>
      <w:bookmarkStart w:id="79" w:name="_Toc372899706"/>
      <w:bookmarkStart w:id="80" w:name="_Toc531161988"/>
      <w:bookmarkStart w:id="81" w:name="_Toc237768796"/>
      <w:bookmarkStart w:id="82" w:name="_Toc152042323"/>
      <w:r>
        <w:rPr>
          <w:rFonts w:hint="eastAsia" w:asciiTheme="minorEastAsia" w:hAnsiTheme="minorEastAsia" w:eastAsiaTheme="minorEastAsia"/>
          <w:sz w:val="21"/>
          <w:szCs w:val="21"/>
        </w:rPr>
        <w:t>3.1 投标文件的组成</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spacing w:line="400" w:lineRule="exact"/>
        <w:ind w:firstLine="359" w:firstLineChars="171"/>
        <w:rPr>
          <w:rFonts w:cs="宋体" w:asciiTheme="minorEastAsia" w:hAnsiTheme="minorEastAsia" w:eastAsiaTheme="minorEastAsia"/>
        </w:rPr>
      </w:pPr>
      <w:r>
        <w:rPr>
          <w:rFonts w:hint="eastAsia" w:cs="宋体" w:asciiTheme="minorEastAsia" w:hAnsiTheme="minorEastAsia" w:eastAsiaTheme="minorEastAsia"/>
        </w:rPr>
        <w:t xml:space="preserve">投标文件的组成：见投标人须知前附表。 </w:t>
      </w:r>
    </w:p>
    <w:p>
      <w:pPr>
        <w:pStyle w:val="34"/>
        <w:outlineLvl w:val="9"/>
        <w:rPr>
          <w:rFonts w:asciiTheme="minorEastAsia" w:hAnsiTheme="minorEastAsia" w:eastAsiaTheme="minorEastAsia"/>
          <w:color w:val="auto"/>
          <w:sz w:val="21"/>
          <w:szCs w:val="21"/>
        </w:rPr>
      </w:pPr>
      <w:bookmarkStart w:id="83" w:name="_Toc152042324"/>
      <w:bookmarkStart w:id="84" w:name="_Toc288556255"/>
      <w:bookmarkStart w:id="85" w:name="_Toc109826649"/>
      <w:bookmarkStart w:id="86" w:name="_Toc531161989"/>
      <w:bookmarkStart w:id="87" w:name="_Toc321925390"/>
      <w:bookmarkStart w:id="88" w:name="_Toc144974516"/>
      <w:bookmarkStart w:id="89" w:name="_Toc179632566"/>
      <w:bookmarkStart w:id="90" w:name="_Toc237768797"/>
      <w:bookmarkStart w:id="91" w:name="_Toc282596268"/>
      <w:bookmarkStart w:id="92" w:name="_Toc152045548"/>
      <w:bookmarkStart w:id="93" w:name="_Toc237769261"/>
      <w:bookmarkStart w:id="94" w:name="_Toc372899707"/>
      <w:bookmarkStart w:id="95" w:name="_Toc394573901"/>
      <w:bookmarkStart w:id="96" w:name="_Toc283886213"/>
      <w:bookmarkStart w:id="97" w:name="_Toc372899830"/>
      <w:bookmarkStart w:id="98" w:name="_Toc283976504"/>
      <w:r>
        <w:rPr>
          <w:rFonts w:hint="eastAsia" w:asciiTheme="minorEastAsia" w:hAnsiTheme="minorEastAsia" w:eastAsiaTheme="minorEastAsia"/>
          <w:sz w:val="21"/>
          <w:szCs w:val="21"/>
        </w:rPr>
        <w:t>3.2 投标报价</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spacing w:line="360" w:lineRule="auto"/>
        <w:rPr>
          <w:rFonts w:cs="宋体" w:asciiTheme="minorEastAsia" w:hAnsiTheme="minorEastAsia" w:eastAsiaTheme="minorEastAsia"/>
        </w:rPr>
      </w:pPr>
      <w:bookmarkStart w:id="99" w:name="_Toc321925391"/>
      <w:bookmarkStart w:id="100" w:name="_Toc372899831"/>
      <w:bookmarkStart w:id="101" w:name="_Toc372899708"/>
      <w:bookmarkStart w:id="102" w:name="_Toc394573902"/>
      <w:bookmarkStart w:id="103" w:name="_Toc288556256"/>
      <w:bookmarkStart w:id="104" w:name="_Toc144974517"/>
      <w:bookmarkStart w:id="105" w:name="_Toc237769262"/>
      <w:bookmarkStart w:id="106" w:name="_Toc152045549"/>
      <w:bookmarkStart w:id="107" w:name="_Toc237768798"/>
      <w:bookmarkStart w:id="108" w:name="_Toc179632567"/>
      <w:bookmarkStart w:id="109" w:name="_Toc283976505"/>
      <w:bookmarkStart w:id="110" w:name="_Toc282596269"/>
      <w:bookmarkStart w:id="111" w:name="_Toc283886214"/>
      <w:bookmarkStart w:id="112" w:name="_Toc152042325"/>
      <w:bookmarkStart w:id="113" w:name="_Toc531161990"/>
      <w:r>
        <w:rPr>
          <w:rFonts w:hint="eastAsia" w:cs="宋体" w:asciiTheme="minorEastAsia" w:hAnsiTheme="minorEastAsia" w:eastAsiaTheme="minorEastAsia"/>
          <w:color w:val="auto"/>
        </w:rPr>
        <w:t>3.2.1招标控制价：</w:t>
      </w:r>
      <w:r>
        <w:rPr>
          <w:rFonts w:hint="eastAsia" w:cs="宋体" w:asciiTheme="minorEastAsia" w:hAnsiTheme="minorEastAsia" w:eastAsiaTheme="minorEastAsia"/>
          <w:color w:val="auto"/>
          <w:u w:val="single"/>
        </w:rPr>
        <w:t>本工程招标控制价采用</w:t>
      </w:r>
      <w:r>
        <w:rPr>
          <w:rFonts w:hint="eastAsia" w:ascii="宋体" w:hAnsi="宋体" w:eastAsia="宋体" w:cs="宋体"/>
          <w:color w:val="0000FF"/>
          <w:u w:val="single"/>
        </w:rPr>
        <w:t>《建设工程工程量清单计价规范》（GB50500-2013）, 建设工程工程量清单计算规范（2013）浙江省补充规定（一）、（二），《浙江省建设工程费用定额》（2018版）、《浙江省通用安装工程预算定额》（2018版）、《浙江省市政工程预算定额》（2018版）、《浙江省园林绿化及仿古建筑工程预算定额》（2018版），《浙江省建设工程计价规则》（2018版）、人工、材料、机械信息价根据《台州造价》2023/6期台州市价格、《台州造价》2023/6期三门地区价格、《浙江造价信息》2023/6期及市场调查价</w:t>
      </w:r>
      <w:r>
        <w:rPr>
          <w:rFonts w:hint="eastAsia" w:ascii="宋体" w:hAnsi="宋体" w:eastAsia="宋体" w:cs="宋体"/>
          <w:color w:val="auto"/>
          <w:u w:val="single"/>
        </w:rPr>
        <w:t>，</w:t>
      </w:r>
      <w:r>
        <w:rPr>
          <w:rFonts w:hint="eastAsia"/>
          <w:color w:val="auto"/>
          <w:u w:val="single"/>
        </w:rPr>
        <w:t>浙江省补充规定</w:t>
      </w:r>
      <w:r>
        <w:rPr>
          <w:rFonts w:hint="eastAsia" w:ascii="宋体" w:hAnsi="宋体" w:eastAsia="宋体" w:cs="宋体"/>
          <w:color w:val="auto"/>
          <w:u w:val="single"/>
        </w:rPr>
        <w:t>等</w:t>
      </w:r>
      <w:r>
        <w:rPr>
          <w:rFonts w:hint="eastAsia" w:ascii="宋体" w:hAnsi="宋体"/>
          <w:color w:val="auto"/>
          <w:u w:val="single"/>
        </w:rPr>
        <w:t>以及</w:t>
      </w:r>
      <w:r>
        <w:rPr>
          <w:rFonts w:hint="eastAsia" w:cs="宋体" w:asciiTheme="minorEastAsia" w:hAnsiTheme="minorEastAsia" w:eastAsiaTheme="minorEastAsia"/>
          <w:color w:val="auto"/>
        </w:rPr>
        <w:t>以及</w:t>
      </w:r>
      <w:r>
        <w:rPr>
          <w:rFonts w:hint="eastAsia" w:cs="宋体" w:asciiTheme="minorEastAsia" w:hAnsiTheme="minorEastAsia" w:eastAsiaTheme="minorEastAsia"/>
        </w:rPr>
        <w:t>相关补充规定与综合解释等规范编制编制，具体金额见投标人须知前附表。投标人应按第五章“工程量清单”的要求填报相应表格。</w:t>
      </w:r>
    </w:p>
    <w:p>
      <w:pPr>
        <w:spacing w:line="40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3.2.2 投标人在投标截止时间前修改投标函中的投标总报价，同时修改第五章“工程量清单”中的相应报价的。此修改须符合本章第4.2款的有关要求。</w:t>
      </w:r>
    </w:p>
    <w:p>
      <w:pPr>
        <w:pStyle w:val="34"/>
        <w:outlineLvl w:val="9"/>
        <w:rPr>
          <w:rFonts w:asciiTheme="minorEastAsia" w:hAnsiTheme="minorEastAsia" w:eastAsiaTheme="minorEastAsia"/>
          <w:sz w:val="21"/>
          <w:szCs w:val="21"/>
        </w:rPr>
      </w:pPr>
      <w:bookmarkStart w:id="114" w:name="_Toc109826650"/>
      <w:r>
        <w:rPr>
          <w:rFonts w:hint="eastAsia" w:asciiTheme="minorEastAsia" w:hAnsiTheme="minorEastAsia" w:eastAsiaTheme="minorEastAsia"/>
          <w:sz w:val="21"/>
          <w:szCs w:val="21"/>
        </w:rPr>
        <w:t>3.3 投标有效期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pPr>
        <w:spacing w:line="40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3.3.1 在投标人须知前附表规定的投标有效期内，投标人不得要求撤销或修改其投标文件。</w:t>
      </w:r>
    </w:p>
    <w:p>
      <w:pPr>
        <w:spacing w:line="40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 xml:space="preserve">3.3.2出现特殊情况需要延长投标有效期的，招标人以书面形式通知所有投标人延长投标有效期。投标人同意延长的，应相应延长其投标担保的有效期，但不得要求或被允许修改或撤销其投标文件；投标人拒绝延长的，其投标失效，但投标人有权收回其投标担保。 </w:t>
      </w:r>
    </w:p>
    <w:p>
      <w:pPr>
        <w:pStyle w:val="34"/>
        <w:outlineLvl w:val="9"/>
        <w:rPr>
          <w:rFonts w:asciiTheme="minorEastAsia" w:hAnsiTheme="minorEastAsia" w:eastAsiaTheme="minorEastAsia"/>
          <w:sz w:val="21"/>
          <w:szCs w:val="21"/>
        </w:rPr>
      </w:pPr>
      <w:bookmarkStart w:id="115" w:name="_Toc109826651"/>
      <w:r>
        <w:rPr>
          <w:rFonts w:hint="eastAsia" w:asciiTheme="minorEastAsia" w:hAnsiTheme="minorEastAsia" w:eastAsiaTheme="minorEastAsia"/>
          <w:sz w:val="21"/>
          <w:szCs w:val="21"/>
        </w:rPr>
        <w:t>3.4 投标</w:t>
      </w:r>
      <w:bookmarkEnd w:id="52"/>
      <w:bookmarkEnd w:id="53"/>
      <w:bookmarkEnd w:id="54"/>
      <w:bookmarkEnd w:id="55"/>
      <w:bookmarkEnd w:id="56"/>
      <w:bookmarkEnd w:id="57"/>
      <w:bookmarkEnd w:id="58"/>
      <w:bookmarkEnd w:id="59"/>
      <w:bookmarkEnd w:id="60"/>
      <w:r>
        <w:rPr>
          <w:rFonts w:hint="eastAsia" w:asciiTheme="minorEastAsia" w:hAnsiTheme="minorEastAsia" w:eastAsiaTheme="minorEastAsia"/>
          <w:sz w:val="21"/>
          <w:szCs w:val="21"/>
        </w:rPr>
        <w:t>担保</w:t>
      </w:r>
      <w:bookmarkEnd w:id="61"/>
      <w:bookmarkEnd w:id="62"/>
      <w:bookmarkEnd w:id="63"/>
      <w:bookmarkEnd w:id="64"/>
      <w:bookmarkEnd w:id="65"/>
      <w:bookmarkEnd w:id="66"/>
      <w:bookmarkEnd w:id="115"/>
    </w:p>
    <w:p>
      <w:pPr>
        <w:spacing w:line="40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3.4.1 投标人在递交投标文件的同时，应按投标人须知前附表规定递交投标担保。</w:t>
      </w:r>
    </w:p>
    <w:p>
      <w:pPr>
        <w:spacing w:line="40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3.4.2 投标人不按本章第3.4.1项要求提交投标担保的，招标人将视为不响应投标而予以拒绝。</w:t>
      </w:r>
    </w:p>
    <w:p>
      <w:pPr>
        <w:spacing w:line="400" w:lineRule="exact"/>
        <w:ind w:firstLine="420" w:firstLineChars="200"/>
        <w:rPr>
          <w:rFonts w:cs="宋体" w:asciiTheme="minorEastAsia" w:hAnsiTheme="minorEastAsia" w:eastAsiaTheme="minorEastAsia"/>
        </w:rPr>
      </w:pPr>
      <w:r>
        <w:rPr>
          <w:rFonts w:hint="eastAsia" w:cs="宋体" w:asciiTheme="minorEastAsia" w:hAnsiTheme="minorEastAsia" w:eastAsiaTheme="minorEastAsia"/>
        </w:rPr>
        <w:t>3.4.3投标担保按以下方式退还：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（1）中标人在合同签订后退还；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（2）其余投标人（含无效标的）在中标候选人公示结束后退还。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3.4.4投标人有下列情形的，招标人对投标人的投标担保按下列相应规定进行处理：</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 xml:space="preserve">  （1）投标人违反《台州市建设工程诚信投标承诺书》第一、二、三条承诺内容，在评标过程中经评标委员会发现并以无效标处理的，对其投标担保总金额的10%～20%不予退还；在评标结束后被查实的，对其投标担保总金额的30%～40%不予退还；涉及中标候选人的，对其投标担保总金额的50%～60%不予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 xml:space="preserve">  （2）投标人违反《台州市建设工程诚信投标承诺书》第四、五、六条承诺内容，在评标过程中经评标委员会发现并以无效标处理的，对其投标担保总金额的70%～80%不予退还；在评标结束后发现并被查实的，对其投标担保全部不予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 xml:space="preserve">  （3）投标人放弃中标候选人或中标资格的（包括中标人无正当理由不与招标人订立合同；在签订合同时向招标人提出附加条件；不按照招标文件要求提交履约担保），对其投标担保全部不予退还；对招标人造成的经济损失（包括报价的差额损失）超过投标担保总金额的，应对超过部分予以赔偿；</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（4）投标人在投标有效期内撤销其投标文件的，对其投标担保全部不予退还；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（5）投标人因同一行为涉及上述多种情形的，招标人按投标担保不予退还金额高的进行处理。</w:t>
      </w:r>
    </w:p>
    <w:p>
      <w:pPr>
        <w:adjustRightInd/>
        <w:snapToGrid/>
        <w:spacing w:line="360" w:lineRule="auto"/>
        <w:ind w:firstLine="456" w:firstLineChars="200"/>
        <w:rPr>
          <w:rFonts w:cs="宋体" w:asciiTheme="minorEastAsia" w:hAnsiTheme="minorEastAsia" w:eastAsiaTheme="minorEastAsia"/>
          <w:spacing w:val="9"/>
          <w:position w:val="14"/>
        </w:rPr>
      </w:pPr>
      <w:r>
        <w:rPr>
          <w:rFonts w:hint="eastAsia" w:cs="宋体" w:asciiTheme="minorEastAsia" w:hAnsiTheme="minorEastAsia" w:eastAsiaTheme="minorEastAsia"/>
          <w:spacing w:val="9"/>
          <w:position w:val="14"/>
        </w:rPr>
        <w:t>3.4.5 投标人涉嫌违法违规或被投诉的，在调查处理期间，其投标担保暂不退还，待调查处理结果明确后，按有关规定办理。</w:t>
      </w:r>
    </w:p>
    <w:p>
      <w:pPr>
        <w:spacing w:before="128" w:line="230" w:lineRule="auto"/>
        <w:ind w:left="21"/>
        <w:rPr>
          <w:rFonts w:cs="黑体" w:asciiTheme="minorEastAsia" w:hAnsiTheme="minorEastAsia" w:eastAsiaTheme="minorEastAsia"/>
        </w:rPr>
      </w:pPr>
      <w:r>
        <w:rPr>
          <w:rFonts w:cs="Times New Roman" w:asciiTheme="minorEastAsia" w:hAnsiTheme="minorEastAsia" w:eastAsiaTheme="minorEastAsia"/>
          <w:spacing w:val="7"/>
        </w:rPr>
        <w:t>3</w:t>
      </w:r>
      <w:r>
        <w:rPr>
          <w:rFonts w:cs="Times New Roman" w:asciiTheme="minorEastAsia" w:hAnsiTheme="minorEastAsia" w:eastAsiaTheme="minorEastAsia"/>
          <w:spacing w:val="6"/>
        </w:rPr>
        <w:t xml:space="preserve">.5  </w:t>
      </w:r>
      <w:r>
        <w:rPr>
          <w:rFonts w:cs="黑体" w:asciiTheme="minorEastAsia" w:hAnsiTheme="minorEastAsia" w:eastAsiaTheme="minorEastAsia"/>
          <w:spacing w:val="6"/>
        </w:rPr>
        <w:t>备选投标方案</w:t>
      </w:r>
    </w:p>
    <w:p>
      <w:pPr>
        <w:spacing w:before="137" w:line="369" w:lineRule="auto"/>
        <w:ind w:left="22" w:right="52" w:firstLine="429"/>
        <w:rPr>
          <w:rFonts w:cs="宋体" w:asciiTheme="minorEastAsia" w:hAnsiTheme="minorEastAsia" w:eastAsiaTheme="minorEastAsia"/>
        </w:rPr>
      </w:pPr>
      <w:r>
        <w:rPr>
          <w:rFonts w:cs="宋体" w:asciiTheme="minorEastAsia" w:hAnsiTheme="minorEastAsia" w:eastAsiaTheme="minorEastAsia"/>
          <w:spacing w:val="11"/>
        </w:rPr>
        <w:t>除</w:t>
      </w:r>
      <w:r>
        <w:rPr>
          <w:rFonts w:cs="宋体" w:asciiTheme="minorEastAsia" w:hAnsiTheme="minorEastAsia" w:eastAsiaTheme="minorEastAsia"/>
          <w:spacing w:val="7"/>
        </w:rPr>
        <w:t>投标人须知前附表另有规定外，投标人不得递交备选投标方案。允许投标人递交备选</w:t>
      </w:r>
      <w:r>
        <w:rPr>
          <w:rFonts w:cs="宋体" w:asciiTheme="minorEastAsia" w:hAnsiTheme="minorEastAsia" w:eastAsiaTheme="minorEastAsia"/>
          <w:spacing w:val="14"/>
        </w:rPr>
        <w:t>投标</w:t>
      </w:r>
      <w:r>
        <w:rPr>
          <w:rFonts w:cs="宋体" w:asciiTheme="minorEastAsia" w:hAnsiTheme="minorEastAsia" w:eastAsiaTheme="minorEastAsia"/>
          <w:spacing w:val="11"/>
        </w:rPr>
        <w:t>方</w:t>
      </w:r>
      <w:r>
        <w:rPr>
          <w:rFonts w:cs="宋体" w:asciiTheme="minorEastAsia" w:hAnsiTheme="minorEastAsia" w:eastAsiaTheme="minorEastAsia"/>
          <w:spacing w:val="7"/>
        </w:rPr>
        <w:t>案的，只有中标人所递交的备选投标方案方可予以考虑。评标委员会认为中标人的备</w:t>
      </w:r>
    </w:p>
    <w:p>
      <w:pPr>
        <w:spacing w:before="1" w:line="226" w:lineRule="auto"/>
        <w:ind w:left="19"/>
        <w:rPr>
          <w:rFonts w:cs="宋体" w:asciiTheme="minorEastAsia" w:hAnsiTheme="minorEastAsia" w:eastAsiaTheme="minorEastAsia"/>
        </w:rPr>
      </w:pPr>
      <w:r>
        <w:rPr>
          <w:rFonts w:cs="宋体" w:asciiTheme="minorEastAsia" w:hAnsiTheme="minorEastAsia" w:eastAsiaTheme="minorEastAsia"/>
          <w:spacing w:val="9"/>
        </w:rPr>
        <w:t>选投标方案优于其按照招标文件要求编制的投标方案的，招标人可以接受该备选投标方案</w:t>
      </w:r>
      <w:r>
        <w:rPr>
          <w:rFonts w:cs="宋体" w:asciiTheme="minorEastAsia" w:hAnsiTheme="minorEastAsia" w:eastAsiaTheme="minorEastAsia"/>
          <w:spacing w:val="5"/>
        </w:rPr>
        <w:t>。</w:t>
      </w:r>
    </w:p>
    <w:p>
      <w:pPr>
        <w:spacing w:before="129" w:line="230" w:lineRule="auto"/>
        <w:ind w:left="21"/>
        <w:rPr>
          <w:rFonts w:cs="黑体" w:asciiTheme="minorEastAsia" w:hAnsiTheme="minorEastAsia" w:eastAsiaTheme="minorEastAsia"/>
        </w:rPr>
      </w:pPr>
      <w:r>
        <w:rPr>
          <w:rFonts w:cs="Times New Roman" w:asciiTheme="minorEastAsia" w:hAnsiTheme="minorEastAsia" w:eastAsiaTheme="minorEastAsia"/>
          <w:spacing w:val="11"/>
        </w:rPr>
        <w:t>3</w:t>
      </w:r>
      <w:r>
        <w:rPr>
          <w:rFonts w:cs="Times New Roman" w:asciiTheme="minorEastAsia" w:hAnsiTheme="minorEastAsia" w:eastAsiaTheme="minorEastAsia"/>
          <w:spacing w:val="6"/>
        </w:rPr>
        <w:t xml:space="preserve">.6  </w:t>
      </w:r>
      <w:r>
        <w:rPr>
          <w:rFonts w:cs="黑体" w:asciiTheme="minorEastAsia" w:hAnsiTheme="minorEastAsia" w:eastAsiaTheme="minorEastAsia"/>
          <w:spacing w:val="6"/>
        </w:rPr>
        <w:t>投标文件的编制</w:t>
      </w:r>
    </w:p>
    <w:p>
      <w:pPr>
        <w:spacing w:before="140" w:line="369" w:lineRule="auto"/>
        <w:ind w:left="24" w:right="52" w:firstLine="416"/>
        <w:rPr>
          <w:rFonts w:cs="宋体" w:asciiTheme="minorEastAsia" w:hAnsiTheme="minorEastAsia" w:eastAsiaTheme="minorEastAsia"/>
        </w:rPr>
      </w:pPr>
      <w:r>
        <w:rPr>
          <w:rFonts w:cs="Times New Roman" w:asciiTheme="minorEastAsia" w:hAnsiTheme="minorEastAsia" w:eastAsiaTheme="minorEastAsia"/>
          <w:spacing w:val="13"/>
        </w:rPr>
        <w:t>3</w:t>
      </w:r>
      <w:r>
        <w:rPr>
          <w:rFonts w:cs="Times New Roman" w:asciiTheme="minorEastAsia" w:hAnsiTheme="minorEastAsia" w:eastAsiaTheme="minorEastAsia"/>
          <w:spacing w:val="9"/>
        </w:rPr>
        <w:t xml:space="preserve">.6. 1 </w:t>
      </w:r>
      <w:r>
        <w:rPr>
          <w:rFonts w:cs="宋体" w:asciiTheme="minorEastAsia" w:hAnsiTheme="minorEastAsia" w:eastAsiaTheme="minorEastAsia"/>
          <w:spacing w:val="9"/>
        </w:rPr>
        <w:t>投标文件应按招标文件提供的格式进行编写。投标文件其它格式要求见投标人须</w:t>
      </w:r>
      <w:r>
        <w:rPr>
          <w:rFonts w:cs="宋体" w:asciiTheme="minorEastAsia" w:hAnsiTheme="minorEastAsia" w:eastAsiaTheme="minorEastAsia"/>
          <w:spacing w:val="5"/>
        </w:rPr>
        <w:t>知前附表。</w:t>
      </w:r>
    </w:p>
    <w:p>
      <w:pPr>
        <w:spacing w:line="378" w:lineRule="auto"/>
        <w:ind w:left="18" w:right="26" w:firstLine="422"/>
        <w:rPr>
          <w:rFonts w:cs="黑体" w:asciiTheme="minorEastAsia" w:hAnsiTheme="minorEastAsia" w:eastAsiaTheme="minorEastAsia"/>
        </w:rPr>
      </w:pPr>
      <w:r>
        <w:rPr>
          <w:rFonts w:cs="Times New Roman" w:asciiTheme="minorEastAsia" w:hAnsiTheme="minorEastAsia" w:eastAsiaTheme="minorEastAsia"/>
          <w:spacing w:val="12"/>
        </w:rPr>
        <w:t>3.6.2</w:t>
      </w:r>
      <w:r>
        <w:rPr>
          <w:rFonts w:hint="eastAsia" w:cs="宋体" w:asciiTheme="minorEastAsia" w:hAnsiTheme="minorEastAsia" w:eastAsiaTheme="minorEastAsia"/>
          <w:b/>
        </w:rPr>
        <w:t>由三门投标编制4.0.2.8版本打印生成的投标文件中注明签署或盖章的，投标人均应按要求进行电子签署或盖章</w:t>
      </w:r>
      <w:r>
        <w:rPr>
          <w:rFonts w:cs="黑体" w:asciiTheme="minorEastAsia" w:hAnsiTheme="minorEastAsia" w:eastAsiaTheme="minorEastAsia"/>
          <w:spacing w:val="9"/>
        </w:rPr>
        <w:t>。</w:t>
      </w:r>
    </w:p>
    <w:p>
      <w:pPr>
        <w:pStyle w:val="6"/>
        <w:jc w:val="center"/>
        <w:rPr>
          <w:rFonts w:cs="黑体" w:asciiTheme="minorEastAsia" w:hAnsiTheme="minorEastAsia" w:eastAsiaTheme="minorEastAsia"/>
          <w:sz w:val="28"/>
          <w:szCs w:val="28"/>
        </w:rPr>
      </w:pPr>
      <w:bookmarkStart w:id="116" w:name="_Toc109826652"/>
      <w:r>
        <w:rPr>
          <w:rFonts w:cs="Times New Roman" w:asciiTheme="minorEastAsia" w:hAnsiTheme="minorEastAsia" w:eastAsiaTheme="minorEastAsia"/>
          <w:spacing w:val="-1"/>
          <w:sz w:val="28"/>
          <w:szCs w:val="28"/>
        </w:rPr>
        <w:t xml:space="preserve">4. </w:t>
      </w:r>
      <w:r>
        <w:rPr>
          <w:rFonts w:cs="黑体" w:asciiTheme="minorEastAsia" w:hAnsiTheme="minorEastAsia" w:eastAsiaTheme="minorEastAsia"/>
          <w:sz w:val="28"/>
          <w:szCs w:val="28"/>
        </w:rPr>
        <w:t>投标</w:t>
      </w:r>
      <w:bookmarkEnd w:id="116"/>
    </w:p>
    <w:p>
      <w:pPr>
        <w:rPr>
          <w:rFonts w:cs="黑体" w:asciiTheme="minorEastAsia" w:hAnsiTheme="minorEastAsia" w:eastAsiaTheme="minorEastAsia"/>
        </w:rPr>
      </w:pPr>
      <w:r>
        <w:rPr>
          <w:rFonts w:cs="Times New Roman" w:asciiTheme="minorEastAsia" w:hAnsiTheme="minorEastAsia" w:eastAsiaTheme="minorEastAsia"/>
          <w:spacing w:val="2"/>
        </w:rPr>
        <w:t xml:space="preserve">4. 1  </w:t>
      </w:r>
      <w:r>
        <w:rPr>
          <w:rFonts w:cs="黑体" w:asciiTheme="minorEastAsia" w:hAnsiTheme="minorEastAsia" w:eastAsiaTheme="minorEastAsia"/>
          <w:spacing w:val="2"/>
        </w:rPr>
        <w:t>投标文件的递交</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 1. 1  投标人应在投标人须知前附表第2.3 项规定的投标截止时间前上传投标文件。</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 1.2  投标人递交投标文件的地点：见投标人须知前附表。</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 1.3  除投标人须知前附表另有规定外，投标人所递交的投标文件不予退还。</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4.1.4  招标人 (台州市公共资源交易管理系统) 收到投标文件后，向投标人发出确认投标成功的提示。</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 1.5 逾期上传的或者未上传指定系统的，视为投标文件未上传。</w:t>
      </w:r>
    </w:p>
    <w:p>
      <w:pPr>
        <w:rPr>
          <w:rFonts w:cs="黑体" w:asciiTheme="minorEastAsia" w:hAnsiTheme="minorEastAsia" w:eastAsiaTheme="minorEastAsia"/>
        </w:rPr>
      </w:pPr>
      <w:bookmarkStart w:id="117" w:name="_bookmark11"/>
      <w:bookmarkEnd w:id="117"/>
      <w:bookmarkStart w:id="118" w:name="_bookmark12"/>
      <w:bookmarkEnd w:id="118"/>
      <w:r>
        <w:rPr>
          <w:rFonts w:cs="Times New Roman" w:asciiTheme="minorEastAsia" w:hAnsiTheme="minorEastAsia" w:eastAsiaTheme="minorEastAsia"/>
          <w:spacing w:val="14"/>
        </w:rPr>
        <w:t>4</w:t>
      </w:r>
      <w:r>
        <w:rPr>
          <w:rFonts w:cs="Times New Roman" w:asciiTheme="minorEastAsia" w:hAnsiTheme="minorEastAsia" w:eastAsiaTheme="minorEastAsia"/>
          <w:spacing w:val="8"/>
        </w:rPr>
        <w:t>.</w:t>
      </w:r>
      <w:r>
        <w:rPr>
          <w:rFonts w:cs="Times New Roman" w:asciiTheme="minorEastAsia" w:hAnsiTheme="minorEastAsia" w:eastAsiaTheme="minorEastAsia"/>
          <w:spacing w:val="7"/>
        </w:rPr>
        <w:t xml:space="preserve">2  </w:t>
      </w:r>
      <w:r>
        <w:rPr>
          <w:rFonts w:cs="黑体" w:asciiTheme="minorEastAsia" w:hAnsiTheme="minorEastAsia" w:eastAsiaTheme="minorEastAsia"/>
          <w:spacing w:val="7"/>
        </w:rPr>
        <w:t>投标文件的修改与撤回</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4.2. 1  在投标人须知前附表第2.3 项规定的投标截止时间前，投标人可以修改或撤回已</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递交的电子投标文件</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4.2.2  投标人上传修改后的投标文件应在投标截止时间前进行。投标人应先撤回已上传的电子投标文件，再上传修改后重新生成后缀名为“.加密标书”的电子投标文件，并保证在投标截止时间前完成上传。</w:t>
      </w:r>
    </w:p>
    <w:p>
      <w:pPr>
        <w:pStyle w:val="6"/>
        <w:jc w:val="center"/>
        <w:rPr>
          <w:rFonts w:cs="黑体" w:asciiTheme="minorEastAsia" w:hAnsiTheme="minorEastAsia" w:eastAsiaTheme="minorEastAsia"/>
          <w:sz w:val="21"/>
          <w:szCs w:val="21"/>
        </w:rPr>
      </w:pPr>
      <w:bookmarkStart w:id="119" w:name="_Toc109826653"/>
      <w:r>
        <w:rPr>
          <w:rFonts w:cs="Times New Roman" w:asciiTheme="minorEastAsia" w:hAnsiTheme="minorEastAsia" w:eastAsiaTheme="minorEastAsia"/>
          <w:spacing w:val="-2"/>
          <w:sz w:val="28"/>
          <w:szCs w:val="21"/>
        </w:rPr>
        <w:t xml:space="preserve">5.  </w:t>
      </w:r>
      <w:r>
        <w:rPr>
          <w:rFonts w:cs="黑体" w:asciiTheme="minorEastAsia" w:hAnsiTheme="minorEastAsia" w:eastAsiaTheme="minorEastAsia"/>
          <w:spacing w:val="-2"/>
          <w:sz w:val="28"/>
          <w:szCs w:val="21"/>
        </w:rPr>
        <w:t>开标</w:t>
      </w:r>
      <w:bookmarkEnd w:id="119"/>
    </w:p>
    <w:p>
      <w:pPr>
        <w:rPr>
          <w:rFonts w:cs="黑体" w:asciiTheme="minorEastAsia" w:hAnsiTheme="minorEastAsia" w:eastAsiaTheme="minorEastAsia"/>
        </w:rPr>
      </w:pPr>
      <w:r>
        <w:rPr>
          <w:rFonts w:cs="Times New Roman" w:asciiTheme="minorEastAsia" w:hAnsiTheme="minorEastAsia" w:eastAsiaTheme="minorEastAsia"/>
          <w:spacing w:val="2"/>
        </w:rPr>
        <w:t xml:space="preserve">5. 1 </w:t>
      </w:r>
      <w:r>
        <w:rPr>
          <w:rFonts w:cs="黑体" w:asciiTheme="minorEastAsia" w:hAnsiTheme="minorEastAsia" w:eastAsiaTheme="minorEastAsia"/>
          <w:spacing w:val="1"/>
        </w:rPr>
        <w:t>开标时间和地点</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招标人在投标人须知前附表第2.3 项规定的投标截止时间 (开标时间) 和投标人须知前附表规定的地点公开开标，并邀请所有投标人的法定代表人或其委托代理人准时进入钉钉开标群参加 (若投标人未按时响应参加的，视为对开评标过程无疑义) 。</w:t>
      </w:r>
    </w:p>
    <w:p>
      <w:pPr>
        <w:rPr>
          <w:rFonts w:cs="黑体" w:asciiTheme="minorEastAsia" w:hAnsiTheme="minorEastAsia" w:eastAsiaTheme="minorEastAsia"/>
        </w:rPr>
      </w:pPr>
      <w:r>
        <w:rPr>
          <w:rFonts w:cs="Times New Roman" w:asciiTheme="minorEastAsia" w:hAnsiTheme="minorEastAsia" w:eastAsiaTheme="minorEastAsia"/>
          <w:spacing w:val="5"/>
        </w:rPr>
        <w:t xml:space="preserve">5.2  </w:t>
      </w:r>
      <w:r>
        <w:rPr>
          <w:rFonts w:cs="黑体" w:asciiTheme="minorEastAsia" w:hAnsiTheme="minorEastAsia" w:eastAsiaTheme="minorEastAsia"/>
          <w:spacing w:val="5"/>
        </w:rPr>
        <w:t>开标程序</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开标程序：见投标人须知前附表。</w:t>
      </w:r>
    </w:p>
    <w:p>
      <w:pPr>
        <w:pStyle w:val="6"/>
        <w:jc w:val="center"/>
        <w:rPr>
          <w:rFonts w:cs="黑体" w:asciiTheme="minorEastAsia" w:hAnsiTheme="minorEastAsia" w:eastAsiaTheme="minorEastAsia"/>
          <w:sz w:val="28"/>
          <w:szCs w:val="28"/>
        </w:rPr>
      </w:pPr>
      <w:bookmarkStart w:id="120" w:name="_Toc109826654"/>
      <w:r>
        <w:rPr>
          <w:rFonts w:cs="Times New Roman" w:asciiTheme="minorEastAsia" w:hAnsiTheme="minorEastAsia" w:eastAsiaTheme="minorEastAsia"/>
          <w:spacing w:val="-2"/>
          <w:sz w:val="28"/>
          <w:szCs w:val="28"/>
        </w:rPr>
        <w:t xml:space="preserve">6.  </w:t>
      </w:r>
      <w:r>
        <w:rPr>
          <w:rFonts w:cs="黑体" w:asciiTheme="minorEastAsia" w:hAnsiTheme="minorEastAsia" w:eastAsiaTheme="minorEastAsia"/>
          <w:spacing w:val="-1"/>
          <w:sz w:val="28"/>
          <w:szCs w:val="28"/>
        </w:rPr>
        <w:t>评标</w:t>
      </w:r>
      <w:bookmarkEnd w:id="120"/>
    </w:p>
    <w:p>
      <w:pPr>
        <w:rPr>
          <w:rFonts w:cs="黑体" w:asciiTheme="minorEastAsia" w:hAnsiTheme="minorEastAsia" w:eastAsiaTheme="minorEastAsia"/>
        </w:rPr>
      </w:pPr>
      <w:r>
        <w:rPr>
          <w:rFonts w:cs="Times New Roman" w:asciiTheme="minorEastAsia" w:hAnsiTheme="minorEastAsia" w:eastAsiaTheme="minorEastAsia"/>
          <w:spacing w:val="-1"/>
        </w:rPr>
        <w:t>6</w:t>
      </w:r>
      <w:r>
        <w:rPr>
          <w:rFonts w:cs="Times New Roman" w:asciiTheme="minorEastAsia" w:hAnsiTheme="minorEastAsia" w:eastAsiaTheme="minorEastAsia"/>
        </w:rPr>
        <w:t xml:space="preserve">. 1  </w:t>
      </w:r>
      <w:r>
        <w:rPr>
          <w:rFonts w:cs="黑体" w:asciiTheme="minorEastAsia" w:hAnsiTheme="minorEastAsia" w:eastAsiaTheme="minorEastAsia"/>
        </w:rPr>
        <w:t>评标委员会</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6. 1. 1 评标由招标人依法组建的评标委员会负责。评标委员会由招标人代表以及有关技术、经济等方面的专家组成。</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6. 1.2 评标委员会成员在评标前须签订《台州市建设工程公正评标承诺书》。</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6.2  评标原则</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评标活动遵循公平、公正、科学和择优的原则。</w:t>
      </w:r>
    </w:p>
    <w:p>
      <w:pPr>
        <w:adjustRightInd/>
        <w:snapToGrid/>
        <w:spacing w:line="360" w:lineRule="auto"/>
        <w:ind w:firstLine="456" w:firstLineChars="200"/>
        <w:rPr>
          <w:rFonts w:cs="宋体" w:asciiTheme="minorEastAsia" w:hAnsiTheme="minorEastAsia" w:eastAsiaTheme="minorEastAsia"/>
          <w:spacing w:val="9"/>
          <w:position w:val="14"/>
        </w:rPr>
      </w:pPr>
      <w:r>
        <w:rPr>
          <w:rFonts w:cs="宋体" w:asciiTheme="minorEastAsia" w:hAnsiTheme="minorEastAsia" w:eastAsiaTheme="minorEastAsia"/>
          <w:spacing w:val="9"/>
          <w:position w:val="14"/>
        </w:rPr>
        <w:t>6.3  评标</w:t>
      </w:r>
    </w:p>
    <w:p>
      <w:pPr>
        <w:adjustRightInd/>
        <w:snapToGrid/>
        <w:spacing w:line="360" w:lineRule="auto"/>
        <w:ind w:firstLine="456" w:firstLineChars="200"/>
        <w:rPr>
          <w:rFonts w:ascii="宋体" w:hAnsi="宋体" w:eastAsia="宋体" w:cs="宋体"/>
          <w:spacing w:val="9"/>
          <w:position w:val="14"/>
          <w:sz w:val="20"/>
          <w:szCs w:val="20"/>
        </w:rPr>
      </w:pPr>
      <w:r>
        <w:rPr>
          <w:rFonts w:cs="宋体" w:asciiTheme="minorEastAsia" w:hAnsiTheme="minorEastAsia" w:eastAsiaTheme="minorEastAsia"/>
          <w:spacing w:val="9"/>
          <w:position w:val="14"/>
        </w:rPr>
        <w:t>评标委员会按照第三章“评标办法”规定的方法、评审因素、标准和程序对投标文件进行评审。第三章“评标办法”没有规定的方法、评审因素和标准，不作为评标依据。</w:t>
      </w:r>
    </w:p>
    <w:p>
      <w:pPr>
        <w:pStyle w:val="2"/>
        <w:rPr>
          <w:rFonts w:eastAsiaTheme="minorEastAsia"/>
        </w:rPr>
      </w:pPr>
    </w:p>
    <w:p>
      <w:pPr>
        <w:pStyle w:val="35"/>
        <w:jc w:val="center"/>
        <w:outlineLvl w:val="2"/>
        <w:rPr>
          <w:rFonts w:ascii="宋体" w:hAnsi="宋体" w:eastAsia="宋体"/>
          <w:b/>
          <w:bCs/>
        </w:rPr>
      </w:pPr>
      <w:bookmarkStart w:id="121" w:name="_Toc144974534"/>
      <w:bookmarkStart w:id="122" w:name="_Toc19262"/>
      <w:bookmarkStart w:id="123" w:name="_Toc20658460"/>
      <w:bookmarkStart w:id="124" w:name="_Toc152042342"/>
      <w:bookmarkStart w:id="125" w:name="_Toc109826655"/>
      <w:bookmarkStart w:id="126" w:name="_Toc152045566"/>
      <w:bookmarkStart w:id="127" w:name="_Toc1614"/>
      <w:bookmarkStart w:id="128" w:name="_Toc531162004"/>
      <w:bookmarkStart w:id="129" w:name="_Toc283886232"/>
      <w:bookmarkStart w:id="130" w:name="_Toc288556274"/>
      <w:bookmarkStart w:id="131" w:name="_Toc394573920"/>
      <w:bookmarkStart w:id="132" w:name="_Toc282596287"/>
      <w:bookmarkStart w:id="133" w:name="_Toc237769281"/>
      <w:bookmarkStart w:id="134" w:name="_Toc321925409"/>
      <w:bookmarkStart w:id="135" w:name="_Toc372899726"/>
      <w:bookmarkStart w:id="136" w:name="_Toc372899849"/>
      <w:bookmarkStart w:id="137" w:name="_Toc283976523"/>
      <w:bookmarkStart w:id="138" w:name="_Toc237768817"/>
      <w:bookmarkStart w:id="139" w:name="_Toc531162006"/>
      <w:r>
        <w:rPr>
          <w:rFonts w:hint="eastAsia" w:ascii="宋体" w:hAnsi="宋体" w:eastAsia="宋体"/>
          <w:b/>
          <w:bCs/>
        </w:rPr>
        <w:t>7. 合同授予</w:t>
      </w:r>
      <w:bookmarkEnd w:id="121"/>
      <w:bookmarkEnd w:id="122"/>
      <w:bookmarkEnd w:id="123"/>
      <w:bookmarkEnd w:id="124"/>
      <w:bookmarkEnd w:id="125"/>
      <w:bookmarkEnd w:id="126"/>
      <w:bookmarkEnd w:id="127"/>
      <w:bookmarkEnd w:id="128"/>
    </w:p>
    <w:p>
      <w:pPr>
        <w:pStyle w:val="34"/>
        <w:outlineLvl w:val="9"/>
        <w:rPr>
          <w:rFonts w:ascii="宋体" w:hAnsi="宋体" w:eastAsia="宋体"/>
        </w:rPr>
      </w:pPr>
      <w:bookmarkStart w:id="140" w:name="_Toc372899847"/>
      <w:bookmarkStart w:id="141" w:name="_Toc237768815"/>
      <w:bookmarkStart w:id="142" w:name="_Toc109826656"/>
      <w:bookmarkStart w:id="143" w:name="_Toc394573918"/>
      <w:bookmarkStart w:id="144" w:name="_Toc288556272"/>
      <w:bookmarkStart w:id="145" w:name="_Toc531162005"/>
      <w:bookmarkStart w:id="146" w:name="_Toc237769279"/>
      <w:bookmarkStart w:id="147" w:name="_Toc283976521"/>
      <w:bookmarkStart w:id="148" w:name="_Toc283886230"/>
      <w:bookmarkStart w:id="149" w:name="_Toc321925407"/>
      <w:bookmarkStart w:id="150" w:name="_Toc282596285"/>
      <w:bookmarkStart w:id="151" w:name="_Toc372899724"/>
      <w:r>
        <w:rPr>
          <w:rFonts w:hint="eastAsia" w:ascii="宋体" w:hAnsi="宋体" w:eastAsia="宋体"/>
        </w:rPr>
        <w:t>7.1</w:t>
      </w:r>
      <w:bookmarkStart w:id="152" w:name="_Toc155342567"/>
      <w:bookmarkStart w:id="153" w:name="_Toc169487814"/>
      <w:r>
        <w:rPr>
          <w:rFonts w:hint="eastAsia" w:ascii="宋体" w:hAnsi="宋体" w:eastAsia="宋体"/>
        </w:rPr>
        <w:t>中标候选人公示</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pPr>
        <w:spacing w:line="400" w:lineRule="exact"/>
        <w:ind w:firstLine="315" w:firstLineChars="150"/>
        <w:rPr>
          <w:rFonts w:ascii="宋体" w:hAnsi="宋体" w:cs="宋体"/>
          <w:i/>
        </w:rPr>
      </w:pPr>
      <w:r>
        <w:rPr>
          <w:rFonts w:hint="eastAsia" w:ascii="宋体" w:hAnsi="宋体" w:cs="宋体"/>
        </w:rPr>
        <w:t>7.1.1招标人应当将评标委员会推荐的中标候选人在交易场所（发布招标公告的媒体上）进行公示，</w:t>
      </w:r>
      <w:r>
        <w:rPr>
          <w:rFonts w:hint="eastAsia" w:ascii="宋体" w:hAnsi="宋体" w:cs="宋体"/>
          <w:b/>
        </w:rPr>
        <w:t>公示内容还应包括被否决的投标及否决原因，各投标人资信标等内容的评分情况，中标候选人的资信标得分依据（包括业绩、奖项等材料），</w:t>
      </w:r>
      <w:r>
        <w:rPr>
          <w:rFonts w:hint="eastAsia" w:ascii="宋体" w:hAnsi="宋体" w:cs="宋体"/>
        </w:rPr>
        <w:t>公示期不得少于3日（最后一日为工作日）。公示期间，招标人（招标代理机构）应按照《关于在国有投资建设工程项目招投标活动中实行行贿犯罪档案查询制度的通知》（台建规[2010]219号）规定，对中标候选人有无行贿犯罪记录进行查询。公示期间招标人（招标代理）应当对中标候选人项目负责人的在建项目情况进行核查，在公示结束后向招标监管机构提交书面核查意见。</w:t>
      </w:r>
    </w:p>
    <w:p>
      <w:pPr>
        <w:pStyle w:val="8"/>
        <w:spacing w:line="400" w:lineRule="exact"/>
        <w:rPr>
          <w:rFonts w:ascii="宋体" w:hAnsi="宋体" w:cs="宋体"/>
        </w:rPr>
      </w:pPr>
      <w:r>
        <w:rPr>
          <w:rFonts w:hint="eastAsia" w:ascii="宋体" w:hAnsi="宋体" w:cs="宋体"/>
        </w:rPr>
        <w:t>7.1.2</w:t>
      </w:r>
      <w:r>
        <w:rPr>
          <w:rFonts w:hint="eastAsia" w:ascii="宋体" w:hAnsi="宋体" w:cs="宋体"/>
          <w:b/>
        </w:rPr>
        <w:t>属于《中华人民共和国招标投标法实施条例》第二十二条、第四十四条、第五十四条规定事项投诉的，</w:t>
      </w:r>
      <w:r>
        <w:rPr>
          <w:rFonts w:hint="eastAsia" w:ascii="宋体" w:hAnsi="宋体" w:cs="宋体"/>
        </w:rPr>
        <w:t>应当向招标人（招标代理机构）提出（附相关有效证明材料），招标人（招标代理机构）应给予答复。投标人对答复不服或认为招标人（招标代理机构）有违反有关规定及其他弄虚作假情形的，可在接到答复之日起3日内向招标监管机构书面申请核查，并提交相关材料。</w:t>
      </w:r>
    </w:p>
    <w:p>
      <w:pPr>
        <w:spacing w:line="400" w:lineRule="exact"/>
        <w:ind w:firstLine="420" w:firstLineChars="200"/>
        <w:rPr>
          <w:rFonts w:ascii="宋体" w:hAnsi="宋体" w:cs="宋体"/>
        </w:rPr>
      </w:pPr>
      <w:r>
        <w:rPr>
          <w:rFonts w:hint="eastAsia" w:ascii="宋体" w:hAnsi="宋体" w:cs="宋体"/>
        </w:rPr>
        <w:t>7.1.3 涉及中标候选人投标资格、项目负责人在建等情形的，招标人（招标代理机构）可以书面形式要求其进行澄清或说明。中标候选人应自收到书面通知之日起3日内进行澄清或说明。</w:t>
      </w:r>
    </w:p>
    <w:p>
      <w:pPr>
        <w:spacing w:line="400" w:lineRule="exact"/>
        <w:ind w:firstLine="420" w:firstLineChars="200"/>
        <w:rPr>
          <w:rFonts w:ascii="宋体" w:hAnsi="宋体" w:cs="宋体"/>
        </w:rPr>
      </w:pPr>
      <w:r>
        <w:rPr>
          <w:rFonts w:hint="eastAsia" w:ascii="宋体" w:hAnsi="宋体" w:cs="宋体"/>
        </w:rPr>
        <w:t>7.1.4中标候选人有以下情形之一的，其资格无效：</w:t>
      </w:r>
    </w:p>
    <w:p>
      <w:pPr>
        <w:spacing w:line="400" w:lineRule="exact"/>
        <w:ind w:firstLine="420" w:firstLineChars="200"/>
        <w:rPr>
          <w:rFonts w:ascii="宋体" w:hAnsi="宋体" w:cs="宋体"/>
        </w:rPr>
      </w:pPr>
      <w:r>
        <w:rPr>
          <w:rFonts w:hint="eastAsia" w:ascii="宋体" w:hAnsi="宋体" w:cs="宋体"/>
        </w:rPr>
        <w:t>（1）投标资格不符合本章第1.4项规定的；</w:t>
      </w:r>
    </w:p>
    <w:p>
      <w:pPr>
        <w:spacing w:line="400" w:lineRule="exact"/>
        <w:ind w:firstLine="420" w:firstLineChars="200"/>
        <w:rPr>
          <w:rFonts w:ascii="宋体" w:hAnsi="宋体" w:cs="宋体"/>
        </w:rPr>
      </w:pPr>
      <w:r>
        <w:rPr>
          <w:rFonts w:hint="eastAsia" w:ascii="宋体" w:hAnsi="宋体" w:cs="宋体"/>
        </w:rPr>
        <w:t>（2）投标人提供虚假材料骗取投标资格的；</w:t>
      </w:r>
    </w:p>
    <w:p>
      <w:pPr>
        <w:spacing w:line="400" w:lineRule="exact"/>
        <w:ind w:firstLine="420" w:firstLineChars="200"/>
        <w:rPr>
          <w:rFonts w:ascii="宋体" w:hAnsi="宋体" w:cs="宋体"/>
        </w:rPr>
      </w:pPr>
      <w:r>
        <w:rPr>
          <w:rFonts w:hint="eastAsia" w:ascii="宋体" w:hAnsi="宋体" w:cs="宋体"/>
        </w:rPr>
        <w:t>（3）按第三章“评标办法”规定应作无效标处理的；</w:t>
      </w:r>
    </w:p>
    <w:p>
      <w:pPr>
        <w:spacing w:line="400" w:lineRule="exact"/>
        <w:ind w:firstLine="420" w:firstLineChars="200"/>
        <w:rPr>
          <w:rFonts w:ascii="宋体" w:hAnsi="宋体" w:cs="宋体"/>
        </w:rPr>
      </w:pPr>
      <w:r>
        <w:rPr>
          <w:rFonts w:hint="eastAsia" w:ascii="宋体" w:hAnsi="宋体" w:cs="宋体"/>
        </w:rPr>
        <w:t>（4）拒绝按本章第7.1.3款规定进行说明或不能合理说明理由的；</w:t>
      </w:r>
    </w:p>
    <w:p>
      <w:pPr>
        <w:spacing w:line="400" w:lineRule="exact"/>
        <w:ind w:firstLine="420" w:firstLineChars="200"/>
        <w:rPr>
          <w:rFonts w:ascii="宋体" w:hAnsi="宋体" w:cs="宋体"/>
        </w:rPr>
      </w:pPr>
      <w:r>
        <w:rPr>
          <w:rFonts w:hint="eastAsia" w:ascii="宋体" w:hAnsi="宋体" w:cs="宋体"/>
        </w:rPr>
        <w:t>（5）法律法规规定作无效标处理的其它情形。</w:t>
      </w:r>
    </w:p>
    <w:p>
      <w:pPr>
        <w:pStyle w:val="34"/>
        <w:outlineLvl w:val="9"/>
        <w:rPr>
          <w:rFonts w:ascii="宋体" w:hAnsi="宋体" w:eastAsia="宋体"/>
        </w:rPr>
      </w:pPr>
      <w:bookmarkStart w:id="154" w:name="_Toc109826657"/>
      <w:r>
        <w:rPr>
          <w:rFonts w:hint="eastAsia" w:ascii="宋体" w:hAnsi="宋体" w:eastAsia="宋体"/>
        </w:rPr>
        <w:t>7.2中标通知书</w:t>
      </w:r>
      <w:bookmarkEnd w:id="129"/>
      <w:bookmarkEnd w:id="130"/>
      <w:bookmarkEnd w:id="131"/>
      <w:bookmarkEnd w:id="132"/>
      <w:bookmarkEnd w:id="133"/>
      <w:bookmarkEnd w:id="134"/>
      <w:bookmarkEnd w:id="135"/>
      <w:bookmarkEnd w:id="136"/>
      <w:bookmarkEnd w:id="137"/>
      <w:bookmarkEnd w:id="138"/>
      <w:bookmarkEnd w:id="139"/>
      <w:bookmarkEnd w:id="154"/>
    </w:p>
    <w:p>
      <w:pPr>
        <w:pStyle w:val="2"/>
        <w:tabs>
          <w:tab w:val="left" w:pos="574"/>
        </w:tabs>
        <w:spacing w:after="0" w:line="400" w:lineRule="exact"/>
        <w:ind w:firstLine="420" w:firstLineChars="200"/>
        <w:rPr>
          <w:rFonts w:ascii="宋体" w:hAnsi="宋体" w:cs="宋体"/>
        </w:rPr>
      </w:pPr>
      <w:r>
        <w:rPr>
          <w:rFonts w:hint="eastAsia" w:ascii="宋体" w:hAnsi="宋体" w:cs="宋体"/>
          <w:szCs w:val="32"/>
        </w:rPr>
        <w:t>7.2.1招标人应当确定第一中标候选人为中标人。如涉及其他投标人资格无效的，评标结果不作调整。</w:t>
      </w:r>
    </w:p>
    <w:p>
      <w:pPr>
        <w:pStyle w:val="2"/>
        <w:tabs>
          <w:tab w:val="left" w:pos="574"/>
        </w:tabs>
        <w:spacing w:after="0" w:line="400" w:lineRule="exact"/>
        <w:ind w:firstLine="420" w:firstLineChars="200"/>
        <w:rPr>
          <w:rFonts w:ascii="宋体" w:hAnsi="宋体" w:cs="宋体"/>
        </w:rPr>
      </w:pPr>
      <w:r>
        <w:rPr>
          <w:rFonts w:hint="eastAsia" w:ascii="宋体" w:hAnsi="宋体" w:cs="宋体"/>
          <w:szCs w:val="32"/>
        </w:rPr>
        <w:t>第一中标候选人放弃中标，或者因不可抗力提出不能履行合同，或者因违反本章第7.1.4项规定造成其资格无效的，本次招标失败，重新组织招标。</w:t>
      </w:r>
    </w:p>
    <w:p>
      <w:pPr>
        <w:pStyle w:val="2"/>
        <w:tabs>
          <w:tab w:val="left" w:pos="574"/>
        </w:tabs>
        <w:spacing w:after="0" w:line="400" w:lineRule="exact"/>
        <w:ind w:firstLine="420" w:firstLineChars="200"/>
        <w:rPr>
          <w:rFonts w:ascii="宋体" w:hAnsi="宋体" w:cs="宋体"/>
        </w:rPr>
      </w:pPr>
      <w:r>
        <w:rPr>
          <w:rFonts w:hint="eastAsia" w:ascii="宋体" w:hAnsi="宋体" w:cs="宋体"/>
          <w:szCs w:val="32"/>
        </w:rPr>
        <w:t>7.2.2中标人确定后，招标人应当向中标人发出《建设工程中标通知书》。</w:t>
      </w:r>
    </w:p>
    <w:p>
      <w:pPr>
        <w:pStyle w:val="2"/>
        <w:tabs>
          <w:tab w:val="left" w:pos="574"/>
        </w:tabs>
        <w:spacing w:after="0" w:line="400" w:lineRule="exact"/>
        <w:ind w:firstLine="420" w:firstLineChars="200"/>
        <w:rPr>
          <w:rFonts w:ascii="宋体" w:hAnsi="宋体" w:cs="宋体"/>
          <w:szCs w:val="32"/>
        </w:rPr>
      </w:pPr>
      <w:r>
        <w:rPr>
          <w:rFonts w:hint="eastAsia" w:ascii="宋体" w:hAnsi="宋体" w:cs="宋体"/>
          <w:szCs w:val="32"/>
        </w:rPr>
        <w:t>7.2.3招标人在发出《建设工程中标通知书》的同时，应当将中标结果</w:t>
      </w:r>
      <w:r>
        <w:rPr>
          <w:rFonts w:hint="eastAsia" w:ascii="宋体" w:hAnsi="宋体" w:cs="宋体"/>
        </w:rPr>
        <w:t>在交易场所（发布招标公告的媒体上）</w:t>
      </w:r>
      <w:r>
        <w:rPr>
          <w:rFonts w:hint="eastAsia" w:ascii="宋体" w:hAnsi="宋体" w:cs="宋体"/>
          <w:szCs w:val="32"/>
        </w:rPr>
        <w:t>通知所有未中标的投标人。</w:t>
      </w:r>
    </w:p>
    <w:p>
      <w:pPr>
        <w:pStyle w:val="2"/>
        <w:tabs>
          <w:tab w:val="left" w:pos="574"/>
        </w:tabs>
        <w:spacing w:after="0" w:line="400" w:lineRule="exact"/>
        <w:ind w:firstLine="420" w:firstLineChars="200"/>
        <w:rPr>
          <w:color w:val="auto"/>
          <w:szCs w:val="32"/>
          <w:bdr w:val="single" w:color="auto" w:sz="4" w:space="0"/>
        </w:rPr>
      </w:pPr>
      <w:bookmarkStart w:id="155" w:name="_Toc531162007"/>
      <w:r>
        <w:rPr>
          <w:color w:val="auto"/>
          <w:szCs w:val="32"/>
        </w:rPr>
        <w:t>7.2.4《建设工程中标通知书》对招标人和中标人具有法律约束力。《建设工程中标通知书》发出后，如中标人违反法律法规规定而中标无效的，应承担相应的法律责任</w:t>
      </w:r>
      <w:r>
        <w:rPr>
          <w:rFonts w:hint="eastAsia"/>
          <w:color w:val="auto"/>
          <w:szCs w:val="32"/>
        </w:rPr>
        <w:t>，本次招标失败，应重新组织招标。</w:t>
      </w:r>
    </w:p>
    <w:p>
      <w:pPr>
        <w:pStyle w:val="34"/>
        <w:outlineLvl w:val="9"/>
        <w:rPr>
          <w:rFonts w:ascii="宋体" w:hAnsi="宋体" w:eastAsia="宋体"/>
        </w:rPr>
      </w:pPr>
      <w:bookmarkStart w:id="156" w:name="_Toc109826658"/>
      <w:r>
        <w:rPr>
          <w:rFonts w:hint="eastAsia" w:ascii="宋体" w:hAnsi="宋体" w:eastAsia="宋体"/>
        </w:rPr>
        <w:t>7.3合同签订</w:t>
      </w:r>
      <w:bookmarkEnd w:id="155"/>
      <w:bookmarkEnd w:id="156"/>
    </w:p>
    <w:p>
      <w:pPr>
        <w:spacing w:line="400" w:lineRule="exact"/>
        <w:ind w:firstLine="420" w:firstLineChars="200"/>
        <w:rPr>
          <w:color w:val="auto"/>
          <w:szCs w:val="32"/>
        </w:rPr>
      </w:pPr>
      <w:r>
        <w:rPr>
          <w:color w:val="auto"/>
        </w:rPr>
        <w:t>7.3.1</w:t>
      </w:r>
      <w:r>
        <w:rPr>
          <w:rFonts w:hint="eastAsia"/>
          <w:color w:val="auto"/>
          <w:szCs w:val="32"/>
        </w:rPr>
        <w:t>中标人应向招标人提交履约担保。履约担保方式额度详见投标人须知前附表。</w:t>
      </w:r>
    </w:p>
    <w:p>
      <w:pPr>
        <w:spacing w:line="400" w:lineRule="exact"/>
        <w:ind w:firstLine="420" w:firstLineChars="200"/>
        <w:rPr>
          <w:rFonts w:ascii="宋体" w:hAnsi="宋体" w:cs="宋体"/>
          <w:szCs w:val="32"/>
        </w:rPr>
      </w:pPr>
      <w:r>
        <w:rPr>
          <w:rFonts w:hint="eastAsia" w:ascii="宋体" w:hAnsi="宋体" w:cs="宋体"/>
        </w:rPr>
        <w:t>7.3.2</w:t>
      </w:r>
      <w:r>
        <w:rPr>
          <w:rFonts w:hint="eastAsia" w:ascii="宋体" w:hAnsi="宋体" w:cs="宋体"/>
          <w:szCs w:val="32"/>
        </w:rPr>
        <w:t>自《建设工程中标通知书》发出之日起30日内，招标人和中标人应当按照本招标文件和中标人的投标文件订立书面合同。招标人与中标人不得再行订立背离合同实质性内容的其他协议。</w:t>
      </w:r>
    </w:p>
    <w:p>
      <w:pPr>
        <w:spacing w:line="400" w:lineRule="exact"/>
        <w:ind w:firstLine="420" w:firstLineChars="200"/>
        <w:rPr>
          <w:color w:val="auto"/>
          <w:szCs w:val="32"/>
        </w:rPr>
      </w:pPr>
      <w:r>
        <w:rPr>
          <w:rFonts w:hint="eastAsia"/>
          <w:b/>
          <w:color w:val="auto"/>
          <w:szCs w:val="32"/>
        </w:rPr>
        <w:t>7.3.3若中标人无正当理由不与招标人按时订立合同，取消其中标资格，投标保证金不予退还。</w:t>
      </w:r>
    </w:p>
    <w:p>
      <w:pPr>
        <w:spacing w:line="400" w:lineRule="exact"/>
        <w:ind w:firstLine="420" w:firstLineChars="200"/>
        <w:rPr>
          <w:rFonts w:ascii="宋体" w:hAnsi="宋体" w:cs="宋体" w:eastAsiaTheme="minorEastAsia"/>
        </w:rPr>
      </w:pPr>
      <w:r>
        <w:rPr>
          <w:rFonts w:hint="eastAsia" w:ascii="宋体" w:hAnsi="宋体" w:cs="宋体"/>
          <w:szCs w:val="32"/>
        </w:rPr>
        <w:t>7.3.4招标人与中标人应当</w:t>
      </w:r>
      <w:r>
        <w:rPr>
          <w:rFonts w:hint="eastAsia" w:ascii="宋体" w:hAnsi="宋体" w:cs="宋体"/>
        </w:rPr>
        <w:t>按照《关于在我市工程建设领域推行廉政合同的通知》（台纪[2001]19号）的要求签订《廉政合同》。</w:t>
      </w:r>
    </w:p>
    <w:p>
      <w:pPr>
        <w:pStyle w:val="2"/>
        <w:rPr>
          <w:rFonts w:eastAsiaTheme="minorEastAsia"/>
        </w:rPr>
      </w:pPr>
    </w:p>
    <w:p>
      <w:pPr>
        <w:pStyle w:val="35"/>
        <w:jc w:val="center"/>
        <w:outlineLvl w:val="2"/>
        <w:rPr>
          <w:rFonts w:ascii="宋体" w:hAnsi="宋体" w:eastAsia="宋体"/>
          <w:b/>
          <w:bCs/>
        </w:rPr>
      </w:pPr>
      <w:bookmarkStart w:id="157" w:name="_Toc1792"/>
      <w:bookmarkStart w:id="158" w:name="_Toc109826659"/>
      <w:bookmarkStart w:id="159" w:name="_Toc4892"/>
      <w:bookmarkStart w:id="160" w:name="_Toc20658461"/>
      <w:bookmarkStart w:id="161" w:name="_Toc531162008"/>
      <w:r>
        <w:rPr>
          <w:rFonts w:hint="eastAsia" w:ascii="宋体" w:hAnsi="宋体" w:eastAsia="宋体"/>
          <w:b/>
          <w:bCs/>
        </w:rPr>
        <w:t>8.重新招标和不再招标</w:t>
      </w:r>
      <w:bookmarkEnd w:id="157"/>
      <w:bookmarkEnd w:id="158"/>
      <w:bookmarkEnd w:id="159"/>
      <w:bookmarkEnd w:id="160"/>
      <w:bookmarkEnd w:id="161"/>
    </w:p>
    <w:p>
      <w:pPr>
        <w:pStyle w:val="34"/>
        <w:outlineLvl w:val="9"/>
        <w:rPr>
          <w:rFonts w:ascii="宋体" w:hAnsi="宋体" w:eastAsia="宋体"/>
        </w:rPr>
      </w:pPr>
      <w:bookmarkStart w:id="162" w:name="_Toc109826660"/>
      <w:bookmarkStart w:id="163" w:name="_Toc531162009"/>
      <w:r>
        <w:rPr>
          <w:rFonts w:hint="eastAsia" w:ascii="宋体" w:hAnsi="宋体" w:eastAsia="宋体"/>
        </w:rPr>
        <w:t>8.1重新招标</w:t>
      </w:r>
      <w:bookmarkEnd w:id="162"/>
      <w:bookmarkEnd w:id="163"/>
    </w:p>
    <w:p>
      <w:pPr>
        <w:spacing w:line="400" w:lineRule="exact"/>
        <w:ind w:firstLine="420" w:firstLineChars="200"/>
        <w:rPr>
          <w:rFonts w:ascii="宋体" w:hAnsi="宋体" w:cs="宋体"/>
        </w:rPr>
      </w:pPr>
      <w:r>
        <w:rPr>
          <w:rFonts w:hint="eastAsia" w:ascii="宋体" w:hAnsi="宋体" w:cs="宋体"/>
        </w:rPr>
        <w:t>有下列情形之一的，招标人将重新招标：</w:t>
      </w:r>
    </w:p>
    <w:p>
      <w:pPr>
        <w:spacing w:line="400" w:lineRule="exact"/>
        <w:ind w:firstLine="359" w:firstLineChars="171"/>
        <w:rPr>
          <w:rFonts w:ascii="宋体" w:hAnsi="宋体" w:cs="宋体"/>
        </w:rPr>
      </w:pPr>
      <w:r>
        <w:rPr>
          <w:rFonts w:hint="eastAsia" w:ascii="宋体" w:hAnsi="宋体" w:cs="宋体"/>
        </w:rPr>
        <w:t>（1）投标截止时间止，投标人少于3个的；</w:t>
      </w:r>
    </w:p>
    <w:p>
      <w:pPr>
        <w:spacing w:line="400" w:lineRule="exact"/>
        <w:ind w:firstLine="359" w:firstLineChars="171"/>
        <w:rPr>
          <w:rFonts w:ascii="宋体" w:hAnsi="宋体" w:cs="宋体"/>
        </w:rPr>
      </w:pPr>
      <w:r>
        <w:rPr>
          <w:rFonts w:hint="eastAsia" w:ascii="宋体" w:hAnsi="宋体" w:cs="宋体"/>
        </w:rPr>
        <w:t>（2）有效投标少于3个，使得投标明显缺乏竞争，经评标委员会评审后否决所有投标的。</w:t>
      </w:r>
    </w:p>
    <w:p>
      <w:pPr>
        <w:pStyle w:val="34"/>
        <w:outlineLvl w:val="9"/>
        <w:rPr>
          <w:rFonts w:ascii="宋体" w:hAnsi="宋体" w:eastAsia="宋体"/>
        </w:rPr>
      </w:pPr>
      <w:bookmarkStart w:id="164" w:name="_Toc531162010"/>
      <w:bookmarkStart w:id="165" w:name="_Toc109826661"/>
      <w:r>
        <w:rPr>
          <w:rFonts w:hint="eastAsia" w:ascii="宋体" w:hAnsi="宋体" w:eastAsia="宋体"/>
        </w:rPr>
        <w:t>8.2 不再招标</w:t>
      </w:r>
      <w:bookmarkEnd w:id="164"/>
      <w:bookmarkEnd w:id="165"/>
    </w:p>
    <w:p>
      <w:pPr>
        <w:spacing w:line="400" w:lineRule="exact"/>
        <w:ind w:firstLine="420" w:firstLineChars="200"/>
        <w:rPr>
          <w:rFonts w:ascii="宋体" w:hAnsi="宋体" w:cs="宋体"/>
        </w:rPr>
      </w:pPr>
      <w:r>
        <w:rPr>
          <w:rFonts w:hint="eastAsia" w:ascii="宋体" w:hAnsi="宋体" w:cs="宋体"/>
        </w:rPr>
        <w:t>重新招标后投标人仍少于3个的，报经有关行政监督部门批准后可以不再进行招标。</w:t>
      </w:r>
    </w:p>
    <w:p>
      <w:pPr>
        <w:pStyle w:val="35"/>
        <w:jc w:val="center"/>
        <w:outlineLvl w:val="2"/>
        <w:rPr>
          <w:rFonts w:ascii="宋体" w:hAnsi="宋体" w:eastAsia="宋体"/>
          <w:b/>
          <w:bCs/>
        </w:rPr>
      </w:pPr>
      <w:bookmarkStart w:id="166" w:name="_Toc20658462"/>
      <w:bookmarkStart w:id="167" w:name="_Toc31568"/>
      <w:bookmarkStart w:id="168" w:name="_Toc18243"/>
      <w:bookmarkStart w:id="169" w:name="_Toc531162011"/>
      <w:bookmarkStart w:id="170" w:name="_Toc109826662"/>
      <w:r>
        <w:rPr>
          <w:rFonts w:hint="eastAsia" w:ascii="宋体" w:hAnsi="宋体" w:eastAsia="宋体"/>
          <w:b/>
          <w:bCs/>
        </w:rPr>
        <w:t>9. 纪律和监督</w:t>
      </w:r>
      <w:bookmarkEnd w:id="166"/>
      <w:bookmarkEnd w:id="167"/>
      <w:bookmarkEnd w:id="168"/>
      <w:bookmarkEnd w:id="169"/>
      <w:bookmarkEnd w:id="170"/>
    </w:p>
    <w:p>
      <w:pPr>
        <w:pStyle w:val="34"/>
        <w:outlineLvl w:val="9"/>
        <w:rPr>
          <w:rFonts w:ascii="宋体" w:hAnsi="宋体" w:eastAsia="宋体"/>
        </w:rPr>
      </w:pPr>
      <w:bookmarkStart w:id="171" w:name="_Toc531162012"/>
      <w:bookmarkStart w:id="172" w:name="_Toc109826663"/>
      <w:r>
        <w:rPr>
          <w:rFonts w:hint="eastAsia" w:ascii="宋体" w:hAnsi="宋体" w:eastAsia="宋体"/>
        </w:rPr>
        <w:t>9.1 对招标人的纪律要求</w:t>
      </w:r>
      <w:bookmarkEnd w:id="171"/>
      <w:bookmarkEnd w:id="172"/>
    </w:p>
    <w:p>
      <w:pPr>
        <w:spacing w:line="400" w:lineRule="exact"/>
        <w:ind w:firstLine="420" w:firstLineChars="200"/>
        <w:rPr>
          <w:rFonts w:ascii="宋体" w:hAnsi="宋体" w:cs="宋体"/>
        </w:rPr>
      </w:pPr>
      <w:r>
        <w:rPr>
          <w:rFonts w:hint="eastAsia" w:ascii="宋体" w:hAnsi="宋体" w:cs="宋体"/>
        </w:rPr>
        <w:t>招标人不得泄漏招标投标活动中应当保密的情况和资料，不得与投标人串通损害国家利益、社会公共利益或者他人合法权益。</w:t>
      </w:r>
    </w:p>
    <w:p>
      <w:pPr>
        <w:pStyle w:val="34"/>
        <w:outlineLvl w:val="9"/>
        <w:rPr>
          <w:rFonts w:ascii="宋体" w:hAnsi="宋体" w:eastAsia="宋体"/>
        </w:rPr>
      </w:pPr>
      <w:bookmarkStart w:id="173" w:name="_Toc109826664"/>
      <w:bookmarkStart w:id="174" w:name="_Toc531162013"/>
      <w:r>
        <w:rPr>
          <w:rFonts w:hint="eastAsia" w:ascii="宋体" w:hAnsi="宋体" w:eastAsia="宋体"/>
        </w:rPr>
        <w:t>9.2 对投标人的纪律要求</w:t>
      </w:r>
      <w:bookmarkEnd w:id="173"/>
      <w:bookmarkEnd w:id="174"/>
    </w:p>
    <w:p>
      <w:pPr>
        <w:spacing w:line="400" w:lineRule="exact"/>
        <w:ind w:firstLine="420" w:firstLineChars="200"/>
        <w:rPr>
          <w:rFonts w:ascii="宋体" w:hAnsi="宋体" w:cs="宋体"/>
        </w:rPr>
      </w:pPr>
      <w:r>
        <w:rPr>
          <w:rFonts w:hint="eastAsia" w:ascii="宋体" w:hAnsi="宋体" w:cs="宋体"/>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34"/>
        <w:outlineLvl w:val="9"/>
        <w:rPr>
          <w:rFonts w:ascii="宋体" w:hAnsi="宋体" w:eastAsia="宋体"/>
        </w:rPr>
      </w:pPr>
      <w:bookmarkStart w:id="175" w:name="_Toc531162014"/>
      <w:bookmarkStart w:id="176" w:name="_Toc109826665"/>
      <w:r>
        <w:rPr>
          <w:rFonts w:hint="eastAsia" w:ascii="宋体" w:hAnsi="宋体" w:eastAsia="宋体"/>
        </w:rPr>
        <w:t>9.3 对评标委员会成员的纪律要求</w:t>
      </w:r>
      <w:bookmarkEnd w:id="175"/>
      <w:bookmarkEnd w:id="176"/>
    </w:p>
    <w:p>
      <w:pPr>
        <w:spacing w:line="400" w:lineRule="exact"/>
        <w:ind w:firstLine="420" w:firstLineChars="200"/>
        <w:rPr>
          <w:rFonts w:ascii="宋体" w:hAnsi="宋体" w:cs="宋体"/>
        </w:rPr>
      </w:pPr>
      <w:r>
        <w:rPr>
          <w:rFonts w:hint="eastAsia" w:ascii="宋体" w:hAnsi="宋体" w:cs="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34"/>
        <w:outlineLvl w:val="9"/>
        <w:rPr>
          <w:rFonts w:ascii="宋体" w:hAnsi="宋体" w:eastAsia="宋体"/>
        </w:rPr>
      </w:pPr>
      <w:bookmarkStart w:id="177" w:name="_Toc531162015"/>
      <w:bookmarkStart w:id="178" w:name="_Toc109826666"/>
      <w:r>
        <w:rPr>
          <w:rFonts w:hint="eastAsia" w:ascii="宋体" w:hAnsi="宋体" w:eastAsia="宋体"/>
        </w:rPr>
        <w:t>9.4 对与评标活动有关的工作人员的纪律要求</w:t>
      </w:r>
      <w:bookmarkEnd w:id="177"/>
      <w:bookmarkEnd w:id="178"/>
    </w:p>
    <w:p>
      <w:pPr>
        <w:spacing w:line="400" w:lineRule="exact"/>
        <w:ind w:firstLine="420" w:firstLineChars="200"/>
        <w:rPr>
          <w:rFonts w:ascii="宋体" w:hAnsi="宋体" w:cs="宋体"/>
        </w:rPr>
      </w:pPr>
      <w:r>
        <w:rPr>
          <w:rFonts w:hint="eastAsia" w:ascii="宋体" w:hAnsi="宋体" w:cs="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34"/>
        <w:outlineLvl w:val="9"/>
        <w:rPr>
          <w:rFonts w:ascii="宋体" w:hAnsi="宋体" w:eastAsia="宋体"/>
        </w:rPr>
      </w:pPr>
      <w:bookmarkStart w:id="179" w:name="_Toc531162016"/>
      <w:bookmarkStart w:id="180" w:name="_Toc109826667"/>
      <w:r>
        <w:rPr>
          <w:rFonts w:hint="eastAsia" w:ascii="宋体" w:hAnsi="宋体" w:eastAsia="宋体"/>
        </w:rPr>
        <w:t>9.5 投诉</w:t>
      </w:r>
      <w:bookmarkEnd w:id="179"/>
      <w:bookmarkEnd w:id="180"/>
    </w:p>
    <w:p>
      <w:pPr>
        <w:spacing w:line="400" w:lineRule="exact"/>
        <w:ind w:firstLine="420" w:firstLineChars="200"/>
        <w:rPr>
          <w:rFonts w:ascii="宋体" w:hAnsi="宋体" w:cs="宋体"/>
        </w:rPr>
      </w:pPr>
      <w:r>
        <w:rPr>
          <w:rFonts w:hint="eastAsia" w:ascii="宋体" w:hAnsi="宋体" w:cs="宋体"/>
        </w:rPr>
        <w:t>投标人和其他利害关系人认为本次招标活动违反法律、法规和规章规定的，有权向有关行政监督部门投诉。任何单位和个人发现本次招标活动违反法律、法规和规章规定的，有权向有关行政监督部门举报。</w:t>
      </w:r>
    </w:p>
    <w:p>
      <w:pPr>
        <w:pStyle w:val="35"/>
        <w:outlineLvl w:val="2"/>
        <w:rPr>
          <w:rFonts w:ascii="宋体" w:hAnsi="宋体" w:eastAsia="宋体"/>
        </w:rPr>
      </w:pPr>
      <w:bookmarkStart w:id="181" w:name="_Toc20658463"/>
      <w:bookmarkStart w:id="182" w:name="_Toc109826668"/>
      <w:bookmarkStart w:id="183" w:name="_Toc10590"/>
      <w:bookmarkStart w:id="184" w:name="_Toc12664"/>
      <w:bookmarkStart w:id="185" w:name="_Toc531162017"/>
      <w:r>
        <w:rPr>
          <w:rFonts w:hint="eastAsia" w:ascii="宋体" w:hAnsi="宋体" w:eastAsia="宋体"/>
        </w:rPr>
        <w:t>10. 需要补充的其他内容</w:t>
      </w:r>
      <w:bookmarkEnd w:id="181"/>
      <w:bookmarkEnd w:id="182"/>
      <w:bookmarkEnd w:id="183"/>
      <w:bookmarkEnd w:id="184"/>
      <w:bookmarkEnd w:id="185"/>
    </w:p>
    <w:p>
      <w:pPr>
        <w:pStyle w:val="2"/>
        <w:tabs>
          <w:tab w:val="left" w:pos="574"/>
        </w:tabs>
        <w:spacing w:after="0" w:line="400" w:lineRule="exact"/>
        <w:ind w:firstLine="420" w:firstLineChars="200"/>
        <w:rPr>
          <w:rFonts w:ascii="宋体" w:hAnsi="宋体" w:cs="宋体"/>
          <w:szCs w:val="32"/>
        </w:rPr>
      </w:pPr>
      <w:r>
        <w:rPr>
          <w:rFonts w:hint="eastAsia" w:ascii="宋体" w:hAnsi="宋体" w:cs="宋体"/>
        </w:rPr>
        <w:t>需要补充的其他内容：见投标人须知前附表</w:t>
      </w:r>
    </w:p>
    <w:p>
      <w:pPr>
        <w:spacing w:before="154" w:line="228" w:lineRule="auto"/>
        <w:ind w:left="20"/>
        <w:rPr>
          <w:rFonts w:ascii="黑体" w:hAnsi="黑体" w:eastAsia="黑体" w:cs="黑体"/>
          <w:spacing w:val="13"/>
          <w:sz w:val="31"/>
          <w:szCs w:val="31"/>
        </w:rPr>
      </w:pPr>
    </w:p>
    <w:p>
      <w:pPr>
        <w:spacing w:before="154" w:line="228" w:lineRule="auto"/>
        <w:ind w:left="21" w:leftChars="10" w:firstLine="2798" w:firstLineChars="833"/>
        <w:rPr>
          <w:rFonts w:ascii="黑体" w:hAnsi="黑体" w:eastAsia="黑体" w:cs="黑体"/>
          <w:spacing w:val="13"/>
          <w:sz w:val="31"/>
          <w:szCs w:val="31"/>
        </w:rPr>
        <w:sectPr>
          <w:pgSz w:w="11905" w:h="16837"/>
          <w:pgMar w:top="1440" w:right="1080" w:bottom="1440" w:left="1080" w:header="0" w:footer="850" w:gutter="0"/>
          <w:pgNumType w:chapStyle="1"/>
          <w:cols w:space="720" w:num="1"/>
          <w:docGrid w:linePitch="286" w:charSpace="0"/>
        </w:sectPr>
      </w:pPr>
    </w:p>
    <w:p>
      <w:pPr>
        <w:pStyle w:val="5"/>
        <w:jc w:val="center"/>
        <w:rPr>
          <w:rFonts w:ascii="黑体" w:hAnsi="黑体" w:cs="黑体" w:eastAsiaTheme="minorEastAsia"/>
          <w:sz w:val="31"/>
          <w:szCs w:val="31"/>
        </w:rPr>
      </w:pPr>
      <w:bookmarkStart w:id="186" w:name="_Toc109826669"/>
      <w:r>
        <w:rPr>
          <w:rFonts w:ascii="黑体" w:hAnsi="黑体" w:cs="黑体"/>
          <w:spacing w:val="13"/>
          <w:sz w:val="31"/>
          <w:szCs w:val="31"/>
        </w:rPr>
        <w:t>第</w:t>
      </w:r>
      <w:r>
        <w:rPr>
          <w:rFonts w:ascii="黑体" w:hAnsi="黑体" w:cs="黑体"/>
          <w:spacing w:val="7"/>
          <w:sz w:val="31"/>
          <w:szCs w:val="31"/>
        </w:rPr>
        <w:t>三章 评标办法</w:t>
      </w:r>
      <w:bookmarkEnd w:id="186"/>
    </w:p>
    <w:p>
      <w:pPr>
        <w:pStyle w:val="6"/>
        <w:spacing w:after="0" w:line="415" w:lineRule="auto"/>
        <w:jc w:val="center"/>
        <w:rPr>
          <w:rFonts w:ascii="黑体" w:hAnsi="黑体" w:eastAsia="黑体" w:cs="黑体"/>
          <w:sz w:val="28"/>
          <w:szCs w:val="28"/>
        </w:rPr>
      </w:pPr>
      <w:bookmarkStart w:id="187" w:name="_Toc109826670"/>
      <w:r>
        <w:rPr>
          <w:rFonts w:ascii="黑体" w:hAnsi="黑体" w:eastAsia="黑体" w:cs="黑体"/>
          <w:spacing w:val="-2"/>
          <w:sz w:val="28"/>
          <w:szCs w:val="28"/>
        </w:rPr>
        <w:t>评标</w:t>
      </w:r>
      <w:r>
        <w:rPr>
          <w:rFonts w:ascii="黑体" w:hAnsi="黑体" w:eastAsia="黑体" w:cs="黑体"/>
          <w:spacing w:val="-1"/>
          <w:sz w:val="28"/>
          <w:szCs w:val="28"/>
        </w:rPr>
        <w:t>办法前附表</w:t>
      </w:r>
      <w:bookmarkEnd w:id="187"/>
    </w:p>
    <w:tbl>
      <w:tblPr>
        <w:tblStyle w:val="27"/>
        <w:tblW w:w="10059"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1"/>
        <w:gridCol w:w="1335"/>
        <w:gridCol w:w="2946"/>
        <w:gridCol w:w="47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2406" w:type="dxa"/>
            <w:gridSpan w:val="2"/>
          </w:tcPr>
          <w:p>
            <w:pPr>
              <w:spacing w:before="207" w:line="228" w:lineRule="auto"/>
              <w:ind w:left="727"/>
              <w:rPr>
                <w:rFonts w:ascii="宋体" w:hAnsi="宋体" w:eastAsia="宋体" w:cs="宋体"/>
                <w:sz w:val="20"/>
                <w:szCs w:val="20"/>
              </w:rPr>
            </w:pPr>
            <w:r>
              <w:rPr>
                <w:rFonts w:ascii="宋体" w:hAnsi="宋体" w:eastAsia="宋体" w:cs="宋体"/>
                <w:spacing w:val="7"/>
                <w:sz w:val="20"/>
                <w:szCs w:val="20"/>
              </w:rPr>
              <w:t>条款号</w:t>
            </w:r>
          </w:p>
        </w:tc>
        <w:tc>
          <w:tcPr>
            <w:tcW w:w="2946" w:type="dxa"/>
          </w:tcPr>
          <w:p>
            <w:pPr>
              <w:spacing w:before="207" w:line="228" w:lineRule="auto"/>
              <w:ind w:left="854"/>
              <w:rPr>
                <w:rFonts w:ascii="宋体" w:hAnsi="宋体" w:eastAsia="宋体" w:cs="宋体"/>
                <w:sz w:val="20"/>
                <w:szCs w:val="20"/>
              </w:rPr>
            </w:pPr>
            <w:r>
              <w:rPr>
                <w:rFonts w:ascii="宋体" w:hAnsi="宋体" w:eastAsia="宋体" w:cs="宋体"/>
                <w:spacing w:val="9"/>
                <w:sz w:val="20"/>
                <w:szCs w:val="20"/>
              </w:rPr>
              <w:t>评审因</w:t>
            </w:r>
            <w:r>
              <w:rPr>
                <w:rFonts w:ascii="宋体" w:hAnsi="宋体" w:eastAsia="宋体" w:cs="宋体"/>
                <w:spacing w:val="8"/>
                <w:sz w:val="20"/>
                <w:szCs w:val="20"/>
              </w:rPr>
              <w:t>素</w:t>
            </w:r>
          </w:p>
        </w:tc>
        <w:tc>
          <w:tcPr>
            <w:tcW w:w="4707" w:type="dxa"/>
          </w:tcPr>
          <w:p>
            <w:pPr>
              <w:spacing w:before="207" w:line="229" w:lineRule="auto"/>
              <w:ind w:left="1609"/>
              <w:rPr>
                <w:rFonts w:ascii="宋体" w:hAnsi="宋体" w:eastAsia="宋体" w:cs="宋体"/>
                <w:sz w:val="20"/>
                <w:szCs w:val="20"/>
              </w:rPr>
            </w:pPr>
            <w:r>
              <w:rPr>
                <w:rFonts w:ascii="宋体" w:hAnsi="宋体" w:eastAsia="宋体" w:cs="宋体"/>
                <w:spacing w:val="9"/>
                <w:sz w:val="20"/>
                <w:szCs w:val="20"/>
              </w:rPr>
              <w:t>评审标</w:t>
            </w:r>
            <w:r>
              <w:rPr>
                <w:rFonts w:ascii="宋体" w:hAnsi="宋体" w:eastAsia="宋体" w:cs="宋体"/>
                <w:spacing w:val="8"/>
                <w:sz w:val="20"/>
                <w:szCs w:val="20"/>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71" w:type="dxa"/>
            <w:vMerge w:val="restart"/>
            <w:tcBorders>
              <w:bottom w:val="nil"/>
            </w:tcBorders>
          </w:tcPr>
          <w:p>
            <w:pPr>
              <w:spacing w:line="283" w:lineRule="auto"/>
            </w:pPr>
          </w:p>
          <w:p>
            <w:pPr>
              <w:spacing w:line="284" w:lineRule="auto"/>
            </w:pPr>
          </w:p>
          <w:p>
            <w:pPr>
              <w:spacing w:line="284" w:lineRule="auto"/>
            </w:pPr>
          </w:p>
          <w:p>
            <w:pPr>
              <w:spacing w:line="284" w:lineRule="auto"/>
            </w:pPr>
          </w:p>
          <w:p>
            <w:pPr>
              <w:spacing w:line="284" w:lineRule="auto"/>
            </w:pPr>
          </w:p>
          <w:p>
            <w:pPr>
              <w:spacing w:before="57"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.1.1</w:t>
            </w:r>
          </w:p>
        </w:tc>
        <w:tc>
          <w:tcPr>
            <w:tcW w:w="1335" w:type="dxa"/>
            <w:vMerge w:val="restart"/>
            <w:tcBorders>
              <w:bottom w:val="nil"/>
            </w:tcBorders>
          </w:tcPr>
          <w:p>
            <w:pPr>
              <w:spacing w:line="248" w:lineRule="auto"/>
            </w:pPr>
          </w:p>
          <w:p>
            <w:pPr>
              <w:spacing w:line="248" w:lineRule="auto"/>
            </w:pPr>
          </w:p>
          <w:p>
            <w:pPr>
              <w:spacing w:line="248" w:lineRule="auto"/>
            </w:pPr>
          </w:p>
          <w:p>
            <w:pPr>
              <w:spacing w:line="248" w:lineRule="auto"/>
            </w:pPr>
          </w:p>
          <w:p>
            <w:pPr>
              <w:spacing w:line="248" w:lineRule="auto"/>
            </w:pPr>
          </w:p>
          <w:p>
            <w:pPr>
              <w:spacing w:before="65" w:line="265" w:lineRule="auto"/>
              <w:ind w:left="369" w:right="156" w:hanging="209"/>
              <w:rPr>
                <w:rFonts w:ascii="宋体" w:hAnsi="宋体" w:eastAsia="宋体" w:cs="宋体"/>
                <w:sz w:val="20"/>
                <w:szCs w:val="20"/>
              </w:rPr>
            </w:pPr>
            <w:r>
              <w:rPr>
                <w:rFonts w:ascii="宋体" w:hAnsi="宋体" w:eastAsia="宋体" w:cs="宋体"/>
                <w:spacing w:val="9"/>
                <w:sz w:val="20"/>
                <w:szCs w:val="20"/>
              </w:rPr>
              <w:t>形</w:t>
            </w:r>
            <w:r>
              <w:rPr>
                <w:rFonts w:ascii="宋体" w:hAnsi="宋体" w:eastAsia="宋体" w:cs="宋体"/>
                <w:spacing w:val="6"/>
                <w:sz w:val="20"/>
                <w:szCs w:val="20"/>
              </w:rPr>
              <w:t>式评审</w:t>
            </w:r>
            <w:r>
              <w:rPr>
                <w:rFonts w:ascii="宋体" w:hAnsi="宋体" w:eastAsia="宋体" w:cs="宋体"/>
                <w:spacing w:val="4"/>
                <w:sz w:val="20"/>
                <w:szCs w:val="20"/>
              </w:rPr>
              <w:t>标准</w:t>
            </w:r>
          </w:p>
        </w:tc>
        <w:tc>
          <w:tcPr>
            <w:tcW w:w="2946" w:type="dxa"/>
          </w:tcPr>
          <w:p>
            <w:pPr>
              <w:spacing w:before="201" w:line="228" w:lineRule="auto"/>
              <w:ind w:left="646"/>
              <w:rPr>
                <w:rFonts w:ascii="宋体" w:hAnsi="宋体" w:eastAsia="宋体" w:cs="宋体"/>
                <w:sz w:val="20"/>
                <w:szCs w:val="20"/>
              </w:rPr>
            </w:pPr>
            <w:r>
              <w:rPr>
                <w:rFonts w:ascii="宋体" w:hAnsi="宋体" w:eastAsia="宋体" w:cs="宋体"/>
                <w:spacing w:val="8"/>
                <w:sz w:val="20"/>
                <w:szCs w:val="20"/>
              </w:rPr>
              <w:t>投标文件组</w:t>
            </w:r>
            <w:r>
              <w:rPr>
                <w:rFonts w:ascii="宋体" w:hAnsi="宋体" w:eastAsia="宋体" w:cs="宋体"/>
                <w:spacing w:val="7"/>
                <w:sz w:val="20"/>
                <w:szCs w:val="20"/>
              </w:rPr>
              <w:t>成</w:t>
            </w:r>
          </w:p>
        </w:tc>
        <w:tc>
          <w:tcPr>
            <w:tcW w:w="4707" w:type="dxa"/>
          </w:tcPr>
          <w:p>
            <w:pPr>
              <w:spacing w:before="201" w:line="228" w:lineRule="auto"/>
              <w:ind w:left="287"/>
              <w:rPr>
                <w:rFonts w:ascii="宋体" w:hAnsi="宋体" w:eastAsia="宋体" w:cs="宋体"/>
                <w:sz w:val="20"/>
                <w:szCs w:val="20"/>
              </w:rPr>
            </w:pPr>
            <w:r>
              <w:rPr>
                <w:rFonts w:ascii="宋体" w:hAnsi="宋体" w:eastAsia="宋体" w:cs="宋体"/>
                <w:spacing w:val="4"/>
                <w:sz w:val="20"/>
                <w:szCs w:val="20"/>
              </w:rPr>
              <w:t>符合第二章</w:t>
            </w:r>
            <w:r>
              <w:rPr>
                <w:rFonts w:ascii="Times New Roman" w:hAnsi="Times New Roman" w:eastAsia="Times New Roman" w:cs="Times New Roman"/>
                <w:spacing w:val="2"/>
                <w:sz w:val="20"/>
                <w:szCs w:val="20"/>
              </w:rPr>
              <w:t>“</w:t>
            </w:r>
            <w:r>
              <w:rPr>
                <w:rFonts w:ascii="宋体" w:hAnsi="宋体" w:eastAsia="宋体" w:cs="宋体"/>
                <w:spacing w:val="2"/>
                <w:sz w:val="20"/>
                <w:szCs w:val="20"/>
              </w:rPr>
              <w:t>投标人须知</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第 </w:t>
            </w:r>
            <w:r>
              <w:rPr>
                <w:rFonts w:ascii="Times New Roman" w:hAnsi="Times New Roman" w:eastAsia="Times New Roman" w:cs="Times New Roman"/>
                <w:spacing w:val="2"/>
                <w:sz w:val="20"/>
                <w:szCs w:val="20"/>
              </w:rPr>
              <w:t xml:space="preserve">3. 1 </w:t>
            </w:r>
            <w:r>
              <w:rPr>
                <w:rFonts w:ascii="宋体" w:hAnsi="宋体" w:eastAsia="宋体" w:cs="宋体"/>
                <w:spacing w:val="2"/>
                <w:sz w:val="20"/>
                <w:szCs w:val="20"/>
              </w:rPr>
              <w:t>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071" w:type="dxa"/>
            <w:vMerge w:val="continue"/>
            <w:tcBorders>
              <w:top w:val="nil"/>
              <w:bottom w:val="nil"/>
            </w:tcBorders>
          </w:tcPr>
          <w:p/>
        </w:tc>
        <w:tc>
          <w:tcPr>
            <w:tcW w:w="1335" w:type="dxa"/>
            <w:vMerge w:val="continue"/>
            <w:tcBorders>
              <w:top w:val="nil"/>
              <w:bottom w:val="nil"/>
            </w:tcBorders>
          </w:tcPr>
          <w:p/>
        </w:tc>
        <w:tc>
          <w:tcPr>
            <w:tcW w:w="2946" w:type="dxa"/>
            <w:vAlign w:val="center"/>
          </w:tcPr>
          <w:p>
            <w:pPr>
              <w:spacing w:line="360" w:lineRule="auto"/>
              <w:jc w:val="center"/>
              <w:rPr>
                <w:rFonts w:ascii="仿宋" w:hAnsi="仿宋" w:eastAsia="仿宋" w:cs="仿宋"/>
              </w:rPr>
            </w:pPr>
            <w:r>
              <w:rPr>
                <w:rFonts w:hint="eastAsia" w:ascii="仿宋" w:hAnsi="仿宋" w:eastAsia="仿宋" w:cs="仿宋"/>
              </w:rPr>
              <w:t>投标保证金</w:t>
            </w:r>
          </w:p>
        </w:tc>
        <w:tc>
          <w:tcPr>
            <w:tcW w:w="4707" w:type="dxa"/>
            <w:vAlign w:val="center"/>
          </w:tcPr>
          <w:p>
            <w:pPr>
              <w:spacing w:line="360" w:lineRule="auto"/>
              <w:jc w:val="center"/>
              <w:rPr>
                <w:rFonts w:ascii="仿宋" w:hAnsi="仿宋" w:eastAsia="仿宋" w:cs="仿宋"/>
              </w:rPr>
            </w:pPr>
            <w:r>
              <w:rPr>
                <w:rFonts w:hint="eastAsia" w:ascii="仿宋" w:hAnsi="仿宋" w:eastAsia="仿宋" w:cs="仿宋"/>
              </w:rPr>
              <w:t>符合第二章“投标人须知”第3.4.1项规定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71" w:type="dxa"/>
            <w:vMerge w:val="continue"/>
            <w:tcBorders>
              <w:top w:val="nil"/>
              <w:bottom w:val="nil"/>
            </w:tcBorders>
          </w:tcPr>
          <w:p/>
        </w:tc>
        <w:tc>
          <w:tcPr>
            <w:tcW w:w="1335" w:type="dxa"/>
            <w:vMerge w:val="continue"/>
            <w:tcBorders>
              <w:top w:val="nil"/>
              <w:bottom w:val="nil"/>
            </w:tcBorders>
          </w:tcPr>
          <w:p/>
        </w:tc>
        <w:tc>
          <w:tcPr>
            <w:tcW w:w="2946" w:type="dxa"/>
            <w:vAlign w:val="center"/>
          </w:tcPr>
          <w:p>
            <w:pPr>
              <w:spacing w:line="360" w:lineRule="auto"/>
              <w:jc w:val="center"/>
              <w:rPr>
                <w:rFonts w:ascii="仿宋" w:hAnsi="仿宋" w:eastAsia="仿宋" w:cs="仿宋"/>
              </w:rPr>
            </w:pPr>
            <w:r>
              <w:rPr>
                <w:rFonts w:hint="eastAsia" w:ascii="仿宋" w:hAnsi="仿宋" w:eastAsia="仿宋" w:cs="仿宋"/>
              </w:rPr>
              <w:t>投标文件格式</w:t>
            </w:r>
          </w:p>
        </w:tc>
        <w:tc>
          <w:tcPr>
            <w:tcW w:w="4707" w:type="dxa"/>
            <w:vAlign w:val="center"/>
          </w:tcPr>
          <w:p>
            <w:pPr>
              <w:spacing w:line="360" w:lineRule="auto"/>
              <w:jc w:val="center"/>
              <w:rPr>
                <w:rFonts w:ascii="仿宋" w:hAnsi="仿宋" w:eastAsia="仿宋" w:cs="仿宋"/>
              </w:rPr>
            </w:pPr>
            <w:r>
              <w:rPr>
                <w:rFonts w:hint="eastAsia" w:ascii="仿宋" w:hAnsi="仿宋" w:eastAsia="仿宋" w:cs="仿宋"/>
              </w:rPr>
              <w:t>符合第二章“投标人须知”第3.6.1项规定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71" w:type="dxa"/>
            <w:vMerge w:val="continue"/>
            <w:tcBorders>
              <w:top w:val="nil"/>
              <w:bottom w:val="nil"/>
            </w:tcBorders>
            <w:vAlign w:val="center"/>
          </w:tcPr>
          <w:p/>
        </w:tc>
        <w:tc>
          <w:tcPr>
            <w:tcW w:w="1335" w:type="dxa"/>
            <w:vMerge w:val="continue"/>
            <w:tcBorders>
              <w:top w:val="nil"/>
              <w:bottom w:val="nil"/>
            </w:tcBorders>
            <w:vAlign w:val="center"/>
          </w:tcPr>
          <w:p/>
        </w:tc>
        <w:tc>
          <w:tcPr>
            <w:tcW w:w="2946" w:type="dxa"/>
            <w:vAlign w:val="center"/>
          </w:tcPr>
          <w:p>
            <w:pPr>
              <w:spacing w:line="360" w:lineRule="auto"/>
              <w:jc w:val="center"/>
              <w:rPr>
                <w:rFonts w:ascii="仿宋" w:hAnsi="仿宋" w:eastAsia="仿宋" w:cs="仿宋"/>
              </w:rPr>
            </w:pPr>
            <w:r>
              <w:rPr>
                <w:rFonts w:hint="eastAsia" w:ascii="仿宋" w:hAnsi="仿宋" w:eastAsia="仿宋" w:cs="仿宋"/>
              </w:rPr>
              <w:t>投标文件签字盖章</w:t>
            </w:r>
          </w:p>
        </w:tc>
        <w:tc>
          <w:tcPr>
            <w:tcW w:w="4707" w:type="dxa"/>
            <w:vAlign w:val="center"/>
          </w:tcPr>
          <w:p>
            <w:pPr>
              <w:spacing w:line="360" w:lineRule="auto"/>
              <w:jc w:val="center"/>
              <w:rPr>
                <w:rFonts w:ascii="仿宋" w:hAnsi="仿宋" w:eastAsia="仿宋" w:cs="仿宋"/>
              </w:rPr>
            </w:pPr>
            <w:r>
              <w:rPr>
                <w:rFonts w:hint="eastAsia" w:ascii="仿宋" w:hAnsi="仿宋" w:eastAsia="仿宋" w:cs="仿宋"/>
              </w:rPr>
              <w:t>符合第二章“投标人须知”第3.6.2项规定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71" w:type="dxa"/>
            <w:vMerge w:val="continue"/>
            <w:tcBorders>
              <w:top w:val="nil"/>
            </w:tcBorders>
          </w:tcPr>
          <w:p/>
        </w:tc>
        <w:tc>
          <w:tcPr>
            <w:tcW w:w="1335" w:type="dxa"/>
            <w:vMerge w:val="continue"/>
            <w:tcBorders>
              <w:top w:val="nil"/>
            </w:tcBorders>
          </w:tcPr>
          <w:p/>
        </w:tc>
        <w:tc>
          <w:tcPr>
            <w:tcW w:w="2946" w:type="dxa"/>
          </w:tcPr>
          <w:p>
            <w:pPr>
              <w:spacing w:before="204" w:line="227" w:lineRule="auto"/>
              <w:ind w:left="853"/>
              <w:rPr>
                <w:rFonts w:ascii="宋体" w:hAnsi="宋体" w:eastAsia="宋体" w:cs="宋体"/>
                <w:sz w:val="20"/>
                <w:szCs w:val="20"/>
              </w:rPr>
            </w:pPr>
            <w:r>
              <w:rPr>
                <w:rFonts w:ascii="宋体" w:hAnsi="宋体" w:eastAsia="宋体" w:cs="宋体"/>
                <w:spacing w:val="8"/>
                <w:sz w:val="20"/>
                <w:szCs w:val="20"/>
              </w:rPr>
              <w:t>报价唯</w:t>
            </w:r>
            <w:r>
              <w:rPr>
                <w:rFonts w:ascii="宋体" w:hAnsi="宋体" w:eastAsia="宋体" w:cs="宋体"/>
                <w:spacing w:val="7"/>
                <w:sz w:val="20"/>
                <w:szCs w:val="20"/>
              </w:rPr>
              <w:t>一</w:t>
            </w:r>
          </w:p>
        </w:tc>
        <w:tc>
          <w:tcPr>
            <w:tcW w:w="4707" w:type="dxa"/>
          </w:tcPr>
          <w:p>
            <w:pPr>
              <w:spacing w:before="204" w:line="229" w:lineRule="auto"/>
              <w:ind w:left="1099"/>
              <w:rPr>
                <w:rFonts w:ascii="宋体" w:hAnsi="宋体" w:eastAsia="宋体" w:cs="宋体"/>
                <w:sz w:val="20"/>
                <w:szCs w:val="20"/>
              </w:rPr>
            </w:pPr>
            <w:r>
              <w:rPr>
                <w:rFonts w:ascii="宋体" w:hAnsi="宋体" w:eastAsia="宋体" w:cs="宋体"/>
                <w:spacing w:val="12"/>
                <w:sz w:val="20"/>
                <w:szCs w:val="20"/>
              </w:rPr>
              <w:t>只</w:t>
            </w:r>
            <w:r>
              <w:rPr>
                <w:rFonts w:ascii="宋体" w:hAnsi="宋体" w:eastAsia="宋体" w:cs="宋体"/>
                <w:spacing w:val="7"/>
                <w:sz w:val="20"/>
                <w:szCs w:val="20"/>
              </w:rPr>
              <w:t>能有一个有效报价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071" w:type="dxa"/>
          </w:tcPr>
          <w:p>
            <w:pPr>
              <w:spacing w:before="240"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1.2</w:t>
            </w:r>
          </w:p>
        </w:tc>
        <w:tc>
          <w:tcPr>
            <w:tcW w:w="1335" w:type="dxa"/>
          </w:tcPr>
          <w:p>
            <w:pPr>
              <w:spacing w:before="67" w:line="255" w:lineRule="auto"/>
              <w:ind w:left="370" w:right="156" w:hanging="203"/>
              <w:rPr>
                <w:rFonts w:ascii="宋体" w:hAnsi="宋体" w:eastAsia="宋体" w:cs="宋体"/>
                <w:sz w:val="20"/>
                <w:szCs w:val="20"/>
              </w:rPr>
            </w:pPr>
            <w:r>
              <w:rPr>
                <w:rFonts w:ascii="宋体" w:hAnsi="宋体" w:eastAsia="宋体" w:cs="宋体"/>
                <w:spacing w:val="5"/>
                <w:sz w:val="20"/>
                <w:szCs w:val="20"/>
              </w:rPr>
              <w:t>资格评审</w:t>
            </w:r>
            <w:r>
              <w:rPr>
                <w:rFonts w:ascii="宋体" w:hAnsi="宋体" w:eastAsia="宋体" w:cs="宋体"/>
                <w:spacing w:val="4"/>
                <w:sz w:val="20"/>
                <w:szCs w:val="20"/>
              </w:rPr>
              <w:t>标准</w:t>
            </w:r>
          </w:p>
        </w:tc>
        <w:tc>
          <w:tcPr>
            <w:tcW w:w="2946" w:type="dxa"/>
          </w:tcPr>
          <w:p>
            <w:pPr>
              <w:spacing w:before="205" w:line="227" w:lineRule="auto"/>
              <w:ind w:left="751"/>
              <w:rPr>
                <w:rFonts w:ascii="宋体" w:hAnsi="宋体" w:eastAsia="宋体" w:cs="宋体"/>
                <w:sz w:val="20"/>
                <w:szCs w:val="20"/>
              </w:rPr>
            </w:pPr>
            <w:r>
              <w:rPr>
                <w:rFonts w:ascii="宋体" w:hAnsi="宋体" w:eastAsia="宋体" w:cs="宋体"/>
                <w:spacing w:val="10"/>
                <w:sz w:val="20"/>
                <w:szCs w:val="20"/>
              </w:rPr>
              <w:t>投</w:t>
            </w:r>
            <w:r>
              <w:rPr>
                <w:rFonts w:ascii="宋体" w:hAnsi="宋体" w:eastAsia="宋体" w:cs="宋体"/>
                <w:spacing w:val="7"/>
                <w:sz w:val="20"/>
                <w:szCs w:val="20"/>
              </w:rPr>
              <w:t>标人资格</w:t>
            </w:r>
          </w:p>
        </w:tc>
        <w:tc>
          <w:tcPr>
            <w:tcW w:w="4707" w:type="dxa"/>
          </w:tcPr>
          <w:p>
            <w:pPr>
              <w:spacing w:before="204" w:line="228" w:lineRule="auto"/>
              <w:ind w:left="287"/>
              <w:rPr>
                <w:rFonts w:ascii="宋体" w:hAnsi="宋体" w:eastAsia="宋体" w:cs="宋体"/>
                <w:sz w:val="20"/>
                <w:szCs w:val="20"/>
              </w:rPr>
            </w:pPr>
            <w:r>
              <w:rPr>
                <w:rFonts w:ascii="宋体" w:hAnsi="宋体" w:eastAsia="宋体" w:cs="宋体"/>
                <w:spacing w:val="5"/>
                <w:sz w:val="20"/>
                <w:szCs w:val="20"/>
              </w:rPr>
              <w:t>符合第二章</w:t>
            </w:r>
            <w:r>
              <w:rPr>
                <w:rFonts w:ascii="Times New Roman" w:hAnsi="Times New Roman" w:eastAsia="Times New Roman" w:cs="Times New Roman"/>
                <w:spacing w:val="5"/>
                <w:sz w:val="20"/>
                <w:szCs w:val="20"/>
              </w:rPr>
              <w:t>“</w:t>
            </w:r>
            <w:r>
              <w:rPr>
                <w:rFonts w:ascii="宋体" w:hAnsi="宋体" w:eastAsia="宋体" w:cs="宋体"/>
                <w:spacing w:val="5"/>
                <w:sz w:val="20"/>
                <w:szCs w:val="20"/>
              </w:rPr>
              <w:t>投标人须知</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第 </w:t>
            </w:r>
            <w:r>
              <w:rPr>
                <w:rFonts w:ascii="Times New Roman" w:hAnsi="Times New Roman" w:eastAsia="Times New Roman" w:cs="Times New Roman"/>
                <w:spacing w:val="5"/>
                <w:sz w:val="20"/>
                <w:szCs w:val="20"/>
              </w:rPr>
              <w:t>1.4</w:t>
            </w:r>
            <w:r>
              <w:rPr>
                <w:rFonts w:hint="eastAsia" w:ascii="Times New Roman" w:hAnsi="Times New Roman" w:cs="Times New Roman" w:eastAsiaTheme="minorEastAsia"/>
                <w:spacing w:val="5"/>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款规</w:t>
            </w:r>
            <w:r>
              <w:rPr>
                <w:rFonts w:ascii="宋体" w:hAnsi="宋体" w:eastAsia="宋体" w:cs="宋体"/>
                <w:spacing w:val="4"/>
                <w:sz w:val="20"/>
                <w:szCs w:val="20"/>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71" w:type="dxa"/>
            <w:vMerge w:val="restart"/>
            <w:tcBorders>
              <w:bottom w:val="nil"/>
            </w:tcBorders>
          </w:tcPr>
          <w:p>
            <w:pPr>
              <w:spacing w:line="310" w:lineRule="auto"/>
            </w:pPr>
          </w:p>
          <w:p>
            <w:pPr>
              <w:spacing w:line="310" w:lineRule="auto"/>
            </w:pPr>
          </w:p>
          <w:p>
            <w:pPr>
              <w:spacing w:before="57"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2. 1.3</w:t>
            </w:r>
          </w:p>
        </w:tc>
        <w:tc>
          <w:tcPr>
            <w:tcW w:w="1335" w:type="dxa"/>
            <w:vMerge w:val="restart"/>
            <w:tcBorders>
              <w:bottom w:val="nil"/>
            </w:tcBorders>
          </w:tcPr>
          <w:p>
            <w:pPr>
              <w:spacing w:line="280" w:lineRule="auto"/>
            </w:pPr>
          </w:p>
          <w:p>
            <w:pPr>
              <w:spacing w:line="281" w:lineRule="auto"/>
            </w:pPr>
          </w:p>
          <w:p>
            <w:pPr>
              <w:spacing w:before="65" w:line="267" w:lineRule="auto"/>
              <w:ind w:left="270" w:right="156" w:hanging="101"/>
              <w:rPr>
                <w:rFonts w:ascii="宋体" w:hAnsi="宋体" w:eastAsia="宋体" w:cs="宋体"/>
                <w:sz w:val="20"/>
                <w:szCs w:val="20"/>
              </w:rPr>
            </w:pPr>
            <w:r>
              <w:rPr>
                <w:rFonts w:ascii="宋体" w:hAnsi="宋体" w:eastAsia="宋体" w:cs="宋体"/>
                <w:spacing w:val="6"/>
                <w:sz w:val="20"/>
                <w:szCs w:val="20"/>
              </w:rPr>
              <w:t>响</w:t>
            </w:r>
            <w:r>
              <w:rPr>
                <w:rFonts w:ascii="宋体" w:hAnsi="宋体" w:eastAsia="宋体" w:cs="宋体"/>
                <w:spacing w:val="4"/>
                <w:sz w:val="20"/>
                <w:szCs w:val="20"/>
              </w:rPr>
              <w:t>应性评</w:t>
            </w:r>
            <w:r>
              <w:rPr>
                <w:rFonts w:ascii="宋体" w:hAnsi="宋体" w:eastAsia="宋体" w:cs="宋体"/>
                <w:spacing w:val="6"/>
                <w:sz w:val="20"/>
                <w:szCs w:val="20"/>
              </w:rPr>
              <w:t>审</w:t>
            </w:r>
            <w:r>
              <w:rPr>
                <w:rFonts w:ascii="宋体" w:hAnsi="宋体" w:eastAsia="宋体" w:cs="宋体"/>
                <w:spacing w:val="4"/>
                <w:sz w:val="20"/>
                <w:szCs w:val="20"/>
              </w:rPr>
              <w:t>标准</w:t>
            </w:r>
          </w:p>
        </w:tc>
        <w:tc>
          <w:tcPr>
            <w:tcW w:w="2946" w:type="dxa"/>
          </w:tcPr>
          <w:p>
            <w:pPr>
              <w:spacing w:before="204" w:line="229" w:lineRule="auto"/>
              <w:ind w:left="1066"/>
              <w:rPr>
                <w:rFonts w:ascii="宋体" w:hAnsi="宋体" w:eastAsia="宋体" w:cs="宋体"/>
                <w:sz w:val="20"/>
                <w:szCs w:val="20"/>
              </w:rPr>
            </w:pPr>
            <w:r>
              <w:rPr>
                <w:rFonts w:ascii="宋体" w:hAnsi="宋体" w:eastAsia="宋体" w:cs="宋体"/>
                <w:spacing w:val="4"/>
                <w:sz w:val="20"/>
                <w:szCs w:val="20"/>
              </w:rPr>
              <w:t>工</w:t>
            </w:r>
            <w:r>
              <w:rPr>
                <w:rFonts w:ascii="宋体" w:hAnsi="宋体" w:eastAsia="宋体" w:cs="宋体"/>
                <w:spacing w:val="3"/>
                <w:sz w:val="20"/>
                <w:szCs w:val="20"/>
              </w:rPr>
              <w:t>期</w:t>
            </w:r>
          </w:p>
        </w:tc>
        <w:tc>
          <w:tcPr>
            <w:tcW w:w="4707" w:type="dxa"/>
          </w:tcPr>
          <w:p>
            <w:pPr>
              <w:spacing w:before="203" w:line="228" w:lineRule="auto"/>
              <w:ind w:left="208"/>
              <w:rPr>
                <w:rFonts w:ascii="宋体" w:hAnsi="宋体" w:eastAsia="宋体" w:cs="宋体"/>
                <w:sz w:val="20"/>
                <w:szCs w:val="20"/>
              </w:rPr>
            </w:pPr>
            <w:r>
              <w:rPr>
                <w:rFonts w:ascii="宋体" w:hAnsi="宋体" w:eastAsia="宋体" w:cs="宋体"/>
                <w:spacing w:val="5"/>
                <w:sz w:val="20"/>
                <w:szCs w:val="20"/>
              </w:rPr>
              <w:t>符合第二章</w:t>
            </w:r>
            <w:r>
              <w:rPr>
                <w:rFonts w:ascii="Times New Roman" w:hAnsi="Times New Roman" w:eastAsia="Times New Roman" w:cs="Times New Roman"/>
                <w:spacing w:val="5"/>
                <w:sz w:val="20"/>
                <w:szCs w:val="20"/>
              </w:rPr>
              <w:t>“</w:t>
            </w:r>
            <w:r>
              <w:rPr>
                <w:rFonts w:ascii="宋体" w:hAnsi="宋体" w:eastAsia="宋体" w:cs="宋体"/>
                <w:spacing w:val="5"/>
                <w:sz w:val="20"/>
                <w:szCs w:val="20"/>
              </w:rPr>
              <w:t>投标人须知</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第 </w:t>
            </w:r>
            <w:r>
              <w:rPr>
                <w:rFonts w:ascii="Times New Roman" w:hAnsi="Times New Roman" w:eastAsia="Times New Roman" w:cs="Times New Roman"/>
                <w:spacing w:val="5"/>
                <w:sz w:val="20"/>
                <w:szCs w:val="20"/>
              </w:rPr>
              <w:t xml:space="preserve">1.3.2 </w:t>
            </w:r>
            <w:r>
              <w:rPr>
                <w:rFonts w:ascii="宋体" w:hAnsi="宋体" w:eastAsia="宋体" w:cs="宋体"/>
                <w:spacing w:val="5"/>
                <w:sz w:val="20"/>
                <w:szCs w:val="20"/>
              </w:rPr>
              <w:t>项规</w:t>
            </w:r>
            <w:r>
              <w:rPr>
                <w:rFonts w:ascii="宋体" w:hAnsi="宋体" w:eastAsia="宋体" w:cs="宋体"/>
                <w:spacing w:val="3"/>
                <w:sz w:val="20"/>
                <w:szCs w:val="20"/>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071" w:type="dxa"/>
            <w:vMerge w:val="continue"/>
            <w:tcBorders>
              <w:top w:val="nil"/>
              <w:bottom w:val="nil"/>
            </w:tcBorders>
          </w:tcPr>
          <w:p/>
        </w:tc>
        <w:tc>
          <w:tcPr>
            <w:tcW w:w="1335" w:type="dxa"/>
            <w:vMerge w:val="continue"/>
            <w:tcBorders>
              <w:top w:val="nil"/>
              <w:bottom w:val="nil"/>
            </w:tcBorders>
          </w:tcPr>
          <w:p/>
        </w:tc>
        <w:tc>
          <w:tcPr>
            <w:tcW w:w="2946" w:type="dxa"/>
          </w:tcPr>
          <w:p>
            <w:pPr>
              <w:spacing w:before="205" w:line="229" w:lineRule="auto"/>
              <w:ind w:left="857"/>
              <w:rPr>
                <w:rFonts w:ascii="宋体" w:hAnsi="宋体" w:eastAsia="宋体" w:cs="宋体"/>
                <w:sz w:val="20"/>
                <w:szCs w:val="20"/>
              </w:rPr>
            </w:pPr>
            <w:r>
              <w:rPr>
                <w:rFonts w:ascii="宋体" w:hAnsi="宋体" w:eastAsia="宋体" w:cs="宋体"/>
                <w:spacing w:val="9"/>
                <w:sz w:val="20"/>
                <w:szCs w:val="20"/>
              </w:rPr>
              <w:t>工</w:t>
            </w:r>
            <w:r>
              <w:rPr>
                <w:rFonts w:ascii="宋体" w:hAnsi="宋体" w:eastAsia="宋体" w:cs="宋体"/>
                <w:spacing w:val="6"/>
                <w:sz w:val="20"/>
                <w:szCs w:val="20"/>
              </w:rPr>
              <w:t>程质量</w:t>
            </w:r>
          </w:p>
        </w:tc>
        <w:tc>
          <w:tcPr>
            <w:tcW w:w="4707" w:type="dxa"/>
          </w:tcPr>
          <w:p>
            <w:pPr>
              <w:spacing w:before="204" w:line="228" w:lineRule="auto"/>
              <w:ind w:left="208"/>
              <w:rPr>
                <w:rFonts w:ascii="宋体" w:hAnsi="宋体" w:eastAsia="宋体" w:cs="宋体"/>
                <w:sz w:val="20"/>
                <w:szCs w:val="20"/>
              </w:rPr>
            </w:pPr>
            <w:r>
              <w:rPr>
                <w:rFonts w:ascii="宋体" w:hAnsi="宋体" w:eastAsia="宋体" w:cs="宋体"/>
                <w:spacing w:val="5"/>
                <w:sz w:val="20"/>
                <w:szCs w:val="20"/>
              </w:rPr>
              <w:t>符合第二章</w:t>
            </w:r>
            <w:r>
              <w:rPr>
                <w:rFonts w:ascii="Times New Roman" w:hAnsi="Times New Roman" w:eastAsia="Times New Roman" w:cs="Times New Roman"/>
                <w:spacing w:val="5"/>
                <w:sz w:val="20"/>
                <w:szCs w:val="20"/>
              </w:rPr>
              <w:t>“</w:t>
            </w:r>
            <w:r>
              <w:rPr>
                <w:rFonts w:ascii="宋体" w:hAnsi="宋体" w:eastAsia="宋体" w:cs="宋体"/>
                <w:spacing w:val="5"/>
                <w:sz w:val="20"/>
                <w:szCs w:val="20"/>
              </w:rPr>
              <w:t>投标人须知</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第 </w:t>
            </w:r>
            <w:r>
              <w:rPr>
                <w:rFonts w:ascii="Times New Roman" w:hAnsi="Times New Roman" w:eastAsia="Times New Roman" w:cs="Times New Roman"/>
                <w:spacing w:val="5"/>
                <w:sz w:val="20"/>
                <w:szCs w:val="20"/>
              </w:rPr>
              <w:t xml:space="preserve">1.3.3 </w:t>
            </w:r>
            <w:r>
              <w:rPr>
                <w:rFonts w:ascii="宋体" w:hAnsi="宋体" w:eastAsia="宋体" w:cs="宋体"/>
                <w:spacing w:val="5"/>
                <w:sz w:val="20"/>
                <w:szCs w:val="20"/>
              </w:rPr>
              <w:t>项规</w:t>
            </w:r>
            <w:r>
              <w:rPr>
                <w:rFonts w:ascii="宋体" w:hAnsi="宋体" w:eastAsia="宋体" w:cs="宋体"/>
                <w:spacing w:val="3"/>
                <w:sz w:val="20"/>
                <w:szCs w:val="20"/>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1071" w:type="dxa"/>
            <w:vMerge w:val="continue"/>
            <w:tcBorders>
              <w:top w:val="nil"/>
            </w:tcBorders>
          </w:tcPr>
          <w:p/>
        </w:tc>
        <w:tc>
          <w:tcPr>
            <w:tcW w:w="1335" w:type="dxa"/>
            <w:vMerge w:val="continue"/>
            <w:tcBorders>
              <w:top w:val="nil"/>
            </w:tcBorders>
          </w:tcPr>
          <w:p/>
        </w:tc>
        <w:tc>
          <w:tcPr>
            <w:tcW w:w="2946" w:type="dxa"/>
          </w:tcPr>
          <w:p>
            <w:pPr>
              <w:spacing w:before="263" w:line="227" w:lineRule="auto"/>
              <w:ind w:left="857"/>
              <w:rPr>
                <w:rFonts w:ascii="宋体" w:hAnsi="宋体" w:eastAsia="宋体" w:cs="宋体"/>
                <w:sz w:val="20"/>
                <w:szCs w:val="20"/>
              </w:rPr>
            </w:pPr>
            <w:r>
              <w:rPr>
                <w:rFonts w:ascii="宋体" w:hAnsi="宋体" w:eastAsia="宋体" w:cs="宋体"/>
                <w:spacing w:val="9"/>
                <w:sz w:val="20"/>
                <w:szCs w:val="20"/>
              </w:rPr>
              <w:t>投</w:t>
            </w:r>
            <w:r>
              <w:rPr>
                <w:rFonts w:ascii="宋体" w:hAnsi="宋体" w:eastAsia="宋体" w:cs="宋体"/>
                <w:spacing w:val="6"/>
                <w:sz w:val="20"/>
                <w:szCs w:val="20"/>
              </w:rPr>
              <w:t>标报价</w:t>
            </w:r>
          </w:p>
        </w:tc>
        <w:tc>
          <w:tcPr>
            <w:tcW w:w="4707" w:type="dxa"/>
          </w:tcPr>
          <w:p>
            <w:pPr>
              <w:spacing w:before="263" w:line="228" w:lineRule="auto"/>
              <w:ind w:left="287"/>
              <w:rPr>
                <w:rFonts w:ascii="宋体" w:hAnsi="宋体" w:eastAsia="宋体" w:cs="宋体"/>
                <w:sz w:val="20"/>
                <w:szCs w:val="20"/>
              </w:rPr>
            </w:pPr>
            <w:r>
              <w:rPr>
                <w:rFonts w:ascii="宋体" w:hAnsi="宋体" w:eastAsia="宋体" w:cs="宋体"/>
                <w:spacing w:val="5"/>
                <w:sz w:val="20"/>
                <w:szCs w:val="20"/>
              </w:rPr>
              <w:t>符合第五章</w:t>
            </w:r>
            <w:r>
              <w:rPr>
                <w:rFonts w:ascii="Times New Roman" w:hAnsi="Times New Roman" w:eastAsia="Times New Roman" w:cs="Times New Roman"/>
                <w:spacing w:val="5"/>
                <w:sz w:val="20"/>
                <w:szCs w:val="20"/>
              </w:rPr>
              <w:t>“</w:t>
            </w:r>
            <w:r>
              <w:rPr>
                <w:rFonts w:ascii="宋体" w:hAnsi="宋体" w:eastAsia="宋体" w:cs="宋体"/>
                <w:spacing w:val="5"/>
                <w:sz w:val="20"/>
                <w:szCs w:val="20"/>
              </w:rPr>
              <w:t>工程量清单</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第 </w:t>
            </w:r>
            <w:r>
              <w:rPr>
                <w:rFonts w:ascii="Times New Roman" w:hAnsi="Times New Roman" w:eastAsia="Times New Roman" w:cs="Times New Roman"/>
                <w:spacing w:val="5"/>
                <w:sz w:val="20"/>
                <w:szCs w:val="20"/>
              </w:rPr>
              <w:t>2.</w:t>
            </w:r>
            <w:r>
              <w:rPr>
                <w:rFonts w:hint="eastAsia" w:ascii="Times New Roman" w:hAnsi="Times New Roman" w:cs="Times New Roman" w:eastAsiaTheme="minorEastAsia"/>
                <w:spacing w:val="5"/>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款规</w:t>
            </w:r>
            <w:r>
              <w:rPr>
                <w:rFonts w:ascii="宋体" w:hAnsi="宋体" w:eastAsia="宋体" w:cs="宋体"/>
                <w:spacing w:val="4"/>
                <w:sz w:val="20"/>
                <w:szCs w:val="20"/>
              </w:rPr>
              <w:t>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071" w:type="dxa"/>
          </w:tcPr>
          <w:p>
            <w:pPr>
              <w:spacing w:before="242" w:line="198"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1.4</w:t>
            </w:r>
          </w:p>
        </w:tc>
        <w:tc>
          <w:tcPr>
            <w:tcW w:w="1335" w:type="dxa"/>
          </w:tcPr>
          <w:p>
            <w:pPr>
              <w:spacing w:before="69" w:line="254" w:lineRule="auto"/>
              <w:ind w:left="157" w:right="156" w:firstLine="19"/>
              <w:rPr>
                <w:rFonts w:ascii="宋体" w:hAnsi="宋体" w:eastAsia="宋体" w:cs="宋体"/>
                <w:sz w:val="20"/>
                <w:szCs w:val="20"/>
              </w:rPr>
            </w:pPr>
            <w:r>
              <w:rPr>
                <w:rFonts w:ascii="宋体" w:hAnsi="宋体" w:eastAsia="宋体" w:cs="宋体"/>
                <w:spacing w:val="4"/>
                <w:sz w:val="20"/>
                <w:szCs w:val="20"/>
              </w:rPr>
              <w:t>串</w:t>
            </w:r>
            <w:r>
              <w:rPr>
                <w:rFonts w:ascii="宋体" w:hAnsi="宋体" w:eastAsia="宋体" w:cs="宋体"/>
                <w:spacing w:val="2"/>
                <w:sz w:val="20"/>
                <w:szCs w:val="20"/>
              </w:rPr>
              <w:t>通投标</w:t>
            </w:r>
            <w:r>
              <w:rPr>
                <w:rFonts w:ascii="宋体" w:hAnsi="宋体" w:eastAsia="宋体" w:cs="宋体"/>
                <w:spacing w:val="9"/>
                <w:sz w:val="20"/>
                <w:szCs w:val="20"/>
              </w:rPr>
              <w:t>评</w:t>
            </w:r>
            <w:r>
              <w:rPr>
                <w:rFonts w:ascii="宋体" w:hAnsi="宋体" w:eastAsia="宋体" w:cs="宋体"/>
                <w:spacing w:val="7"/>
                <w:sz w:val="20"/>
                <w:szCs w:val="20"/>
              </w:rPr>
              <w:t>审标准</w:t>
            </w:r>
          </w:p>
        </w:tc>
        <w:tc>
          <w:tcPr>
            <w:tcW w:w="7653" w:type="dxa"/>
            <w:gridSpan w:val="2"/>
          </w:tcPr>
          <w:p>
            <w:pPr>
              <w:spacing w:before="206" w:line="228" w:lineRule="auto"/>
              <w:ind w:left="1331"/>
              <w:rPr>
                <w:rFonts w:ascii="宋体" w:hAnsi="宋体" w:eastAsia="宋体" w:cs="宋体"/>
                <w:sz w:val="20"/>
                <w:szCs w:val="20"/>
              </w:rPr>
            </w:pPr>
            <w:r>
              <w:rPr>
                <w:rFonts w:ascii="宋体" w:hAnsi="宋体" w:eastAsia="宋体" w:cs="宋体"/>
                <w:spacing w:val="2"/>
                <w:sz w:val="20"/>
                <w:szCs w:val="20"/>
              </w:rPr>
              <w:t xml:space="preserve">存在本章 </w:t>
            </w:r>
            <w:r>
              <w:rPr>
                <w:rFonts w:ascii="Times New Roman" w:hAnsi="Times New Roman" w:eastAsia="Times New Roman" w:cs="Times New Roman"/>
                <w:spacing w:val="2"/>
                <w:sz w:val="20"/>
                <w:szCs w:val="20"/>
              </w:rPr>
              <w:t xml:space="preserve">3. 1.2 </w:t>
            </w:r>
            <w:r>
              <w:rPr>
                <w:rFonts w:ascii="宋体" w:hAnsi="宋体" w:eastAsia="宋体" w:cs="宋体"/>
                <w:spacing w:val="2"/>
                <w:sz w:val="20"/>
                <w:szCs w:val="20"/>
              </w:rPr>
              <w:t>项、</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 xml:space="preserve"> 1.3 </w:t>
            </w:r>
            <w:r>
              <w:rPr>
                <w:rFonts w:ascii="宋体" w:hAnsi="宋体" w:eastAsia="宋体" w:cs="宋体"/>
                <w:spacing w:val="1"/>
                <w:sz w:val="20"/>
                <w:szCs w:val="20"/>
              </w:rPr>
              <w:t>项规定情形之一的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1071" w:type="dxa"/>
          </w:tcPr>
          <w:p>
            <w:pPr>
              <w:spacing w:before="251" w:line="195" w:lineRule="auto"/>
              <w:ind w:left="3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.2</w:t>
            </w:r>
          </w:p>
        </w:tc>
        <w:tc>
          <w:tcPr>
            <w:tcW w:w="1335" w:type="dxa"/>
          </w:tcPr>
          <w:p>
            <w:pPr>
              <w:spacing w:before="79" w:line="259" w:lineRule="auto"/>
              <w:ind w:left="369" w:right="156" w:hanging="209"/>
              <w:rPr>
                <w:rFonts w:ascii="宋体" w:hAnsi="宋体" w:eastAsia="宋体" w:cs="宋体"/>
                <w:sz w:val="20"/>
                <w:szCs w:val="20"/>
              </w:rPr>
            </w:pPr>
            <w:r>
              <w:rPr>
                <w:rFonts w:ascii="宋体" w:hAnsi="宋体" w:eastAsia="宋体" w:cs="宋体"/>
                <w:spacing w:val="9"/>
                <w:sz w:val="20"/>
                <w:szCs w:val="20"/>
              </w:rPr>
              <w:t>详</w:t>
            </w:r>
            <w:r>
              <w:rPr>
                <w:rFonts w:ascii="宋体" w:hAnsi="宋体" w:eastAsia="宋体" w:cs="宋体"/>
                <w:spacing w:val="6"/>
                <w:sz w:val="20"/>
                <w:szCs w:val="20"/>
              </w:rPr>
              <w:t>细评审</w:t>
            </w:r>
            <w:r>
              <w:rPr>
                <w:rFonts w:ascii="宋体" w:hAnsi="宋体" w:eastAsia="宋体" w:cs="宋体"/>
                <w:spacing w:val="4"/>
                <w:sz w:val="20"/>
                <w:szCs w:val="20"/>
              </w:rPr>
              <w:t>标准</w:t>
            </w:r>
          </w:p>
        </w:tc>
        <w:tc>
          <w:tcPr>
            <w:tcW w:w="2946" w:type="dxa"/>
          </w:tcPr>
          <w:p>
            <w:pPr>
              <w:spacing w:before="215" w:line="229" w:lineRule="auto"/>
              <w:ind w:left="748"/>
              <w:rPr>
                <w:rFonts w:ascii="宋体" w:hAnsi="宋体" w:eastAsia="宋体" w:cs="宋体"/>
                <w:sz w:val="20"/>
                <w:szCs w:val="20"/>
              </w:rPr>
            </w:pPr>
            <w:r>
              <w:rPr>
                <w:rFonts w:ascii="宋体" w:hAnsi="宋体" w:eastAsia="宋体" w:cs="宋体"/>
                <w:spacing w:val="9"/>
                <w:sz w:val="20"/>
                <w:szCs w:val="20"/>
              </w:rPr>
              <w:t>评</w:t>
            </w:r>
            <w:r>
              <w:rPr>
                <w:rFonts w:ascii="宋体" w:hAnsi="宋体" w:eastAsia="宋体" w:cs="宋体"/>
                <w:spacing w:val="8"/>
                <w:sz w:val="20"/>
                <w:szCs w:val="20"/>
              </w:rPr>
              <w:t>审和评分</w:t>
            </w:r>
          </w:p>
        </w:tc>
        <w:tc>
          <w:tcPr>
            <w:tcW w:w="4707" w:type="dxa"/>
          </w:tcPr>
          <w:p>
            <w:pPr>
              <w:spacing w:before="215" w:line="228" w:lineRule="auto"/>
              <w:ind w:left="1102"/>
              <w:rPr>
                <w:rFonts w:ascii="Times New Roman" w:hAnsi="Times New Roman" w:eastAsia="Times New Roman" w:cs="Times New Roman"/>
                <w:sz w:val="20"/>
                <w:szCs w:val="20"/>
              </w:rPr>
            </w:pPr>
            <w:r>
              <w:rPr>
                <w:rFonts w:ascii="宋体" w:hAnsi="宋体" w:eastAsia="宋体" w:cs="宋体"/>
                <w:spacing w:val="12"/>
                <w:sz w:val="20"/>
                <w:szCs w:val="20"/>
              </w:rPr>
              <w:t>详见</w:t>
            </w:r>
            <w:r>
              <w:rPr>
                <w:rFonts w:ascii="Times New Roman" w:hAnsi="Times New Roman" w:eastAsia="Times New Roman" w:cs="Times New Roman"/>
                <w:spacing w:val="12"/>
                <w:sz w:val="20"/>
                <w:szCs w:val="20"/>
              </w:rPr>
              <w:t>“</w:t>
            </w:r>
            <w:r>
              <w:rPr>
                <w:rFonts w:ascii="宋体" w:hAnsi="宋体" w:eastAsia="宋体" w:cs="宋体"/>
                <w:spacing w:val="12"/>
                <w:sz w:val="20"/>
                <w:szCs w:val="20"/>
              </w:rPr>
              <w:t>评标办法附件</w:t>
            </w:r>
            <w:r>
              <w:rPr>
                <w:rFonts w:ascii="Times New Roman" w:hAnsi="Times New Roman" w:eastAsia="Times New Roman" w:cs="Times New Roman"/>
                <w:spacing w:val="11"/>
                <w:sz w:val="20"/>
                <w:szCs w:val="20"/>
              </w:rPr>
              <w:t>”</w:t>
            </w:r>
          </w:p>
        </w:tc>
      </w:tr>
    </w:tbl>
    <w:p/>
    <w:p>
      <w:pPr>
        <w:pStyle w:val="6"/>
        <w:jc w:val="center"/>
        <w:rPr>
          <w:rFonts w:ascii="Times New Roman" w:hAnsi="Times New Roman" w:eastAsia="Times New Roman" w:cs="Times New Roman"/>
          <w:spacing w:val="-4"/>
          <w:sz w:val="28"/>
          <w:szCs w:val="28"/>
        </w:rPr>
      </w:pPr>
      <w:bookmarkStart w:id="188" w:name="_bookmark19"/>
      <w:bookmarkEnd w:id="188"/>
    </w:p>
    <w:p>
      <w:pPr>
        <w:pStyle w:val="6"/>
        <w:jc w:val="center"/>
        <w:rPr>
          <w:rFonts w:ascii="Times New Roman" w:hAnsi="Times New Roman" w:eastAsia="Times New Roman" w:cs="Times New Roman"/>
          <w:spacing w:val="-4"/>
          <w:sz w:val="28"/>
          <w:szCs w:val="28"/>
        </w:rPr>
      </w:pPr>
    </w:p>
    <w:p>
      <w:pPr>
        <w:pStyle w:val="6"/>
        <w:jc w:val="both"/>
        <w:rPr>
          <w:rFonts w:ascii="Times New Roman" w:hAnsi="Times New Roman" w:eastAsia="Times New Roman" w:cs="Times New Roman"/>
          <w:spacing w:val="-4"/>
          <w:sz w:val="28"/>
          <w:szCs w:val="28"/>
        </w:rPr>
      </w:pPr>
    </w:p>
    <w:p/>
    <w:p/>
    <w:p/>
    <w:p/>
    <w:p/>
    <w:p/>
    <w:p/>
    <w:p/>
    <w:p>
      <w:pPr>
        <w:jc w:val="center"/>
        <w:rPr>
          <w:b/>
          <w:bCs/>
          <w:sz w:val="28"/>
          <w:szCs w:val="28"/>
        </w:rPr>
      </w:pPr>
      <w:r>
        <w:rPr>
          <w:b/>
          <w:bCs/>
          <w:sz w:val="28"/>
          <w:szCs w:val="28"/>
        </w:rPr>
        <w:t>1.  评标方法</w:t>
      </w:r>
    </w:p>
    <w:p>
      <w:pPr>
        <w:spacing w:line="360" w:lineRule="auto"/>
        <w:ind w:firstLine="420" w:firstLineChars="200"/>
      </w:pPr>
    </w:p>
    <w:p>
      <w:pPr>
        <w:spacing w:line="360" w:lineRule="auto"/>
        <w:ind w:firstLine="420" w:firstLineChars="200"/>
      </w:pPr>
      <w:r>
        <w:rPr>
          <w:rFonts w:asciiTheme="minorEastAsia" w:hAnsiTheme="minorEastAsia" w:eastAsiaTheme="minorEastAsia"/>
        </w:rPr>
        <w:t>本次评标办法见评标办法附件。评标委员会对满足招标文件实质性要求的投标文件，按照本章第 2.2 款规定的评分标准进行评审和评分，并推荐中标候选人</w:t>
      </w:r>
      <w:r>
        <w:t>。</w:t>
      </w:r>
    </w:p>
    <w:p>
      <w:pPr>
        <w:pStyle w:val="6"/>
        <w:spacing w:line="360" w:lineRule="auto"/>
        <w:jc w:val="center"/>
        <w:rPr>
          <w:rFonts w:ascii="黑体" w:hAnsi="黑体" w:eastAsia="黑体" w:cs="黑体"/>
          <w:sz w:val="28"/>
          <w:szCs w:val="28"/>
        </w:rPr>
      </w:pPr>
      <w:bookmarkStart w:id="189" w:name="_Toc109826671"/>
      <w:r>
        <w:rPr>
          <w:rFonts w:ascii="Times New Roman" w:hAnsi="Times New Roman" w:eastAsia="Times New Roman" w:cs="Times New Roman"/>
          <w:spacing w:val="-1"/>
          <w:sz w:val="28"/>
          <w:szCs w:val="28"/>
        </w:rPr>
        <w:t xml:space="preserve">2.  </w:t>
      </w:r>
      <w:r>
        <w:rPr>
          <w:rFonts w:ascii="黑体" w:hAnsi="黑体" w:eastAsia="黑体" w:cs="黑体"/>
          <w:spacing w:val="-1"/>
          <w:sz w:val="28"/>
          <w:szCs w:val="28"/>
        </w:rPr>
        <w:t>评</w:t>
      </w:r>
      <w:r>
        <w:rPr>
          <w:rFonts w:ascii="黑体" w:hAnsi="黑体" w:eastAsia="黑体" w:cs="黑体"/>
          <w:sz w:val="28"/>
          <w:szCs w:val="28"/>
        </w:rPr>
        <w:t>审标准</w:t>
      </w:r>
      <w:bookmarkEnd w:id="189"/>
    </w:p>
    <w:p>
      <w:pPr>
        <w:spacing w:line="360" w:lineRule="auto"/>
        <w:rPr>
          <w:rFonts w:cs="黑体" w:asciiTheme="minorEastAsia" w:hAnsiTheme="minorEastAsia" w:eastAsiaTheme="minorEastAsia"/>
        </w:rPr>
      </w:pPr>
      <w:r>
        <w:rPr>
          <w:rFonts w:cs="Times New Roman" w:asciiTheme="minorEastAsia" w:hAnsiTheme="minorEastAsia" w:eastAsiaTheme="minorEastAsia"/>
          <w:spacing w:val="2"/>
        </w:rPr>
        <w:t>2.</w:t>
      </w:r>
      <w:r>
        <w:rPr>
          <w:rFonts w:cs="Times New Roman" w:asciiTheme="minorEastAsia" w:hAnsiTheme="minorEastAsia" w:eastAsiaTheme="minorEastAsia"/>
          <w:spacing w:val="1"/>
        </w:rPr>
        <w:t xml:space="preserve"> 1  </w:t>
      </w:r>
      <w:r>
        <w:rPr>
          <w:rFonts w:cs="黑体" w:asciiTheme="minorEastAsia" w:hAnsiTheme="minorEastAsia" w:eastAsiaTheme="minorEastAsia"/>
          <w:spacing w:val="1"/>
        </w:rPr>
        <w:t>初步评审标准</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4"/>
        </w:rPr>
        <w:t xml:space="preserve">2. 1. 1 </w:t>
      </w:r>
      <w:r>
        <w:rPr>
          <w:rFonts w:cs="宋体" w:asciiTheme="minorEastAsia" w:hAnsiTheme="minorEastAsia" w:eastAsiaTheme="minorEastAsia"/>
          <w:spacing w:val="2"/>
        </w:rPr>
        <w:t>形式评审标准：见评标办法前附表。</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5"/>
        </w:rPr>
        <w:t xml:space="preserve">2. 1.2  </w:t>
      </w:r>
      <w:r>
        <w:rPr>
          <w:rFonts w:cs="宋体" w:asciiTheme="minorEastAsia" w:hAnsiTheme="minorEastAsia" w:eastAsiaTheme="minorEastAsia"/>
          <w:spacing w:val="5"/>
        </w:rPr>
        <w:t>资格评审标准：见评标办法前附表</w:t>
      </w:r>
      <w:r>
        <w:rPr>
          <w:rFonts w:cs="宋体" w:asciiTheme="minorEastAsia" w:hAnsiTheme="minorEastAsia" w:eastAsiaTheme="minorEastAsia"/>
          <w:spacing w:val="2"/>
        </w:rPr>
        <w:t>。</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6"/>
        </w:rPr>
        <w:t>2</w:t>
      </w:r>
      <w:r>
        <w:rPr>
          <w:rFonts w:cs="Times New Roman" w:asciiTheme="minorEastAsia" w:hAnsiTheme="minorEastAsia" w:eastAsiaTheme="minorEastAsia"/>
          <w:spacing w:val="5"/>
        </w:rPr>
        <w:t xml:space="preserve">. 1.3  </w:t>
      </w:r>
      <w:r>
        <w:rPr>
          <w:rFonts w:cs="宋体" w:asciiTheme="minorEastAsia" w:hAnsiTheme="minorEastAsia" w:eastAsiaTheme="minorEastAsia"/>
          <w:spacing w:val="5"/>
        </w:rPr>
        <w:t>响应性评审标准：见评标办法前附表。</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10"/>
        </w:rPr>
        <w:t>2</w:t>
      </w:r>
      <w:r>
        <w:rPr>
          <w:rFonts w:cs="Times New Roman" w:asciiTheme="minorEastAsia" w:hAnsiTheme="minorEastAsia" w:eastAsiaTheme="minorEastAsia"/>
          <w:spacing w:val="9"/>
        </w:rPr>
        <w:t>.</w:t>
      </w:r>
      <w:r>
        <w:rPr>
          <w:rFonts w:cs="Times New Roman" w:asciiTheme="minorEastAsia" w:hAnsiTheme="minorEastAsia" w:eastAsiaTheme="minorEastAsia"/>
          <w:spacing w:val="5"/>
        </w:rPr>
        <w:t xml:space="preserve"> 1.4 </w:t>
      </w:r>
      <w:r>
        <w:rPr>
          <w:rFonts w:cs="宋体" w:asciiTheme="minorEastAsia" w:hAnsiTheme="minorEastAsia" w:eastAsiaTheme="minorEastAsia"/>
          <w:spacing w:val="5"/>
        </w:rPr>
        <w:t>串通投标评审标准：见评标办法前附表。</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8"/>
        </w:rPr>
        <w:t>2</w:t>
      </w:r>
      <w:r>
        <w:rPr>
          <w:rFonts w:cs="Times New Roman" w:asciiTheme="minorEastAsia" w:hAnsiTheme="minorEastAsia" w:eastAsiaTheme="minorEastAsia"/>
          <w:spacing w:val="5"/>
        </w:rPr>
        <w:t xml:space="preserve">. 1.5 </w:t>
      </w:r>
      <w:r>
        <w:rPr>
          <w:rFonts w:cs="宋体" w:asciiTheme="minorEastAsia" w:hAnsiTheme="minorEastAsia" w:eastAsiaTheme="minorEastAsia"/>
          <w:spacing w:val="5"/>
        </w:rPr>
        <w:t>成本价评审标准：见评标办法前附表。</w:t>
      </w:r>
    </w:p>
    <w:p>
      <w:pPr>
        <w:spacing w:line="360" w:lineRule="auto"/>
        <w:rPr>
          <w:rFonts w:cs="黑体" w:asciiTheme="minorEastAsia" w:hAnsiTheme="minorEastAsia" w:eastAsiaTheme="minorEastAsia"/>
        </w:rPr>
      </w:pPr>
      <w:r>
        <w:rPr>
          <w:rFonts w:cs="Times New Roman" w:asciiTheme="minorEastAsia" w:hAnsiTheme="minorEastAsia" w:eastAsiaTheme="minorEastAsia"/>
          <w:spacing w:val="11"/>
        </w:rPr>
        <w:t>2</w:t>
      </w:r>
      <w:r>
        <w:rPr>
          <w:rFonts w:cs="Times New Roman" w:asciiTheme="minorEastAsia" w:hAnsiTheme="minorEastAsia" w:eastAsiaTheme="minorEastAsia"/>
          <w:spacing w:val="7"/>
        </w:rPr>
        <w:t xml:space="preserve">.2  </w:t>
      </w:r>
      <w:r>
        <w:rPr>
          <w:rFonts w:cs="黑体" w:asciiTheme="minorEastAsia" w:hAnsiTheme="minorEastAsia" w:eastAsiaTheme="minorEastAsia"/>
          <w:spacing w:val="7"/>
        </w:rPr>
        <w:t>分值构成与评分标准</w:t>
      </w:r>
    </w:p>
    <w:p>
      <w:pPr>
        <w:spacing w:line="360" w:lineRule="auto"/>
        <w:rPr>
          <w:rFonts w:ascii="宋体" w:hAnsi="宋体" w:eastAsia="宋体" w:cs="宋体"/>
          <w:sz w:val="20"/>
          <w:szCs w:val="20"/>
        </w:rPr>
      </w:pPr>
      <w:r>
        <w:rPr>
          <w:rFonts w:cs="宋体" w:asciiTheme="minorEastAsia" w:hAnsiTheme="minorEastAsia" w:eastAsiaTheme="minorEastAsia"/>
          <w:spacing w:val="16"/>
        </w:rPr>
        <w:t>分</w:t>
      </w:r>
      <w:r>
        <w:rPr>
          <w:rFonts w:cs="宋体" w:asciiTheme="minorEastAsia" w:hAnsiTheme="minorEastAsia" w:eastAsiaTheme="minorEastAsia"/>
          <w:spacing w:val="14"/>
        </w:rPr>
        <w:t>值</w:t>
      </w:r>
      <w:r>
        <w:rPr>
          <w:rFonts w:cs="宋体" w:asciiTheme="minorEastAsia" w:hAnsiTheme="minorEastAsia" w:eastAsiaTheme="minorEastAsia"/>
          <w:spacing w:val="8"/>
        </w:rPr>
        <w:t>构成与评分标准：见评标办法附件。</w:t>
      </w:r>
    </w:p>
    <w:p>
      <w:pPr>
        <w:pStyle w:val="6"/>
        <w:jc w:val="center"/>
        <w:rPr>
          <w:rFonts w:ascii="黑体" w:hAnsi="黑体" w:eastAsia="黑体" w:cs="黑体"/>
          <w:sz w:val="28"/>
          <w:szCs w:val="28"/>
        </w:rPr>
      </w:pPr>
      <w:bookmarkStart w:id="190" w:name="_Toc109826672"/>
      <w:r>
        <w:rPr>
          <w:rFonts w:ascii="Times New Roman" w:hAnsi="Times New Roman" w:eastAsia="Times New Roman" w:cs="Times New Roman"/>
          <w:spacing w:val="-2"/>
          <w:sz w:val="28"/>
          <w:szCs w:val="28"/>
        </w:rPr>
        <w:t xml:space="preserve">3. </w:t>
      </w:r>
      <w:r>
        <w:rPr>
          <w:rFonts w:ascii="黑体" w:hAnsi="黑体" w:eastAsia="黑体" w:cs="黑体"/>
          <w:spacing w:val="-1"/>
          <w:sz w:val="28"/>
          <w:szCs w:val="28"/>
        </w:rPr>
        <w:t>评标程序</w:t>
      </w:r>
      <w:bookmarkEnd w:id="190"/>
    </w:p>
    <w:p>
      <w:pPr>
        <w:rPr>
          <w:rFonts w:cs="黑体" w:asciiTheme="minorEastAsia" w:hAnsiTheme="minorEastAsia" w:eastAsiaTheme="minorEastAsia"/>
        </w:rPr>
      </w:pPr>
      <w:r>
        <w:rPr>
          <w:rFonts w:cs="Times New Roman" w:asciiTheme="minorEastAsia" w:hAnsiTheme="minorEastAsia" w:eastAsiaTheme="minorEastAsia"/>
          <w:spacing w:val="-1"/>
        </w:rPr>
        <w:t xml:space="preserve">3. 1  </w:t>
      </w:r>
      <w:r>
        <w:rPr>
          <w:rFonts w:cs="黑体" w:asciiTheme="minorEastAsia" w:hAnsiTheme="minorEastAsia" w:eastAsiaTheme="minorEastAsia"/>
          <w:spacing w:val="-1"/>
        </w:rPr>
        <w:t>初步评审</w:t>
      </w:r>
    </w:p>
    <w:p>
      <w:pPr>
        <w:spacing w:before="31" w:line="339" w:lineRule="auto"/>
        <w:ind w:left="19" w:right="3" w:firstLine="421"/>
        <w:rPr>
          <w:rFonts w:cs="宋体" w:asciiTheme="minorEastAsia" w:hAnsiTheme="minorEastAsia" w:eastAsiaTheme="minorEastAsia"/>
        </w:rPr>
      </w:pPr>
      <w:r>
        <w:rPr>
          <w:rFonts w:cs="Times New Roman" w:asciiTheme="minorEastAsia" w:hAnsiTheme="minorEastAsia" w:eastAsiaTheme="minorEastAsia"/>
          <w:spacing w:val="-4"/>
        </w:rPr>
        <w:t xml:space="preserve">3. 1. 1  </w:t>
      </w:r>
      <w:r>
        <w:rPr>
          <w:rFonts w:cs="宋体" w:asciiTheme="minorEastAsia" w:hAnsiTheme="minorEastAsia" w:eastAsiaTheme="minorEastAsia"/>
          <w:spacing w:val="-4"/>
        </w:rPr>
        <w:t>评标委员会依据本章</w:t>
      </w:r>
      <w:r>
        <w:rPr>
          <w:rFonts w:cs="宋体" w:asciiTheme="minorEastAsia" w:hAnsiTheme="minorEastAsia" w:eastAsiaTheme="minorEastAsia"/>
          <w:spacing w:val="-3"/>
        </w:rPr>
        <w:t>第</w:t>
      </w:r>
      <w:r>
        <w:rPr>
          <w:rFonts w:cs="Times New Roman" w:asciiTheme="minorEastAsia" w:hAnsiTheme="minorEastAsia" w:eastAsiaTheme="minorEastAsia"/>
          <w:spacing w:val="-2"/>
        </w:rPr>
        <w:t xml:space="preserve">2. 1. 1 </w:t>
      </w:r>
      <w:r>
        <w:rPr>
          <w:rFonts w:cs="宋体" w:asciiTheme="minorEastAsia" w:hAnsiTheme="minorEastAsia" w:eastAsiaTheme="minorEastAsia"/>
          <w:spacing w:val="-2"/>
        </w:rPr>
        <w:t xml:space="preserve">项、第 </w:t>
      </w:r>
      <w:r>
        <w:rPr>
          <w:rFonts w:cs="Times New Roman" w:asciiTheme="minorEastAsia" w:hAnsiTheme="minorEastAsia" w:eastAsiaTheme="minorEastAsia"/>
          <w:spacing w:val="-2"/>
        </w:rPr>
        <w:t xml:space="preserve">2. 1.2 </w:t>
      </w:r>
      <w:r>
        <w:rPr>
          <w:rFonts w:cs="宋体" w:asciiTheme="minorEastAsia" w:hAnsiTheme="minorEastAsia" w:eastAsiaTheme="minorEastAsia"/>
          <w:spacing w:val="-2"/>
        </w:rPr>
        <w:t xml:space="preserve">项、第 </w:t>
      </w:r>
      <w:r>
        <w:rPr>
          <w:rFonts w:cs="Times New Roman" w:asciiTheme="minorEastAsia" w:hAnsiTheme="minorEastAsia" w:eastAsiaTheme="minorEastAsia"/>
          <w:spacing w:val="-2"/>
        </w:rPr>
        <w:t xml:space="preserve">2. 1.3 </w:t>
      </w:r>
      <w:r>
        <w:rPr>
          <w:rFonts w:cs="宋体" w:asciiTheme="minorEastAsia" w:hAnsiTheme="minorEastAsia" w:eastAsiaTheme="minorEastAsia"/>
          <w:spacing w:val="-2"/>
        </w:rPr>
        <w:t>项规定的评审标准对投标文</w:t>
      </w:r>
      <w:r>
        <w:rPr>
          <w:rFonts w:cs="宋体" w:asciiTheme="minorEastAsia" w:hAnsiTheme="minorEastAsia" w:eastAsiaTheme="minorEastAsia"/>
          <w:spacing w:val="16"/>
        </w:rPr>
        <w:t>件</w:t>
      </w:r>
      <w:r>
        <w:rPr>
          <w:rFonts w:cs="宋体" w:asciiTheme="minorEastAsia" w:hAnsiTheme="minorEastAsia" w:eastAsiaTheme="minorEastAsia"/>
          <w:spacing w:val="9"/>
        </w:rPr>
        <w:t>进行初步评审。有一项不符合评审标准的，作无效标处理。</w:t>
      </w:r>
    </w:p>
    <w:p>
      <w:pPr>
        <w:spacing w:line="340" w:lineRule="auto"/>
        <w:ind w:left="38" w:right="11" w:firstLine="401"/>
        <w:rPr>
          <w:rFonts w:cs="宋体" w:asciiTheme="minorEastAsia" w:hAnsiTheme="minorEastAsia" w:eastAsiaTheme="minorEastAsia"/>
        </w:rPr>
      </w:pPr>
      <w:r>
        <w:rPr>
          <w:rFonts w:cs="Times New Roman" w:asciiTheme="minorEastAsia" w:hAnsiTheme="minorEastAsia" w:eastAsiaTheme="minorEastAsia"/>
          <w:spacing w:val="13"/>
        </w:rPr>
        <w:t>3</w:t>
      </w:r>
      <w:r>
        <w:rPr>
          <w:rFonts w:cs="Times New Roman" w:asciiTheme="minorEastAsia" w:hAnsiTheme="minorEastAsia" w:eastAsiaTheme="minorEastAsia"/>
          <w:spacing w:val="9"/>
        </w:rPr>
        <w:t xml:space="preserve">. 1.2 </w:t>
      </w:r>
      <w:r>
        <w:rPr>
          <w:rFonts w:cs="宋体" w:asciiTheme="minorEastAsia" w:hAnsiTheme="minorEastAsia" w:eastAsiaTheme="minorEastAsia"/>
          <w:spacing w:val="9"/>
        </w:rPr>
        <w:t>评标委员会在评审过程中发现投标人的投标文件存在以下情形之一的，应认定为</w:t>
      </w:r>
      <w:r>
        <w:rPr>
          <w:rFonts w:cs="宋体" w:asciiTheme="minorEastAsia" w:hAnsiTheme="minorEastAsia" w:eastAsiaTheme="minorEastAsia"/>
          <w:spacing w:val="14"/>
        </w:rPr>
        <w:t>串</w:t>
      </w:r>
      <w:r>
        <w:rPr>
          <w:rFonts w:cs="宋体" w:asciiTheme="minorEastAsia" w:hAnsiTheme="minorEastAsia" w:eastAsiaTheme="minorEastAsia"/>
          <w:spacing w:val="11"/>
        </w:rPr>
        <w:t>通</w:t>
      </w:r>
      <w:r>
        <w:rPr>
          <w:rFonts w:cs="宋体" w:asciiTheme="minorEastAsia" w:hAnsiTheme="minorEastAsia" w:eastAsiaTheme="minorEastAsia"/>
          <w:spacing w:val="7"/>
        </w:rPr>
        <w:t>投标行为，其投标作无效标处理：</w:t>
      </w:r>
    </w:p>
    <w:p>
      <w:pPr>
        <w:spacing w:before="2" w:line="338" w:lineRule="auto"/>
        <w:ind w:left="22" w:right="13" w:firstLine="427"/>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22"/>
        </w:rPr>
        <w:t>1</w:t>
      </w:r>
      <w:r>
        <w:rPr>
          <w:rFonts w:cs="宋体" w:asciiTheme="minorEastAsia" w:hAnsiTheme="minorEastAsia" w:eastAsiaTheme="minorEastAsia"/>
          <w:spacing w:val="19"/>
        </w:rPr>
        <w:t>)</w:t>
      </w:r>
      <w:r>
        <w:rPr>
          <w:rFonts w:cs="宋体" w:asciiTheme="minorEastAsia" w:hAnsiTheme="minorEastAsia" w:eastAsiaTheme="minorEastAsia"/>
          <w:spacing w:val="11"/>
        </w:rPr>
        <w:t xml:space="preserve"> 不同投标人的投标文件由同一单位或者个人编制 (包括使用同一台电脑、同一套</w:t>
      </w:r>
      <w:r>
        <w:rPr>
          <w:rFonts w:cs="宋体" w:asciiTheme="minorEastAsia" w:hAnsiTheme="minorEastAsia" w:eastAsiaTheme="minorEastAsia"/>
          <w:spacing w:val="8"/>
        </w:rPr>
        <w:t xml:space="preserve">投标工具、同一套计价软件) </w:t>
      </w:r>
      <w:r>
        <w:rPr>
          <w:rFonts w:cs="宋体" w:asciiTheme="minorEastAsia" w:hAnsiTheme="minorEastAsia" w:eastAsiaTheme="minorEastAsia"/>
          <w:spacing w:val="7"/>
        </w:rPr>
        <w:t>；</w:t>
      </w:r>
    </w:p>
    <w:p>
      <w:pPr>
        <w:spacing w:before="1" w:line="224" w:lineRule="auto"/>
        <w:ind w:left="449"/>
        <w:rPr>
          <w:rFonts w:cs="宋体" w:asciiTheme="minorEastAsia" w:hAnsiTheme="minorEastAsia" w:eastAsiaTheme="minorEastAsia"/>
        </w:rPr>
      </w:pPr>
      <w:r>
        <w:rPr>
          <w:rFonts w:cs="宋体" w:asciiTheme="minorEastAsia" w:hAnsiTheme="minorEastAsia" w:eastAsiaTheme="minorEastAsia"/>
          <w:spacing w:val="13"/>
        </w:rPr>
        <w:t>(</w:t>
      </w:r>
      <w:r>
        <w:rPr>
          <w:rFonts w:cs="Times New Roman" w:asciiTheme="minorEastAsia" w:hAnsiTheme="minorEastAsia" w:eastAsiaTheme="minorEastAsia"/>
          <w:spacing w:val="12"/>
        </w:rPr>
        <w:t>2</w:t>
      </w:r>
      <w:r>
        <w:rPr>
          <w:rFonts w:cs="宋体" w:asciiTheme="minorEastAsia" w:hAnsiTheme="minorEastAsia" w:eastAsiaTheme="minorEastAsia"/>
          <w:spacing w:val="12"/>
        </w:rPr>
        <w:t>) 不同投标人委托同一单位或者个人办理投标事宜；</w:t>
      </w:r>
    </w:p>
    <w:p>
      <w:pPr>
        <w:spacing w:before="123" w:line="228" w:lineRule="auto"/>
        <w:ind w:left="449"/>
        <w:rPr>
          <w:rFonts w:cs="宋体" w:asciiTheme="minorEastAsia" w:hAnsiTheme="minorEastAsia" w:eastAsiaTheme="minorEastAsia"/>
        </w:rPr>
      </w:pPr>
      <w:r>
        <w:rPr>
          <w:rFonts w:cs="宋体" w:asciiTheme="minorEastAsia" w:hAnsiTheme="minorEastAsia" w:eastAsiaTheme="minorEastAsia"/>
          <w:spacing w:val="12"/>
        </w:rPr>
        <w:t>(</w:t>
      </w:r>
      <w:r>
        <w:rPr>
          <w:rFonts w:cs="Times New Roman" w:asciiTheme="minorEastAsia" w:hAnsiTheme="minorEastAsia" w:eastAsiaTheme="minorEastAsia"/>
          <w:spacing w:val="12"/>
        </w:rPr>
        <w:t>3</w:t>
      </w:r>
      <w:r>
        <w:rPr>
          <w:rFonts w:cs="宋体" w:asciiTheme="minorEastAsia" w:hAnsiTheme="minorEastAsia" w:eastAsiaTheme="minorEastAsia"/>
          <w:spacing w:val="12"/>
        </w:rPr>
        <w:t>) 不同投标人的投标文件载明的项目管理成员为同一人</w:t>
      </w:r>
      <w:r>
        <w:rPr>
          <w:rFonts w:cs="宋体" w:asciiTheme="minorEastAsia" w:hAnsiTheme="minorEastAsia" w:eastAsiaTheme="minorEastAsia"/>
          <w:spacing w:val="9"/>
        </w:rPr>
        <w:t>；</w:t>
      </w:r>
    </w:p>
    <w:p>
      <w:pPr>
        <w:spacing w:before="124" w:line="228" w:lineRule="auto"/>
        <w:ind w:left="449"/>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22"/>
        </w:rPr>
        <w:t>4</w:t>
      </w:r>
      <w:r>
        <w:rPr>
          <w:rFonts w:cs="宋体" w:asciiTheme="minorEastAsia" w:hAnsiTheme="minorEastAsia" w:eastAsiaTheme="minorEastAsia"/>
          <w:spacing w:val="12"/>
        </w:rPr>
        <w:t>)</w:t>
      </w:r>
      <w:r>
        <w:rPr>
          <w:rFonts w:cs="宋体" w:asciiTheme="minorEastAsia" w:hAnsiTheme="minorEastAsia" w:eastAsiaTheme="minorEastAsia"/>
          <w:spacing w:val="11"/>
        </w:rPr>
        <w:t xml:space="preserve"> 不同投标人的投标文件异常一致或者投标报价呈规律性差异；</w:t>
      </w:r>
    </w:p>
    <w:p>
      <w:pPr>
        <w:spacing w:before="117" w:line="228" w:lineRule="auto"/>
        <w:ind w:left="449"/>
        <w:rPr>
          <w:rFonts w:cs="宋体" w:asciiTheme="minorEastAsia" w:hAnsiTheme="minorEastAsia" w:eastAsiaTheme="minorEastAsia"/>
        </w:rPr>
      </w:pPr>
      <w:r>
        <w:rPr>
          <w:rFonts w:cs="宋体" w:asciiTheme="minorEastAsia" w:hAnsiTheme="minorEastAsia" w:eastAsiaTheme="minorEastAsia"/>
          <w:spacing w:val="13"/>
        </w:rPr>
        <w:t>(</w:t>
      </w:r>
      <w:r>
        <w:rPr>
          <w:rFonts w:cs="Times New Roman" w:asciiTheme="minorEastAsia" w:hAnsiTheme="minorEastAsia" w:eastAsiaTheme="minorEastAsia"/>
          <w:spacing w:val="13"/>
        </w:rPr>
        <w:t>5</w:t>
      </w:r>
      <w:r>
        <w:rPr>
          <w:rFonts w:cs="宋体" w:asciiTheme="minorEastAsia" w:hAnsiTheme="minorEastAsia" w:eastAsiaTheme="minorEastAsia"/>
          <w:spacing w:val="13"/>
        </w:rPr>
        <w:t>) 不同投标人的投标文件相互混装</w:t>
      </w:r>
      <w:r>
        <w:rPr>
          <w:rFonts w:cs="宋体" w:asciiTheme="minorEastAsia" w:hAnsiTheme="minorEastAsia" w:eastAsiaTheme="minorEastAsia"/>
          <w:spacing w:val="11"/>
        </w:rPr>
        <w:t>；</w:t>
      </w:r>
    </w:p>
    <w:p>
      <w:pPr>
        <w:spacing w:before="123" w:line="227" w:lineRule="auto"/>
        <w:ind w:left="449"/>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22"/>
        </w:rPr>
        <w:t>6</w:t>
      </w:r>
      <w:r>
        <w:rPr>
          <w:rFonts w:cs="宋体" w:asciiTheme="minorEastAsia" w:hAnsiTheme="minorEastAsia" w:eastAsiaTheme="minorEastAsia"/>
          <w:spacing w:val="12"/>
        </w:rPr>
        <w:t>)</w:t>
      </w:r>
      <w:r>
        <w:rPr>
          <w:rFonts w:cs="宋体" w:asciiTheme="minorEastAsia" w:hAnsiTheme="minorEastAsia" w:eastAsiaTheme="minorEastAsia"/>
          <w:spacing w:val="11"/>
        </w:rPr>
        <w:t xml:space="preserve"> 不同投标人的投标保证金从同一单位或者个人的账户转出。</w:t>
      </w:r>
    </w:p>
    <w:p>
      <w:pPr>
        <w:spacing w:before="121" w:line="225" w:lineRule="auto"/>
        <w:ind w:left="440"/>
        <w:rPr>
          <w:rFonts w:cs="宋体" w:asciiTheme="minorEastAsia" w:hAnsiTheme="minorEastAsia" w:eastAsiaTheme="minorEastAsia"/>
        </w:rPr>
      </w:pPr>
      <w:r>
        <w:rPr>
          <w:rFonts w:cs="Times New Roman" w:asciiTheme="minorEastAsia" w:hAnsiTheme="minorEastAsia" w:eastAsiaTheme="minorEastAsia"/>
          <w:spacing w:val="13"/>
        </w:rPr>
        <w:t>3</w:t>
      </w:r>
      <w:r>
        <w:rPr>
          <w:rFonts w:cs="Times New Roman" w:asciiTheme="minorEastAsia" w:hAnsiTheme="minorEastAsia" w:eastAsiaTheme="minorEastAsia"/>
          <w:spacing w:val="9"/>
        </w:rPr>
        <w:t xml:space="preserve">. 1.3 </w:t>
      </w:r>
      <w:r>
        <w:rPr>
          <w:rFonts w:cs="宋体" w:asciiTheme="minorEastAsia" w:hAnsiTheme="minorEastAsia" w:eastAsiaTheme="minorEastAsia"/>
          <w:spacing w:val="9"/>
        </w:rPr>
        <w:t>评标委员会在评审过程中发现投标人的投标文件存在以下情形之一的，应当向投</w:t>
      </w:r>
    </w:p>
    <w:p>
      <w:pPr>
        <w:spacing w:before="123" w:line="340" w:lineRule="auto"/>
        <w:ind w:left="24" w:right="11" w:hanging="4"/>
        <w:rPr>
          <w:rFonts w:cs="宋体" w:asciiTheme="minorEastAsia" w:hAnsiTheme="minorEastAsia" w:eastAsiaTheme="minorEastAsia"/>
        </w:rPr>
      </w:pPr>
      <w:r>
        <w:rPr>
          <w:rFonts w:cs="宋体" w:asciiTheme="minorEastAsia" w:hAnsiTheme="minorEastAsia" w:eastAsiaTheme="minorEastAsia"/>
          <w:spacing w:val="14"/>
        </w:rPr>
        <w:t>标人质</w:t>
      </w:r>
      <w:r>
        <w:rPr>
          <w:rFonts w:cs="宋体" w:asciiTheme="minorEastAsia" w:hAnsiTheme="minorEastAsia" w:eastAsiaTheme="minorEastAsia"/>
          <w:spacing w:val="8"/>
        </w:rPr>
        <w:t>询</w:t>
      </w:r>
      <w:r>
        <w:rPr>
          <w:rFonts w:cs="宋体" w:asciiTheme="minorEastAsia" w:hAnsiTheme="minorEastAsia" w:eastAsiaTheme="minorEastAsia"/>
          <w:spacing w:val="7"/>
        </w:rPr>
        <w:t>，如投标人拒绝说明或不能合理说明理由的，应认定为串通投标行为，其投标作无</w:t>
      </w:r>
      <w:r>
        <w:rPr>
          <w:rFonts w:cs="宋体" w:asciiTheme="minorEastAsia" w:hAnsiTheme="minorEastAsia" w:eastAsiaTheme="minorEastAsia"/>
          <w:spacing w:val="5"/>
        </w:rPr>
        <w:t>效标处理</w:t>
      </w:r>
      <w:r>
        <w:rPr>
          <w:rFonts w:cs="宋体" w:asciiTheme="minorEastAsia" w:hAnsiTheme="minorEastAsia" w:eastAsiaTheme="minorEastAsia"/>
          <w:spacing w:val="4"/>
        </w:rPr>
        <w:t>：</w:t>
      </w:r>
    </w:p>
    <w:p>
      <w:pPr>
        <w:spacing w:before="1" w:line="224" w:lineRule="auto"/>
        <w:ind w:left="449"/>
        <w:rPr>
          <w:rFonts w:cs="宋体" w:asciiTheme="minorEastAsia" w:hAnsiTheme="minorEastAsia" w:eastAsiaTheme="minorEastAsia"/>
        </w:rPr>
      </w:pPr>
      <w:r>
        <w:rPr>
          <w:rFonts w:cs="宋体" w:asciiTheme="minorEastAsia" w:hAnsiTheme="minorEastAsia" w:eastAsiaTheme="minorEastAsia"/>
          <w:spacing w:val="12"/>
        </w:rPr>
        <w:t>(</w:t>
      </w:r>
      <w:r>
        <w:rPr>
          <w:rFonts w:cs="Times New Roman" w:asciiTheme="minorEastAsia" w:hAnsiTheme="minorEastAsia" w:eastAsiaTheme="minorEastAsia"/>
          <w:spacing w:val="12"/>
        </w:rPr>
        <w:t>1</w:t>
      </w:r>
      <w:r>
        <w:rPr>
          <w:rFonts w:cs="宋体" w:asciiTheme="minorEastAsia" w:hAnsiTheme="minorEastAsia" w:eastAsiaTheme="minorEastAsia"/>
          <w:spacing w:val="12"/>
        </w:rPr>
        <w:t>) 投标人之间协商投标报价等投标文件的实质性内容；</w:t>
      </w:r>
    </w:p>
    <w:p>
      <w:pPr>
        <w:spacing w:before="124" w:line="229" w:lineRule="auto"/>
        <w:ind w:left="449"/>
        <w:rPr>
          <w:rFonts w:cs="宋体" w:asciiTheme="minorEastAsia" w:hAnsiTheme="minorEastAsia" w:eastAsiaTheme="minorEastAsia"/>
        </w:rPr>
      </w:pPr>
      <w:r>
        <w:rPr>
          <w:rFonts w:cs="宋体" w:asciiTheme="minorEastAsia" w:hAnsiTheme="minorEastAsia" w:eastAsiaTheme="minorEastAsia"/>
          <w:spacing w:val="23"/>
        </w:rPr>
        <w:t>(</w:t>
      </w:r>
      <w:r>
        <w:rPr>
          <w:rFonts w:cs="Times New Roman" w:asciiTheme="minorEastAsia" w:hAnsiTheme="minorEastAsia" w:eastAsiaTheme="minorEastAsia"/>
          <w:spacing w:val="13"/>
        </w:rPr>
        <w:t>2</w:t>
      </w:r>
      <w:r>
        <w:rPr>
          <w:rFonts w:cs="宋体" w:asciiTheme="minorEastAsia" w:hAnsiTheme="minorEastAsia" w:eastAsiaTheme="minorEastAsia"/>
          <w:spacing w:val="13"/>
        </w:rPr>
        <w:t>) 投标人之间约定中标人；</w:t>
      </w:r>
    </w:p>
    <w:p>
      <w:pPr>
        <w:spacing w:before="120" w:line="228" w:lineRule="auto"/>
        <w:ind w:left="449"/>
        <w:rPr>
          <w:rFonts w:cs="宋体" w:asciiTheme="minorEastAsia" w:hAnsiTheme="minorEastAsia" w:eastAsiaTheme="minorEastAsia"/>
        </w:rPr>
      </w:pPr>
      <w:r>
        <w:rPr>
          <w:rFonts w:cs="宋体" w:asciiTheme="minorEastAsia" w:hAnsiTheme="minorEastAsia" w:eastAsiaTheme="minorEastAsia"/>
          <w:spacing w:val="16"/>
        </w:rPr>
        <w:t>(</w:t>
      </w:r>
      <w:r>
        <w:rPr>
          <w:rFonts w:cs="Times New Roman" w:asciiTheme="minorEastAsia" w:hAnsiTheme="minorEastAsia" w:eastAsiaTheme="minorEastAsia"/>
          <w:spacing w:val="12"/>
        </w:rPr>
        <w:t>3</w:t>
      </w:r>
      <w:r>
        <w:rPr>
          <w:rFonts w:cs="宋体" w:asciiTheme="minorEastAsia" w:hAnsiTheme="minorEastAsia" w:eastAsiaTheme="minorEastAsia"/>
          <w:spacing w:val="12"/>
        </w:rPr>
        <w:t>) 投标人之间约定部分投标人放弃投标或者中标；</w:t>
      </w:r>
    </w:p>
    <w:p>
      <w:pPr>
        <w:spacing w:before="120" w:line="228" w:lineRule="auto"/>
        <w:ind w:left="449"/>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17"/>
        </w:rPr>
        <w:t>4</w:t>
      </w:r>
      <w:r>
        <w:rPr>
          <w:rFonts w:cs="宋体" w:asciiTheme="minorEastAsia" w:hAnsiTheme="minorEastAsia" w:eastAsiaTheme="minorEastAsia"/>
          <w:spacing w:val="11"/>
        </w:rPr>
        <w:t>) 属于同一集团、协会、商会等组织成员的投标人按照该组织要求协同投标；</w:t>
      </w:r>
    </w:p>
    <w:p>
      <w:pPr>
        <w:spacing w:before="120" w:line="226" w:lineRule="auto"/>
        <w:ind w:left="449"/>
        <w:rPr>
          <w:rFonts w:cs="宋体" w:asciiTheme="minorEastAsia" w:hAnsiTheme="minorEastAsia" w:eastAsiaTheme="minorEastAsia"/>
        </w:rPr>
      </w:pPr>
      <w:r>
        <w:rPr>
          <w:rFonts w:cs="宋体" w:asciiTheme="minorEastAsia" w:hAnsiTheme="minorEastAsia" w:eastAsiaTheme="minorEastAsia"/>
          <w:spacing w:val="22"/>
        </w:rPr>
        <w:t>(</w:t>
      </w:r>
      <w:r>
        <w:rPr>
          <w:rFonts w:cs="Times New Roman" w:asciiTheme="minorEastAsia" w:hAnsiTheme="minorEastAsia" w:eastAsiaTheme="minorEastAsia"/>
          <w:spacing w:val="19"/>
        </w:rPr>
        <w:t>5</w:t>
      </w:r>
      <w:r>
        <w:rPr>
          <w:rFonts w:cs="宋体" w:asciiTheme="minorEastAsia" w:hAnsiTheme="minorEastAsia" w:eastAsiaTheme="minorEastAsia"/>
          <w:spacing w:val="11"/>
        </w:rPr>
        <w:t>) 投标人之间为谋取中标或者排斥特定投标人而采取的其他联合行动。</w:t>
      </w:r>
    </w:p>
    <w:p>
      <w:pPr>
        <w:spacing w:before="125" w:line="228" w:lineRule="auto"/>
        <w:ind w:left="440"/>
        <w:rPr>
          <w:rFonts w:cs="宋体" w:asciiTheme="minorEastAsia" w:hAnsiTheme="minorEastAsia" w:eastAsiaTheme="minorEastAsia"/>
        </w:rPr>
      </w:pPr>
      <w:r>
        <w:rPr>
          <w:rFonts w:cs="Times New Roman" w:asciiTheme="minorEastAsia" w:hAnsiTheme="minorEastAsia" w:eastAsiaTheme="minorEastAsia"/>
          <w:spacing w:val="1"/>
        </w:rPr>
        <w:t xml:space="preserve">3. 1.4 </w:t>
      </w:r>
      <w:r>
        <w:rPr>
          <w:rFonts w:cs="宋体" w:asciiTheme="minorEastAsia" w:hAnsiTheme="minorEastAsia" w:eastAsiaTheme="minorEastAsia"/>
          <w:spacing w:val="1"/>
        </w:rPr>
        <w:t>商务标</w:t>
      </w:r>
      <w:r>
        <w:rPr>
          <w:rFonts w:cs="宋体" w:asciiTheme="minorEastAsia" w:hAnsiTheme="minorEastAsia" w:eastAsiaTheme="minorEastAsia"/>
        </w:rPr>
        <w:t>修正。</w:t>
      </w:r>
    </w:p>
    <w:p>
      <w:pPr>
        <w:spacing w:before="119" w:line="354" w:lineRule="auto"/>
        <w:ind w:left="21" w:right="13" w:firstLine="417"/>
        <w:rPr>
          <w:rFonts w:cs="宋体" w:asciiTheme="minorEastAsia" w:hAnsiTheme="minorEastAsia" w:eastAsiaTheme="minorEastAsia"/>
        </w:rPr>
      </w:pPr>
      <w:r>
        <w:rPr>
          <w:rFonts w:cs="宋体" w:asciiTheme="minorEastAsia" w:hAnsiTheme="minorEastAsia" w:eastAsiaTheme="minorEastAsia"/>
          <w:spacing w:val="26"/>
        </w:rPr>
        <w:t>评</w:t>
      </w:r>
      <w:r>
        <w:rPr>
          <w:rFonts w:cs="宋体" w:asciiTheme="minorEastAsia" w:hAnsiTheme="minorEastAsia" w:eastAsiaTheme="minorEastAsia"/>
          <w:spacing w:val="24"/>
        </w:rPr>
        <w:t>标</w:t>
      </w:r>
      <w:r>
        <w:rPr>
          <w:rFonts w:cs="宋体" w:asciiTheme="minorEastAsia" w:hAnsiTheme="minorEastAsia" w:eastAsiaTheme="minorEastAsia"/>
          <w:spacing w:val="13"/>
        </w:rPr>
        <w:t>委员会对确定为实质上响应招标文件要求的投标文件进行复核</w:t>
      </w:r>
      <w:r>
        <w:rPr>
          <w:rFonts w:cs="Times New Roman" w:asciiTheme="minorEastAsia" w:hAnsiTheme="minorEastAsia" w:eastAsiaTheme="minorEastAsia"/>
          <w:spacing w:val="13"/>
        </w:rPr>
        <w:t xml:space="preserve">,  </w:t>
      </w:r>
      <w:r>
        <w:rPr>
          <w:rFonts w:cs="宋体" w:asciiTheme="minorEastAsia" w:hAnsiTheme="minorEastAsia" w:eastAsiaTheme="minorEastAsia"/>
          <w:spacing w:val="13"/>
        </w:rPr>
        <w:t>看其是否有计算上</w:t>
      </w:r>
      <w:r>
        <w:rPr>
          <w:rFonts w:cs="宋体" w:asciiTheme="minorEastAsia" w:hAnsiTheme="minorEastAsia" w:eastAsiaTheme="minorEastAsia"/>
          <w:spacing w:val="9"/>
        </w:rPr>
        <w:t>、累计上或表达上的错误。修正错误的顺序和原则如下：</w:t>
      </w:r>
    </w:p>
    <w:p>
      <w:pPr>
        <w:spacing w:before="39" w:line="340" w:lineRule="auto"/>
        <w:ind w:left="22" w:right="70" w:firstLine="427"/>
        <w:rPr>
          <w:rFonts w:cs="宋体" w:asciiTheme="minorEastAsia" w:hAnsiTheme="minorEastAsia" w:eastAsiaTheme="minorEastAsia"/>
        </w:rPr>
      </w:pPr>
      <w:r>
        <w:rPr>
          <w:rFonts w:cs="宋体" w:asciiTheme="minorEastAsia" w:hAnsiTheme="minorEastAsia" w:eastAsiaTheme="minorEastAsia"/>
          <w:spacing w:val="18"/>
        </w:rPr>
        <w:t>(</w:t>
      </w:r>
      <w:r>
        <w:rPr>
          <w:rFonts w:cs="Times New Roman" w:asciiTheme="minorEastAsia" w:hAnsiTheme="minorEastAsia" w:eastAsiaTheme="minorEastAsia"/>
          <w:spacing w:val="10"/>
        </w:rPr>
        <w:t>1</w:t>
      </w:r>
      <w:r>
        <w:rPr>
          <w:rFonts w:cs="宋体" w:asciiTheme="minorEastAsia" w:hAnsiTheme="minorEastAsia" w:eastAsiaTheme="minorEastAsia"/>
          <w:spacing w:val="9"/>
        </w:rPr>
        <w:t>) 针对投标人的报价组价进行复核及评审，如发现有计算前后不一致时， 以计算前</w:t>
      </w:r>
      <w:r>
        <w:rPr>
          <w:rFonts w:cs="宋体" w:asciiTheme="minorEastAsia" w:hAnsiTheme="minorEastAsia" w:eastAsiaTheme="minorEastAsia"/>
          <w:spacing w:val="14"/>
        </w:rPr>
        <w:t>的数</w:t>
      </w:r>
      <w:r>
        <w:rPr>
          <w:rFonts w:cs="宋体" w:asciiTheme="minorEastAsia" w:hAnsiTheme="minorEastAsia" w:eastAsiaTheme="minorEastAsia"/>
          <w:spacing w:val="13"/>
        </w:rPr>
        <w:t>据</w:t>
      </w:r>
      <w:r>
        <w:rPr>
          <w:rFonts w:cs="宋体" w:asciiTheme="minorEastAsia" w:hAnsiTheme="minorEastAsia" w:eastAsiaTheme="minorEastAsia"/>
          <w:spacing w:val="7"/>
        </w:rPr>
        <w:t>为准，调整计算后数值；除非评标委员会认为计算前的数据有明显的差错或遗漏，此</w:t>
      </w:r>
      <w:r>
        <w:rPr>
          <w:rFonts w:cs="宋体" w:asciiTheme="minorEastAsia" w:hAnsiTheme="minorEastAsia" w:eastAsiaTheme="minorEastAsia"/>
          <w:spacing w:val="14"/>
        </w:rPr>
        <w:t>时应</w:t>
      </w:r>
      <w:r>
        <w:rPr>
          <w:rFonts w:cs="宋体" w:asciiTheme="minorEastAsia" w:hAnsiTheme="minorEastAsia" w:eastAsiaTheme="minorEastAsia"/>
          <w:spacing w:val="13"/>
        </w:rPr>
        <w:t>以</w:t>
      </w:r>
      <w:r>
        <w:rPr>
          <w:rFonts w:cs="宋体" w:asciiTheme="minorEastAsia" w:hAnsiTheme="minorEastAsia" w:eastAsiaTheme="minorEastAsia"/>
          <w:spacing w:val="7"/>
        </w:rPr>
        <w:t>计算后的数据为准来调整计算前的数据。因电子招投标系统小数点保留位数产生的误</w:t>
      </w:r>
      <w:r>
        <w:rPr>
          <w:rFonts w:cs="宋体" w:asciiTheme="minorEastAsia" w:hAnsiTheme="minorEastAsia" w:eastAsiaTheme="minorEastAsia"/>
          <w:spacing w:val="8"/>
        </w:rPr>
        <w:t>差</w:t>
      </w:r>
      <w:r>
        <w:rPr>
          <w:rFonts w:cs="宋体" w:asciiTheme="minorEastAsia" w:hAnsiTheme="minorEastAsia" w:eastAsiaTheme="minorEastAsia"/>
          <w:spacing w:val="6"/>
        </w:rPr>
        <w:t>忽略不计。</w:t>
      </w:r>
    </w:p>
    <w:p>
      <w:pPr>
        <w:spacing w:before="2" w:line="338" w:lineRule="auto"/>
        <w:ind w:left="23" w:right="73" w:firstLine="426"/>
        <w:rPr>
          <w:rFonts w:cs="宋体" w:asciiTheme="minorEastAsia" w:hAnsiTheme="minorEastAsia" w:eastAsiaTheme="minorEastAsia"/>
        </w:rPr>
      </w:pPr>
      <w:r>
        <w:rPr>
          <w:rFonts w:cs="宋体" w:asciiTheme="minorEastAsia" w:hAnsiTheme="minorEastAsia" w:eastAsiaTheme="minorEastAsia"/>
          <w:spacing w:val="14"/>
        </w:rPr>
        <w:t>(</w:t>
      </w:r>
      <w:r>
        <w:rPr>
          <w:rFonts w:cs="Times New Roman" w:asciiTheme="minorEastAsia" w:hAnsiTheme="minorEastAsia" w:eastAsiaTheme="minorEastAsia"/>
          <w:spacing w:val="12"/>
        </w:rPr>
        <w:t>2</w:t>
      </w:r>
      <w:r>
        <w:rPr>
          <w:rFonts w:cs="宋体" w:asciiTheme="minorEastAsia" w:hAnsiTheme="minorEastAsia" w:eastAsiaTheme="minorEastAsia"/>
          <w:spacing w:val="12"/>
        </w:rPr>
        <w:t>) 在总报价不变的前提下，评标委员会以合理原则，通过调整组价的相应内容使其</w:t>
      </w:r>
      <w:r>
        <w:rPr>
          <w:rFonts w:cs="宋体" w:asciiTheme="minorEastAsia" w:hAnsiTheme="minorEastAsia" w:eastAsiaTheme="minorEastAsia"/>
          <w:spacing w:val="2"/>
        </w:rPr>
        <w:t>一致。</w:t>
      </w:r>
    </w:p>
    <w:p>
      <w:pPr>
        <w:spacing w:before="2" w:line="340" w:lineRule="auto"/>
        <w:ind w:left="22" w:right="70" w:firstLine="419"/>
        <w:rPr>
          <w:rFonts w:cs="宋体" w:asciiTheme="minorEastAsia" w:hAnsiTheme="minorEastAsia" w:eastAsiaTheme="minorEastAsia"/>
        </w:rPr>
      </w:pPr>
      <w:r>
        <w:rPr>
          <w:rFonts w:cs="宋体" w:asciiTheme="minorEastAsia" w:hAnsiTheme="minorEastAsia" w:eastAsiaTheme="minorEastAsia"/>
          <w:spacing w:val="14"/>
        </w:rPr>
        <w:t>按上</w:t>
      </w:r>
      <w:r>
        <w:rPr>
          <w:rFonts w:cs="宋体" w:asciiTheme="minorEastAsia" w:hAnsiTheme="minorEastAsia" w:eastAsiaTheme="minorEastAsia"/>
          <w:spacing w:val="8"/>
        </w:rPr>
        <w:t>述</w:t>
      </w:r>
      <w:r>
        <w:rPr>
          <w:rFonts w:cs="宋体" w:asciiTheme="minorEastAsia" w:hAnsiTheme="minorEastAsia" w:eastAsiaTheme="minorEastAsia"/>
          <w:spacing w:val="7"/>
        </w:rPr>
        <w:t>修正错误的原则，调整或修正投标文件的投标报价，经投标人确认后，调整后的</w:t>
      </w:r>
      <w:r>
        <w:rPr>
          <w:rFonts w:cs="宋体" w:asciiTheme="minorEastAsia" w:hAnsiTheme="minorEastAsia" w:eastAsiaTheme="minorEastAsia"/>
          <w:spacing w:val="14"/>
        </w:rPr>
        <w:t>投标</w:t>
      </w:r>
      <w:r>
        <w:rPr>
          <w:rFonts w:cs="宋体" w:asciiTheme="minorEastAsia" w:hAnsiTheme="minorEastAsia" w:eastAsiaTheme="minorEastAsia"/>
          <w:spacing w:val="11"/>
        </w:rPr>
        <w:t>组</w:t>
      </w:r>
      <w:r>
        <w:rPr>
          <w:rFonts w:cs="宋体" w:asciiTheme="minorEastAsia" w:hAnsiTheme="minorEastAsia" w:eastAsiaTheme="minorEastAsia"/>
          <w:spacing w:val="7"/>
        </w:rPr>
        <w:t>价对投标人起约束作用。如果投标人不接受或者投标人在评标结束之前不能到场确认</w:t>
      </w:r>
      <w:r>
        <w:rPr>
          <w:rFonts w:cs="宋体" w:asciiTheme="minorEastAsia" w:hAnsiTheme="minorEastAsia" w:eastAsiaTheme="minorEastAsia"/>
          <w:spacing w:val="14"/>
        </w:rPr>
        <w:t>的，</w:t>
      </w:r>
      <w:r>
        <w:rPr>
          <w:rFonts w:cs="宋体" w:asciiTheme="minorEastAsia" w:hAnsiTheme="minorEastAsia" w:eastAsiaTheme="minorEastAsia"/>
          <w:spacing w:val="11"/>
        </w:rPr>
        <w:t>评</w:t>
      </w:r>
      <w:r>
        <w:rPr>
          <w:rFonts w:cs="宋体" w:asciiTheme="minorEastAsia" w:hAnsiTheme="minorEastAsia" w:eastAsiaTheme="minorEastAsia"/>
          <w:spacing w:val="7"/>
        </w:rPr>
        <w:t>标委员会将把调整或修正后的投标组价作为该投标人的投标组价，进入商务标详细评</w:t>
      </w:r>
      <w:r>
        <w:rPr>
          <w:rFonts w:cs="宋体" w:asciiTheme="minorEastAsia" w:hAnsiTheme="minorEastAsia" w:eastAsiaTheme="minorEastAsia"/>
          <w:spacing w:val="9"/>
        </w:rPr>
        <w:t>审，但不接受修正的投标人最终将丧失其中标资格</w:t>
      </w:r>
      <w:r>
        <w:rPr>
          <w:rFonts w:cs="宋体" w:asciiTheme="minorEastAsia" w:hAnsiTheme="minorEastAsia" w:eastAsiaTheme="minorEastAsia"/>
          <w:spacing w:val="8"/>
        </w:rPr>
        <w:t>。</w:t>
      </w:r>
    </w:p>
    <w:p>
      <w:pPr>
        <w:spacing w:line="360" w:lineRule="auto"/>
        <w:rPr>
          <w:rFonts w:cs="黑体" w:asciiTheme="minorEastAsia" w:hAnsiTheme="minorEastAsia" w:eastAsiaTheme="minorEastAsia"/>
        </w:rPr>
      </w:pPr>
      <w:r>
        <w:rPr>
          <w:rFonts w:cs="Times New Roman" w:asciiTheme="minorEastAsia" w:hAnsiTheme="minorEastAsia" w:eastAsiaTheme="minorEastAsia"/>
          <w:spacing w:val="7"/>
        </w:rPr>
        <w:t>3</w:t>
      </w:r>
      <w:r>
        <w:rPr>
          <w:rFonts w:cs="Times New Roman" w:asciiTheme="minorEastAsia" w:hAnsiTheme="minorEastAsia" w:eastAsiaTheme="minorEastAsia"/>
          <w:spacing w:val="5"/>
        </w:rPr>
        <w:t xml:space="preserve">.2  </w:t>
      </w:r>
      <w:r>
        <w:rPr>
          <w:rFonts w:cs="黑体" w:asciiTheme="minorEastAsia" w:hAnsiTheme="minorEastAsia" w:eastAsiaTheme="minorEastAsia"/>
          <w:spacing w:val="5"/>
        </w:rPr>
        <w:t>详细评审</w:t>
      </w:r>
    </w:p>
    <w:p>
      <w:pPr>
        <w:spacing w:line="360" w:lineRule="auto"/>
        <w:rPr>
          <w:rFonts w:cs="宋体" w:asciiTheme="minorEastAsia" w:hAnsiTheme="minorEastAsia" w:eastAsiaTheme="minorEastAsia"/>
        </w:rPr>
      </w:pPr>
      <w:r>
        <w:rPr>
          <w:rFonts w:cs="宋体" w:asciiTheme="minorEastAsia" w:hAnsiTheme="minorEastAsia" w:eastAsiaTheme="minorEastAsia"/>
          <w:spacing w:val="6"/>
        </w:rPr>
        <w:t xml:space="preserve">评标委员会按本章第 </w:t>
      </w:r>
      <w:r>
        <w:rPr>
          <w:rFonts w:cs="Times New Roman" w:asciiTheme="minorEastAsia" w:hAnsiTheme="minorEastAsia" w:eastAsiaTheme="minorEastAsia"/>
          <w:spacing w:val="6"/>
        </w:rPr>
        <w:t xml:space="preserve">2.2 </w:t>
      </w:r>
      <w:r>
        <w:rPr>
          <w:rFonts w:cs="宋体" w:asciiTheme="minorEastAsia" w:hAnsiTheme="minorEastAsia" w:eastAsiaTheme="minorEastAsia"/>
          <w:spacing w:val="6"/>
        </w:rPr>
        <w:t>款规定进行评审和评分</w:t>
      </w:r>
      <w:r>
        <w:rPr>
          <w:rFonts w:cs="宋体" w:asciiTheme="minorEastAsia" w:hAnsiTheme="minorEastAsia" w:eastAsiaTheme="minorEastAsia"/>
          <w:spacing w:val="2"/>
        </w:rPr>
        <w:t>。</w:t>
      </w:r>
    </w:p>
    <w:p>
      <w:pPr>
        <w:spacing w:line="360" w:lineRule="auto"/>
        <w:rPr>
          <w:rFonts w:cs="黑体" w:asciiTheme="minorEastAsia" w:hAnsiTheme="minorEastAsia" w:eastAsiaTheme="minorEastAsia"/>
        </w:rPr>
      </w:pPr>
      <w:r>
        <w:rPr>
          <w:rFonts w:cs="Times New Roman" w:asciiTheme="minorEastAsia" w:hAnsiTheme="minorEastAsia" w:eastAsiaTheme="minorEastAsia"/>
          <w:spacing w:val="9"/>
        </w:rPr>
        <w:t>3</w:t>
      </w:r>
      <w:r>
        <w:rPr>
          <w:rFonts w:cs="Times New Roman" w:asciiTheme="minorEastAsia" w:hAnsiTheme="minorEastAsia" w:eastAsiaTheme="minorEastAsia"/>
          <w:spacing w:val="7"/>
        </w:rPr>
        <w:t xml:space="preserve">.3  </w:t>
      </w:r>
      <w:r>
        <w:rPr>
          <w:rFonts w:cs="黑体" w:asciiTheme="minorEastAsia" w:hAnsiTheme="minorEastAsia" w:eastAsiaTheme="minorEastAsia"/>
          <w:spacing w:val="7"/>
        </w:rPr>
        <w:t>投标文件的澄清和补正</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13"/>
        </w:rPr>
        <w:t>3</w:t>
      </w:r>
      <w:r>
        <w:rPr>
          <w:rFonts w:cs="Times New Roman" w:asciiTheme="minorEastAsia" w:hAnsiTheme="minorEastAsia" w:eastAsiaTheme="minorEastAsia"/>
          <w:spacing w:val="9"/>
        </w:rPr>
        <w:t xml:space="preserve">.3. 1 </w:t>
      </w:r>
      <w:r>
        <w:rPr>
          <w:rFonts w:cs="宋体" w:asciiTheme="minorEastAsia" w:hAnsiTheme="minorEastAsia" w:eastAsiaTheme="minorEastAsia"/>
          <w:spacing w:val="9"/>
        </w:rPr>
        <w:t>在评标过程中，评标委员会可以书面形式要求投标人对所提交投标文件中不明确</w:t>
      </w:r>
      <w:r>
        <w:rPr>
          <w:rFonts w:cs="宋体" w:asciiTheme="minorEastAsia" w:hAnsiTheme="minorEastAsia" w:eastAsiaTheme="minorEastAsia"/>
          <w:spacing w:val="13"/>
        </w:rPr>
        <w:t>的</w:t>
      </w:r>
      <w:r>
        <w:rPr>
          <w:rFonts w:cs="宋体" w:asciiTheme="minorEastAsia" w:hAnsiTheme="minorEastAsia" w:eastAsiaTheme="minorEastAsia"/>
          <w:spacing w:val="7"/>
        </w:rPr>
        <w:t>内容进行书面澄清或说明，或者对细微偏差进行补正。评标委员会不接受投标人主动提出</w:t>
      </w:r>
      <w:r>
        <w:rPr>
          <w:rFonts w:cs="宋体" w:asciiTheme="minorEastAsia" w:hAnsiTheme="minorEastAsia" w:eastAsiaTheme="minorEastAsia"/>
          <w:spacing w:val="9"/>
        </w:rPr>
        <w:t>的</w:t>
      </w:r>
      <w:r>
        <w:rPr>
          <w:rFonts w:cs="宋体" w:asciiTheme="minorEastAsia" w:hAnsiTheme="minorEastAsia" w:eastAsiaTheme="minorEastAsia"/>
          <w:spacing w:val="6"/>
        </w:rPr>
        <w:t>澄清、说明或补正。</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16"/>
        </w:rPr>
        <w:t>3.3</w:t>
      </w:r>
      <w:r>
        <w:rPr>
          <w:rFonts w:cs="Times New Roman" w:asciiTheme="minorEastAsia" w:hAnsiTheme="minorEastAsia" w:eastAsiaTheme="minorEastAsia"/>
          <w:spacing w:val="14"/>
        </w:rPr>
        <w:t>.</w:t>
      </w:r>
      <w:r>
        <w:rPr>
          <w:rFonts w:cs="Times New Roman" w:asciiTheme="minorEastAsia" w:hAnsiTheme="minorEastAsia" w:eastAsiaTheme="minorEastAsia"/>
          <w:spacing w:val="8"/>
        </w:rPr>
        <w:t xml:space="preserve">2  </w:t>
      </w:r>
      <w:r>
        <w:rPr>
          <w:rFonts w:cs="宋体" w:asciiTheme="minorEastAsia" w:hAnsiTheme="minorEastAsia" w:eastAsiaTheme="minorEastAsia"/>
          <w:spacing w:val="8"/>
        </w:rPr>
        <w:t>澄清、说明和补正不得改变投标文件的实质性内容 (算术性错误修正的除外) 。</w:t>
      </w:r>
      <w:r>
        <w:rPr>
          <w:rFonts w:cs="宋体" w:asciiTheme="minorEastAsia" w:hAnsiTheme="minorEastAsia" w:eastAsiaTheme="minorEastAsia"/>
          <w:spacing w:val="14"/>
        </w:rPr>
        <w:t>投标</w:t>
      </w:r>
      <w:r>
        <w:rPr>
          <w:rFonts w:cs="宋体" w:asciiTheme="minorEastAsia" w:hAnsiTheme="minorEastAsia" w:eastAsiaTheme="minorEastAsia"/>
          <w:spacing w:val="12"/>
        </w:rPr>
        <w:t>人</w:t>
      </w:r>
      <w:r>
        <w:rPr>
          <w:rFonts w:cs="宋体" w:asciiTheme="minorEastAsia" w:hAnsiTheme="minorEastAsia" w:eastAsiaTheme="minorEastAsia"/>
          <w:spacing w:val="7"/>
        </w:rPr>
        <w:t>的书面澄清、说明和补正属于投标文件的组成部分。投标文件的实质性内容包括投标</w:t>
      </w:r>
      <w:r>
        <w:rPr>
          <w:rFonts w:cs="宋体" w:asciiTheme="minorEastAsia" w:hAnsiTheme="minorEastAsia" w:eastAsiaTheme="minorEastAsia"/>
          <w:spacing w:val="14"/>
        </w:rPr>
        <w:t>函是否</w:t>
      </w:r>
      <w:r>
        <w:rPr>
          <w:rFonts w:cs="宋体" w:asciiTheme="minorEastAsia" w:hAnsiTheme="minorEastAsia" w:eastAsiaTheme="minorEastAsia"/>
          <w:spacing w:val="7"/>
        </w:rPr>
        <w:t>按招标文件要求编制，总报价、质量、工期、投标资格的承诺是否响应招标文件的要</w:t>
      </w:r>
      <w:r>
        <w:rPr>
          <w:rFonts w:cs="宋体" w:asciiTheme="minorEastAsia" w:hAnsiTheme="minorEastAsia" w:eastAsiaTheme="minorEastAsia"/>
          <w:spacing w:val="-1"/>
        </w:rPr>
        <w:t>求</w:t>
      </w:r>
      <w:r>
        <w:rPr>
          <w:rFonts w:cs="宋体" w:asciiTheme="minorEastAsia" w:hAnsiTheme="minorEastAsia" w:eastAsiaTheme="minorEastAsia"/>
        </w:rPr>
        <w:t>。</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11"/>
        </w:rPr>
        <w:t>3</w:t>
      </w:r>
      <w:r>
        <w:rPr>
          <w:rFonts w:cs="Times New Roman" w:asciiTheme="minorEastAsia" w:hAnsiTheme="minorEastAsia" w:eastAsiaTheme="minorEastAsia"/>
          <w:spacing w:val="9"/>
        </w:rPr>
        <w:t xml:space="preserve">.3.3  </w:t>
      </w:r>
      <w:r>
        <w:rPr>
          <w:rFonts w:cs="宋体" w:asciiTheme="minorEastAsia" w:hAnsiTheme="minorEastAsia" w:eastAsiaTheme="minorEastAsia"/>
          <w:spacing w:val="9"/>
        </w:rPr>
        <w:t>评标委员会对投标人提交的澄清、说明或补正有疑问的，可以要求投标人进一步</w:t>
      </w:r>
      <w:r>
        <w:rPr>
          <w:rFonts w:cs="宋体" w:asciiTheme="minorEastAsia" w:hAnsiTheme="minorEastAsia" w:eastAsiaTheme="minorEastAsia"/>
          <w:spacing w:val="8"/>
        </w:rPr>
        <w:t>澄清</w:t>
      </w:r>
      <w:r>
        <w:rPr>
          <w:rFonts w:cs="宋体" w:asciiTheme="minorEastAsia" w:hAnsiTheme="minorEastAsia" w:eastAsiaTheme="minorEastAsia"/>
          <w:spacing w:val="6"/>
        </w:rPr>
        <w:t>、</w:t>
      </w:r>
      <w:r>
        <w:rPr>
          <w:rFonts w:cs="宋体" w:asciiTheme="minorEastAsia" w:hAnsiTheme="minorEastAsia" w:eastAsiaTheme="minorEastAsia"/>
          <w:spacing w:val="4"/>
        </w:rPr>
        <w:t>说明或补正，直至满足评标委员会的要求。如果投标人不按评标委员会要求进行澄清、</w:t>
      </w:r>
      <w:r>
        <w:rPr>
          <w:rFonts w:cs="宋体" w:asciiTheme="minorEastAsia" w:hAnsiTheme="minorEastAsia" w:eastAsiaTheme="minorEastAsia"/>
          <w:spacing w:val="18"/>
        </w:rPr>
        <w:t>说</w:t>
      </w:r>
      <w:r>
        <w:rPr>
          <w:rFonts w:cs="宋体" w:asciiTheme="minorEastAsia" w:hAnsiTheme="minorEastAsia" w:eastAsiaTheme="minorEastAsia"/>
          <w:spacing w:val="16"/>
        </w:rPr>
        <w:t>明</w:t>
      </w:r>
      <w:r>
        <w:rPr>
          <w:rFonts w:cs="宋体" w:asciiTheme="minorEastAsia" w:hAnsiTheme="minorEastAsia" w:eastAsiaTheme="minorEastAsia"/>
          <w:spacing w:val="9"/>
        </w:rPr>
        <w:t>或补正的，投标人的投标报价进入详细评审，但投标人最终将丧失其中标资格。</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20"/>
        </w:rPr>
        <w:t>3.</w:t>
      </w:r>
      <w:r>
        <w:rPr>
          <w:rFonts w:cs="Times New Roman" w:asciiTheme="minorEastAsia" w:hAnsiTheme="minorEastAsia" w:eastAsiaTheme="minorEastAsia"/>
          <w:spacing w:val="12"/>
        </w:rPr>
        <w:t>3</w:t>
      </w:r>
      <w:r>
        <w:rPr>
          <w:rFonts w:cs="Times New Roman" w:asciiTheme="minorEastAsia" w:hAnsiTheme="minorEastAsia" w:eastAsiaTheme="minorEastAsia"/>
          <w:spacing w:val="10"/>
        </w:rPr>
        <w:t xml:space="preserve">.4 </w:t>
      </w:r>
      <w:r>
        <w:rPr>
          <w:rFonts w:cs="宋体" w:asciiTheme="minorEastAsia" w:hAnsiTheme="minorEastAsia" w:eastAsiaTheme="minorEastAsia"/>
          <w:spacing w:val="10"/>
        </w:rPr>
        <w:t>各投标单位委托代理人或法定代表人必须在开评标期间保持电话及网络畅通，评</w:t>
      </w:r>
      <w:r>
        <w:rPr>
          <w:rFonts w:cs="宋体" w:asciiTheme="minorEastAsia" w:hAnsiTheme="minorEastAsia" w:eastAsiaTheme="minorEastAsia"/>
          <w:spacing w:val="14"/>
        </w:rPr>
        <w:t>标委员</w:t>
      </w:r>
      <w:r>
        <w:rPr>
          <w:rFonts w:cs="宋体" w:asciiTheme="minorEastAsia" w:hAnsiTheme="minorEastAsia" w:eastAsiaTheme="minorEastAsia"/>
          <w:spacing w:val="8"/>
        </w:rPr>
        <w:t>会</w:t>
      </w:r>
      <w:r>
        <w:rPr>
          <w:rFonts w:cs="宋体" w:asciiTheme="minorEastAsia" w:hAnsiTheme="minorEastAsia" w:eastAsiaTheme="minorEastAsia"/>
          <w:spacing w:val="7"/>
        </w:rPr>
        <w:t>要求投标人进行澄清或说明时，投标单位委托代理人或法定代表人所留联系方式在</w:t>
      </w:r>
      <w:r>
        <w:rPr>
          <w:rFonts w:cs="Times New Roman" w:asciiTheme="minorEastAsia" w:hAnsiTheme="minorEastAsia" w:eastAsiaTheme="minorEastAsia"/>
          <w:spacing w:val="16"/>
        </w:rPr>
        <w:t>3</w:t>
      </w:r>
      <w:r>
        <w:rPr>
          <w:rFonts w:cs="Times New Roman" w:asciiTheme="minorEastAsia" w:hAnsiTheme="minorEastAsia" w:eastAsiaTheme="minorEastAsia"/>
          <w:spacing w:val="15"/>
        </w:rPr>
        <w:t>0</w:t>
      </w:r>
      <w:r>
        <w:rPr>
          <w:rFonts w:cs="宋体" w:asciiTheme="minorEastAsia" w:hAnsiTheme="minorEastAsia" w:eastAsiaTheme="minorEastAsia"/>
          <w:spacing w:val="8"/>
        </w:rPr>
        <w:t>分钟内无法联系上的，可视作拒绝或放弃澄清或说明。</w:t>
      </w:r>
    </w:p>
    <w:p>
      <w:pPr>
        <w:spacing w:line="360" w:lineRule="auto"/>
        <w:rPr>
          <w:rFonts w:cs="宋体" w:asciiTheme="minorEastAsia" w:hAnsiTheme="minorEastAsia" w:eastAsiaTheme="minorEastAsia"/>
        </w:rPr>
      </w:pPr>
      <w:r>
        <w:rPr>
          <w:rFonts w:cs="Times New Roman" w:asciiTheme="minorEastAsia" w:hAnsiTheme="minorEastAsia" w:eastAsiaTheme="minorEastAsia"/>
          <w:b/>
          <w:bCs/>
          <w:spacing w:val="22"/>
        </w:rPr>
        <w:t>3</w:t>
      </w:r>
      <w:r>
        <w:rPr>
          <w:rFonts w:cs="Times New Roman" w:asciiTheme="minorEastAsia" w:hAnsiTheme="minorEastAsia" w:eastAsiaTheme="minorEastAsia"/>
          <w:b/>
          <w:bCs/>
          <w:spacing w:val="13"/>
        </w:rPr>
        <w:t>.</w:t>
      </w:r>
      <w:r>
        <w:rPr>
          <w:rFonts w:cs="Times New Roman" w:asciiTheme="minorEastAsia" w:hAnsiTheme="minorEastAsia" w:eastAsiaTheme="minorEastAsia"/>
          <w:b/>
          <w:bCs/>
          <w:spacing w:val="11"/>
        </w:rPr>
        <w:t>3.5</w:t>
      </w:r>
      <w:r>
        <w:rPr>
          <w:rFonts w:cs="宋体" w:asciiTheme="minorEastAsia" w:hAnsiTheme="minorEastAsia" w:eastAsiaTheme="minorEastAsia"/>
          <w:spacing w:val="11"/>
        </w:rPr>
        <w:t>开评标过程中，投标人提交的澄清、说明或补正采用原件扫描形式提交，并在开</w:t>
      </w:r>
      <w:r>
        <w:rPr>
          <w:rFonts w:cs="宋体" w:asciiTheme="minorEastAsia" w:hAnsiTheme="minorEastAsia" w:eastAsiaTheme="minorEastAsia"/>
          <w:spacing w:val="26"/>
        </w:rPr>
        <w:t>标结</w:t>
      </w:r>
      <w:r>
        <w:rPr>
          <w:rFonts w:cs="宋体" w:asciiTheme="minorEastAsia" w:hAnsiTheme="minorEastAsia" w:eastAsiaTheme="minorEastAsia"/>
          <w:spacing w:val="15"/>
        </w:rPr>
        <w:t>束</w:t>
      </w:r>
      <w:r>
        <w:rPr>
          <w:rFonts w:cs="宋体" w:asciiTheme="minorEastAsia" w:hAnsiTheme="minorEastAsia" w:eastAsiaTheme="minorEastAsia"/>
          <w:spacing w:val="13"/>
        </w:rPr>
        <w:t>后立即将原件送至招标人或招标代理机构，书面材料须与原件扫描材料一致，否则</w:t>
      </w:r>
      <w:r>
        <w:rPr>
          <w:rFonts w:cs="宋体" w:asciiTheme="minorEastAsia" w:hAnsiTheme="minorEastAsia" w:eastAsiaTheme="minorEastAsia"/>
          <w:spacing w:val="18"/>
        </w:rPr>
        <w:t>视</w:t>
      </w:r>
      <w:r>
        <w:rPr>
          <w:rFonts w:cs="宋体" w:asciiTheme="minorEastAsia" w:hAnsiTheme="minorEastAsia" w:eastAsiaTheme="minorEastAsia"/>
          <w:spacing w:val="11"/>
        </w:rPr>
        <w:t>为</w:t>
      </w:r>
      <w:r>
        <w:rPr>
          <w:rFonts w:cs="宋体" w:asciiTheme="minorEastAsia" w:hAnsiTheme="minorEastAsia" w:eastAsiaTheme="minorEastAsia"/>
          <w:spacing w:val="9"/>
        </w:rPr>
        <w:t>弄虚作假，已中标的取消中标资格。</w:t>
      </w:r>
    </w:p>
    <w:p>
      <w:pPr>
        <w:spacing w:line="360" w:lineRule="auto"/>
        <w:rPr>
          <w:rFonts w:cs="黑体" w:asciiTheme="minorEastAsia" w:hAnsiTheme="minorEastAsia" w:eastAsiaTheme="minorEastAsia"/>
        </w:rPr>
      </w:pPr>
      <w:r>
        <w:rPr>
          <w:rFonts w:cs="Times New Roman" w:asciiTheme="minorEastAsia" w:hAnsiTheme="minorEastAsia" w:eastAsiaTheme="minorEastAsia"/>
          <w:spacing w:val="7"/>
        </w:rPr>
        <w:t>3</w:t>
      </w:r>
      <w:r>
        <w:rPr>
          <w:rFonts w:cs="Times New Roman" w:asciiTheme="minorEastAsia" w:hAnsiTheme="minorEastAsia" w:eastAsiaTheme="minorEastAsia"/>
          <w:spacing w:val="5"/>
        </w:rPr>
        <w:t xml:space="preserve">.4  </w:t>
      </w:r>
      <w:r>
        <w:rPr>
          <w:rFonts w:cs="黑体" w:asciiTheme="minorEastAsia" w:hAnsiTheme="minorEastAsia" w:eastAsiaTheme="minorEastAsia"/>
          <w:spacing w:val="5"/>
        </w:rPr>
        <w:t>评标结果</w:t>
      </w:r>
    </w:p>
    <w:p>
      <w:pPr>
        <w:spacing w:line="360" w:lineRule="auto"/>
        <w:rPr>
          <w:rFonts w:cs="宋体" w:asciiTheme="minorEastAsia" w:hAnsiTheme="minorEastAsia" w:eastAsiaTheme="minorEastAsia"/>
        </w:rPr>
      </w:pPr>
      <w:r>
        <w:rPr>
          <w:rFonts w:cs="Times New Roman" w:asciiTheme="minorEastAsia" w:hAnsiTheme="minorEastAsia" w:eastAsiaTheme="minorEastAsia"/>
          <w:spacing w:val="6"/>
        </w:rPr>
        <w:t xml:space="preserve">3.4. 1 </w:t>
      </w:r>
      <w:r>
        <w:rPr>
          <w:rFonts w:cs="宋体" w:asciiTheme="minorEastAsia" w:hAnsiTheme="minorEastAsia" w:eastAsiaTheme="minorEastAsia"/>
          <w:spacing w:val="6"/>
        </w:rPr>
        <w:t>评标委员会按照</w:t>
      </w:r>
      <w:r>
        <w:rPr>
          <w:rFonts w:cs="Times New Roman" w:asciiTheme="minorEastAsia" w:hAnsiTheme="minorEastAsia" w:eastAsiaTheme="minorEastAsia"/>
          <w:spacing w:val="6"/>
        </w:rPr>
        <w:t>“</w:t>
      </w:r>
      <w:r>
        <w:rPr>
          <w:rFonts w:cs="宋体" w:asciiTheme="minorEastAsia" w:hAnsiTheme="minorEastAsia" w:eastAsiaTheme="minorEastAsia"/>
          <w:spacing w:val="6"/>
        </w:rPr>
        <w:t>评标办法附件</w:t>
      </w:r>
      <w:r>
        <w:rPr>
          <w:rFonts w:cs="Times New Roman" w:asciiTheme="minorEastAsia" w:hAnsiTheme="minorEastAsia" w:eastAsiaTheme="minorEastAsia"/>
          <w:spacing w:val="6"/>
        </w:rPr>
        <w:t>”</w:t>
      </w:r>
      <w:r>
        <w:rPr>
          <w:rFonts w:cs="宋体" w:asciiTheme="minorEastAsia" w:hAnsiTheme="minorEastAsia" w:eastAsiaTheme="minorEastAsia"/>
          <w:spacing w:val="6"/>
        </w:rPr>
        <w:t>规定推荐中标候选人</w:t>
      </w:r>
      <w:r>
        <w:rPr>
          <w:rFonts w:cs="宋体" w:asciiTheme="minorEastAsia" w:hAnsiTheme="minorEastAsia" w:eastAsiaTheme="minorEastAsia"/>
          <w:spacing w:val="3"/>
        </w:rPr>
        <w:t>。</w:t>
      </w:r>
    </w:p>
    <w:p>
      <w:pPr>
        <w:spacing w:line="360" w:lineRule="auto"/>
        <w:rPr>
          <w:rFonts w:ascii="宋体" w:hAnsi="宋体" w:eastAsia="宋体" w:cs="宋体"/>
          <w:sz w:val="20"/>
          <w:szCs w:val="20"/>
        </w:rPr>
      </w:pPr>
      <w:r>
        <w:rPr>
          <w:rFonts w:cs="Times New Roman" w:asciiTheme="minorEastAsia" w:hAnsiTheme="minorEastAsia" w:eastAsiaTheme="minorEastAsia"/>
          <w:spacing w:val="8"/>
        </w:rPr>
        <w:t xml:space="preserve">3.4.2  </w:t>
      </w:r>
      <w:r>
        <w:rPr>
          <w:rFonts w:cs="宋体" w:asciiTheme="minorEastAsia" w:hAnsiTheme="minorEastAsia" w:eastAsiaTheme="minorEastAsia"/>
          <w:spacing w:val="8"/>
        </w:rPr>
        <w:t>评标委员会完成评标后，应当向招标人提交书面评标报告</w:t>
      </w:r>
      <w:r>
        <w:rPr>
          <w:rFonts w:cs="宋体" w:asciiTheme="minorEastAsia" w:hAnsiTheme="minorEastAsia" w:eastAsiaTheme="minorEastAsia"/>
          <w:spacing w:val="7"/>
        </w:rPr>
        <w:t>。</w:t>
      </w:r>
    </w:p>
    <w:p>
      <w:pPr>
        <w:pStyle w:val="3"/>
        <w:ind w:firstLine="0" w:firstLineChars="0"/>
        <w:rPr>
          <w:rFonts w:eastAsiaTheme="minorEastAsia"/>
        </w:rPr>
        <w:sectPr>
          <w:pgSz w:w="11905" w:h="16837"/>
          <w:pgMar w:top="1440" w:right="1080" w:bottom="1440" w:left="1080" w:header="0" w:footer="850" w:gutter="0"/>
          <w:pgNumType w:chapStyle="1"/>
          <w:cols w:space="720" w:num="1"/>
          <w:docGrid w:linePitch="286" w:charSpace="0"/>
        </w:sectPr>
      </w:pPr>
      <w:bookmarkStart w:id="191" w:name="_bookmark20"/>
      <w:bookmarkEnd w:id="191"/>
    </w:p>
    <w:p>
      <w:pPr>
        <w:pStyle w:val="6"/>
        <w:rPr>
          <w:rFonts w:ascii="黑体" w:hAnsi="黑体" w:eastAsia="黑体" w:cs="黑体"/>
          <w:sz w:val="28"/>
          <w:szCs w:val="28"/>
        </w:rPr>
      </w:pPr>
      <w:bookmarkStart w:id="192" w:name="_Toc109826673"/>
      <w:r>
        <w:rPr>
          <w:rFonts w:ascii="黑体" w:hAnsi="黑体" w:eastAsia="黑体" w:cs="黑体"/>
          <w:spacing w:val="-2"/>
          <w:sz w:val="28"/>
          <w:szCs w:val="28"/>
        </w:rPr>
        <w:t>评标办</w:t>
      </w:r>
      <w:r>
        <w:rPr>
          <w:rFonts w:ascii="黑体" w:hAnsi="黑体" w:eastAsia="黑体" w:cs="黑体"/>
          <w:spacing w:val="-1"/>
          <w:sz w:val="28"/>
          <w:szCs w:val="28"/>
        </w:rPr>
        <w:t>法附件</w:t>
      </w:r>
      <w:bookmarkEnd w:id="192"/>
    </w:p>
    <w:p>
      <w:pPr>
        <w:spacing w:before="91" w:line="360" w:lineRule="auto"/>
        <w:ind w:left="3830"/>
        <w:rPr>
          <w:rFonts w:cs="宋体" w:asciiTheme="minorEastAsia" w:hAnsiTheme="minorEastAsia" w:eastAsiaTheme="minorEastAsia"/>
          <w:b/>
          <w:bCs/>
          <w:spacing w:val="-1"/>
        </w:rPr>
      </w:pPr>
      <w:r>
        <w:rPr>
          <w:rFonts w:cs="宋体" w:asciiTheme="minorEastAsia" w:hAnsiTheme="minorEastAsia" w:eastAsiaTheme="minorEastAsia"/>
          <w:b/>
          <w:bCs/>
          <w:spacing w:val="-2"/>
        </w:rPr>
        <w:t>综合评估法</w:t>
      </w:r>
      <w:r>
        <w:rPr>
          <w:rFonts w:cs="宋体" w:asciiTheme="minorEastAsia" w:hAnsiTheme="minorEastAsia" w:eastAsiaTheme="minorEastAsia"/>
          <w:b/>
          <w:bCs/>
          <w:spacing w:val="-1"/>
        </w:rPr>
        <w:t xml:space="preserve"> </w:t>
      </w:r>
    </w:p>
    <w:p>
      <w:pPr>
        <w:spacing w:before="127" w:line="360" w:lineRule="auto"/>
        <w:ind w:left="424"/>
        <w:rPr>
          <w:rFonts w:cs="宋体" w:asciiTheme="minorEastAsia" w:hAnsiTheme="minorEastAsia" w:eastAsiaTheme="minorEastAsia"/>
        </w:rPr>
      </w:pPr>
      <w:r>
        <w:rPr>
          <w:rFonts w:cs="宋体" w:asciiTheme="minorEastAsia" w:hAnsiTheme="minorEastAsia" w:eastAsiaTheme="minorEastAsia"/>
          <w:spacing w:val="11"/>
          <w:position w:val="2"/>
        </w:rPr>
        <w:t>一</w:t>
      </w:r>
      <w:r>
        <w:rPr>
          <w:rFonts w:cs="宋体" w:asciiTheme="minorEastAsia" w:hAnsiTheme="minorEastAsia" w:eastAsiaTheme="minorEastAsia"/>
          <w:spacing w:val="7"/>
          <w:position w:val="2"/>
        </w:rPr>
        <w:t>、资格审查</w:t>
      </w:r>
    </w:p>
    <w:p>
      <w:pPr>
        <w:spacing w:before="57" w:line="360" w:lineRule="auto"/>
        <w:ind w:left="420"/>
        <w:rPr>
          <w:rFonts w:cs="宋体" w:asciiTheme="minorEastAsia" w:hAnsiTheme="minorEastAsia" w:eastAsiaTheme="minorEastAsia"/>
        </w:rPr>
      </w:pPr>
      <w:r>
        <w:rPr>
          <w:rFonts w:cs="宋体" w:asciiTheme="minorEastAsia" w:hAnsiTheme="minorEastAsia" w:eastAsiaTheme="minorEastAsia"/>
          <w:spacing w:val="16"/>
        </w:rPr>
        <w:t>评标</w:t>
      </w:r>
      <w:r>
        <w:rPr>
          <w:rFonts w:cs="宋体" w:asciiTheme="minorEastAsia" w:hAnsiTheme="minorEastAsia" w:eastAsiaTheme="minorEastAsia"/>
          <w:spacing w:val="13"/>
        </w:rPr>
        <w:t>委</w:t>
      </w:r>
      <w:r>
        <w:rPr>
          <w:rFonts w:cs="宋体" w:asciiTheme="minorEastAsia" w:hAnsiTheme="minorEastAsia" w:eastAsiaTheme="minorEastAsia"/>
          <w:spacing w:val="8"/>
        </w:rPr>
        <w:t>员会按照招标文件载明的资格后审条款，对投标人的企业资质、项目负责人资格等进行审</w:t>
      </w:r>
    </w:p>
    <w:p>
      <w:pPr>
        <w:spacing w:before="157" w:line="360" w:lineRule="auto"/>
        <w:ind w:left="3"/>
        <w:rPr>
          <w:rFonts w:cs="宋体" w:asciiTheme="minorEastAsia" w:hAnsiTheme="minorEastAsia" w:eastAsiaTheme="minorEastAsia"/>
        </w:rPr>
      </w:pPr>
      <w:r>
        <w:rPr>
          <w:rFonts w:cs="宋体" w:asciiTheme="minorEastAsia" w:hAnsiTheme="minorEastAsia" w:eastAsiaTheme="minorEastAsia"/>
          <w:spacing w:val="6"/>
        </w:rPr>
        <w:t>查，凡不符合资格后审要求的， 以无效标处理，不再进入下一阶段评审。</w:t>
      </w:r>
    </w:p>
    <w:p>
      <w:pPr>
        <w:spacing w:before="150" w:line="360" w:lineRule="auto"/>
        <w:ind w:left="424"/>
        <w:rPr>
          <w:rFonts w:cs="宋体" w:asciiTheme="minorEastAsia" w:hAnsiTheme="minorEastAsia" w:eastAsiaTheme="minorEastAsia"/>
          <w:spacing w:val="6"/>
        </w:rPr>
      </w:pPr>
      <w:r>
        <w:rPr>
          <w:rFonts w:cs="宋体" w:asciiTheme="minorEastAsia" w:hAnsiTheme="minorEastAsia" w:eastAsiaTheme="minorEastAsia"/>
          <w:spacing w:val="7"/>
        </w:rPr>
        <w:t>二</w:t>
      </w:r>
      <w:r>
        <w:rPr>
          <w:rFonts w:cs="宋体" w:asciiTheme="minorEastAsia" w:hAnsiTheme="minorEastAsia" w:eastAsiaTheme="minorEastAsia"/>
          <w:spacing w:val="6"/>
        </w:rPr>
        <w:t>、资信标评审 (</w:t>
      </w:r>
      <w:r>
        <w:rPr>
          <w:rFonts w:hint="eastAsia" w:cs="Times New Roman" w:asciiTheme="minorEastAsia" w:hAnsiTheme="minorEastAsia" w:eastAsiaTheme="minorEastAsia"/>
          <w:spacing w:val="6"/>
        </w:rPr>
        <w:t>8</w:t>
      </w:r>
      <w:r>
        <w:rPr>
          <w:rFonts w:cs="宋体" w:asciiTheme="minorEastAsia" w:hAnsiTheme="minorEastAsia" w:eastAsiaTheme="minorEastAsia"/>
          <w:spacing w:val="6"/>
        </w:rPr>
        <w:t>分)</w:t>
      </w:r>
    </w:p>
    <w:tbl>
      <w:tblPr>
        <w:tblStyle w:val="21"/>
        <w:tblW w:w="10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52"/>
        <w:gridCol w:w="7832"/>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blHeader/>
          <w:jc w:val="center"/>
        </w:trPr>
        <w:tc>
          <w:tcPr>
            <w:tcW w:w="2016" w:type="dxa"/>
            <w:gridSpan w:val="2"/>
            <w:shd w:val="clear" w:color="auto" w:fill="D7D7D7"/>
            <w:vAlign w:val="center"/>
          </w:tcPr>
          <w:p>
            <w:pPr>
              <w:pStyle w:val="46"/>
              <w:adjustRightInd/>
              <w:spacing w:line="440" w:lineRule="exact"/>
              <w:jc w:val="center"/>
              <w:rPr>
                <w:color w:val="auto"/>
                <w:sz w:val="21"/>
                <w:szCs w:val="21"/>
              </w:rPr>
            </w:pPr>
            <w:r>
              <w:rPr>
                <w:rFonts w:hint="eastAsia"/>
                <w:color w:val="auto"/>
                <w:sz w:val="21"/>
                <w:szCs w:val="21"/>
              </w:rPr>
              <w:t>评审内容</w:t>
            </w:r>
          </w:p>
        </w:tc>
        <w:tc>
          <w:tcPr>
            <w:tcW w:w="7832" w:type="dxa"/>
            <w:shd w:val="clear" w:color="auto" w:fill="D7D7D7"/>
            <w:vAlign w:val="center"/>
          </w:tcPr>
          <w:p>
            <w:pPr>
              <w:pStyle w:val="46"/>
              <w:adjustRightInd/>
              <w:spacing w:line="440" w:lineRule="exact"/>
              <w:jc w:val="center"/>
              <w:rPr>
                <w:color w:val="auto"/>
                <w:sz w:val="21"/>
                <w:szCs w:val="21"/>
              </w:rPr>
            </w:pPr>
            <w:r>
              <w:rPr>
                <w:rFonts w:hint="eastAsia"/>
                <w:color w:val="auto"/>
                <w:sz w:val="21"/>
                <w:szCs w:val="21"/>
              </w:rPr>
              <w:t>评分标准</w:t>
            </w:r>
          </w:p>
        </w:tc>
        <w:tc>
          <w:tcPr>
            <w:tcW w:w="959" w:type="dxa"/>
            <w:shd w:val="clear" w:color="auto" w:fill="D7D7D7"/>
            <w:vAlign w:val="center"/>
          </w:tcPr>
          <w:p>
            <w:pPr>
              <w:pStyle w:val="46"/>
              <w:adjustRightInd/>
              <w:spacing w:line="440" w:lineRule="exact"/>
              <w:jc w:val="center"/>
              <w:rPr>
                <w:color w:val="auto"/>
                <w:sz w:val="21"/>
                <w:szCs w:val="21"/>
              </w:rPr>
            </w:pPr>
            <w:r>
              <w:rPr>
                <w:rFonts w:hint="eastAsia"/>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6" w:type="dxa"/>
            <w:gridSpan w:val="2"/>
            <w:vAlign w:val="center"/>
          </w:tcPr>
          <w:p>
            <w:pPr>
              <w:pStyle w:val="46"/>
              <w:adjustRightInd/>
              <w:spacing w:line="440" w:lineRule="exact"/>
              <w:jc w:val="center"/>
              <w:rPr>
                <w:rFonts w:hAnsi="宋体"/>
                <w:color w:val="auto"/>
                <w:sz w:val="21"/>
                <w:szCs w:val="21"/>
              </w:rPr>
            </w:pPr>
            <w:r>
              <w:rPr>
                <w:rFonts w:hint="eastAsia" w:hAnsi="宋体"/>
                <w:color w:val="auto"/>
                <w:sz w:val="21"/>
                <w:szCs w:val="21"/>
              </w:rPr>
              <w:t>企业业绩</w:t>
            </w:r>
          </w:p>
        </w:tc>
        <w:tc>
          <w:tcPr>
            <w:tcW w:w="7832" w:type="dxa"/>
            <w:vAlign w:val="center"/>
          </w:tcPr>
          <w:p>
            <w:pPr>
              <w:spacing w:line="276" w:lineRule="auto"/>
              <w:rPr>
                <w:rFonts w:ascii="宋体" w:hAnsi="宋体"/>
              </w:rPr>
            </w:pPr>
            <w:r>
              <w:rPr>
                <w:rFonts w:hint="eastAsia" w:ascii="宋体" w:hAnsi="宋体" w:eastAsia="宋体" w:cs="宋体"/>
              </w:rPr>
              <w:t>投标人单独亮化业绩规模达到中标价</w:t>
            </w:r>
            <w:r>
              <w:rPr>
                <w:rFonts w:ascii="宋体" w:hAnsi="宋体"/>
              </w:rPr>
              <w:t>≥</w:t>
            </w:r>
            <w:r>
              <w:rPr>
                <w:rFonts w:hint="eastAsia" w:ascii="宋体" w:hAnsi="宋体"/>
              </w:rPr>
              <w:t>8</w:t>
            </w:r>
            <w:r>
              <w:rPr>
                <w:rFonts w:ascii="宋体" w:hAnsi="宋体"/>
              </w:rPr>
              <w:t>00</w:t>
            </w:r>
            <w:r>
              <w:rPr>
                <w:rFonts w:hint="eastAsia" w:ascii="宋体" w:hAnsi="宋体" w:eastAsia="宋体" w:cs="宋体"/>
              </w:rPr>
              <w:t>万元的室外景观亮化工程（路灯及室内亮化除外）的，每个项目得</w:t>
            </w:r>
            <w:r>
              <w:rPr>
                <w:rFonts w:hint="eastAsia" w:ascii="宋体" w:hAnsi="宋体"/>
              </w:rPr>
              <w:t>0.5</w:t>
            </w:r>
            <w:r>
              <w:rPr>
                <w:rFonts w:hint="eastAsia" w:ascii="宋体" w:hAnsi="宋体" w:eastAsia="宋体" w:cs="宋体"/>
              </w:rPr>
              <w:t>分，业绩累计最高得</w:t>
            </w:r>
            <w:r>
              <w:rPr>
                <w:rFonts w:hint="eastAsia" w:ascii="宋体" w:hAnsi="宋体"/>
              </w:rPr>
              <w:t>1.5</w:t>
            </w:r>
            <w:r>
              <w:rPr>
                <w:rFonts w:hint="eastAsia" w:ascii="宋体" w:hAnsi="宋体" w:eastAsia="宋体" w:cs="宋体"/>
              </w:rPr>
              <w:t>分；业绩规模未达到上述标准的、无业绩的或业绩提供材料不符合要求的，得</w:t>
            </w:r>
            <w:r>
              <w:rPr>
                <w:rFonts w:ascii="宋体" w:hAnsi="宋体"/>
              </w:rPr>
              <w:t>0</w:t>
            </w:r>
            <w:r>
              <w:rPr>
                <w:rFonts w:hint="eastAsia" w:ascii="宋体" w:hAnsi="宋体" w:eastAsia="宋体" w:cs="宋体"/>
              </w:rPr>
              <w:t>分。</w:t>
            </w:r>
          </w:p>
          <w:p>
            <w:pPr>
              <w:spacing w:line="276" w:lineRule="auto"/>
              <w:rPr>
                <w:rFonts w:ascii="宋体" w:hAnsi="宋体"/>
              </w:rPr>
            </w:pPr>
            <w:r>
              <w:rPr>
                <w:rFonts w:hint="eastAsia" w:ascii="宋体" w:hAnsi="宋体" w:eastAsia="宋体" w:cs="宋体"/>
              </w:rPr>
              <w:t>①投标人单独亮化业绩须同时满足以下要求：</w:t>
            </w:r>
          </w:p>
          <w:p>
            <w:pPr>
              <w:spacing w:line="276" w:lineRule="auto"/>
              <w:rPr>
                <w:rFonts w:ascii="宋体" w:hAnsi="宋体"/>
              </w:rPr>
            </w:pPr>
            <w:r>
              <w:rPr>
                <w:rFonts w:ascii="宋体" w:hAnsi="宋体"/>
              </w:rPr>
              <w:t>a.</w:t>
            </w:r>
            <w:r>
              <w:rPr>
                <w:rFonts w:hint="eastAsia" w:ascii="宋体" w:hAnsi="宋体" w:eastAsia="宋体" w:cs="宋体"/>
              </w:rPr>
              <w:t>投标人单独亮化业绩是指投标人近五年内</w:t>
            </w:r>
            <w:r>
              <w:rPr>
                <w:rFonts w:ascii="宋体" w:hAnsi="宋体"/>
              </w:rPr>
              <w:t xml:space="preserve"> (</w:t>
            </w:r>
            <w:r>
              <w:rPr>
                <w:rFonts w:hint="eastAsia" w:ascii="宋体" w:hAnsi="宋体" w:eastAsia="宋体" w:cs="宋体"/>
              </w:rPr>
              <w:t>为</w:t>
            </w:r>
            <w:r>
              <w:rPr>
                <w:rFonts w:ascii="宋体" w:hAnsi="宋体"/>
              </w:rPr>
              <w:t>20</w:t>
            </w:r>
            <w:r>
              <w:rPr>
                <w:rFonts w:hint="eastAsia" w:ascii="宋体" w:hAnsi="宋体"/>
              </w:rPr>
              <w:t>18</w:t>
            </w:r>
            <w:r>
              <w:rPr>
                <w:rFonts w:hint="eastAsia" w:ascii="宋体" w:hAnsi="宋体" w:eastAsia="宋体" w:cs="宋体"/>
              </w:rPr>
              <w:t>年</w:t>
            </w:r>
            <w:r>
              <w:rPr>
                <w:rFonts w:hint="eastAsia" w:ascii="宋体" w:hAnsi="宋体"/>
              </w:rPr>
              <w:t>7</w:t>
            </w:r>
            <w:r>
              <w:rPr>
                <w:rFonts w:hint="eastAsia" w:ascii="宋体" w:hAnsi="宋体" w:eastAsia="宋体" w:cs="宋体"/>
              </w:rPr>
              <w:t>月</w:t>
            </w:r>
            <w:r>
              <w:rPr>
                <w:rFonts w:ascii="宋体" w:hAnsi="宋体"/>
              </w:rPr>
              <w:t>1</w:t>
            </w:r>
            <w:r>
              <w:rPr>
                <w:rFonts w:hint="eastAsia" w:ascii="宋体" w:hAnsi="宋体" w:eastAsia="宋体" w:cs="宋体"/>
              </w:rPr>
              <w:t>日后竣工的，具体时间以竣工验收时间为准</w:t>
            </w:r>
            <w:r>
              <w:rPr>
                <w:rFonts w:ascii="宋体" w:hAnsi="宋体"/>
              </w:rPr>
              <w:t xml:space="preserve">) </w:t>
            </w:r>
            <w:r>
              <w:rPr>
                <w:rFonts w:hint="eastAsia" w:ascii="宋体" w:hAnsi="宋体" w:eastAsia="宋体" w:cs="宋体"/>
              </w:rPr>
              <w:t>以来承担过的类似项目业绩，不接受分包业绩。</w:t>
            </w:r>
          </w:p>
          <w:p>
            <w:pPr>
              <w:spacing w:line="276" w:lineRule="auto"/>
              <w:ind w:right="-147" w:rightChars="-70"/>
              <w:rPr>
                <w:rFonts w:ascii="宋体" w:hAnsi="宋体"/>
              </w:rPr>
            </w:pPr>
            <w:r>
              <w:rPr>
                <w:rFonts w:ascii="宋体" w:hAnsi="宋体"/>
              </w:rPr>
              <w:t>b.</w:t>
            </w:r>
            <w:r>
              <w:rPr>
                <w:rFonts w:hint="eastAsia" w:ascii="宋体" w:hAnsi="宋体" w:eastAsia="宋体" w:cs="宋体"/>
              </w:rPr>
              <w:t>投标人单独亮化业绩须在政府设立的招标投标交易场所通过招标方式获得</w:t>
            </w:r>
            <w:r>
              <w:rPr>
                <w:rFonts w:ascii="宋体" w:hAnsi="宋体"/>
              </w:rPr>
              <w:t>(</w:t>
            </w:r>
            <w:r>
              <w:rPr>
                <w:rFonts w:hint="eastAsia" w:ascii="宋体" w:hAnsi="宋体" w:eastAsia="宋体" w:cs="宋体"/>
              </w:rPr>
              <w:t>须附相关网页截图等证明材料，否则业绩不予认可</w:t>
            </w:r>
            <w:r>
              <w:rPr>
                <w:rFonts w:ascii="宋体" w:hAnsi="宋体"/>
              </w:rPr>
              <w:t xml:space="preserve">) </w:t>
            </w:r>
            <w:r>
              <w:rPr>
                <w:rFonts w:hint="eastAsia" w:ascii="宋体" w:hAnsi="宋体" w:eastAsia="宋体" w:cs="宋体"/>
              </w:rPr>
              <w:t>。</w:t>
            </w:r>
          </w:p>
          <w:p>
            <w:pPr>
              <w:spacing w:line="276" w:lineRule="auto"/>
              <w:rPr>
                <w:rFonts w:ascii="宋体" w:hAnsi="宋体"/>
              </w:rPr>
            </w:pPr>
            <w:r>
              <w:rPr>
                <w:rFonts w:hint="eastAsia" w:ascii="宋体" w:hAnsi="宋体" w:eastAsia="宋体" w:cs="宋体"/>
              </w:rPr>
              <w:t>②投标人单独亮化业绩须提供以下证明材料：</w:t>
            </w:r>
          </w:p>
          <w:p>
            <w:pPr>
              <w:spacing w:line="276" w:lineRule="auto"/>
              <w:rPr>
                <w:rFonts w:ascii="宋体" w:hAnsi="宋体"/>
              </w:rPr>
            </w:pPr>
            <w:r>
              <w:rPr>
                <w:rFonts w:ascii="宋体" w:hAnsi="宋体"/>
              </w:rPr>
              <w:t xml:space="preserve">a. </w:t>
            </w:r>
            <w:r>
              <w:rPr>
                <w:rFonts w:hint="eastAsia" w:ascii="宋体" w:hAnsi="宋体" w:eastAsia="宋体" w:cs="宋体"/>
              </w:rPr>
              <w:t>中标通知书。如中标通知书中未能体现单独亮化业绩规模的，必须附发包人和招投标监管机构出具的加盖公章的证明材料，否则业绩不予认可；</w:t>
            </w:r>
          </w:p>
          <w:p>
            <w:pPr>
              <w:spacing w:line="276" w:lineRule="auto"/>
              <w:rPr>
                <w:rFonts w:ascii="宋体" w:hAnsi="宋体"/>
              </w:rPr>
            </w:pPr>
            <w:r>
              <w:rPr>
                <w:rFonts w:ascii="宋体" w:hAnsi="宋体"/>
              </w:rPr>
              <w:t>b.</w:t>
            </w:r>
            <w:r>
              <w:rPr>
                <w:rFonts w:hint="eastAsia" w:ascii="宋体" w:hAnsi="宋体" w:eastAsia="宋体" w:cs="宋体"/>
              </w:rPr>
              <w:t>施工合同</w:t>
            </w:r>
            <w:r>
              <w:rPr>
                <w:rFonts w:ascii="宋体" w:hAnsi="宋体"/>
              </w:rPr>
              <w:t xml:space="preserve"> (</w:t>
            </w:r>
            <w:r>
              <w:rPr>
                <w:rFonts w:hint="eastAsia" w:ascii="宋体" w:hAnsi="宋体" w:eastAsia="宋体" w:cs="宋体"/>
              </w:rPr>
              <w:t>仅提供协议书、体现工程规模内容</w:t>
            </w:r>
            <w:r>
              <w:rPr>
                <w:rFonts w:ascii="宋体" w:hAnsi="宋体"/>
              </w:rPr>
              <w:t xml:space="preserve">) </w:t>
            </w:r>
            <w:r>
              <w:rPr>
                <w:rFonts w:hint="eastAsia" w:ascii="宋体" w:hAnsi="宋体" w:eastAsia="宋体" w:cs="宋体"/>
              </w:rPr>
              <w:t>；</w:t>
            </w:r>
          </w:p>
          <w:p>
            <w:pPr>
              <w:spacing w:line="276" w:lineRule="auto"/>
              <w:rPr>
                <w:rFonts w:ascii="宋体" w:hAnsi="宋体"/>
              </w:rPr>
            </w:pPr>
            <w:r>
              <w:rPr>
                <w:rFonts w:ascii="宋体" w:hAnsi="宋体"/>
              </w:rPr>
              <w:t>c.</w:t>
            </w:r>
            <w:r>
              <w:rPr>
                <w:rFonts w:hint="eastAsia" w:ascii="宋体" w:hAnsi="宋体" w:eastAsia="宋体" w:cs="宋体"/>
              </w:rPr>
              <w:t>竣工</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验收记录</w:t>
            </w:r>
            <w:r>
              <w:rPr>
                <w:rFonts w:ascii="宋体" w:hAnsi="宋体"/>
              </w:rPr>
              <w:t xml:space="preserve"> (</w:t>
            </w:r>
            <w:r>
              <w:rPr>
                <w:rFonts w:hint="eastAsia" w:ascii="宋体" w:hAnsi="宋体" w:eastAsia="宋体" w:cs="宋体"/>
              </w:rPr>
              <w:t>或竣工</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验收报告或竣工</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验收备案表或专业工程</w:t>
            </w:r>
            <w:r>
              <w:rPr>
                <w:rFonts w:ascii="宋体" w:hAnsi="宋体"/>
              </w:rPr>
              <w:t xml:space="preserve"> (</w:t>
            </w:r>
            <w:r>
              <w:rPr>
                <w:rFonts w:hint="eastAsia" w:ascii="宋体" w:hAnsi="宋体" w:eastAsia="宋体" w:cs="宋体"/>
              </w:rPr>
              <w:t>专项工程或分部分项工程</w:t>
            </w:r>
            <w:r>
              <w:rPr>
                <w:rFonts w:ascii="宋体" w:hAnsi="宋体"/>
              </w:rPr>
              <w:t xml:space="preserve">) </w:t>
            </w:r>
            <w:r>
              <w:rPr>
                <w:rFonts w:hint="eastAsia" w:ascii="宋体" w:hAnsi="宋体" w:eastAsia="宋体" w:cs="宋体"/>
              </w:rPr>
              <w:t>验收记录表</w:t>
            </w:r>
            <w:r>
              <w:rPr>
                <w:rFonts w:ascii="宋体" w:hAnsi="宋体"/>
              </w:rPr>
              <w:t xml:space="preserve">) </w:t>
            </w:r>
            <w:r>
              <w:rPr>
                <w:rFonts w:hint="eastAsia" w:ascii="宋体" w:hAnsi="宋体" w:eastAsia="宋体" w:cs="宋体"/>
              </w:rPr>
              <w:t>。如验收</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记录中未能体现时间等项目特征的，必须附发包人出具的加盖公章的证明材料，否则业绩不予认可。</w:t>
            </w:r>
          </w:p>
          <w:p>
            <w:pPr>
              <w:spacing w:line="276" w:lineRule="auto"/>
              <w:rPr>
                <w:rFonts w:ascii="宋体" w:hAnsi="宋体"/>
              </w:rPr>
            </w:pPr>
            <w:r>
              <w:rPr>
                <w:rFonts w:hint="eastAsia" w:ascii="宋体" w:hAnsi="宋体" w:eastAsia="宋体" w:cs="宋体"/>
              </w:rPr>
              <w:t>注：①业绩需满足以上条件，否则业绩不予认可。</w:t>
            </w:r>
          </w:p>
          <w:p>
            <w:pPr>
              <w:pStyle w:val="2"/>
            </w:pPr>
            <w:r>
              <w:rPr>
                <w:rFonts w:hint="eastAsia" w:ascii="宋体" w:hAnsi="宋体" w:eastAsia="宋体" w:cs="宋体"/>
              </w:rPr>
              <w:t>②若为施工设计一体化业绩的，须为施工方，且建安费</w:t>
            </w:r>
            <w:r>
              <w:t>≥</w:t>
            </w:r>
            <w:r>
              <w:rPr>
                <w:rFonts w:hint="eastAsia"/>
              </w:rPr>
              <w:t>8</w:t>
            </w:r>
            <w:r>
              <w:t>00</w:t>
            </w:r>
            <w:r>
              <w:rPr>
                <w:rFonts w:hint="eastAsia" w:ascii="宋体" w:hAnsi="宋体" w:eastAsia="宋体" w:cs="宋体"/>
              </w:rPr>
              <w:t>万元。</w:t>
            </w:r>
          </w:p>
        </w:tc>
        <w:tc>
          <w:tcPr>
            <w:tcW w:w="959" w:type="dxa"/>
            <w:vAlign w:val="center"/>
          </w:tcPr>
          <w:p>
            <w:pPr>
              <w:pStyle w:val="46"/>
              <w:adjustRightInd/>
              <w:spacing w:line="440" w:lineRule="exact"/>
              <w:jc w:val="center"/>
              <w:rPr>
                <w:rFonts w:hAnsi="宋体"/>
                <w:color w:val="auto"/>
                <w:sz w:val="21"/>
                <w:szCs w:val="21"/>
              </w:rPr>
            </w:pPr>
            <w:r>
              <w:rPr>
                <w:rFonts w:hint="eastAsia" w:hAnsi="宋体"/>
                <w:color w:val="auto"/>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2016" w:type="dxa"/>
            <w:gridSpan w:val="2"/>
            <w:vAlign w:val="center"/>
          </w:tcPr>
          <w:p>
            <w:pPr>
              <w:pStyle w:val="46"/>
              <w:adjustRightInd/>
              <w:spacing w:line="440" w:lineRule="exact"/>
              <w:jc w:val="center"/>
              <w:rPr>
                <w:rFonts w:hAnsi="宋体"/>
                <w:color w:val="auto"/>
                <w:sz w:val="21"/>
                <w:szCs w:val="21"/>
              </w:rPr>
            </w:pPr>
            <w:r>
              <w:rPr>
                <w:rFonts w:hint="eastAsia" w:hAnsi="宋体"/>
                <w:color w:val="auto"/>
                <w:sz w:val="21"/>
                <w:szCs w:val="21"/>
              </w:rPr>
              <w:t>项目负责人业绩</w:t>
            </w:r>
          </w:p>
        </w:tc>
        <w:tc>
          <w:tcPr>
            <w:tcW w:w="7832" w:type="dxa"/>
            <w:vAlign w:val="center"/>
          </w:tcPr>
          <w:p>
            <w:pPr>
              <w:spacing w:line="276" w:lineRule="auto"/>
              <w:rPr>
                <w:rFonts w:ascii="宋体" w:hAnsi="宋体"/>
              </w:rPr>
            </w:pPr>
            <w:r>
              <w:rPr>
                <w:rFonts w:hint="eastAsia" w:ascii="宋体" w:hAnsi="宋体" w:eastAsia="宋体" w:cs="宋体"/>
              </w:rPr>
              <w:t>拟派的项目负责人以项目经理身份承接的单独亮化业绩规模达到中标价</w:t>
            </w:r>
            <w:r>
              <w:rPr>
                <w:rFonts w:ascii="宋体" w:hAnsi="宋体"/>
              </w:rPr>
              <w:t>≥</w:t>
            </w:r>
            <w:r>
              <w:rPr>
                <w:rFonts w:hint="eastAsia" w:ascii="宋体" w:hAnsi="宋体"/>
              </w:rPr>
              <w:t>8</w:t>
            </w:r>
            <w:r>
              <w:rPr>
                <w:rFonts w:ascii="宋体" w:hAnsi="宋体"/>
              </w:rPr>
              <w:t>00</w:t>
            </w:r>
            <w:r>
              <w:rPr>
                <w:rFonts w:hint="eastAsia" w:ascii="宋体" w:hAnsi="宋体" w:eastAsia="宋体" w:cs="宋体"/>
              </w:rPr>
              <w:t>万元的室外景观亮化工程（路灯及室内亮化除外）每个项目得</w:t>
            </w:r>
            <w:r>
              <w:rPr>
                <w:rFonts w:hint="eastAsia" w:ascii="宋体" w:hAnsi="宋体"/>
              </w:rPr>
              <w:t>0.5</w:t>
            </w:r>
            <w:r>
              <w:rPr>
                <w:rFonts w:hint="eastAsia" w:ascii="宋体" w:hAnsi="宋体" w:eastAsia="宋体" w:cs="宋体"/>
              </w:rPr>
              <w:t>分，业绩累计最高得</w:t>
            </w:r>
            <w:r>
              <w:rPr>
                <w:rFonts w:hint="eastAsia" w:ascii="宋体" w:hAnsi="宋体"/>
              </w:rPr>
              <w:t>1.5</w:t>
            </w:r>
            <w:r>
              <w:rPr>
                <w:rFonts w:hint="eastAsia" w:ascii="宋体" w:hAnsi="宋体" w:eastAsia="宋体" w:cs="宋体"/>
              </w:rPr>
              <w:t>分；业绩规模未达到上述标准的、无业绩的或业绩提供材料不符合要求的，得</w:t>
            </w:r>
            <w:r>
              <w:rPr>
                <w:rFonts w:ascii="宋体" w:hAnsi="宋体"/>
              </w:rPr>
              <w:t>0</w:t>
            </w:r>
            <w:r>
              <w:rPr>
                <w:rFonts w:hint="eastAsia" w:ascii="宋体" w:hAnsi="宋体" w:eastAsia="宋体" w:cs="宋体"/>
              </w:rPr>
              <w:t>分。</w:t>
            </w:r>
          </w:p>
          <w:p>
            <w:pPr>
              <w:spacing w:line="276" w:lineRule="auto"/>
              <w:rPr>
                <w:rFonts w:ascii="宋体" w:hAnsi="宋体"/>
              </w:rPr>
            </w:pPr>
            <w:r>
              <w:rPr>
                <w:rFonts w:hint="eastAsia" w:ascii="宋体" w:hAnsi="宋体" w:eastAsia="宋体" w:cs="宋体"/>
              </w:rPr>
              <w:t>①单独亮化业绩须同时满足以下要求：</w:t>
            </w:r>
          </w:p>
          <w:p>
            <w:pPr>
              <w:spacing w:line="276" w:lineRule="auto"/>
              <w:rPr>
                <w:rFonts w:ascii="宋体" w:hAnsi="宋体"/>
              </w:rPr>
            </w:pPr>
            <w:r>
              <w:rPr>
                <w:rFonts w:ascii="宋体" w:hAnsi="宋体"/>
              </w:rPr>
              <w:t>a.</w:t>
            </w:r>
            <w:r>
              <w:rPr>
                <w:rFonts w:hint="eastAsia" w:ascii="宋体" w:hAnsi="宋体" w:eastAsia="宋体" w:cs="宋体"/>
              </w:rPr>
              <w:t>单独亮化业绩是指投标人近五年内</w:t>
            </w:r>
            <w:r>
              <w:rPr>
                <w:rFonts w:ascii="宋体" w:hAnsi="宋体"/>
              </w:rPr>
              <w:t xml:space="preserve"> (</w:t>
            </w:r>
            <w:r>
              <w:rPr>
                <w:rFonts w:hint="eastAsia" w:ascii="宋体" w:hAnsi="宋体" w:eastAsia="宋体" w:cs="宋体"/>
              </w:rPr>
              <w:t>为</w:t>
            </w:r>
            <w:r>
              <w:rPr>
                <w:rFonts w:ascii="宋体" w:hAnsi="宋体"/>
              </w:rPr>
              <w:t>20</w:t>
            </w:r>
            <w:r>
              <w:rPr>
                <w:rFonts w:hint="eastAsia" w:ascii="宋体" w:hAnsi="宋体"/>
              </w:rPr>
              <w:t>18</w:t>
            </w:r>
            <w:r>
              <w:rPr>
                <w:rFonts w:hint="eastAsia" w:ascii="宋体" w:hAnsi="宋体" w:eastAsia="宋体" w:cs="宋体"/>
              </w:rPr>
              <w:t>年</w:t>
            </w:r>
            <w:r>
              <w:rPr>
                <w:rFonts w:hint="eastAsia" w:ascii="宋体" w:hAnsi="宋体"/>
              </w:rPr>
              <w:t>7</w:t>
            </w:r>
            <w:r>
              <w:rPr>
                <w:rFonts w:hint="eastAsia" w:ascii="宋体" w:hAnsi="宋体" w:eastAsia="宋体" w:cs="宋体"/>
              </w:rPr>
              <w:t>月</w:t>
            </w:r>
            <w:r>
              <w:rPr>
                <w:rFonts w:ascii="宋体" w:hAnsi="宋体"/>
              </w:rPr>
              <w:t>1</w:t>
            </w:r>
            <w:r>
              <w:rPr>
                <w:rFonts w:hint="eastAsia" w:ascii="宋体" w:hAnsi="宋体" w:eastAsia="宋体" w:cs="宋体"/>
              </w:rPr>
              <w:t>日后竣工的，具体时间以竣工验收时间为准</w:t>
            </w:r>
            <w:r>
              <w:rPr>
                <w:rFonts w:ascii="宋体" w:hAnsi="宋体"/>
              </w:rPr>
              <w:t xml:space="preserve">) </w:t>
            </w:r>
            <w:r>
              <w:rPr>
                <w:rFonts w:hint="eastAsia" w:ascii="宋体" w:hAnsi="宋体" w:eastAsia="宋体" w:cs="宋体"/>
              </w:rPr>
              <w:t>以来承担过的类似项目业绩，不接受分包业绩。</w:t>
            </w:r>
          </w:p>
          <w:p>
            <w:pPr>
              <w:spacing w:line="276" w:lineRule="auto"/>
              <w:ind w:right="-147" w:rightChars="-70"/>
              <w:rPr>
                <w:rFonts w:ascii="宋体" w:hAnsi="宋体"/>
              </w:rPr>
            </w:pPr>
            <w:r>
              <w:rPr>
                <w:rFonts w:ascii="宋体" w:hAnsi="宋体"/>
              </w:rPr>
              <w:t>b.</w:t>
            </w:r>
            <w:r>
              <w:rPr>
                <w:rFonts w:hint="eastAsia" w:ascii="宋体" w:hAnsi="宋体" w:eastAsia="宋体" w:cs="宋体"/>
              </w:rPr>
              <w:t>单独亮化业绩须在政府设立的招标投标交易场所通过招标方式获得</w:t>
            </w:r>
            <w:r>
              <w:rPr>
                <w:rFonts w:ascii="宋体" w:hAnsi="宋体"/>
              </w:rPr>
              <w:t>(</w:t>
            </w:r>
            <w:r>
              <w:rPr>
                <w:rFonts w:hint="eastAsia" w:ascii="宋体" w:hAnsi="宋体" w:eastAsia="宋体" w:cs="宋体"/>
              </w:rPr>
              <w:t>须附相关网页截图等证明材料，否则业绩不予认可</w:t>
            </w:r>
            <w:r>
              <w:rPr>
                <w:rFonts w:ascii="宋体" w:hAnsi="宋体"/>
              </w:rPr>
              <w:t xml:space="preserve">) </w:t>
            </w:r>
            <w:r>
              <w:rPr>
                <w:rFonts w:hint="eastAsia" w:ascii="宋体" w:hAnsi="宋体" w:eastAsia="宋体" w:cs="宋体"/>
              </w:rPr>
              <w:t>。</w:t>
            </w:r>
          </w:p>
          <w:p>
            <w:pPr>
              <w:spacing w:line="276" w:lineRule="auto"/>
              <w:rPr>
                <w:rFonts w:ascii="宋体" w:hAnsi="宋体"/>
              </w:rPr>
            </w:pPr>
            <w:r>
              <w:rPr>
                <w:rFonts w:hint="eastAsia" w:ascii="宋体" w:hAnsi="宋体" w:eastAsia="宋体" w:cs="宋体"/>
              </w:rPr>
              <w:t>②单独亮化业绩须提供以下证明材料：</w:t>
            </w:r>
          </w:p>
          <w:p>
            <w:pPr>
              <w:spacing w:line="276" w:lineRule="auto"/>
              <w:rPr>
                <w:rFonts w:ascii="宋体" w:hAnsi="宋体"/>
              </w:rPr>
            </w:pPr>
            <w:r>
              <w:rPr>
                <w:rFonts w:ascii="宋体" w:hAnsi="宋体"/>
              </w:rPr>
              <w:t xml:space="preserve">a. </w:t>
            </w:r>
            <w:r>
              <w:rPr>
                <w:rFonts w:hint="eastAsia" w:ascii="宋体" w:hAnsi="宋体" w:eastAsia="宋体" w:cs="宋体"/>
              </w:rPr>
              <w:t>中标通知书。如中标通知书中未能体现单独亮化业绩规模的，必须附发包人和招投标监管机构出具的加盖公章的证明材料，否则业绩不予认可；</w:t>
            </w:r>
          </w:p>
          <w:p>
            <w:pPr>
              <w:spacing w:line="276" w:lineRule="auto"/>
              <w:rPr>
                <w:rFonts w:ascii="宋体" w:hAnsi="宋体"/>
              </w:rPr>
            </w:pPr>
            <w:r>
              <w:rPr>
                <w:rFonts w:ascii="宋体" w:hAnsi="宋体"/>
              </w:rPr>
              <w:t>b.</w:t>
            </w:r>
            <w:r>
              <w:rPr>
                <w:rFonts w:hint="eastAsia" w:ascii="宋体" w:hAnsi="宋体" w:eastAsia="宋体" w:cs="宋体"/>
              </w:rPr>
              <w:t>施工合同</w:t>
            </w:r>
            <w:r>
              <w:rPr>
                <w:rFonts w:ascii="宋体" w:hAnsi="宋体"/>
              </w:rPr>
              <w:t xml:space="preserve"> (</w:t>
            </w:r>
            <w:r>
              <w:rPr>
                <w:rFonts w:hint="eastAsia" w:ascii="宋体" w:hAnsi="宋体" w:eastAsia="宋体" w:cs="宋体"/>
              </w:rPr>
              <w:t>仅提供协议书、体现工程规模内容</w:t>
            </w:r>
            <w:r>
              <w:rPr>
                <w:rFonts w:ascii="宋体" w:hAnsi="宋体"/>
              </w:rPr>
              <w:t xml:space="preserve">) </w:t>
            </w:r>
            <w:r>
              <w:rPr>
                <w:rFonts w:hint="eastAsia" w:ascii="宋体" w:hAnsi="宋体" w:eastAsia="宋体" w:cs="宋体"/>
              </w:rPr>
              <w:t>；</w:t>
            </w:r>
          </w:p>
          <w:p>
            <w:pPr>
              <w:spacing w:line="276" w:lineRule="auto"/>
              <w:rPr>
                <w:rFonts w:ascii="宋体" w:hAnsi="宋体"/>
              </w:rPr>
            </w:pPr>
            <w:r>
              <w:rPr>
                <w:rFonts w:ascii="宋体" w:hAnsi="宋体"/>
              </w:rPr>
              <w:t>c.</w:t>
            </w:r>
            <w:r>
              <w:rPr>
                <w:rFonts w:hint="eastAsia" w:ascii="宋体" w:hAnsi="宋体" w:eastAsia="宋体" w:cs="宋体"/>
              </w:rPr>
              <w:t>竣工</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验收记录</w:t>
            </w:r>
            <w:r>
              <w:rPr>
                <w:rFonts w:ascii="宋体" w:hAnsi="宋体"/>
              </w:rPr>
              <w:t xml:space="preserve"> (</w:t>
            </w:r>
            <w:r>
              <w:rPr>
                <w:rFonts w:hint="eastAsia" w:ascii="宋体" w:hAnsi="宋体" w:eastAsia="宋体" w:cs="宋体"/>
              </w:rPr>
              <w:t>或竣工</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验收报告或竣工</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验收备案表或专业工程</w:t>
            </w:r>
            <w:r>
              <w:rPr>
                <w:rFonts w:ascii="宋体" w:hAnsi="宋体"/>
              </w:rPr>
              <w:t xml:space="preserve"> (</w:t>
            </w:r>
            <w:r>
              <w:rPr>
                <w:rFonts w:hint="eastAsia" w:ascii="宋体" w:hAnsi="宋体" w:eastAsia="宋体" w:cs="宋体"/>
              </w:rPr>
              <w:t>专项工程或分部分项工程</w:t>
            </w:r>
            <w:r>
              <w:rPr>
                <w:rFonts w:ascii="宋体" w:hAnsi="宋体"/>
              </w:rPr>
              <w:t xml:space="preserve">) </w:t>
            </w:r>
            <w:r>
              <w:rPr>
                <w:rFonts w:hint="eastAsia" w:ascii="宋体" w:hAnsi="宋体" w:eastAsia="宋体" w:cs="宋体"/>
              </w:rPr>
              <w:t>验收记录表</w:t>
            </w:r>
            <w:r>
              <w:rPr>
                <w:rFonts w:ascii="宋体" w:hAnsi="宋体"/>
              </w:rPr>
              <w:t xml:space="preserve">) </w:t>
            </w:r>
            <w:r>
              <w:rPr>
                <w:rFonts w:hint="eastAsia" w:ascii="宋体" w:hAnsi="宋体" w:eastAsia="宋体" w:cs="宋体"/>
              </w:rPr>
              <w:t>。如验收</w:t>
            </w:r>
            <w:r>
              <w:rPr>
                <w:rFonts w:ascii="宋体" w:hAnsi="宋体"/>
              </w:rPr>
              <w:t xml:space="preserve"> (</w:t>
            </w:r>
            <w:r>
              <w:rPr>
                <w:rFonts w:hint="eastAsia" w:ascii="宋体" w:hAnsi="宋体" w:eastAsia="宋体" w:cs="宋体"/>
              </w:rPr>
              <w:t>交工</w:t>
            </w:r>
            <w:r>
              <w:rPr>
                <w:rFonts w:ascii="宋体" w:hAnsi="宋体"/>
              </w:rPr>
              <w:t xml:space="preserve">) </w:t>
            </w:r>
            <w:r>
              <w:rPr>
                <w:rFonts w:hint="eastAsia" w:ascii="宋体" w:hAnsi="宋体" w:eastAsia="宋体" w:cs="宋体"/>
              </w:rPr>
              <w:t>记录中未能体现时间等项目特征的，必须附发包人出具的加盖公章的证明材料，否则业绩不予认可。</w:t>
            </w:r>
          </w:p>
          <w:p>
            <w:pPr>
              <w:spacing w:line="276" w:lineRule="auto"/>
              <w:rPr>
                <w:rFonts w:ascii="宋体" w:hAnsi="宋体"/>
              </w:rPr>
            </w:pPr>
            <w:r>
              <w:rPr>
                <w:rFonts w:hint="eastAsia" w:ascii="宋体" w:hAnsi="宋体" w:eastAsia="宋体" w:cs="宋体"/>
              </w:rPr>
              <w:t>注：①业绩需满足以上条件，否则业绩不予认可。</w:t>
            </w:r>
          </w:p>
          <w:p>
            <w:pPr>
              <w:spacing w:line="276" w:lineRule="auto"/>
              <w:rPr>
                <w:rFonts w:ascii="宋体" w:hAnsi="宋体" w:cs="宋体"/>
                <w:spacing w:val="5"/>
                <w:sz w:val="20"/>
                <w:szCs w:val="20"/>
              </w:rPr>
            </w:pPr>
            <w:r>
              <w:rPr>
                <w:rFonts w:hint="eastAsia" w:ascii="宋体" w:hAnsi="宋体" w:eastAsia="宋体" w:cs="宋体"/>
              </w:rPr>
              <w:t>②若为施工设计一体化业绩的，须为施工负责人，且建安费</w:t>
            </w:r>
            <w:r>
              <w:rPr>
                <w:rFonts w:ascii="宋体" w:hAnsi="宋体"/>
              </w:rPr>
              <w:t>≥</w:t>
            </w:r>
            <w:r>
              <w:rPr>
                <w:rFonts w:hint="eastAsia" w:ascii="宋体" w:hAnsi="宋体"/>
              </w:rPr>
              <w:t>8</w:t>
            </w:r>
            <w:r>
              <w:rPr>
                <w:rFonts w:ascii="宋体" w:hAnsi="宋体"/>
              </w:rPr>
              <w:t>00</w:t>
            </w:r>
            <w:r>
              <w:rPr>
                <w:rFonts w:hint="eastAsia" w:ascii="宋体" w:hAnsi="宋体" w:eastAsia="宋体" w:cs="宋体"/>
              </w:rPr>
              <w:t>万元。</w:t>
            </w:r>
          </w:p>
        </w:tc>
        <w:tc>
          <w:tcPr>
            <w:tcW w:w="959" w:type="dxa"/>
            <w:vAlign w:val="center"/>
          </w:tcPr>
          <w:p>
            <w:pPr>
              <w:pStyle w:val="46"/>
              <w:adjustRightInd/>
              <w:spacing w:line="440" w:lineRule="exact"/>
              <w:jc w:val="center"/>
              <w:rPr>
                <w:rFonts w:hAnsi="宋体"/>
                <w:color w:val="auto"/>
                <w:sz w:val="21"/>
                <w:szCs w:val="21"/>
              </w:rPr>
            </w:pPr>
            <w:r>
              <w:rPr>
                <w:rFonts w:hint="eastAsia" w:hAnsi="宋体"/>
                <w:color w:val="auto"/>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2016" w:type="dxa"/>
            <w:gridSpan w:val="2"/>
            <w:vAlign w:val="center"/>
          </w:tcPr>
          <w:p>
            <w:pPr>
              <w:pStyle w:val="46"/>
              <w:adjustRightInd/>
              <w:spacing w:line="440" w:lineRule="exact"/>
              <w:jc w:val="center"/>
              <w:rPr>
                <w:rFonts w:hAnsi="宋体"/>
                <w:color w:val="auto"/>
                <w:sz w:val="21"/>
                <w:szCs w:val="21"/>
              </w:rPr>
            </w:pPr>
            <w:r>
              <w:rPr>
                <w:rFonts w:hint="eastAsia" w:hAnsi="宋体"/>
                <w:color w:val="auto"/>
                <w:sz w:val="21"/>
                <w:szCs w:val="21"/>
              </w:rPr>
              <w:t>质量保修期承诺时间</w:t>
            </w:r>
          </w:p>
        </w:tc>
        <w:tc>
          <w:tcPr>
            <w:tcW w:w="7832" w:type="dxa"/>
            <w:vAlign w:val="center"/>
          </w:tcPr>
          <w:p>
            <w:pPr>
              <w:pStyle w:val="46"/>
              <w:adjustRightInd/>
              <w:spacing w:line="276" w:lineRule="auto"/>
              <w:rPr>
                <w:rFonts w:hAnsi="宋体"/>
                <w:b/>
                <w:bCs/>
                <w:sz w:val="21"/>
                <w:szCs w:val="21"/>
              </w:rPr>
            </w:pPr>
            <w:r>
              <w:rPr>
                <w:rFonts w:hAnsi="宋体"/>
                <w:spacing w:val="5"/>
                <w:sz w:val="21"/>
                <w:szCs w:val="21"/>
              </w:rPr>
              <w:t>承诺质量保修期3年（含</w:t>
            </w:r>
            <w:r>
              <w:rPr>
                <w:rFonts w:hint="eastAsia" w:hAnsi="宋体"/>
                <w:spacing w:val="5"/>
                <w:sz w:val="21"/>
                <w:szCs w:val="21"/>
              </w:rPr>
              <w:t>3年）</w:t>
            </w:r>
            <w:r>
              <w:rPr>
                <w:rFonts w:hAnsi="宋体"/>
                <w:spacing w:val="5"/>
                <w:sz w:val="21"/>
                <w:szCs w:val="21"/>
              </w:rPr>
              <w:t>的得0.</w:t>
            </w:r>
            <w:r>
              <w:rPr>
                <w:rFonts w:hint="eastAsia" w:hAnsi="宋体"/>
                <w:spacing w:val="5"/>
                <w:sz w:val="21"/>
                <w:szCs w:val="21"/>
              </w:rPr>
              <w:t>5</w:t>
            </w:r>
            <w:r>
              <w:rPr>
                <w:rFonts w:hAnsi="宋体"/>
                <w:spacing w:val="5"/>
                <w:sz w:val="21"/>
                <w:szCs w:val="21"/>
              </w:rPr>
              <w:t>分，承诺质量保修期4年（含</w:t>
            </w:r>
            <w:r>
              <w:rPr>
                <w:rFonts w:hint="eastAsia" w:hAnsi="宋体"/>
                <w:spacing w:val="5"/>
                <w:sz w:val="21"/>
                <w:szCs w:val="21"/>
              </w:rPr>
              <w:t>4年）</w:t>
            </w:r>
            <w:r>
              <w:rPr>
                <w:rFonts w:hAnsi="宋体"/>
                <w:spacing w:val="5"/>
                <w:sz w:val="21"/>
                <w:szCs w:val="21"/>
              </w:rPr>
              <w:t>的得0.</w:t>
            </w:r>
            <w:r>
              <w:rPr>
                <w:rFonts w:hint="eastAsia" w:hAnsi="宋体"/>
                <w:spacing w:val="5"/>
                <w:sz w:val="21"/>
                <w:szCs w:val="21"/>
              </w:rPr>
              <w:t>7</w:t>
            </w:r>
            <w:r>
              <w:rPr>
                <w:rFonts w:hAnsi="宋体"/>
                <w:spacing w:val="5"/>
                <w:sz w:val="21"/>
                <w:szCs w:val="21"/>
              </w:rPr>
              <w:t>分，承诺质量保修期5年（含</w:t>
            </w:r>
            <w:r>
              <w:rPr>
                <w:rFonts w:hint="eastAsia" w:hAnsi="宋体"/>
                <w:spacing w:val="5"/>
                <w:sz w:val="21"/>
                <w:szCs w:val="21"/>
              </w:rPr>
              <w:t>5年）</w:t>
            </w:r>
            <w:r>
              <w:rPr>
                <w:rFonts w:hAnsi="宋体"/>
                <w:spacing w:val="5"/>
                <w:sz w:val="21"/>
                <w:szCs w:val="21"/>
              </w:rPr>
              <w:t>的得</w:t>
            </w:r>
            <w:r>
              <w:rPr>
                <w:rFonts w:hint="eastAsia" w:hAnsi="宋体"/>
                <w:spacing w:val="5"/>
                <w:sz w:val="21"/>
                <w:szCs w:val="21"/>
              </w:rPr>
              <w:t>1</w:t>
            </w:r>
            <w:r>
              <w:rPr>
                <w:rFonts w:hAnsi="宋体"/>
                <w:spacing w:val="5"/>
                <w:sz w:val="21"/>
                <w:szCs w:val="21"/>
              </w:rPr>
              <w:t>分。质量保修期承诺时间不足3年的作无效标处理</w:t>
            </w:r>
            <w:r>
              <w:rPr>
                <w:rFonts w:hint="eastAsia" w:hAnsi="宋体"/>
                <w:sz w:val="21"/>
                <w:szCs w:val="21"/>
              </w:rPr>
              <w:t>。</w:t>
            </w:r>
          </w:p>
        </w:tc>
        <w:tc>
          <w:tcPr>
            <w:tcW w:w="959" w:type="dxa"/>
            <w:vAlign w:val="center"/>
          </w:tcPr>
          <w:p>
            <w:pPr>
              <w:pStyle w:val="46"/>
              <w:adjustRightInd/>
              <w:spacing w:line="440" w:lineRule="exact"/>
              <w:jc w:val="center"/>
              <w:rPr>
                <w:rFonts w:hAnsi="宋体"/>
                <w:color w:val="auto"/>
                <w:sz w:val="21"/>
                <w:szCs w:val="21"/>
              </w:rPr>
            </w:pPr>
            <w:r>
              <w:rPr>
                <w:rFonts w:hint="eastAsia" w:hAnsi="宋体"/>
                <w:color w:val="auto"/>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2016" w:type="dxa"/>
            <w:gridSpan w:val="2"/>
            <w:vAlign w:val="center"/>
          </w:tcPr>
          <w:p>
            <w:pPr>
              <w:pStyle w:val="46"/>
              <w:adjustRightInd/>
              <w:spacing w:line="276" w:lineRule="auto"/>
              <w:jc w:val="center"/>
              <w:rPr>
                <w:rFonts w:hAnsi="宋体"/>
                <w:color w:val="auto"/>
                <w:sz w:val="21"/>
                <w:szCs w:val="21"/>
              </w:rPr>
            </w:pPr>
            <w:r>
              <w:rPr>
                <w:rFonts w:hint="eastAsia" w:hAnsi="宋体"/>
                <w:color w:val="auto"/>
                <w:sz w:val="21"/>
                <w:szCs w:val="21"/>
              </w:rPr>
              <w:t>奖惩情况</w:t>
            </w:r>
          </w:p>
        </w:tc>
        <w:tc>
          <w:tcPr>
            <w:tcW w:w="7832" w:type="dxa"/>
            <w:vAlign w:val="center"/>
          </w:tcPr>
          <w:p>
            <w:pPr>
              <w:spacing w:line="276" w:lineRule="auto"/>
              <w:rPr>
                <w:rFonts w:ascii="宋体" w:hAnsi="宋体" w:cs="宋体"/>
              </w:rPr>
            </w:pPr>
            <w:r>
              <w:rPr>
                <w:rFonts w:hint="eastAsia" w:ascii="宋体" w:hAnsi="宋体" w:eastAsia="宋体" w:cs="宋体"/>
              </w:rPr>
              <w:t>（</w:t>
            </w:r>
            <w:r>
              <w:rPr>
                <w:rFonts w:hint="eastAsia" w:ascii="宋体" w:hAnsi="宋体" w:cs="宋体"/>
              </w:rPr>
              <w:t>1</w:t>
            </w:r>
            <w:r>
              <w:rPr>
                <w:rFonts w:hint="eastAsia" w:ascii="宋体" w:hAnsi="宋体" w:eastAsia="宋体" w:cs="宋体"/>
              </w:rPr>
              <w:t>）投标人自</w:t>
            </w:r>
            <w:r>
              <w:rPr>
                <w:rFonts w:ascii="宋体" w:hAnsi="宋体" w:cs="宋体"/>
              </w:rPr>
              <w:t>2018</w:t>
            </w:r>
            <w:r>
              <w:rPr>
                <w:rFonts w:hint="eastAsia" w:ascii="宋体" w:hAnsi="宋体" w:eastAsia="宋体" w:cs="宋体"/>
              </w:rPr>
              <w:t>年</w:t>
            </w:r>
            <w:r>
              <w:rPr>
                <w:rFonts w:ascii="宋体" w:hAnsi="宋体" w:cs="宋体"/>
              </w:rPr>
              <w:t>7</w:t>
            </w:r>
            <w:r>
              <w:rPr>
                <w:rFonts w:hint="eastAsia" w:ascii="宋体" w:hAnsi="宋体" w:eastAsia="宋体" w:cs="宋体"/>
              </w:rPr>
              <w:t>月</w:t>
            </w:r>
            <w:r>
              <w:rPr>
                <w:rFonts w:ascii="宋体" w:hAnsi="宋体" w:cs="宋体"/>
              </w:rPr>
              <w:t>1</w:t>
            </w:r>
            <w:r>
              <w:rPr>
                <w:rFonts w:hint="eastAsia" w:ascii="宋体" w:hAnsi="宋体" w:eastAsia="宋体" w:cs="宋体"/>
              </w:rPr>
              <w:t>日以来（以获奖证书颁发时间为准），以实际施工人身份承接的景观照明工程（路灯工程和室内照明工程除外）施工业绩获得以下建设工程质量奖项的，可以相应得分：</w:t>
            </w:r>
          </w:p>
          <w:p>
            <w:pPr>
              <w:spacing w:line="276" w:lineRule="auto"/>
              <w:rPr>
                <w:rFonts w:ascii="宋体" w:hAnsi="宋体" w:cs="宋体"/>
              </w:rPr>
            </w:pPr>
            <w:r>
              <w:rPr>
                <w:rFonts w:hint="eastAsia" w:ascii="宋体" w:hAnsi="宋体" w:eastAsia="宋体" w:cs="宋体"/>
              </w:rPr>
              <w:t>（</w:t>
            </w:r>
            <w:r>
              <w:rPr>
                <w:rFonts w:hint="eastAsia" w:ascii="宋体" w:hAnsi="宋体" w:cs="宋体"/>
              </w:rPr>
              <w:t>2</w:t>
            </w:r>
            <w:r>
              <w:rPr>
                <w:rFonts w:hint="eastAsia" w:ascii="宋体" w:hAnsi="宋体" w:eastAsia="宋体" w:cs="宋体"/>
              </w:rPr>
              <w:t>）获得过省级建设工程质量奖项（如</w:t>
            </w:r>
            <w:r>
              <w:t>“</w:t>
            </w:r>
            <w:r>
              <w:rPr>
                <w:rFonts w:hint="eastAsia" w:ascii="宋体" w:hAnsi="宋体" w:eastAsia="宋体" w:cs="宋体"/>
              </w:rPr>
              <w:t>钱江杯</w:t>
            </w:r>
            <w:r>
              <w:t>”</w:t>
            </w:r>
            <w:r>
              <w:rPr>
                <w:rFonts w:hint="eastAsia" w:ascii="宋体" w:hAnsi="宋体" w:eastAsia="宋体" w:cs="宋体"/>
              </w:rPr>
              <w:t>等）的，得</w:t>
            </w:r>
            <w:r>
              <w:rPr>
                <w:rFonts w:hint="eastAsia" w:ascii="宋体" w:hAnsi="宋体" w:cs="宋体" w:eastAsiaTheme="minorEastAsia"/>
              </w:rPr>
              <w:t>1</w:t>
            </w:r>
            <w:r>
              <w:rPr>
                <w:rFonts w:hint="eastAsia" w:ascii="宋体" w:hAnsi="宋体" w:eastAsia="宋体" w:cs="宋体"/>
              </w:rPr>
              <w:t>分。</w:t>
            </w:r>
          </w:p>
          <w:p>
            <w:pPr>
              <w:spacing w:line="276" w:lineRule="auto"/>
              <w:rPr>
                <w:rFonts w:ascii="宋体" w:hAnsi="宋体" w:cs="宋体"/>
              </w:rPr>
            </w:pPr>
            <w:r>
              <w:rPr>
                <w:rFonts w:hint="eastAsia" w:ascii="宋体" w:hAnsi="宋体" w:eastAsia="宋体" w:cs="宋体"/>
              </w:rPr>
              <w:t>（</w:t>
            </w:r>
            <w:r>
              <w:rPr>
                <w:rFonts w:hint="eastAsia" w:ascii="宋体" w:hAnsi="宋体" w:cs="宋体"/>
              </w:rPr>
              <w:t>3</w:t>
            </w:r>
            <w:r>
              <w:rPr>
                <w:rFonts w:hint="eastAsia" w:ascii="宋体" w:hAnsi="宋体" w:eastAsia="宋体" w:cs="宋体"/>
              </w:rPr>
              <w:t>）获得过市级建设工程质量奖项的，得</w:t>
            </w:r>
            <w:r>
              <w:rPr>
                <w:rFonts w:hint="eastAsia" w:ascii="宋体" w:hAnsi="宋体" w:cs="宋体" w:eastAsiaTheme="minorEastAsia"/>
              </w:rPr>
              <w:t>0.5</w:t>
            </w:r>
            <w:r>
              <w:rPr>
                <w:rFonts w:hint="eastAsia" w:ascii="宋体" w:hAnsi="宋体" w:eastAsia="宋体" w:cs="宋体"/>
              </w:rPr>
              <w:t>分。</w:t>
            </w:r>
          </w:p>
          <w:p>
            <w:pPr>
              <w:spacing w:line="276" w:lineRule="auto"/>
              <w:rPr>
                <w:rFonts w:ascii="宋体" w:hAnsi="宋体" w:cs="宋体"/>
              </w:rPr>
            </w:pPr>
            <w:r>
              <w:rPr>
                <w:rFonts w:hint="eastAsia" w:ascii="宋体" w:hAnsi="宋体" w:eastAsia="宋体" w:cs="宋体"/>
              </w:rPr>
              <w:t>注：①最多计取一个奖项，同一项目获得多个奖项的以较高奖项计算，本项最高得</w:t>
            </w:r>
            <w:r>
              <w:rPr>
                <w:rFonts w:hint="eastAsia" w:ascii="宋体" w:hAnsi="宋体" w:cs="宋体"/>
              </w:rPr>
              <w:t>1</w:t>
            </w:r>
            <w:r>
              <w:rPr>
                <w:rFonts w:hint="eastAsia" w:ascii="宋体" w:hAnsi="宋体" w:eastAsia="宋体" w:cs="宋体"/>
              </w:rPr>
              <w:t>分。</w:t>
            </w:r>
          </w:p>
          <w:p>
            <w:pPr>
              <w:spacing w:line="276" w:lineRule="auto"/>
              <w:rPr>
                <w:rFonts w:ascii="宋体" w:hAnsi="宋体" w:cs="宋体"/>
              </w:rPr>
            </w:pPr>
            <w:r>
              <w:rPr>
                <w:rFonts w:hint="eastAsia" w:ascii="宋体" w:hAnsi="宋体" w:eastAsia="宋体" w:cs="宋体"/>
              </w:rPr>
              <w:t>②投标文件中需同时提供获奖证书（需体现投标人名称）、合同协议书、建设单位证明其为景观照明实际施工人的证明材料的原件扫描件并加盖投标人公章，上述材料缺一不可，否则该荣誉不予认可。</w:t>
            </w:r>
          </w:p>
          <w:p>
            <w:pPr>
              <w:spacing w:line="276" w:lineRule="auto"/>
              <w:rPr>
                <w:rFonts w:ascii="宋体" w:hAnsi="宋体" w:cs="宋体"/>
              </w:rPr>
            </w:pPr>
            <w:r>
              <w:rPr>
                <w:rFonts w:hint="eastAsia" w:ascii="宋体" w:hAnsi="宋体" w:eastAsia="宋体" w:cs="宋体"/>
              </w:rPr>
              <w:t>人员不得兼任，提供人员相应证书和近三个月在本单位缴纳的社保证明。</w:t>
            </w:r>
          </w:p>
        </w:tc>
        <w:tc>
          <w:tcPr>
            <w:tcW w:w="959" w:type="dxa"/>
            <w:vAlign w:val="center"/>
          </w:tcPr>
          <w:p>
            <w:pPr>
              <w:pStyle w:val="46"/>
              <w:snapToGrid w:val="0"/>
              <w:spacing w:line="276" w:lineRule="auto"/>
              <w:jc w:val="center"/>
              <w:rPr>
                <w:rFonts w:hAnsi="宋体"/>
                <w:color w:val="C00000"/>
                <w:sz w:val="21"/>
                <w:szCs w:val="21"/>
              </w:rPr>
            </w:pPr>
            <w:r>
              <w:rPr>
                <w:rFonts w:hint="eastAsia" w:hAnsi="宋体"/>
                <w:color w:val="C0000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664" w:type="dxa"/>
            <w:vMerge w:val="restart"/>
            <w:vAlign w:val="center"/>
          </w:tcPr>
          <w:p>
            <w:pPr>
              <w:pStyle w:val="46"/>
              <w:spacing w:line="440" w:lineRule="exact"/>
              <w:jc w:val="center"/>
              <w:rPr>
                <w:rFonts w:hAnsi="宋体"/>
                <w:color w:val="auto"/>
                <w:sz w:val="21"/>
                <w:szCs w:val="21"/>
              </w:rPr>
            </w:pPr>
            <w:r>
              <w:rPr>
                <w:rFonts w:hint="eastAsia" w:hAnsi="宋体"/>
                <w:color w:val="auto"/>
                <w:sz w:val="21"/>
                <w:szCs w:val="21"/>
              </w:rPr>
              <w:t>产品承诺函</w:t>
            </w:r>
          </w:p>
        </w:tc>
        <w:tc>
          <w:tcPr>
            <w:tcW w:w="1352" w:type="dxa"/>
            <w:vMerge w:val="restart"/>
            <w:vAlign w:val="center"/>
          </w:tcPr>
          <w:p>
            <w:pPr>
              <w:spacing w:line="300" w:lineRule="exact"/>
              <w:ind w:right="106"/>
              <w:rPr>
                <w:rFonts w:ascii="宋体" w:hAnsi="宋体" w:cs="宋体"/>
                <w:color w:val="000000" w:themeColor="text1"/>
                <w14:textFill>
                  <w14:solidFill>
                    <w14:schemeClr w14:val="tx1"/>
                  </w14:solidFill>
                </w14:textFill>
              </w:rPr>
            </w:pPr>
            <w:r>
              <w:rPr>
                <w:rFonts w:ascii="宋体" w:hAnsi="宋体" w:cs="宋体"/>
                <w:color w:val="000000" w:themeColor="text1"/>
                <w:spacing w:val="-2"/>
                <w14:textFill>
                  <w14:solidFill>
                    <w14:schemeClr w14:val="tx1"/>
                  </w14:solidFill>
                </w14:textFill>
              </w:rPr>
              <w:t>①</w:t>
            </w:r>
            <w:r>
              <w:rPr>
                <w:rFonts w:hint="eastAsia" w:ascii="宋体" w:hAnsi="宋体" w:eastAsiaTheme="minorEastAsia"/>
                <w:color w:val="000000" w:themeColor="text1"/>
                <w:spacing w:val="-1"/>
                <w14:textFill>
                  <w14:solidFill>
                    <w14:schemeClr w14:val="tx1"/>
                  </w14:solidFill>
                </w14:textFill>
              </w:rPr>
              <w:t>IP66</w:t>
            </w:r>
            <w:r>
              <w:rPr>
                <w:rFonts w:ascii="宋体" w:hAnsi="宋体"/>
                <w:color w:val="000000" w:themeColor="text1"/>
                <w:spacing w:val="-2"/>
                <w14:textFill>
                  <w14:solidFill>
                    <w14:schemeClr w14:val="tx1"/>
                  </w14:solidFill>
                </w14:textFill>
              </w:rPr>
              <w:t xml:space="preserve"> </w:t>
            </w:r>
            <w:r>
              <w:rPr>
                <w:rFonts w:hint="eastAsia" w:ascii="宋体" w:hAnsi="宋体" w:eastAsia="宋体" w:cs="宋体"/>
                <w:color w:val="000000" w:themeColor="text1"/>
                <w:spacing w:val="-1"/>
                <w14:textFill>
                  <w14:solidFill>
                    <w14:schemeClr w14:val="tx1"/>
                  </w14:solidFill>
                </w14:textFill>
              </w:rPr>
              <w:t>型</w:t>
            </w:r>
            <w:r>
              <w:rPr>
                <w:rFonts w:hint="eastAsia" w:ascii="宋体" w:hAnsi="宋体" w:cs="宋体" w:eastAsiaTheme="minorEastAsia"/>
                <w:color w:val="000000" w:themeColor="text1"/>
                <w:spacing w:val="-1"/>
                <w14:textFill>
                  <w14:solidFill>
                    <w14:schemeClr w14:val="tx1"/>
                  </w14:solidFill>
                </w14:textFill>
              </w:rPr>
              <w:t>洗墙</w:t>
            </w:r>
            <w:r>
              <w:rPr>
                <w:rFonts w:hint="eastAsia" w:ascii="宋体" w:hAnsi="宋体" w:eastAsia="宋体" w:cs="宋体"/>
                <w:color w:val="000000" w:themeColor="text1"/>
                <w:spacing w:val="-1"/>
                <w14:textFill>
                  <w14:solidFill>
                    <w14:schemeClr w14:val="tx1"/>
                  </w14:solidFill>
                </w14:textFill>
              </w:rPr>
              <w:t>灯</w:t>
            </w:r>
            <w:r>
              <w:rPr>
                <w:rFonts w:ascii="宋体" w:hAnsi="宋体" w:cs="宋体"/>
                <w:color w:val="000000" w:themeColor="text1"/>
                <w14:textFill>
                  <w14:solidFill>
                    <w14:schemeClr w14:val="tx1"/>
                  </w14:solidFill>
                </w14:textFill>
              </w:rPr>
              <w:t xml:space="preserve"> </w:t>
            </w:r>
            <w:r>
              <w:rPr>
                <w:rFonts w:ascii="宋体" w:hAnsi="宋体" w:cs="宋体"/>
                <w:color w:val="000000" w:themeColor="text1"/>
                <w:spacing w:val="29"/>
                <w14:textFill>
                  <w14:solidFill>
                    <w14:schemeClr w14:val="tx1"/>
                  </w14:solidFill>
                </w14:textFill>
              </w:rPr>
              <w:t>(</w:t>
            </w:r>
            <w:r>
              <w:rPr>
                <w:rFonts w:hint="eastAsia" w:ascii="宋体" w:hAnsi="宋体"/>
                <w:color w:val="000000" w:themeColor="text1"/>
                <w:spacing w:val="27"/>
                <w14:textFill>
                  <w14:solidFill>
                    <w14:schemeClr w14:val="tx1"/>
                  </w14:solidFill>
                </w14:textFill>
              </w:rPr>
              <w:t>1</w:t>
            </w:r>
            <w:r>
              <w:rPr>
                <w:rFonts w:hint="eastAsia" w:ascii="宋体" w:hAnsi="宋体" w:eastAsiaTheme="minorEastAsia"/>
                <w:color w:val="000000" w:themeColor="text1"/>
                <w:spacing w:val="27"/>
                <w14:textFill>
                  <w14:solidFill>
                    <w14:schemeClr w14:val="tx1"/>
                  </w14:solidFill>
                </w14:textFill>
              </w:rPr>
              <w:t>8</w:t>
            </w:r>
            <w:r>
              <w:rPr>
                <w:rFonts w:ascii="宋体" w:hAnsi="宋体"/>
                <w:color w:val="000000" w:themeColor="text1"/>
                <w14:textFill>
                  <w14:solidFill>
                    <w14:schemeClr w14:val="tx1"/>
                  </w14:solidFill>
                </w14:textFill>
              </w:rPr>
              <w:t>W</w:t>
            </w:r>
            <w:r>
              <w:rPr>
                <w:rFonts w:ascii="宋体" w:hAnsi="宋体" w:cs="宋体"/>
                <w:color w:val="000000" w:themeColor="text1"/>
                <w:spacing w:val="27"/>
                <w14:textFill>
                  <w14:solidFill>
                    <w14:schemeClr w14:val="tx1"/>
                  </w14:solidFill>
                </w14:textFill>
              </w:rPr>
              <w:t>)</w:t>
            </w:r>
          </w:p>
          <w:p>
            <w:pPr>
              <w:spacing w:line="300" w:lineRule="exact"/>
              <w:ind w:right="109"/>
              <w:rPr>
                <w:rFonts w:ascii="宋体" w:hAnsi="宋体" w:cs="宋体"/>
                <w:color w:val="000000" w:themeColor="text1"/>
                <w14:textFill>
                  <w14:solidFill>
                    <w14:schemeClr w14:val="tx1"/>
                  </w14:solidFill>
                </w14:textFill>
              </w:rPr>
            </w:pPr>
            <w:r>
              <w:rPr>
                <w:rFonts w:ascii="宋体" w:hAnsi="宋体" w:cs="宋体"/>
                <w:color w:val="000000" w:themeColor="text1"/>
                <w:spacing w:val="3"/>
                <w14:textFill>
                  <w14:solidFill>
                    <w14:schemeClr w14:val="tx1"/>
                  </w14:solidFill>
                </w14:textFill>
              </w:rPr>
              <w:t>②</w:t>
            </w:r>
            <w:r>
              <w:rPr>
                <w:rFonts w:hint="eastAsia" w:ascii="宋体" w:hAnsi="宋体" w:eastAsiaTheme="minorEastAsia"/>
                <w:color w:val="000000" w:themeColor="text1"/>
                <w:spacing w:val="-1"/>
                <w14:textFill>
                  <w14:solidFill>
                    <w14:schemeClr w14:val="tx1"/>
                  </w14:solidFill>
                </w14:textFill>
              </w:rPr>
              <w:t>IP66</w:t>
            </w:r>
            <w:r>
              <w:rPr>
                <w:rFonts w:hint="eastAsia" w:ascii="宋体" w:hAnsi="宋体" w:eastAsia="宋体" w:cs="宋体"/>
                <w:color w:val="000000" w:themeColor="text1"/>
                <w:spacing w:val="3"/>
                <w14:textFill>
                  <w14:solidFill>
                    <w14:schemeClr w14:val="tx1"/>
                  </w14:solidFill>
                </w14:textFill>
              </w:rPr>
              <w:t>型染色</w:t>
            </w:r>
            <w:r>
              <w:rPr>
                <w:rFonts w:hint="eastAsia" w:ascii="宋体" w:hAnsi="宋体" w:eastAsia="宋体" w:cs="宋体"/>
                <w:color w:val="000000" w:themeColor="text1"/>
                <w:spacing w:val="2"/>
                <w14:textFill>
                  <w14:solidFill>
                    <w14:schemeClr w14:val="tx1"/>
                  </w14:solidFill>
                </w14:textFill>
              </w:rPr>
              <w:t>灯</w:t>
            </w:r>
            <w:r>
              <w:rPr>
                <w:rFonts w:ascii="宋体" w:hAnsi="宋体" w:cs="宋体"/>
                <w:color w:val="000000" w:themeColor="text1"/>
                <w:spacing w:val="29"/>
                <w14:textFill>
                  <w14:solidFill>
                    <w14:schemeClr w14:val="tx1"/>
                  </w14:solidFill>
                </w14:textFill>
              </w:rPr>
              <w:t>(</w:t>
            </w:r>
            <w:r>
              <w:rPr>
                <w:rFonts w:hint="eastAsia" w:ascii="宋体" w:hAnsi="宋体" w:eastAsiaTheme="minorEastAsia"/>
                <w:color w:val="000000" w:themeColor="text1"/>
                <w:spacing w:val="27"/>
                <w14:textFill>
                  <w14:solidFill>
                    <w14:schemeClr w14:val="tx1"/>
                  </w14:solidFill>
                </w14:textFill>
              </w:rPr>
              <w:t>72</w:t>
            </w:r>
            <w:r>
              <w:rPr>
                <w:rFonts w:ascii="宋体" w:hAnsi="宋体"/>
                <w:color w:val="000000" w:themeColor="text1"/>
                <w14:textFill>
                  <w14:solidFill>
                    <w14:schemeClr w14:val="tx1"/>
                  </w14:solidFill>
                </w14:textFill>
              </w:rPr>
              <w:t>W</w:t>
            </w:r>
            <w:r>
              <w:rPr>
                <w:rFonts w:ascii="宋体" w:hAnsi="宋体" w:cs="宋体"/>
                <w:color w:val="000000" w:themeColor="text1"/>
                <w:spacing w:val="27"/>
                <w14:textFill>
                  <w14:solidFill>
                    <w14:schemeClr w14:val="tx1"/>
                  </w14:solidFill>
                </w14:textFill>
              </w:rPr>
              <w:t>)</w:t>
            </w:r>
          </w:p>
          <w:p>
            <w:pPr>
              <w:pStyle w:val="2"/>
              <w:rPr>
                <w:rFonts w:eastAsiaTheme="minor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③</w:t>
            </w:r>
            <w:r>
              <w:rPr>
                <w:rFonts w:hint="eastAsia" w:ascii="宋体" w:hAnsi="宋体" w:eastAsiaTheme="minorEastAsia"/>
                <w:color w:val="000000" w:themeColor="text1"/>
                <w:spacing w:val="-1"/>
                <w14:textFill>
                  <w14:solidFill>
                    <w14:schemeClr w14:val="tx1"/>
                  </w14:solidFill>
                </w14:textFill>
              </w:rPr>
              <w:t>IP66</w:t>
            </w:r>
            <w:r>
              <w:rPr>
                <w:rFonts w:hint="eastAsia" w:ascii="宋体" w:hAnsi="宋体" w:eastAsia="宋体" w:cs="宋体"/>
                <w:color w:val="000000" w:themeColor="text1"/>
                <w14:textFill>
                  <w14:solidFill>
                    <w14:schemeClr w14:val="tx1"/>
                  </w14:solidFill>
                </w14:textFill>
              </w:rPr>
              <w:t>型</w:t>
            </w:r>
            <w:r>
              <w:rPr>
                <w:rFonts w:cs="宋体"/>
                <w:color w:val="000000" w:themeColor="text1"/>
                <w:spacing w:val="-1"/>
                <w14:textFill>
                  <w14:solidFill>
                    <w14:schemeClr w14:val="tx1"/>
                  </w14:solidFill>
                </w14:textFill>
              </w:rPr>
              <w:t xml:space="preserve"> </w:t>
            </w:r>
            <w:r>
              <w:rPr>
                <w:rFonts w:hint="eastAsia" w:ascii="宋体" w:hAnsi="宋体" w:eastAsia="宋体" w:cs="宋体"/>
                <w:color w:val="000000" w:themeColor="text1"/>
                <w:spacing w:val="-1"/>
                <w14:textFill>
                  <w14:solidFill>
                    <w14:schemeClr w14:val="tx1"/>
                  </w14:solidFill>
                </w14:textFill>
              </w:rPr>
              <w:t>芦苇灯</w:t>
            </w:r>
            <w:r>
              <w:rPr>
                <w:rFonts w:cs="宋体"/>
                <w:color w:val="000000" w:themeColor="text1"/>
                <w14:textFill>
                  <w14:solidFill>
                    <w14:schemeClr w14:val="tx1"/>
                  </w14:solidFill>
                </w14:textFill>
              </w:rPr>
              <w:t xml:space="preserve"> </w:t>
            </w:r>
            <w:r>
              <w:rPr>
                <w:rFonts w:cs="宋体"/>
                <w:color w:val="000000" w:themeColor="text1"/>
                <w:spacing w:val="35"/>
                <w14:textFill>
                  <w14:solidFill>
                    <w14:schemeClr w14:val="tx1"/>
                  </w14:solidFill>
                </w14:textFill>
              </w:rPr>
              <w:t>(</w:t>
            </w:r>
            <w:r>
              <w:rPr>
                <w:rFonts w:hint="eastAsia" w:eastAsiaTheme="minorEastAsia"/>
                <w:color w:val="000000" w:themeColor="text1"/>
                <w:spacing w:val="35"/>
                <w14:textFill>
                  <w14:solidFill>
                    <w14:schemeClr w14:val="tx1"/>
                  </w14:solidFill>
                </w14:textFill>
              </w:rPr>
              <w:t>0.2</w:t>
            </w:r>
            <w:r>
              <w:rPr>
                <w:color w:val="000000" w:themeColor="text1"/>
                <w14:textFill>
                  <w14:solidFill>
                    <w14:schemeClr w14:val="tx1"/>
                  </w14:solidFill>
                </w14:textFill>
              </w:rPr>
              <w:t>W)</w:t>
            </w:r>
          </w:p>
          <w:p>
            <w:pPr>
              <w:pStyle w:val="2"/>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④</w:t>
            </w:r>
            <w:r>
              <w:rPr>
                <w:rFonts w:hint="eastAsia" w:ascii="宋体" w:hAnsi="宋体" w:eastAsiaTheme="minorEastAsia"/>
                <w:color w:val="000000" w:themeColor="text1"/>
                <w:spacing w:val="-1"/>
                <w14:textFill>
                  <w14:solidFill>
                    <w14:schemeClr w14:val="tx1"/>
                  </w14:solidFill>
                </w14:textFill>
              </w:rPr>
              <w:t>IP67</w:t>
            </w:r>
            <w:r>
              <w:rPr>
                <w:rFonts w:hint="eastAsia" w:ascii="宋体" w:hAnsi="宋体" w:eastAsia="宋体" w:cs="宋体"/>
                <w:color w:val="000000" w:themeColor="text1"/>
                <w14:textFill>
                  <w14:solidFill>
                    <w14:schemeClr w14:val="tx1"/>
                  </w14:solidFill>
                </w14:textFill>
              </w:rPr>
              <w:t>型抱树灯</w:t>
            </w:r>
            <w:r>
              <w:rPr>
                <w:rFonts w:hAnsi="宋体"/>
                <w:color w:val="000000" w:themeColor="text1"/>
                <w:spacing w:val="35"/>
                <w14:textFill>
                  <w14:solidFill>
                    <w14:schemeClr w14:val="tx1"/>
                  </w14:solidFill>
                </w14:textFill>
              </w:rPr>
              <w:t>(</w:t>
            </w:r>
            <w:r>
              <w:rPr>
                <w:rFonts w:hint="eastAsia" w:hAnsi="宋体" w:cs="Times New Roman"/>
                <w:color w:val="000000" w:themeColor="text1"/>
                <w:spacing w:val="35"/>
                <w14:textFill>
                  <w14:solidFill>
                    <w14:schemeClr w14:val="tx1"/>
                  </w14:solidFill>
                </w14:textFill>
              </w:rPr>
              <w:t>8</w:t>
            </w:r>
            <w:r>
              <w:rPr>
                <w:rFonts w:hAnsi="宋体" w:cs="Times New Roman"/>
                <w:color w:val="000000" w:themeColor="text1"/>
                <w14:textFill>
                  <w14:solidFill>
                    <w14:schemeClr w14:val="tx1"/>
                  </w14:solidFill>
                </w14:textFill>
              </w:rPr>
              <w:t>W)</w:t>
            </w:r>
          </w:p>
        </w:tc>
        <w:tc>
          <w:tcPr>
            <w:tcW w:w="7832" w:type="dxa"/>
          </w:tcPr>
          <w:p>
            <w:pPr>
              <w:spacing w:line="300" w:lineRule="exact"/>
              <w:ind w:left="112" w:right="102" w:firstLine="20"/>
              <w:rPr>
                <w:rFonts w:ascii="宋体" w:hAnsi="宋体" w:cs="宋体"/>
                <w:color w:val="000000" w:themeColor="text1"/>
                <w14:textFill>
                  <w14:solidFill>
                    <w14:schemeClr w14:val="tx1"/>
                  </w14:solidFill>
                </w14:textFill>
              </w:rPr>
            </w:pPr>
            <w:r>
              <w:rPr>
                <w:rFonts w:ascii="宋体" w:hAnsi="宋体" w:cs="宋体"/>
                <w:color w:val="000000" w:themeColor="text1"/>
                <w:spacing w:val="4"/>
                <w14:textFill>
                  <w14:solidFill>
                    <w14:schemeClr w14:val="tx1"/>
                  </w14:solidFill>
                </w14:textFill>
              </w:rPr>
              <w:t>≥</w:t>
            </w:r>
            <w:r>
              <w:rPr>
                <w:rFonts w:ascii="宋体" w:hAnsi="宋体"/>
                <w:color w:val="000000" w:themeColor="text1"/>
                <w:spacing w:val="3"/>
                <w14:textFill>
                  <w14:solidFill>
                    <w14:schemeClr w14:val="tx1"/>
                  </w14:solidFill>
                </w14:textFill>
              </w:rPr>
              <w:t>5</w:t>
            </w:r>
            <w:r>
              <w:rPr>
                <w:rFonts w:ascii="宋体" w:hAnsi="宋体"/>
                <w:color w:val="000000" w:themeColor="text1"/>
                <w:spacing w:val="2"/>
                <w14:textFill>
                  <w14:solidFill>
                    <w14:schemeClr w14:val="tx1"/>
                  </w14:solidFill>
                </w14:textFill>
              </w:rPr>
              <w:t>00</w:t>
            </w:r>
            <w:r>
              <w:rPr>
                <w:rFonts w:ascii="宋体" w:hAnsi="宋体"/>
                <w:color w:val="000000" w:themeColor="text1"/>
                <w14:textFill>
                  <w14:solidFill>
                    <w14:schemeClr w14:val="tx1"/>
                  </w14:solidFill>
                </w14:textFill>
              </w:rPr>
              <w:t>h</w:t>
            </w:r>
            <w:r>
              <w:rPr>
                <w:rFonts w:ascii="宋体" w:hAnsi="宋体"/>
                <w:color w:val="000000" w:themeColor="text1"/>
                <w:spacing w:val="2"/>
                <w14:textFill>
                  <w14:solidFill>
                    <w14:schemeClr w14:val="tx1"/>
                  </w14:solidFill>
                </w14:textFill>
              </w:rPr>
              <w:t xml:space="preserve"> </w:t>
            </w:r>
            <w:r>
              <w:rPr>
                <w:rFonts w:hint="eastAsia" w:ascii="宋体" w:hAnsi="宋体" w:eastAsia="宋体" w:cs="宋体"/>
                <w:color w:val="000000" w:themeColor="text1"/>
                <w:spacing w:val="2"/>
                <w14:textFill>
                  <w14:solidFill>
                    <w14:schemeClr w14:val="tx1"/>
                  </w14:solidFill>
                </w14:textFill>
              </w:rPr>
              <w:t>光通量维持率：</w:t>
            </w:r>
            <w:r>
              <w:rPr>
                <w:rFonts w:ascii="宋体" w:hAnsi="宋体" w:cs="宋体"/>
                <w:color w:val="000000" w:themeColor="text1"/>
                <w:spacing w:val="2"/>
                <w14:textFill>
                  <w14:solidFill>
                    <w14:schemeClr w14:val="tx1"/>
                  </w14:solidFill>
                </w14:textFill>
              </w:rPr>
              <w:t xml:space="preserve"> ≥</w:t>
            </w:r>
            <w:r>
              <w:rPr>
                <w:rFonts w:ascii="宋体" w:hAnsi="宋体"/>
                <w:color w:val="000000" w:themeColor="text1"/>
                <w:spacing w:val="2"/>
                <w14:textFill>
                  <w14:solidFill>
                    <w14:schemeClr w14:val="tx1"/>
                  </w14:solidFill>
                </w14:textFill>
              </w:rPr>
              <w:t>99.5%</w:t>
            </w:r>
            <w:r>
              <w:rPr>
                <w:rFonts w:ascii="宋体" w:hAnsi="宋体"/>
                <w:color w:val="000000" w:themeColor="text1"/>
                <w14:textFill>
                  <w14:solidFill>
                    <w14:schemeClr w14:val="tx1"/>
                  </w14:solidFill>
                </w14:textFill>
              </w:rPr>
              <w:t xml:space="preserve"> </w:t>
            </w:r>
            <w:r>
              <w:rPr>
                <w:rFonts w:hint="eastAsia" w:ascii="宋体" w:hAnsi="宋体" w:eastAsia="宋体" w:cs="宋体"/>
                <w:color w:val="000000" w:themeColor="text1"/>
                <w:spacing w:val="10"/>
                <w14:textFill>
                  <w14:solidFill>
                    <w14:schemeClr w14:val="tx1"/>
                  </w14:solidFill>
                </w14:textFill>
              </w:rPr>
              <w:t>的</w:t>
            </w:r>
            <w:r>
              <w:rPr>
                <w:rFonts w:hint="eastAsia" w:ascii="宋体" w:hAnsi="宋体" w:eastAsia="宋体" w:cs="宋体"/>
                <w:color w:val="000000" w:themeColor="text1"/>
                <w:spacing w:val="7"/>
                <w14:textFill>
                  <w14:solidFill>
                    <w14:schemeClr w14:val="tx1"/>
                  </w14:solidFill>
                </w14:textFill>
              </w:rPr>
              <w:t>为</w:t>
            </w:r>
            <w:r>
              <w:rPr>
                <w:rFonts w:hint="eastAsia" w:ascii="宋体" w:hAnsi="宋体" w:eastAsia="宋体" w:cs="宋体"/>
                <w:color w:val="000000" w:themeColor="text1"/>
                <w:spacing w:val="5"/>
                <w14:textFill>
                  <w14:solidFill>
                    <w14:schemeClr w14:val="tx1"/>
                  </w14:solidFill>
                </w14:textFill>
              </w:rPr>
              <w:t>三类；</w:t>
            </w:r>
            <w:r>
              <w:rPr>
                <w:rFonts w:ascii="宋体" w:hAnsi="宋体" w:cs="宋体"/>
                <w:color w:val="000000" w:themeColor="text1"/>
                <w:spacing w:val="5"/>
                <w14:textFill>
                  <w14:solidFill>
                    <w14:schemeClr w14:val="tx1"/>
                  </w14:solidFill>
                </w14:textFill>
              </w:rPr>
              <w:t xml:space="preserve"> ≥</w:t>
            </w:r>
            <w:r>
              <w:rPr>
                <w:rFonts w:ascii="宋体" w:hAnsi="宋体"/>
                <w:color w:val="000000" w:themeColor="text1"/>
                <w:spacing w:val="5"/>
                <w14:textFill>
                  <w14:solidFill>
                    <w14:schemeClr w14:val="tx1"/>
                  </w14:solidFill>
                </w14:textFill>
              </w:rPr>
              <w:t>99.9%</w:t>
            </w:r>
            <w:r>
              <w:rPr>
                <w:rFonts w:hint="eastAsia" w:ascii="宋体" w:hAnsi="宋体" w:eastAsia="宋体" w:cs="宋体"/>
                <w:color w:val="000000" w:themeColor="text1"/>
                <w:spacing w:val="5"/>
                <w14:textFill>
                  <w14:solidFill>
                    <w14:schemeClr w14:val="tx1"/>
                  </w14:solidFill>
                </w14:textFill>
              </w:rPr>
              <w:t>的为二类；</w:t>
            </w:r>
            <w:r>
              <w:rPr>
                <w:rFonts w:ascii="宋体" w:hAnsi="宋体" w:cs="宋体"/>
                <w:color w:val="000000" w:themeColor="text1"/>
                <w14:textFill>
                  <w14:solidFill>
                    <w14:schemeClr w14:val="tx1"/>
                  </w14:solidFill>
                </w14:textFill>
              </w:rPr>
              <w:t xml:space="preserve"> </w:t>
            </w:r>
            <w:r>
              <w:rPr>
                <w:rFonts w:ascii="宋体" w:hAnsi="宋体" w:cs="宋体"/>
                <w:color w:val="000000" w:themeColor="text1"/>
                <w:spacing w:val="6"/>
                <w14:textFill>
                  <w14:solidFill>
                    <w14:schemeClr w14:val="tx1"/>
                  </w14:solidFill>
                </w14:textFill>
              </w:rPr>
              <w:t>≥</w:t>
            </w:r>
            <w:r>
              <w:rPr>
                <w:rFonts w:ascii="宋体" w:hAnsi="宋体"/>
                <w:color w:val="000000" w:themeColor="text1"/>
                <w:spacing w:val="3"/>
                <w14:textFill>
                  <w14:solidFill>
                    <w14:schemeClr w14:val="tx1"/>
                  </w14:solidFill>
                </w14:textFill>
              </w:rPr>
              <w:t xml:space="preserve">99.99% </w:t>
            </w:r>
            <w:r>
              <w:rPr>
                <w:rFonts w:hint="eastAsia" w:ascii="宋体" w:hAnsi="宋体" w:eastAsia="宋体" w:cs="宋体"/>
                <w:color w:val="000000" w:themeColor="text1"/>
                <w:spacing w:val="3"/>
                <w14:textFill>
                  <w14:solidFill>
                    <w14:schemeClr w14:val="tx1"/>
                  </w14:solidFill>
                </w14:textFill>
              </w:rPr>
              <w:t>的为一类</w:t>
            </w:r>
            <w:r>
              <w:rPr>
                <w:rFonts w:ascii="宋体" w:hAnsi="宋体" w:cs="宋体"/>
                <w:color w:val="000000" w:themeColor="text1"/>
                <w:spacing w:val="3"/>
                <w14:textFill>
                  <w14:solidFill>
                    <w14:schemeClr w14:val="tx1"/>
                  </w14:solidFill>
                </w14:textFill>
              </w:rPr>
              <w:t xml:space="preserve"> </w:t>
            </w:r>
            <w:r>
              <w:rPr>
                <w:rFonts w:hint="eastAsia" w:ascii="宋体" w:hAnsi="宋体" w:eastAsia="宋体" w:cs="宋体"/>
                <w:color w:val="000000" w:themeColor="text1"/>
                <w:spacing w:val="3"/>
                <w14:textFill>
                  <w14:solidFill>
                    <w14:schemeClr w14:val="tx1"/>
                  </w14:solidFill>
                </w14:textFill>
              </w:rPr>
              <w:t>；其余为</w:t>
            </w:r>
            <w:r>
              <w:rPr>
                <w:rFonts w:ascii="宋体" w:hAnsi="宋体" w:cs="宋体"/>
                <w:color w:val="000000" w:themeColor="text1"/>
                <w:spacing w:val="3"/>
                <w14:textFill>
                  <w14:solidFill>
                    <w14:schemeClr w14:val="tx1"/>
                  </w14:solidFill>
                </w14:textFill>
              </w:rPr>
              <w:t xml:space="preserve"> </w:t>
            </w:r>
            <w:r>
              <w:rPr>
                <w:rFonts w:hint="eastAsia" w:ascii="宋体" w:hAnsi="宋体" w:eastAsia="宋体" w:cs="宋体"/>
                <w:color w:val="000000" w:themeColor="text1"/>
                <w:spacing w:val="3"/>
                <w14:textFill>
                  <w14:solidFill>
                    <w14:schemeClr w14:val="tx1"/>
                  </w14:solidFill>
                </w14:textFill>
              </w:rPr>
              <w:t>四</w:t>
            </w:r>
            <w:r>
              <w:rPr>
                <w:rFonts w:ascii="宋体" w:hAnsi="宋体" w:cs="宋体"/>
                <w:color w:val="000000" w:themeColor="text1"/>
                <w14:textFill>
                  <w14:solidFill>
                    <w14:schemeClr w14:val="tx1"/>
                  </w14:solidFill>
                </w14:textFill>
              </w:rPr>
              <w:t xml:space="preserve"> </w:t>
            </w:r>
            <w:r>
              <w:rPr>
                <w:rFonts w:hint="eastAsia" w:ascii="宋体" w:hAnsi="宋体" w:eastAsia="宋体" w:cs="宋体"/>
                <w:color w:val="000000" w:themeColor="text1"/>
                <w14:textFill>
                  <w14:solidFill>
                    <w14:schemeClr w14:val="tx1"/>
                  </w14:solidFill>
                </w14:textFill>
              </w:rPr>
              <w:t>类。</w:t>
            </w:r>
          </w:p>
        </w:tc>
        <w:tc>
          <w:tcPr>
            <w:tcW w:w="959" w:type="dxa"/>
            <w:vAlign w:val="center"/>
          </w:tcPr>
          <w:p>
            <w:pPr>
              <w:pStyle w:val="46"/>
              <w:adjustRightInd/>
              <w:spacing w:line="440" w:lineRule="exact"/>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64" w:type="dxa"/>
            <w:vMerge w:val="continue"/>
            <w:vAlign w:val="center"/>
          </w:tcPr>
          <w:p>
            <w:pPr>
              <w:pStyle w:val="46"/>
              <w:adjustRightInd/>
              <w:spacing w:line="440" w:lineRule="exact"/>
              <w:jc w:val="center"/>
              <w:rPr>
                <w:rFonts w:hAnsi="宋体"/>
                <w:color w:val="auto"/>
                <w:sz w:val="21"/>
                <w:szCs w:val="21"/>
              </w:rPr>
            </w:pPr>
          </w:p>
        </w:tc>
        <w:tc>
          <w:tcPr>
            <w:tcW w:w="1352" w:type="dxa"/>
            <w:vMerge w:val="continue"/>
            <w:vAlign w:val="center"/>
          </w:tcPr>
          <w:p>
            <w:pPr>
              <w:pStyle w:val="46"/>
              <w:adjustRightInd/>
              <w:spacing w:line="440" w:lineRule="exact"/>
              <w:jc w:val="center"/>
              <w:rPr>
                <w:rFonts w:hAnsi="宋体"/>
                <w:color w:val="000000" w:themeColor="text1"/>
                <w:sz w:val="21"/>
                <w:szCs w:val="21"/>
                <w14:textFill>
                  <w14:solidFill>
                    <w14:schemeClr w14:val="tx1"/>
                  </w14:solidFill>
                </w14:textFill>
              </w:rPr>
            </w:pPr>
          </w:p>
        </w:tc>
        <w:tc>
          <w:tcPr>
            <w:tcW w:w="7832" w:type="dxa"/>
          </w:tcPr>
          <w:p>
            <w:pPr>
              <w:spacing w:line="300" w:lineRule="exact"/>
              <w:ind w:left="112" w:right="102" w:firstLine="2"/>
              <w:rPr>
                <w:rFonts w:ascii="宋体" w:hAnsi="宋体"/>
                <w:color w:val="000000" w:themeColor="text1"/>
                <w14:textFill>
                  <w14:solidFill>
                    <w14:schemeClr w14:val="tx1"/>
                  </w14:solidFill>
                </w14:textFill>
              </w:rPr>
            </w:pPr>
            <w:r>
              <w:rPr>
                <w:rFonts w:hint="eastAsia" w:ascii="宋体" w:hAnsi="宋体" w:eastAsia="宋体" w:cs="宋体"/>
                <w:color w:val="000000" w:themeColor="text1"/>
                <w:spacing w:val="2"/>
                <w14:textFill>
                  <w14:solidFill>
                    <w14:schemeClr w14:val="tx1"/>
                  </w14:solidFill>
                </w14:textFill>
              </w:rPr>
              <w:t>色温偏差值：</w:t>
            </w:r>
            <w:r>
              <w:rPr>
                <w:rFonts w:ascii="宋体" w:hAnsi="宋体" w:cs="宋体"/>
                <w:color w:val="000000" w:themeColor="text1"/>
                <w:spacing w:val="2"/>
                <w14:textFill>
                  <w14:solidFill>
                    <w14:schemeClr w14:val="tx1"/>
                  </w14:solidFill>
                </w14:textFill>
              </w:rPr>
              <w:t xml:space="preserve"> ≤ ±</w:t>
            </w:r>
            <w:r>
              <w:rPr>
                <w:rFonts w:ascii="宋体" w:hAnsi="宋体"/>
                <w:color w:val="000000" w:themeColor="text1"/>
                <w:spacing w:val="1"/>
                <w14:textFill>
                  <w14:solidFill>
                    <w14:schemeClr w14:val="tx1"/>
                  </w14:solidFill>
                </w14:textFill>
              </w:rPr>
              <w:t>200</w:t>
            </w:r>
            <w:r>
              <w:rPr>
                <w:rFonts w:ascii="宋体" w:hAnsi="宋体"/>
                <w:color w:val="000000" w:themeColor="text1"/>
                <w14:textFill>
                  <w14:solidFill>
                    <w14:schemeClr w14:val="tx1"/>
                  </w14:solidFill>
                </w14:textFill>
              </w:rPr>
              <w:t>K</w:t>
            </w:r>
            <w:r>
              <w:rPr>
                <w:rFonts w:ascii="宋体" w:hAnsi="宋体"/>
                <w:color w:val="000000" w:themeColor="text1"/>
                <w:spacing w:val="1"/>
                <w14:textFill>
                  <w14:solidFill>
                    <w14:schemeClr w14:val="tx1"/>
                  </w14:solidFill>
                </w14:textFill>
              </w:rPr>
              <w:t xml:space="preserve"> </w:t>
            </w:r>
            <w:r>
              <w:rPr>
                <w:rFonts w:hint="eastAsia" w:ascii="宋体" w:hAnsi="宋体" w:eastAsia="宋体" w:cs="宋体"/>
                <w:color w:val="000000" w:themeColor="text1"/>
                <w:spacing w:val="1"/>
                <w14:textFill>
                  <w14:solidFill>
                    <w14:schemeClr w14:val="tx1"/>
                  </w14:solidFill>
                </w14:textFill>
              </w:rPr>
              <w:t>的为三</w:t>
            </w:r>
            <w:r>
              <w:rPr>
                <w:rFonts w:ascii="宋体" w:hAnsi="宋体" w:cs="宋体"/>
                <w:color w:val="000000" w:themeColor="text1"/>
                <w14:textFill>
                  <w14:solidFill>
                    <w14:schemeClr w14:val="tx1"/>
                  </w14:solidFill>
                </w14:textFill>
              </w:rPr>
              <w:t xml:space="preserve"> </w:t>
            </w:r>
            <w:r>
              <w:rPr>
                <w:rFonts w:hint="eastAsia" w:ascii="宋体" w:hAnsi="宋体" w:eastAsia="宋体" w:cs="宋体"/>
                <w:color w:val="000000" w:themeColor="text1"/>
                <w:spacing w:val="-1"/>
                <w14:textFill>
                  <w14:solidFill>
                    <w14:schemeClr w14:val="tx1"/>
                  </w14:solidFill>
                </w14:textFill>
              </w:rPr>
              <w:t>类；</w:t>
            </w:r>
            <w:r>
              <w:rPr>
                <w:rFonts w:ascii="宋体" w:hAnsi="宋体" w:cs="宋体"/>
                <w:color w:val="000000" w:themeColor="text1"/>
                <w:spacing w:val="-1"/>
                <w14:textFill>
                  <w14:solidFill>
                    <w14:schemeClr w14:val="tx1"/>
                  </w14:solidFill>
                </w14:textFill>
              </w:rPr>
              <w:t>≤±</w:t>
            </w:r>
            <w:r>
              <w:rPr>
                <w:rFonts w:hint="eastAsia" w:ascii="宋体" w:hAnsi="宋体"/>
                <w:color w:val="000000" w:themeColor="text1"/>
                <w:spacing w:val="-1"/>
                <w14:textFill>
                  <w14:solidFill>
                    <w14:schemeClr w14:val="tx1"/>
                  </w14:solidFill>
                </w14:textFill>
              </w:rPr>
              <w:t>10</w:t>
            </w:r>
            <w:r>
              <w:rPr>
                <w:rFonts w:ascii="宋体" w:hAnsi="宋体"/>
                <w:color w:val="000000" w:themeColor="text1"/>
                <w:spacing w:val="-1"/>
                <w14:textFill>
                  <w14:solidFill>
                    <w14:schemeClr w14:val="tx1"/>
                  </w14:solidFill>
                </w14:textFill>
              </w:rPr>
              <w:t>0</w:t>
            </w:r>
            <w:r>
              <w:rPr>
                <w:rFonts w:ascii="宋体" w:hAnsi="宋体"/>
                <w:color w:val="000000" w:themeColor="text1"/>
                <w14:textFill>
                  <w14:solidFill>
                    <w14:schemeClr w14:val="tx1"/>
                  </w14:solidFill>
                </w14:textFill>
              </w:rPr>
              <w:t>K</w:t>
            </w:r>
            <w:r>
              <w:rPr>
                <w:rFonts w:ascii="宋体" w:hAnsi="宋体"/>
                <w:color w:val="000000" w:themeColor="text1"/>
                <w:spacing w:val="-1"/>
                <w14:textFill>
                  <w14:solidFill>
                    <w14:schemeClr w14:val="tx1"/>
                  </w14:solidFill>
                </w14:textFill>
              </w:rPr>
              <w:t xml:space="preserve"> </w:t>
            </w:r>
            <w:r>
              <w:rPr>
                <w:rFonts w:hint="eastAsia" w:ascii="宋体" w:hAnsi="宋体" w:eastAsia="宋体" w:cs="宋体"/>
                <w:color w:val="000000" w:themeColor="text1"/>
                <w:spacing w:val="-1"/>
                <w14:textFill>
                  <w14:solidFill>
                    <w14:schemeClr w14:val="tx1"/>
                  </w14:solidFill>
                </w14:textFill>
              </w:rPr>
              <w:t>的为二类</w:t>
            </w:r>
            <w:r>
              <w:rPr>
                <w:rFonts w:hint="eastAsia" w:ascii="宋体" w:hAnsi="宋体" w:eastAsia="宋体" w:cs="宋体"/>
                <w:color w:val="000000" w:themeColor="text1"/>
                <w14:textFill>
                  <w14:solidFill>
                    <w14:schemeClr w14:val="tx1"/>
                  </w14:solidFill>
                </w14:textFill>
              </w:rPr>
              <w:t>；</w:t>
            </w:r>
            <w:r>
              <w:rPr>
                <w:rFonts w:ascii="宋体" w:hAnsi="宋体" w:cs="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5</w:t>
            </w:r>
            <w:r>
              <w:rPr>
                <w:rFonts w:ascii="宋体" w:hAnsi="宋体"/>
                <w:color w:val="000000" w:themeColor="text1"/>
                <w14:textFill>
                  <w14:solidFill>
                    <w14:schemeClr w14:val="tx1"/>
                  </w14:solidFill>
                </w14:textFill>
              </w:rPr>
              <w:t>0K</w:t>
            </w:r>
            <w:r>
              <w:rPr>
                <w:rFonts w:hint="eastAsia" w:ascii="宋体" w:hAnsi="宋体" w:eastAsia="宋体" w:cs="宋体"/>
                <w:color w:val="000000" w:themeColor="text1"/>
                <w:spacing w:val="12"/>
                <w14:textFill>
                  <w14:solidFill>
                    <w14:schemeClr w14:val="tx1"/>
                  </w14:solidFill>
                </w14:textFill>
              </w:rPr>
              <w:t>的</w:t>
            </w:r>
            <w:r>
              <w:rPr>
                <w:rFonts w:hint="eastAsia" w:ascii="宋体" w:hAnsi="宋体" w:eastAsia="宋体" w:cs="宋体"/>
                <w:color w:val="000000" w:themeColor="text1"/>
                <w:spacing w:val="6"/>
                <w14:textFill>
                  <w14:solidFill>
                    <w14:schemeClr w14:val="tx1"/>
                  </w14:solidFill>
                </w14:textFill>
              </w:rPr>
              <w:t>为一类；其余为四类。（</w:t>
            </w:r>
            <w:r>
              <w:rPr>
                <w:rFonts w:hint="eastAsia" w:ascii="宋体" w:hAnsi="宋体" w:cs="宋体"/>
                <w:color w:val="000000" w:themeColor="text1"/>
                <w:spacing w:val="6"/>
                <w14:textFill>
                  <w14:solidFill>
                    <w14:schemeClr w14:val="tx1"/>
                  </w14:solidFill>
                </w14:textFill>
              </w:rPr>
              <w:t>RGBW</w:t>
            </w:r>
            <w:r>
              <w:rPr>
                <w:rFonts w:hint="eastAsia" w:ascii="宋体" w:hAnsi="宋体" w:eastAsia="宋体" w:cs="宋体"/>
                <w:color w:val="000000" w:themeColor="text1"/>
                <w:spacing w:val="6"/>
                <w14:textFill>
                  <w14:solidFill>
                    <w14:schemeClr w14:val="tx1"/>
                  </w14:solidFill>
                </w14:textFill>
              </w:rPr>
              <w:t>灯具单</w:t>
            </w:r>
            <w:r>
              <w:rPr>
                <w:rFonts w:hint="eastAsia" w:ascii="宋体" w:hAnsi="宋体" w:cs="宋体"/>
                <w:color w:val="000000" w:themeColor="text1"/>
                <w:spacing w:val="6"/>
                <w14:textFill>
                  <w14:solidFill>
                    <w14:schemeClr w14:val="tx1"/>
                  </w14:solidFill>
                </w14:textFill>
              </w:rPr>
              <w:t>W</w:t>
            </w:r>
            <w:r>
              <w:rPr>
                <w:rFonts w:hint="eastAsia" w:ascii="宋体" w:hAnsi="宋体" w:eastAsia="宋体" w:cs="宋体"/>
                <w:color w:val="000000" w:themeColor="text1"/>
                <w:spacing w:val="6"/>
                <w14:textFill>
                  <w14:solidFill>
                    <w14:schemeClr w14:val="tx1"/>
                  </w14:solidFill>
                </w14:textFill>
              </w:rPr>
              <w:t>亮时，对白光进行测量）</w:t>
            </w:r>
          </w:p>
        </w:tc>
        <w:tc>
          <w:tcPr>
            <w:tcW w:w="959" w:type="dxa"/>
            <w:vAlign w:val="center"/>
          </w:tcPr>
          <w:p>
            <w:pPr>
              <w:pStyle w:val="46"/>
              <w:adjustRightInd/>
              <w:spacing w:line="440" w:lineRule="exact"/>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64" w:type="dxa"/>
            <w:vMerge w:val="continue"/>
            <w:vAlign w:val="center"/>
          </w:tcPr>
          <w:p>
            <w:pPr>
              <w:pStyle w:val="46"/>
              <w:adjustRightInd/>
              <w:spacing w:line="440" w:lineRule="exact"/>
              <w:jc w:val="center"/>
              <w:rPr>
                <w:rFonts w:hAnsi="宋体"/>
                <w:color w:val="auto"/>
                <w:sz w:val="21"/>
                <w:szCs w:val="21"/>
              </w:rPr>
            </w:pPr>
          </w:p>
        </w:tc>
        <w:tc>
          <w:tcPr>
            <w:tcW w:w="1352" w:type="dxa"/>
            <w:vMerge w:val="continue"/>
            <w:vAlign w:val="center"/>
          </w:tcPr>
          <w:p>
            <w:pPr>
              <w:pStyle w:val="46"/>
              <w:adjustRightInd/>
              <w:spacing w:line="440" w:lineRule="exact"/>
              <w:jc w:val="center"/>
              <w:rPr>
                <w:rFonts w:hAnsi="宋体"/>
                <w:color w:val="000000" w:themeColor="text1"/>
                <w:sz w:val="21"/>
                <w:szCs w:val="21"/>
                <w14:textFill>
                  <w14:solidFill>
                    <w14:schemeClr w14:val="tx1"/>
                  </w14:solidFill>
                </w14:textFill>
              </w:rPr>
            </w:pPr>
          </w:p>
        </w:tc>
        <w:tc>
          <w:tcPr>
            <w:tcW w:w="7832" w:type="dxa"/>
          </w:tcPr>
          <w:p>
            <w:pPr>
              <w:spacing w:line="300" w:lineRule="exact"/>
              <w:ind w:left="115" w:right="52"/>
              <w:rPr>
                <w:rFonts w:ascii="宋体" w:hAnsi="宋体" w:cs="宋体"/>
                <w:color w:val="000000" w:themeColor="text1"/>
                <w14:textFill>
                  <w14:solidFill>
                    <w14:schemeClr w14:val="tx1"/>
                  </w14:solidFill>
                </w14:textFill>
              </w:rPr>
            </w:pPr>
            <w:r>
              <w:rPr>
                <w:rFonts w:hint="eastAsia" w:ascii="宋体" w:hAnsi="宋体" w:eastAsia="宋体" w:cs="宋体"/>
                <w:color w:val="000000" w:themeColor="text1"/>
                <w:spacing w:val="1"/>
                <w14:textFill>
                  <w14:solidFill>
                    <w14:schemeClr w14:val="tx1"/>
                  </w14:solidFill>
                </w14:textFill>
              </w:rPr>
              <w:t>功率偏差率：</w:t>
            </w:r>
            <w:r>
              <w:rPr>
                <w:rFonts w:ascii="宋体" w:hAnsi="宋体" w:cs="宋体"/>
                <w:color w:val="000000" w:themeColor="text1"/>
                <w:spacing w:val="1"/>
                <w14:textFill>
                  <w14:solidFill>
                    <w14:schemeClr w14:val="tx1"/>
                  </w14:solidFill>
                </w14:textFill>
              </w:rPr>
              <w:t>≤</w:t>
            </w:r>
            <w:r>
              <w:rPr>
                <w:rFonts w:ascii="宋体" w:hAnsi="宋体" w:cs="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10%</w:t>
            </w:r>
            <w:r>
              <w:rPr>
                <w:rFonts w:hint="eastAsia" w:ascii="宋体" w:hAnsi="宋体" w:eastAsia="宋体" w:cs="宋体"/>
                <w:color w:val="000000" w:themeColor="text1"/>
                <w14:textFill>
                  <w14:solidFill>
                    <w14:schemeClr w14:val="tx1"/>
                  </w14:solidFill>
                </w14:textFill>
              </w:rPr>
              <w:t>的为三类；</w:t>
            </w:r>
            <w:r>
              <w:rPr>
                <w:rFonts w:ascii="宋体" w:hAnsi="宋体" w:cs="宋体"/>
                <w:color w:val="000000" w:themeColor="text1"/>
                <w14:textFill>
                  <w14:solidFill>
                    <w14:schemeClr w14:val="tx1"/>
                  </w14:solidFill>
                </w14:textFill>
              </w:rPr>
              <w:t xml:space="preserve"> </w:t>
            </w:r>
            <w:r>
              <w:rPr>
                <w:rFonts w:ascii="宋体" w:hAnsi="宋体" w:cs="宋体"/>
                <w:color w:val="000000" w:themeColor="text1"/>
                <w:spacing w:val="10"/>
                <w14:textFill>
                  <w14:solidFill>
                    <w14:schemeClr w14:val="tx1"/>
                  </w14:solidFill>
                </w14:textFill>
              </w:rPr>
              <w:t>≤±</w:t>
            </w:r>
            <w:r>
              <w:rPr>
                <w:rFonts w:ascii="宋体" w:hAnsi="宋体"/>
                <w:color w:val="000000" w:themeColor="text1"/>
                <w:spacing w:val="5"/>
                <w14:textFill>
                  <w14:solidFill>
                    <w14:schemeClr w14:val="tx1"/>
                  </w14:solidFill>
                </w14:textFill>
              </w:rPr>
              <w:t>6%</w:t>
            </w:r>
            <w:r>
              <w:rPr>
                <w:rFonts w:hint="eastAsia" w:ascii="宋体" w:hAnsi="宋体" w:eastAsia="宋体" w:cs="宋体"/>
                <w:color w:val="000000" w:themeColor="text1"/>
                <w:spacing w:val="5"/>
                <w14:textFill>
                  <w14:solidFill>
                    <w14:schemeClr w14:val="tx1"/>
                  </w14:solidFill>
                </w14:textFill>
              </w:rPr>
              <w:t>的为二类；</w:t>
            </w:r>
            <w:r>
              <w:rPr>
                <w:rFonts w:ascii="宋体" w:hAnsi="宋体" w:cs="宋体"/>
                <w:color w:val="000000" w:themeColor="text1"/>
                <w:spacing w:val="5"/>
                <w14:textFill>
                  <w14:solidFill>
                    <w14:schemeClr w14:val="tx1"/>
                  </w14:solidFill>
                </w14:textFill>
              </w:rPr>
              <w:t xml:space="preserve"> ≤±</w:t>
            </w:r>
            <w:r>
              <w:rPr>
                <w:rFonts w:ascii="宋体" w:hAnsi="宋体"/>
                <w:color w:val="000000" w:themeColor="text1"/>
                <w:spacing w:val="5"/>
                <w14:textFill>
                  <w14:solidFill>
                    <w14:schemeClr w14:val="tx1"/>
                  </w14:solidFill>
                </w14:textFill>
              </w:rPr>
              <w:t>2%</w:t>
            </w:r>
            <w:r>
              <w:rPr>
                <w:rFonts w:hint="eastAsia" w:ascii="宋体" w:hAnsi="宋体" w:eastAsia="宋体" w:cs="宋体"/>
                <w:color w:val="000000" w:themeColor="text1"/>
                <w:spacing w:val="5"/>
                <w14:textFill>
                  <w14:solidFill>
                    <w14:schemeClr w14:val="tx1"/>
                  </w14:solidFill>
                </w14:textFill>
              </w:rPr>
              <w:t>的为</w:t>
            </w:r>
            <w:r>
              <w:rPr>
                <w:rFonts w:ascii="宋体" w:hAnsi="宋体" w:cs="宋体"/>
                <w:color w:val="000000" w:themeColor="text1"/>
                <w14:textFill>
                  <w14:solidFill>
                    <w14:schemeClr w14:val="tx1"/>
                  </w14:solidFill>
                </w14:textFill>
              </w:rPr>
              <w:t xml:space="preserve"> </w:t>
            </w:r>
            <w:r>
              <w:rPr>
                <w:rFonts w:hint="eastAsia" w:ascii="宋体" w:hAnsi="宋体" w:eastAsia="宋体" w:cs="宋体"/>
                <w:color w:val="000000" w:themeColor="text1"/>
                <w:spacing w:val="10"/>
                <w14:textFill>
                  <w14:solidFill>
                    <w14:schemeClr w14:val="tx1"/>
                  </w14:solidFill>
                </w14:textFill>
              </w:rPr>
              <w:t>一</w:t>
            </w:r>
            <w:r>
              <w:rPr>
                <w:rFonts w:hint="eastAsia" w:ascii="宋体" w:hAnsi="宋体" w:eastAsia="宋体" w:cs="宋体"/>
                <w:color w:val="000000" w:themeColor="text1"/>
                <w:spacing w:val="7"/>
                <w14:textFill>
                  <w14:solidFill>
                    <w14:schemeClr w14:val="tx1"/>
                  </w14:solidFill>
                </w14:textFill>
              </w:rPr>
              <w:t>类；其余为四类。</w:t>
            </w:r>
          </w:p>
        </w:tc>
        <w:tc>
          <w:tcPr>
            <w:tcW w:w="959" w:type="dxa"/>
            <w:vAlign w:val="center"/>
          </w:tcPr>
          <w:p>
            <w:pPr>
              <w:pStyle w:val="46"/>
              <w:adjustRightInd/>
              <w:spacing w:line="440" w:lineRule="exact"/>
              <w:jc w:val="center"/>
              <w:rPr>
                <w:rFonts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4" w:type="dxa"/>
            <w:vMerge w:val="continue"/>
            <w:vAlign w:val="center"/>
          </w:tcPr>
          <w:p>
            <w:pPr>
              <w:pStyle w:val="46"/>
              <w:adjustRightInd/>
              <w:spacing w:line="440" w:lineRule="exact"/>
              <w:jc w:val="center"/>
              <w:rPr>
                <w:rFonts w:hAnsi="宋体"/>
                <w:color w:val="auto"/>
                <w:sz w:val="21"/>
                <w:szCs w:val="21"/>
              </w:rPr>
            </w:pPr>
          </w:p>
        </w:tc>
        <w:tc>
          <w:tcPr>
            <w:tcW w:w="10143" w:type="dxa"/>
            <w:gridSpan w:val="3"/>
            <w:vAlign w:val="center"/>
          </w:tcPr>
          <w:p>
            <w:pPr>
              <w:widowControl w:val="0"/>
              <w:numPr>
                <w:ilvl w:val="0"/>
                <w:numId w:val="5"/>
              </w:numPr>
              <w:kinsoku/>
              <w:autoSpaceDE/>
              <w:autoSpaceDN/>
              <w:adjustRightInd/>
              <w:snapToGrid/>
              <w:spacing w:line="340" w:lineRule="exact"/>
              <w:ind w:left="42" w:leftChars="20" w:firstLine="0"/>
              <w:textAlignment w:val="auto"/>
              <w:rPr>
                <w:rFonts w:ascii="宋体" w:hAnsi="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评标委员会对投标人承诺的每种类型灯具的试验类别进行评审，确定每种类型灯具所对应的类别。</w:t>
            </w:r>
          </w:p>
          <w:p>
            <w:pPr>
              <w:pStyle w:val="37"/>
              <w:numPr>
                <w:ilvl w:val="0"/>
                <w:numId w:val="5"/>
              </w:numPr>
              <w:spacing w:line="340" w:lineRule="exact"/>
              <w:ind w:left="42" w:leftChars="20" w:firstLine="0"/>
              <w:jc w:val="left"/>
              <w:rPr>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bidi="ar-SA"/>
                <w14:textFill>
                  <w14:solidFill>
                    <w14:schemeClr w14:val="tx1"/>
                  </w14:solidFill>
                </w14:textFill>
              </w:rPr>
              <w:t>投标人投标时所选用的灯具品牌或厂家应为招标文件第七章技术标准和要求“附件：主要设备材料备选品牌一览表”的相关要求；同时应当满足项目所在地亮化行政主管部门的要求，否则不予认可。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4" w:type="dxa"/>
            <w:vAlign w:val="center"/>
          </w:tcPr>
          <w:p>
            <w:pPr>
              <w:pStyle w:val="46"/>
              <w:adjustRightInd/>
              <w:spacing w:line="440" w:lineRule="exact"/>
              <w:rPr>
                <w:color w:val="auto"/>
                <w:sz w:val="21"/>
                <w:szCs w:val="21"/>
              </w:rPr>
            </w:pPr>
            <w:r>
              <w:rPr>
                <w:rFonts w:hint="eastAsia"/>
                <w:color w:val="auto"/>
                <w:sz w:val="21"/>
                <w:szCs w:val="21"/>
              </w:rPr>
              <w:t>备注</w:t>
            </w:r>
          </w:p>
        </w:tc>
        <w:tc>
          <w:tcPr>
            <w:tcW w:w="10143" w:type="dxa"/>
            <w:gridSpan w:val="3"/>
            <w:vAlign w:val="center"/>
          </w:tcPr>
          <w:p>
            <w:pPr>
              <w:pStyle w:val="46"/>
              <w:adjustRightInd/>
              <w:spacing w:line="440" w:lineRule="exact"/>
              <w:jc w:val="center"/>
              <w:rPr>
                <w:rFonts w:hAnsi="宋体"/>
                <w:color w:val="auto"/>
                <w:sz w:val="21"/>
                <w:szCs w:val="21"/>
              </w:rPr>
            </w:pPr>
            <w:r>
              <w:rPr>
                <w:rFonts w:hint="eastAsia" w:hAnsi="宋体"/>
                <w:color w:val="auto"/>
                <w:sz w:val="21"/>
                <w:szCs w:val="21"/>
              </w:rPr>
              <w:t>评委打分精确至0.1分</w:t>
            </w:r>
          </w:p>
        </w:tc>
      </w:tr>
    </w:tbl>
    <w:p>
      <w:pPr>
        <w:pStyle w:val="2"/>
      </w:pPr>
    </w:p>
    <w:p>
      <w:pPr>
        <w:spacing w:before="155" w:line="360" w:lineRule="auto"/>
        <w:ind w:left="420"/>
        <w:rPr>
          <w:rFonts w:ascii="宋体" w:hAnsi="宋体" w:cs="宋体"/>
        </w:rPr>
      </w:pPr>
      <w:r>
        <w:rPr>
          <w:rFonts w:hint="eastAsia" w:ascii="宋体" w:hAnsi="宋体" w:eastAsia="宋体" w:cs="宋体"/>
          <w:spacing w:val="12"/>
        </w:rPr>
        <w:t>三</w:t>
      </w:r>
      <w:r>
        <w:rPr>
          <w:rFonts w:hint="eastAsia" w:ascii="宋体" w:hAnsi="宋体" w:eastAsia="宋体" w:cs="宋体"/>
          <w:spacing w:val="8"/>
        </w:rPr>
        <w:t>、</w:t>
      </w:r>
      <w:r>
        <w:rPr>
          <w:rFonts w:hint="eastAsia" w:ascii="宋体" w:hAnsi="宋体" w:eastAsia="宋体" w:cs="宋体"/>
          <w:spacing w:val="6"/>
        </w:rPr>
        <w:t>技术标评审</w:t>
      </w:r>
      <w:r>
        <w:rPr>
          <w:rFonts w:ascii="宋体" w:hAnsi="宋体" w:cs="宋体"/>
          <w:spacing w:val="6"/>
        </w:rPr>
        <w:t xml:space="preserve"> (</w:t>
      </w:r>
      <w:r>
        <w:rPr>
          <w:rFonts w:hint="eastAsia" w:ascii="宋体" w:hAnsi="宋体"/>
          <w:spacing w:val="6"/>
        </w:rPr>
        <w:t>1</w:t>
      </w:r>
      <w:r>
        <w:rPr>
          <w:rFonts w:hint="eastAsia" w:ascii="宋体" w:hAnsi="宋体" w:eastAsiaTheme="minorEastAsia"/>
          <w:spacing w:val="6"/>
        </w:rPr>
        <w:t>2</w:t>
      </w:r>
      <w:r>
        <w:rPr>
          <w:rFonts w:hint="eastAsia" w:ascii="宋体" w:hAnsi="宋体" w:eastAsia="宋体" w:cs="宋体"/>
          <w:spacing w:val="6"/>
        </w:rPr>
        <w:t>分</w:t>
      </w:r>
      <w:r>
        <w:rPr>
          <w:rFonts w:ascii="宋体" w:hAnsi="宋体" w:cs="宋体"/>
          <w:spacing w:val="6"/>
        </w:rPr>
        <w:t>)</w:t>
      </w:r>
    </w:p>
    <w:p>
      <w:pPr>
        <w:spacing w:line="360" w:lineRule="auto"/>
        <w:ind w:left="550"/>
        <w:rPr>
          <w:rFonts w:ascii="宋体" w:hAnsi="宋体" w:cs="宋体"/>
          <w:b/>
          <w:bCs/>
          <w:spacing w:val="26"/>
        </w:rPr>
      </w:pPr>
      <w:r>
        <w:rPr>
          <w:rFonts w:hint="eastAsia" w:ascii="宋体" w:hAnsi="宋体" w:cs="宋体"/>
          <w:b/>
          <w:bCs/>
          <w:spacing w:val="26"/>
        </w:rPr>
        <w:t>(</w:t>
      </w:r>
      <w:r>
        <w:rPr>
          <w:rFonts w:hint="eastAsia" w:ascii="宋体" w:hAnsi="宋体" w:eastAsia="宋体" w:cs="宋体"/>
          <w:b/>
          <w:bCs/>
          <w:spacing w:val="26"/>
        </w:rPr>
        <w:t>一</w:t>
      </w:r>
      <w:r>
        <w:rPr>
          <w:rFonts w:hint="eastAsia" w:ascii="宋体" w:hAnsi="宋体" w:cs="宋体"/>
          <w:b/>
          <w:bCs/>
          <w:spacing w:val="26"/>
        </w:rPr>
        <w:t>)</w:t>
      </w:r>
      <w:r>
        <w:rPr>
          <w:rFonts w:hint="eastAsia" w:ascii="宋体" w:hAnsi="宋体" w:eastAsia="宋体" w:cs="宋体"/>
          <w:b/>
          <w:bCs/>
        </w:rPr>
        <w:t>评审步骤</w:t>
      </w:r>
    </w:p>
    <w:p>
      <w:pPr>
        <w:pStyle w:val="8"/>
        <w:spacing w:line="360" w:lineRule="auto"/>
        <w:rPr>
          <w:rFonts w:ascii="宋体" w:hAnsi="宋体" w:cs="宋体"/>
          <w:szCs w:val="21"/>
        </w:rPr>
      </w:pPr>
      <w:r>
        <w:rPr>
          <w:rFonts w:hint="eastAsia" w:ascii="宋体" w:hAnsi="宋体" w:cs="宋体"/>
          <w:szCs w:val="21"/>
        </w:rPr>
        <w:t>评标委员会成员针对投标人技术标的内容进行独立评审。具体步骤如下：</w:t>
      </w:r>
    </w:p>
    <w:p>
      <w:pPr>
        <w:pStyle w:val="8"/>
        <w:numPr>
          <w:ilvl w:val="0"/>
          <w:numId w:val="6"/>
        </w:numPr>
        <w:spacing w:line="360" w:lineRule="auto"/>
        <w:ind w:firstLine="420"/>
        <w:rPr>
          <w:rFonts w:ascii="宋体" w:hAnsi="宋体" w:cs="宋体"/>
          <w:szCs w:val="21"/>
        </w:rPr>
      </w:pPr>
      <w:r>
        <w:rPr>
          <w:rFonts w:hint="eastAsia" w:ascii="宋体" w:hAnsi="宋体" w:cs="宋体"/>
          <w:szCs w:val="21"/>
        </w:rPr>
        <w:t>评标委员会成员视其科学性、针对性、可行性、先进性、完善程度对投标人技术标给出评审意见，划分类别。</w:t>
      </w:r>
    </w:p>
    <w:p>
      <w:pPr>
        <w:pStyle w:val="8"/>
        <w:numPr>
          <w:ilvl w:val="0"/>
          <w:numId w:val="6"/>
        </w:numPr>
        <w:spacing w:line="360" w:lineRule="auto"/>
        <w:ind w:firstLine="420"/>
        <w:rPr>
          <w:rFonts w:ascii="宋体" w:hAnsi="宋体" w:cs="宋体"/>
          <w:szCs w:val="21"/>
        </w:rPr>
      </w:pPr>
      <w:r>
        <w:rPr>
          <w:rFonts w:hint="eastAsia" w:ascii="宋体" w:hAnsi="宋体" w:cs="宋体"/>
          <w:szCs w:val="21"/>
        </w:rPr>
        <w:t>投标人的技术文件的最终类别按中位数法(即对评标委员会给出的类别排序，取中间类别)确定:</w:t>
      </w:r>
    </w:p>
    <w:p>
      <w:pPr>
        <w:pStyle w:val="8"/>
        <w:spacing w:line="360" w:lineRule="auto"/>
        <w:rPr>
          <w:rFonts w:ascii="宋体" w:hAnsi="宋体" w:cs="宋体"/>
          <w:szCs w:val="21"/>
        </w:rPr>
      </w:pPr>
      <w:r>
        <w:rPr>
          <w:rFonts w:hint="eastAsia" w:ascii="宋体" w:hAnsi="宋体" w:cs="宋体"/>
          <w:szCs w:val="21"/>
        </w:rPr>
        <w:t>例：</w:t>
      </w:r>
    </w:p>
    <w:tbl>
      <w:tblPr>
        <w:tblStyle w:val="21"/>
        <w:tblW w:w="8824" w:type="dxa"/>
        <w:tblInd w:w="17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4"/>
        <w:gridCol w:w="1468"/>
        <w:gridCol w:w="1470"/>
        <w:gridCol w:w="1469"/>
        <w:gridCol w:w="1468"/>
        <w:gridCol w:w="14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exact"/>
        </w:trPr>
        <w:tc>
          <w:tcPr>
            <w:tcW w:w="1474" w:type="dxa"/>
            <w:shd w:val="clear" w:color="auto" w:fill="auto"/>
            <w:vAlign w:val="center"/>
          </w:tcPr>
          <w:p>
            <w:pPr>
              <w:spacing w:line="360" w:lineRule="auto"/>
              <w:ind w:left="453"/>
              <w:rPr>
                <w:rFonts w:ascii="宋体" w:hAnsi="宋体" w:cs="宋体"/>
              </w:rPr>
            </w:pPr>
            <w:r>
              <w:rPr>
                <w:rFonts w:hint="eastAsia" w:ascii="宋体" w:hAnsi="宋体" w:eastAsia="宋体" w:cs="宋体"/>
                <w:spacing w:val="-4"/>
              </w:rPr>
              <w:t>评委</w:t>
            </w:r>
            <w:r>
              <w:rPr>
                <w:rFonts w:hint="eastAsia" w:ascii="宋体" w:hAnsi="宋体" w:cs="宋体"/>
                <w:spacing w:val="-4"/>
              </w:rPr>
              <w:t xml:space="preserve"> 1</w:t>
            </w:r>
          </w:p>
        </w:tc>
        <w:tc>
          <w:tcPr>
            <w:tcW w:w="1468" w:type="dxa"/>
            <w:shd w:val="clear" w:color="auto" w:fill="auto"/>
            <w:vAlign w:val="center"/>
          </w:tcPr>
          <w:p>
            <w:pPr>
              <w:spacing w:line="360" w:lineRule="auto"/>
              <w:ind w:left="448"/>
              <w:rPr>
                <w:rFonts w:ascii="宋体" w:hAnsi="宋体" w:cs="宋体"/>
              </w:rPr>
            </w:pPr>
            <w:r>
              <w:rPr>
                <w:rFonts w:hint="eastAsia" w:ascii="宋体" w:hAnsi="宋体" w:eastAsia="宋体" w:cs="宋体"/>
                <w:spacing w:val="-7"/>
              </w:rPr>
              <w:t>评</w:t>
            </w:r>
            <w:r>
              <w:rPr>
                <w:rFonts w:hint="eastAsia" w:ascii="宋体" w:hAnsi="宋体" w:eastAsia="宋体" w:cs="宋体"/>
                <w:spacing w:val="-4"/>
              </w:rPr>
              <w:t>委</w:t>
            </w:r>
            <w:r>
              <w:rPr>
                <w:rFonts w:hint="eastAsia" w:ascii="宋体" w:hAnsi="宋体" w:cs="宋体"/>
                <w:spacing w:val="-4"/>
              </w:rPr>
              <w:t xml:space="preserve"> 2</w:t>
            </w:r>
          </w:p>
        </w:tc>
        <w:tc>
          <w:tcPr>
            <w:tcW w:w="1470" w:type="dxa"/>
            <w:shd w:val="clear" w:color="auto" w:fill="auto"/>
            <w:vAlign w:val="center"/>
          </w:tcPr>
          <w:p>
            <w:pPr>
              <w:spacing w:line="360" w:lineRule="auto"/>
              <w:ind w:left="451"/>
              <w:rPr>
                <w:rFonts w:ascii="宋体" w:hAnsi="宋体" w:cs="宋体"/>
              </w:rPr>
            </w:pPr>
            <w:r>
              <w:rPr>
                <w:rFonts w:hint="eastAsia" w:ascii="宋体" w:hAnsi="宋体" w:eastAsia="宋体" w:cs="宋体"/>
                <w:spacing w:val="-4"/>
              </w:rPr>
              <w:t>评</w:t>
            </w:r>
            <w:r>
              <w:rPr>
                <w:rFonts w:hint="eastAsia" w:ascii="宋体" w:hAnsi="宋体" w:eastAsia="宋体" w:cs="宋体"/>
                <w:spacing w:val="-3"/>
              </w:rPr>
              <w:t>委</w:t>
            </w:r>
            <w:r>
              <w:rPr>
                <w:rFonts w:hint="eastAsia" w:ascii="宋体" w:hAnsi="宋体" w:cs="宋体"/>
                <w:spacing w:val="-3"/>
              </w:rPr>
              <w:t xml:space="preserve"> 3</w:t>
            </w:r>
          </w:p>
        </w:tc>
        <w:tc>
          <w:tcPr>
            <w:tcW w:w="1469" w:type="dxa"/>
            <w:shd w:val="clear" w:color="auto" w:fill="auto"/>
            <w:vAlign w:val="center"/>
          </w:tcPr>
          <w:p>
            <w:pPr>
              <w:spacing w:line="360" w:lineRule="auto"/>
              <w:ind w:left="450"/>
              <w:rPr>
                <w:rFonts w:ascii="宋体" w:hAnsi="宋体" w:cs="宋体"/>
              </w:rPr>
            </w:pPr>
            <w:r>
              <w:rPr>
                <w:rFonts w:hint="eastAsia" w:ascii="宋体" w:hAnsi="宋体" w:eastAsia="宋体" w:cs="宋体"/>
                <w:spacing w:val="-8"/>
              </w:rPr>
              <w:t>评</w:t>
            </w:r>
            <w:r>
              <w:rPr>
                <w:rFonts w:hint="eastAsia" w:ascii="宋体" w:hAnsi="宋体" w:eastAsia="宋体" w:cs="宋体"/>
                <w:spacing w:val="-4"/>
              </w:rPr>
              <w:t>委</w:t>
            </w:r>
            <w:r>
              <w:rPr>
                <w:rFonts w:hint="eastAsia" w:ascii="宋体" w:hAnsi="宋体" w:cs="宋体"/>
                <w:spacing w:val="-4"/>
              </w:rPr>
              <w:t xml:space="preserve"> 4</w:t>
            </w:r>
          </w:p>
        </w:tc>
        <w:tc>
          <w:tcPr>
            <w:tcW w:w="1468" w:type="dxa"/>
            <w:shd w:val="clear" w:color="auto" w:fill="auto"/>
            <w:vAlign w:val="center"/>
          </w:tcPr>
          <w:p>
            <w:pPr>
              <w:spacing w:line="360" w:lineRule="auto"/>
              <w:ind w:left="452"/>
              <w:rPr>
                <w:rFonts w:ascii="宋体" w:hAnsi="宋体" w:cs="宋体"/>
              </w:rPr>
            </w:pPr>
            <w:r>
              <w:rPr>
                <w:rFonts w:hint="eastAsia" w:ascii="宋体" w:hAnsi="宋体" w:eastAsia="宋体" w:cs="宋体"/>
                <w:spacing w:val="-7"/>
              </w:rPr>
              <w:t>评</w:t>
            </w:r>
            <w:r>
              <w:rPr>
                <w:rFonts w:hint="eastAsia" w:ascii="宋体" w:hAnsi="宋体" w:eastAsia="宋体" w:cs="宋体"/>
                <w:spacing w:val="-4"/>
              </w:rPr>
              <w:t>委</w:t>
            </w:r>
            <w:r>
              <w:rPr>
                <w:rFonts w:hint="eastAsia" w:ascii="宋体" w:hAnsi="宋体" w:cs="宋体"/>
                <w:spacing w:val="-4"/>
              </w:rPr>
              <w:t xml:space="preserve"> 5</w:t>
            </w:r>
          </w:p>
        </w:tc>
        <w:tc>
          <w:tcPr>
            <w:tcW w:w="1475" w:type="dxa"/>
            <w:shd w:val="clear" w:color="auto" w:fill="auto"/>
            <w:vAlign w:val="center"/>
          </w:tcPr>
          <w:p>
            <w:pPr>
              <w:spacing w:line="360" w:lineRule="auto"/>
              <w:ind w:left="324"/>
              <w:rPr>
                <w:rFonts w:ascii="宋体" w:hAnsi="宋体" w:cs="宋体"/>
              </w:rPr>
            </w:pPr>
            <w:r>
              <w:rPr>
                <w:rFonts w:hint="eastAsia" w:ascii="宋体" w:hAnsi="宋体" w:eastAsia="宋体" w:cs="宋体"/>
                <w:spacing w:val="9"/>
              </w:rPr>
              <w:t>最</w:t>
            </w:r>
            <w:r>
              <w:rPr>
                <w:rFonts w:hint="eastAsia" w:ascii="宋体" w:hAnsi="宋体" w:eastAsia="宋体" w:cs="宋体"/>
                <w:spacing w:val="6"/>
              </w:rPr>
              <w:t>终类别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exact"/>
        </w:trPr>
        <w:tc>
          <w:tcPr>
            <w:tcW w:w="1474" w:type="dxa"/>
            <w:shd w:val="clear" w:color="auto" w:fill="auto"/>
            <w:vAlign w:val="center"/>
          </w:tcPr>
          <w:p>
            <w:pPr>
              <w:spacing w:line="360" w:lineRule="auto"/>
              <w:ind w:left="537"/>
              <w:rPr>
                <w:rFonts w:ascii="宋体" w:hAnsi="宋体" w:cs="宋体"/>
              </w:rPr>
            </w:pPr>
            <w:r>
              <w:rPr>
                <w:rFonts w:hint="eastAsia" w:ascii="宋体" w:hAnsi="宋体" w:eastAsia="宋体" w:cs="宋体"/>
                <w:spacing w:val="3"/>
              </w:rPr>
              <w:t>一类</w:t>
            </w:r>
          </w:p>
        </w:tc>
        <w:tc>
          <w:tcPr>
            <w:tcW w:w="1468" w:type="dxa"/>
            <w:shd w:val="clear" w:color="auto" w:fill="auto"/>
            <w:vAlign w:val="center"/>
          </w:tcPr>
          <w:p>
            <w:pPr>
              <w:spacing w:line="360" w:lineRule="auto"/>
              <w:ind w:left="528"/>
              <w:rPr>
                <w:rFonts w:ascii="宋体" w:hAnsi="宋体" w:cs="宋体"/>
              </w:rPr>
            </w:pPr>
            <w:r>
              <w:rPr>
                <w:rFonts w:hint="eastAsia" w:ascii="宋体" w:hAnsi="宋体" w:eastAsia="宋体" w:cs="宋体"/>
                <w:spacing w:val="5"/>
              </w:rPr>
              <w:t>三</w:t>
            </w:r>
            <w:r>
              <w:rPr>
                <w:rFonts w:hint="eastAsia" w:ascii="宋体" w:hAnsi="宋体" w:eastAsia="宋体" w:cs="宋体"/>
                <w:spacing w:val="4"/>
              </w:rPr>
              <w:t>类</w:t>
            </w:r>
          </w:p>
        </w:tc>
        <w:tc>
          <w:tcPr>
            <w:tcW w:w="1470" w:type="dxa"/>
            <w:shd w:val="clear" w:color="auto" w:fill="auto"/>
            <w:vAlign w:val="center"/>
          </w:tcPr>
          <w:p>
            <w:pPr>
              <w:spacing w:line="360" w:lineRule="auto"/>
              <w:ind w:left="532"/>
              <w:rPr>
                <w:rFonts w:ascii="宋体" w:hAnsi="宋体" w:cs="宋体"/>
              </w:rPr>
            </w:pPr>
            <w:r>
              <w:rPr>
                <w:rFonts w:hint="eastAsia" w:ascii="宋体" w:hAnsi="宋体" w:eastAsia="宋体" w:cs="宋体"/>
                <w:spacing w:val="4"/>
              </w:rPr>
              <w:t>二类</w:t>
            </w:r>
          </w:p>
        </w:tc>
        <w:tc>
          <w:tcPr>
            <w:tcW w:w="1469" w:type="dxa"/>
            <w:shd w:val="clear" w:color="auto" w:fill="auto"/>
            <w:vAlign w:val="center"/>
          </w:tcPr>
          <w:p>
            <w:pPr>
              <w:spacing w:line="360" w:lineRule="auto"/>
              <w:ind w:left="533"/>
              <w:rPr>
                <w:rFonts w:ascii="宋体" w:hAnsi="宋体" w:cs="宋体"/>
              </w:rPr>
            </w:pPr>
            <w:r>
              <w:rPr>
                <w:rFonts w:hint="eastAsia" w:ascii="宋体" w:hAnsi="宋体" w:eastAsia="宋体" w:cs="宋体"/>
                <w:spacing w:val="3"/>
              </w:rPr>
              <w:t>一类</w:t>
            </w:r>
          </w:p>
        </w:tc>
        <w:tc>
          <w:tcPr>
            <w:tcW w:w="1468" w:type="dxa"/>
            <w:shd w:val="clear" w:color="auto" w:fill="auto"/>
            <w:vAlign w:val="center"/>
          </w:tcPr>
          <w:p>
            <w:pPr>
              <w:spacing w:line="360" w:lineRule="auto"/>
              <w:ind w:left="549"/>
              <w:rPr>
                <w:rFonts w:ascii="宋体" w:hAnsi="宋体" w:cs="宋体"/>
              </w:rPr>
            </w:pPr>
            <w:r>
              <w:rPr>
                <w:rFonts w:hint="eastAsia" w:ascii="宋体" w:hAnsi="宋体" w:eastAsia="宋体" w:cs="宋体"/>
                <w:spacing w:val="-5"/>
              </w:rPr>
              <w:t>四类</w:t>
            </w:r>
          </w:p>
        </w:tc>
        <w:tc>
          <w:tcPr>
            <w:tcW w:w="1475" w:type="dxa"/>
            <w:shd w:val="clear" w:color="auto" w:fill="auto"/>
            <w:vAlign w:val="center"/>
          </w:tcPr>
          <w:p>
            <w:pPr>
              <w:spacing w:line="360" w:lineRule="auto"/>
              <w:ind w:left="536"/>
              <w:rPr>
                <w:rFonts w:ascii="宋体" w:hAnsi="宋体" w:cs="宋体"/>
              </w:rPr>
            </w:pPr>
            <w:r>
              <w:rPr>
                <w:rFonts w:hint="eastAsia" w:ascii="宋体" w:hAnsi="宋体" w:eastAsia="宋体" w:cs="宋体"/>
                <w:spacing w:val="3"/>
              </w:rPr>
              <w:t>二类</w:t>
            </w:r>
          </w:p>
        </w:tc>
      </w:tr>
    </w:tbl>
    <w:p>
      <w:pPr>
        <w:spacing w:before="42" w:line="360" w:lineRule="auto"/>
        <w:ind w:right="126"/>
      </w:pPr>
      <w:r>
        <w:rPr>
          <w:rFonts w:hint="eastAsia" w:ascii="宋体" w:hAnsi="宋体" w:eastAsia="宋体" w:cs="宋体"/>
        </w:rPr>
        <w:t>评标委员会成员按技术文件评分标准，在确定的最终类别的分值范围内各自打分</w:t>
      </w:r>
      <w:r>
        <w:rPr>
          <w:rFonts w:hint="eastAsia" w:ascii="宋体" w:hAnsi="宋体" w:cs="宋体"/>
        </w:rPr>
        <w:t>(</w:t>
      </w:r>
      <w:r>
        <w:rPr>
          <w:rFonts w:hint="eastAsia" w:ascii="宋体" w:hAnsi="宋体" w:eastAsia="宋体" w:cs="宋体"/>
        </w:rPr>
        <w:t>小数点后保留</w:t>
      </w:r>
      <w:r>
        <w:rPr>
          <w:rFonts w:hint="eastAsia" w:ascii="宋体" w:hAnsi="宋体" w:cs="宋体"/>
        </w:rPr>
        <w:t>1</w:t>
      </w:r>
      <w:r>
        <w:rPr>
          <w:rFonts w:hint="eastAsia" w:ascii="宋体" w:hAnsi="宋体" w:eastAsia="宋体" w:cs="宋体"/>
        </w:rPr>
        <w:t>位</w:t>
      </w:r>
      <w:r>
        <w:rPr>
          <w:rFonts w:hint="eastAsia" w:ascii="宋体" w:hAnsi="宋体" w:cs="宋体"/>
        </w:rPr>
        <w:t>)</w:t>
      </w:r>
      <w:r>
        <w:rPr>
          <w:rFonts w:hint="eastAsia" w:ascii="宋体" w:hAnsi="宋体" w:eastAsia="宋体" w:cs="宋体"/>
        </w:rPr>
        <w:t>，评标委员会成员对应的打分平均值作为投标人技术文件的得分</w:t>
      </w:r>
      <w:r>
        <w:rPr>
          <w:rFonts w:hint="eastAsia" w:ascii="宋体" w:hAnsi="宋体" w:cs="宋体"/>
        </w:rPr>
        <w:t>(</w:t>
      </w:r>
      <w:r>
        <w:rPr>
          <w:rFonts w:hint="eastAsia" w:ascii="宋体" w:hAnsi="宋体" w:eastAsia="宋体" w:cs="宋体"/>
        </w:rPr>
        <w:t>小数点后保留</w:t>
      </w:r>
      <w:r>
        <w:rPr>
          <w:rFonts w:hint="eastAsia" w:ascii="宋体" w:hAnsi="宋体" w:cs="宋体"/>
        </w:rPr>
        <w:t>2</w:t>
      </w:r>
      <w:r>
        <w:rPr>
          <w:rFonts w:hint="eastAsia" w:ascii="宋体" w:hAnsi="宋体" w:eastAsia="宋体" w:cs="宋体"/>
        </w:rPr>
        <w:t>位，</w:t>
      </w:r>
      <w:r>
        <w:rPr>
          <w:rFonts w:hint="eastAsia" w:ascii="宋体" w:hAnsi="宋体" w:cs="宋体"/>
        </w:rPr>
        <w:t>第3位四舍五入)；</w:t>
      </w:r>
      <w:r>
        <w:rPr>
          <w:rFonts w:ascii="宋体" w:hAnsi="宋体" w:cs="宋体"/>
          <w:spacing w:val="1"/>
        </w:rPr>
        <w:t xml:space="preserve"> </w:t>
      </w:r>
    </w:p>
    <w:p>
      <w:pPr>
        <w:spacing w:line="228" w:lineRule="auto"/>
        <w:rPr>
          <w:rFonts w:ascii="宋体" w:hAnsi="宋体" w:cs="宋体"/>
          <w:b/>
          <w:bCs/>
        </w:rPr>
      </w:pPr>
      <w:r>
        <w:rPr>
          <w:rFonts w:ascii="宋体" w:hAnsi="宋体" w:cs="宋体"/>
          <w:b/>
          <w:bCs/>
          <w:spacing w:val="26"/>
        </w:rPr>
        <w:t xml:space="preserve"> (</w:t>
      </w:r>
      <w:r>
        <w:rPr>
          <w:rFonts w:hint="eastAsia" w:ascii="宋体" w:hAnsi="宋体" w:eastAsia="宋体" w:cs="宋体"/>
          <w:b/>
          <w:bCs/>
          <w:spacing w:val="15"/>
        </w:rPr>
        <w:t>二</w:t>
      </w:r>
      <w:r>
        <w:rPr>
          <w:rFonts w:ascii="宋体" w:hAnsi="宋体" w:cs="宋体"/>
          <w:b/>
          <w:bCs/>
          <w:spacing w:val="15"/>
        </w:rPr>
        <w:t>)</w:t>
      </w:r>
      <w:r>
        <w:rPr>
          <w:rFonts w:ascii="宋体" w:hAnsi="宋体" w:cs="宋体"/>
          <w:b/>
          <w:bCs/>
          <w:spacing w:val="26"/>
        </w:rPr>
        <w:t xml:space="preserve"> </w:t>
      </w:r>
      <w:r>
        <w:rPr>
          <w:rFonts w:hint="eastAsia" w:ascii="宋体" w:hAnsi="宋体" w:eastAsia="宋体" w:cs="宋体"/>
          <w:b/>
          <w:bCs/>
          <w:spacing w:val="15"/>
        </w:rPr>
        <w:t>技术文件评分标准</w:t>
      </w:r>
      <w:r>
        <w:rPr>
          <w:rFonts w:ascii="宋体" w:hAnsi="宋体" w:cs="宋体"/>
          <w:b/>
          <w:bCs/>
          <w:spacing w:val="15"/>
        </w:rPr>
        <w:t xml:space="preserve"> (</w:t>
      </w:r>
      <w:r>
        <w:rPr>
          <w:rFonts w:hint="eastAsia"/>
          <w:b/>
          <w:bCs/>
          <w:spacing w:val="15"/>
        </w:rPr>
        <w:t>1</w:t>
      </w:r>
      <w:r>
        <w:rPr>
          <w:rFonts w:hint="eastAsia" w:eastAsiaTheme="minorEastAsia"/>
          <w:b/>
          <w:bCs/>
          <w:spacing w:val="15"/>
        </w:rPr>
        <w:t>2</w:t>
      </w:r>
      <w:r>
        <w:rPr>
          <w:rFonts w:hint="eastAsia" w:ascii="宋体" w:hAnsi="宋体" w:eastAsia="宋体" w:cs="宋体"/>
          <w:b/>
          <w:bCs/>
          <w:spacing w:val="15"/>
        </w:rPr>
        <w:t>分</w:t>
      </w:r>
      <w:r>
        <w:rPr>
          <w:rFonts w:ascii="宋体" w:hAnsi="宋体" w:cs="宋体"/>
          <w:b/>
          <w:bCs/>
          <w:spacing w:val="15"/>
        </w:rPr>
        <w:t>)</w:t>
      </w:r>
    </w:p>
    <w:p>
      <w:pPr>
        <w:spacing w:line="138" w:lineRule="auto"/>
      </w:pPr>
    </w:p>
    <w:tbl>
      <w:tblPr>
        <w:tblStyle w:val="21"/>
        <w:tblW w:w="96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11"/>
        <w:gridCol w:w="883"/>
        <w:gridCol w:w="1023"/>
        <w:gridCol w:w="986"/>
        <w:gridCol w:w="12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jc w:val="center"/>
        </w:trPr>
        <w:tc>
          <w:tcPr>
            <w:tcW w:w="5511" w:type="dxa"/>
            <w:shd w:val="clear" w:color="auto" w:fill="auto"/>
          </w:tcPr>
          <w:p>
            <w:pPr>
              <w:spacing w:before="145" w:line="228" w:lineRule="auto"/>
              <w:ind w:left="3686"/>
              <w:rPr>
                <w:rFonts w:ascii="宋体" w:hAnsi="宋体" w:cs="宋体"/>
              </w:rPr>
            </w:pPr>
            <w:r>
              <w:rPr>
                <w:snapToGrid/>
              </w:rPr>
              <w:drawing>
                <wp:anchor distT="0" distB="0" distL="0" distR="0" simplePos="0" relativeHeight="251689984" behindDoc="1" locked="0" layoutInCell="1" allowOverlap="1">
                  <wp:simplePos x="0" y="0"/>
                  <wp:positionH relativeFrom="column">
                    <wp:posOffset>9525</wp:posOffset>
                  </wp:positionH>
                  <wp:positionV relativeFrom="paragraph">
                    <wp:posOffset>26035</wp:posOffset>
                  </wp:positionV>
                  <wp:extent cx="3475990" cy="504825"/>
                  <wp:effectExtent l="0" t="0" r="0"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75990" cy="504825"/>
                          </a:xfrm>
                          <a:prstGeom prst="rect">
                            <a:avLst/>
                          </a:prstGeom>
                          <a:noFill/>
                          <a:ln>
                            <a:noFill/>
                          </a:ln>
                        </pic:spPr>
                      </pic:pic>
                    </a:graphicData>
                  </a:graphic>
                </wp:anchor>
              </w:drawing>
            </w:r>
            <w:r>
              <w:rPr>
                <w:rFonts w:ascii="宋体" w:hAnsi="宋体" w:cs="宋体"/>
                <w:spacing w:val="5"/>
              </w:rPr>
              <w:t>类</w:t>
            </w:r>
            <w:r>
              <w:rPr>
                <w:rFonts w:ascii="宋体" w:hAnsi="宋体" w:cs="宋体"/>
                <w:spacing w:val="4"/>
              </w:rPr>
              <w:t>别</w:t>
            </w:r>
          </w:p>
          <w:p>
            <w:pPr>
              <w:spacing w:before="153" w:line="228" w:lineRule="auto"/>
              <w:ind w:left="114"/>
              <w:rPr>
                <w:rFonts w:ascii="宋体" w:hAnsi="宋体" w:cs="宋体"/>
              </w:rPr>
            </w:pPr>
            <w:r>
              <w:rPr>
                <w:rFonts w:ascii="宋体" w:hAnsi="宋体" w:cs="宋体"/>
                <w:spacing w:val="9"/>
              </w:rPr>
              <w:t>评</w:t>
            </w:r>
            <w:r>
              <w:rPr>
                <w:rFonts w:ascii="宋体" w:hAnsi="宋体" w:cs="宋体"/>
                <w:spacing w:val="7"/>
              </w:rPr>
              <w:t>标内容</w:t>
            </w:r>
          </w:p>
        </w:tc>
        <w:tc>
          <w:tcPr>
            <w:tcW w:w="883" w:type="dxa"/>
            <w:shd w:val="clear" w:color="auto" w:fill="auto"/>
          </w:tcPr>
          <w:p>
            <w:pPr>
              <w:spacing w:before="187" w:line="399" w:lineRule="exact"/>
              <w:ind w:left="279"/>
              <w:rPr>
                <w:rFonts w:ascii="宋体" w:hAnsi="宋体" w:cs="宋体"/>
              </w:rPr>
            </w:pPr>
            <w:r>
              <w:rPr>
                <w:rFonts w:ascii="宋体" w:hAnsi="宋体" w:cs="宋体"/>
                <w:spacing w:val="3"/>
                <w:position w:val="14"/>
              </w:rPr>
              <w:t>一类</w:t>
            </w:r>
          </w:p>
          <w:p>
            <w:pPr>
              <w:spacing w:line="228" w:lineRule="auto"/>
              <w:ind w:left="183"/>
              <w:rPr>
                <w:rFonts w:ascii="宋体" w:hAnsi="宋体" w:cs="宋体"/>
              </w:rPr>
            </w:pPr>
            <w:r>
              <w:rPr>
                <w:rFonts w:ascii="宋体" w:hAnsi="宋体" w:cs="宋体"/>
                <w:spacing w:val="33"/>
              </w:rPr>
              <w:t>(好)</w:t>
            </w:r>
          </w:p>
        </w:tc>
        <w:tc>
          <w:tcPr>
            <w:tcW w:w="1023" w:type="dxa"/>
            <w:shd w:val="clear" w:color="auto" w:fill="auto"/>
          </w:tcPr>
          <w:p>
            <w:pPr>
              <w:spacing w:before="187" w:line="399" w:lineRule="exact"/>
              <w:ind w:left="313"/>
              <w:rPr>
                <w:rFonts w:ascii="宋体" w:hAnsi="宋体" w:cs="宋体"/>
              </w:rPr>
            </w:pPr>
            <w:r>
              <w:rPr>
                <w:rFonts w:ascii="宋体" w:hAnsi="宋体" w:cs="宋体"/>
                <w:spacing w:val="3"/>
                <w:position w:val="14"/>
              </w:rPr>
              <w:t>二类</w:t>
            </w:r>
          </w:p>
          <w:p>
            <w:pPr>
              <w:spacing w:line="228" w:lineRule="auto"/>
              <w:ind w:left="125"/>
              <w:rPr>
                <w:rFonts w:ascii="宋体" w:hAnsi="宋体" w:cs="宋体"/>
              </w:rPr>
            </w:pPr>
            <w:r>
              <w:rPr>
                <w:rFonts w:ascii="宋体" w:hAnsi="宋体" w:cs="宋体"/>
                <w:spacing w:val="29"/>
              </w:rPr>
              <w:t>(</w:t>
            </w:r>
            <w:r>
              <w:rPr>
                <w:rFonts w:ascii="宋体" w:hAnsi="宋体" w:cs="宋体"/>
                <w:spacing w:val="27"/>
              </w:rPr>
              <w:t>较好)</w:t>
            </w:r>
          </w:p>
        </w:tc>
        <w:tc>
          <w:tcPr>
            <w:tcW w:w="986" w:type="dxa"/>
            <w:shd w:val="clear" w:color="auto" w:fill="auto"/>
          </w:tcPr>
          <w:p>
            <w:pPr>
              <w:spacing w:before="187" w:line="399" w:lineRule="exact"/>
              <w:ind w:left="289"/>
              <w:rPr>
                <w:rFonts w:ascii="宋体" w:hAnsi="宋体" w:cs="宋体"/>
              </w:rPr>
            </w:pPr>
            <w:r>
              <w:rPr>
                <w:rFonts w:ascii="宋体" w:hAnsi="宋体" w:cs="宋体"/>
                <w:spacing w:val="5"/>
                <w:position w:val="14"/>
              </w:rPr>
              <w:t>三</w:t>
            </w:r>
            <w:r>
              <w:rPr>
                <w:rFonts w:ascii="宋体" w:hAnsi="宋体" w:cs="宋体"/>
                <w:spacing w:val="4"/>
                <w:position w:val="14"/>
              </w:rPr>
              <w:t>类</w:t>
            </w:r>
          </w:p>
          <w:p>
            <w:pPr>
              <w:spacing w:line="229" w:lineRule="auto"/>
              <w:ind w:left="124"/>
              <w:rPr>
                <w:rFonts w:ascii="宋体" w:hAnsi="宋体" w:cs="宋体"/>
              </w:rPr>
            </w:pPr>
            <w:r>
              <w:rPr>
                <w:rFonts w:ascii="宋体" w:hAnsi="宋体" w:cs="宋体"/>
                <w:spacing w:val="2"/>
              </w:rPr>
              <w:t>( 一般)</w:t>
            </w:r>
          </w:p>
        </w:tc>
        <w:tc>
          <w:tcPr>
            <w:tcW w:w="1234" w:type="dxa"/>
            <w:shd w:val="clear" w:color="auto" w:fill="auto"/>
          </w:tcPr>
          <w:p>
            <w:pPr>
              <w:spacing w:before="187" w:line="399" w:lineRule="exact"/>
              <w:ind w:left="324"/>
              <w:rPr>
                <w:rFonts w:ascii="宋体" w:hAnsi="宋体" w:cs="宋体"/>
              </w:rPr>
            </w:pPr>
            <w:r>
              <w:rPr>
                <w:rFonts w:ascii="宋体" w:hAnsi="宋体" w:cs="宋体"/>
                <w:spacing w:val="-6"/>
                <w:position w:val="14"/>
              </w:rPr>
              <w:t>四</w:t>
            </w:r>
            <w:r>
              <w:rPr>
                <w:rFonts w:ascii="宋体" w:hAnsi="宋体" w:cs="宋体"/>
                <w:spacing w:val="-5"/>
                <w:position w:val="14"/>
              </w:rPr>
              <w:t>类</w:t>
            </w:r>
          </w:p>
          <w:p>
            <w:pPr>
              <w:spacing w:line="231" w:lineRule="auto"/>
              <w:ind w:left="336"/>
              <w:rPr>
                <w:rFonts w:ascii="宋体" w:hAnsi="宋体" w:cs="宋体"/>
              </w:rPr>
            </w:pPr>
            <w:r>
              <w:rPr>
                <w:rFonts w:ascii="宋体" w:hAnsi="宋体" w:cs="宋体"/>
                <w:spacing w:val="33"/>
              </w:rPr>
              <w:t>(差)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jc w:val="center"/>
        </w:trPr>
        <w:tc>
          <w:tcPr>
            <w:tcW w:w="5511" w:type="dxa"/>
            <w:shd w:val="clear" w:color="auto" w:fill="auto"/>
          </w:tcPr>
          <w:p>
            <w:pPr>
              <w:spacing w:line="300" w:lineRule="exact"/>
              <w:ind w:left="115" w:right="103" w:firstLine="420"/>
              <w:rPr>
                <w:rFonts w:ascii="宋体" w:hAnsi="宋体" w:cs="宋体"/>
              </w:rPr>
            </w:pPr>
            <w:r>
              <w:rPr>
                <w:rFonts w:ascii="宋体" w:hAnsi="宋体" w:cs="宋体"/>
                <w:spacing w:val="13"/>
              </w:rPr>
              <w:t>针</w:t>
            </w:r>
            <w:r>
              <w:rPr>
                <w:rFonts w:ascii="宋体" w:hAnsi="宋体" w:cs="宋体"/>
                <w:spacing w:val="8"/>
              </w:rPr>
              <w:t>对本工程的特点、难点分析和解决措施，以及重要</w:t>
            </w:r>
            <w:r>
              <w:rPr>
                <w:rFonts w:ascii="宋体" w:hAnsi="宋体" w:cs="宋体"/>
              </w:rPr>
              <w:t xml:space="preserve"> </w:t>
            </w:r>
            <w:r>
              <w:rPr>
                <w:rFonts w:ascii="宋体" w:hAnsi="宋体" w:cs="宋体"/>
                <w:spacing w:val="8"/>
              </w:rPr>
              <w:t>部位的施工方案及安全保证措施 (特点、难点分析和解</w:t>
            </w:r>
            <w:r>
              <w:rPr>
                <w:rFonts w:ascii="宋体" w:hAnsi="宋体" w:cs="宋体"/>
                <w:spacing w:val="7"/>
              </w:rPr>
              <w:t>决</w:t>
            </w:r>
            <w:r>
              <w:rPr>
                <w:rFonts w:ascii="宋体" w:hAnsi="宋体" w:cs="宋体"/>
              </w:rPr>
              <w:t xml:space="preserve"> </w:t>
            </w:r>
            <w:r>
              <w:rPr>
                <w:rFonts w:ascii="宋体" w:hAnsi="宋体" w:cs="宋体"/>
                <w:spacing w:val="15"/>
              </w:rPr>
              <w:t>措</w:t>
            </w:r>
            <w:r>
              <w:rPr>
                <w:rFonts w:ascii="宋体" w:hAnsi="宋体" w:cs="宋体"/>
                <w:spacing w:val="8"/>
              </w:rPr>
              <w:t>施应包含关于如何解决设备安装过程中遇到的问题、情景互动模式、后期运维管理如何开展、如</w:t>
            </w:r>
            <w:r>
              <w:rPr>
                <w:rFonts w:ascii="宋体" w:hAnsi="宋体" w:cs="宋体"/>
                <w:spacing w:val="16"/>
              </w:rPr>
              <w:t>何</w:t>
            </w:r>
            <w:r>
              <w:rPr>
                <w:rFonts w:ascii="宋体" w:hAnsi="宋体" w:cs="宋体"/>
                <w:spacing w:val="10"/>
              </w:rPr>
              <w:t>保</w:t>
            </w:r>
            <w:r>
              <w:rPr>
                <w:rFonts w:ascii="宋体" w:hAnsi="宋体" w:cs="宋体"/>
                <w:spacing w:val="8"/>
              </w:rPr>
              <w:t>证工期进度安排、售后服务质量)</w:t>
            </w:r>
          </w:p>
        </w:tc>
        <w:tc>
          <w:tcPr>
            <w:tcW w:w="883" w:type="dxa"/>
            <w:shd w:val="clear" w:color="auto" w:fill="auto"/>
            <w:vAlign w:val="center"/>
          </w:tcPr>
          <w:p>
            <w:pPr>
              <w:pStyle w:val="37"/>
              <w:adjustRightInd w:val="0"/>
              <w:snapToGrid w:val="0"/>
              <w:jc w:val="center"/>
              <w:rPr>
                <w:sz w:val="21"/>
                <w:szCs w:val="21"/>
                <w:lang w:val="en-US"/>
              </w:rPr>
            </w:pPr>
            <w:r>
              <w:rPr>
                <w:rFonts w:hint="eastAsia"/>
                <w:sz w:val="21"/>
                <w:szCs w:val="21"/>
                <w:lang w:val="en-US" w:eastAsia="zh-CN" w:bidi="en-US"/>
              </w:rPr>
              <w:t>5-4.7</w:t>
            </w:r>
          </w:p>
        </w:tc>
        <w:tc>
          <w:tcPr>
            <w:tcW w:w="1023" w:type="dxa"/>
            <w:shd w:val="clear" w:color="auto" w:fill="auto"/>
            <w:vAlign w:val="center"/>
          </w:tcPr>
          <w:p>
            <w:pPr>
              <w:pStyle w:val="37"/>
              <w:adjustRightInd w:val="0"/>
              <w:snapToGrid w:val="0"/>
              <w:jc w:val="center"/>
              <w:rPr>
                <w:sz w:val="21"/>
                <w:szCs w:val="21"/>
                <w:lang w:val="en-US"/>
              </w:rPr>
            </w:pPr>
            <w:r>
              <w:rPr>
                <w:rFonts w:hint="eastAsia"/>
                <w:sz w:val="21"/>
                <w:szCs w:val="21"/>
                <w:lang w:val="en-US" w:eastAsia="zh-CN"/>
              </w:rPr>
              <w:t>4.6-4.3</w:t>
            </w:r>
          </w:p>
        </w:tc>
        <w:tc>
          <w:tcPr>
            <w:tcW w:w="986" w:type="dxa"/>
            <w:shd w:val="clear" w:color="auto" w:fill="auto"/>
            <w:vAlign w:val="center"/>
          </w:tcPr>
          <w:p>
            <w:pPr>
              <w:pStyle w:val="37"/>
              <w:adjustRightInd w:val="0"/>
              <w:snapToGrid w:val="0"/>
              <w:jc w:val="center"/>
              <w:rPr>
                <w:sz w:val="21"/>
                <w:szCs w:val="21"/>
                <w:lang w:val="en-US"/>
              </w:rPr>
            </w:pPr>
            <w:r>
              <w:rPr>
                <w:rFonts w:hint="eastAsia"/>
                <w:sz w:val="21"/>
                <w:szCs w:val="21"/>
                <w:lang w:val="en-US" w:eastAsia="zh-CN" w:bidi="en-US"/>
              </w:rPr>
              <w:t>4.2-3.9</w:t>
            </w:r>
          </w:p>
        </w:tc>
        <w:tc>
          <w:tcPr>
            <w:tcW w:w="1234" w:type="dxa"/>
            <w:shd w:val="clear" w:color="auto" w:fill="auto"/>
            <w:vAlign w:val="center"/>
          </w:tcPr>
          <w:p>
            <w:pPr>
              <w:pStyle w:val="37"/>
              <w:adjustRightInd w:val="0"/>
              <w:snapToGrid w:val="0"/>
              <w:jc w:val="center"/>
              <w:rPr>
                <w:sz w:val="21"/>
                <w:szCs w:val="21"/>
                <w:lang w:val="en-US"/>
              </w:rPr>
            </w:pPr>
            <w:r>
              <w:rPr>
                <w:rFonts w:hint="eastAsia"/>
                <w:sz w:val="21"/>
                <w:szCs w:val="21"/>
                <w:lang w:val="en-US" w:eastAsia="zh-CN"/>
              </w:rPr>
              <w:t>3.8-3.5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5511" w:type="dxa"/>
            <w:shd w:val="clear" w:color="auto" w:fill="auto"/>
          </w:tcPr>
          <w:p>
            <w:pPr>
              <w:spacing w:line="320" w:lineRule="exact"/>
              <w:ind w:firstLine="452" w:firstLineChars="200"/>
              <w:rPr>
                <w:rFonts w:ascii="宋体" w:hAnsi="宋体" w:cs="宋体"/>
                <w:spacing w:val="8"/>
              </w:rPr>
            </w:pPr>
            <w:r>
              <w:rPr>
                <w:rFonts w:hint="eastAsia" w:ascii="宋体" w:hAnsi="宋体" w:cs="宋体"/>
                <w:spacing w:val="8"/>
              </w:rPr>
              <w:t>多媒体解说文件</w:t>
            </w:r>
            <w:r>
              <w:rPr>
                <w:rFonts w:ascii="宋体" w:hAnsi="宋体"/>
                <w:spacing w:val="8"/>
              </w:rPr>
              <w:t>（</w:t>
            </w:r>
            <w:r>
              <w:rPr>
                <w:rFonts w:hint="eastAsia" w:ascii="宋体" w:hAnsi="宋体"/>
                <w:spacing w:val="8"/>
              </w:rPr>
              <w:t>指动画</w:t>
            </w:r>
            <w:r>
              <w:rPr>
                <w:rFonts w:ascii="宋体" w:hAnsi="宋体"/>
                <w:spacing w:val="8"/>
              </w:rPr>
              <w:t>展示）：</w:t>
            </w:r>
            <w:r>
              <w:rPr>
                <w:rFonts w:hint="eastAsia" w:ascii="宋体" w:hAnsi="宋体" w:cs="宋体"/>
                <w:spacing w:val="8"/>
              </w:rPr>
              <w:t>动画效果的变幻丰富程度、与现场实际结合程度、体现三门人文文化。</w:t>
            </w:r>
          </w:p>
          <w:p>
            <w:pPr>
              <w:spacing w:line="320" w:lineRule="exact"/>
              <w:rPr>
                <w:rFonts w:ascii="宋体" w:hAnsi="宋体" w:cs="宋体"/>
                <w:spacing w:val="8"/>
              </w:rPr>
            </w:pPr>
            <w:r>
              <w:rPr>
                <w:rFonts w:hint="eastAsia" w:ascii="宋体" w:hAnsi="宋体" w:cs="宋体"/>
                <w:spacing w:val="8"/>
              </w:rPr>
              <w:t>注：要求如下：</w:t>
            </w:r>
          </w:p>
          <w:p>
            <w:pPr>
              <w:spacing w:line="320" w:lineRule="exact"/>
              <w:ind w:firstLine="449" w:firstLineChars="199"/>
              <w:rPr>
                <w:rFonts w:ascii="宋体" w:hAnsi="宋体" w:cs="宋体"/>
                <w:spacing w:val="13"/>
              </w:rPr>
            </w:pPr>
            <w:r>
              <w:rPr>
                <w:rFonts w:hint="eastAsia" w:ascii="宋体" w:hAnsi="宋体" w:cs="宋体"/>
                <w:spacing w:val="8"/>
              </w:rPr>
              <w:t>（1）多媒体解说文件能在WINDOWS 最新操作系统下用较为普及的软件自动播放，时长3-5分钟（其中三维部分不少于3分钟）。</w:t>
            </w:r>
          </w:p>
        </w:tc>
        <w:tc>
          <w:tcPr>
            <w:tcW w:w="883" w:type="dxa"/>
            <w:shd w:val="clear" w:color="auto" w:fill="auto"/>
            <w:vAlign w:val="center"/>
          </w:tcPr>
          <w:p>
            <w:pPr>
              <w:pStyle w:val="37"/>
              <w:adjustRightInd w:val="0"/>
              <w:snapToGrid w:val="0"/>
              <w:jc w:val="center"/>
              <w:rPr>
                <w:sz w:val="21"/>
                <w:szCs w:val="21"/>
                <w:lang w:val="en-US" w:eastAsia="zh-CN" w:bidi="en-US"/>
              </w:rPr>
            </w:pPr>
            <w:r>
              <w:rPr>
                <w:rFonts w:hint="eastAsia"/>
                <w:sz w:val="21"/>
                <w:szCs w:val="21"/>
                <w:lang w:val="en-US" w:eastAsia="zh-CN" w:bidi="en-US"/>
              </w:rPr>
              <w:t>7-6.7</w:t>
            </w:r>
          </w:p>
        </w:tc>
        <w:tc>
          <w:tcPr>
            <w:tcW w:w="1023" w:type="dxa"/>
            <w:shd w:val="clear" w:color="auto" w:fill="auto"/>
            <w:vAlign w:val="center"/>
          </w:tcPr>
          <w:p>
            <w:pPr>
              <w:pStyle w:val="37"/>
              <w:adjustRightInd w:val="0"/>
              <w:snapToGrid w:val="0"/>
              <w:jc w:val="center"/>
              <w:rPr>
                <w:sz w:val="21"/>
                <w:szCs w:val="21"/>
                <w:lang w:val="en-US" w:eastAsia="zh-CN"/>
              </w:rPr>
            </w:pPr>
            <w:r>
              <w:rPr>
                <w:rFonts w:hint="eastAsia"/>
                <w:sz w:val="21"/>
                <w:szCs w:val="21"/>
                <w:lang w:val="en-US" w:eastAsia="zh-CN"/>
              </w:rPr>
              <w:t>6.6-6.3</w:t>
            </w:r>
          </w:p>
        </w:tc>
        <w:tc>
          <w:tcPr>
            <w:tcW w:w="986" w:type="dxa"/>
            <w:shd w:val="clear" w:color="auto" w:fill="auto"/>
            <w:vAlign w:val="center"/>
          </w:tcPr>
          <w:p>
            <w:pPr>
              <w:pStyle w:val="37"/>
              <w:adjustRightInd w:val="0"/>
              <w:snapToGrid w:val="0"/>
              <w:jc w:val="center"/>
              <w:rPr>
                <w:sz w:val="21"/>
                <w:szCs w:val="21"/>
                <w:lang w:val="en-US" w:eastAsia="zh-CN" w:bidi="en-US"/>
              </w:rPr>
            </w:pPr>
            <w:r>
              <w:rPr>
                <w:rFonts w:hint="eastAsia"/>
                <w:sz w:val="21"/>
                <w:szCs w:val="21"/>
                <w:lang w:val="en-US" w:eastAsia="zh-CN" w:bidi="en-US"/>
              </w:rPr>
              <w:t>6.2-5.9</w:t>
            </w:r>
          </w:p>
        </w:tc>
        <w:tc>
          <w:tcPr>
            <w:tcW w:w="1234" w:type="dxa"/>
            <w:shd w:val="clear" w:color="auto" w:fill="auto"/>
            <w:vAlign w:val="center"/>
          </w:tcPr>
          <w:p>
            <w:pPr>
              <w:pStyle w:val="37"/>
              <w:adjustRightInd w:val="0"/>
              <w:snapToGrid w:val="0"/>
              <w:jc w:val="center"/>
              <w:rPr>
                <w:sz w:val="21"/>
                <w:szCs w:val="21"/>
                <w:lang w:val="en-US" w:eastAsia="zh-CN"/>
              </w:rPr>
            </w:pPr>
            <w:r>
              <w:rPr>
                <w:rFonts w:hint="eastAsia"/>
                <w:sz w:val="21"/>
                <w:szCs w:val="21"/>
                <w:lang w:val="en-US" w:eastAsia="zh-CN"/>
              </w:rPr>
              <w:t>5.8-5.5</w:t>
            </w:r>
          </w:p>
        </w:tc>
      </w:tr>
    </w:tbl>
    <w:p>
      <w:pPr>
        <w:pStyle w:val="2"/>
        <w:sectPr>
          <w:pgSz w:w="11905" w:h="16837"/>
          <w:pgMar w:top="1440" w:right="1080" w:bottom="1440" w:left="1080" w:header="0" w:footer="850" w:gutter="0"/>
          <w:pgNumType w:chapStyle="1"/>
          <w:cols w:space="720" w:num="1"/>
          <w:docGrid w:linePitch="286" w:charSpace="0"/>
        </w:sectPr>
      </w:pPr>
    </w:p>
    <w:p>
      <w:pPr>
        <w:pStyle w:val="8"/>
        <w:numPr>
          <w:ilvl w:val="0"/>
          <w:numId w:val="7"/>
        </w:numPr>
        <w:spacing w:line="432" w:lineRule="auto"/>
        <w:ind w:firstLineChars="0"/>
        <w:rPr>
          <w:rFonts w:ascii="宋体" w:hAnsi="宋体" w:cs="宋体"/>
          <w:b/>
          <w:bCs/>
          <w:szCs w:val="21"/>
        </w:rPr>
      </w:pPr>
      <w:bookmarkStart w:id="193" w:name="_bookmark21"/>
      <w:bookmarkEnd w:id="193"/>
      <w:r>
        <w:rPr>
          <w:rFonts w:hint="eastAsia" w:ascii="宋体" w:hAnsi="宋体" w:cs="宋体"/>
          <w:b/>
          <w:bCs/>
          <w:szCs w:val="21"/>
        </w:rPr>
        <w:t>商务标评审 (80 分)</w:t>
      </w:r>
    </w:p>
    <w:p>
      <w:pPr>
        <w:widowControl w:val="0"/>
        <w:kinsoku/>
        <w:autoSpaceDE/>
        <w:autoSpaceDN/>
        <w:adjustRightInd/>
        <w:snapToGrid/>
        <w:spacing w:line="440" w:lineRule="exact"/>
        <w:ind w:firstLine="420" w:firstLineChars="200"/>
        <w:textAlignment w:val="auto"/>
        <w:rPr>
          <w:rFonts w:ascii="宋体" w:hAnsi="宋体" w:eastAsia="宋体" w:cs="宋体"/>
          <w:color w:val="auto"/>
        </w:rPr>
      </w:pPr>
      <w:r>
        <w:rPr>
          <w:rFonts w:hint="eastAsia" w:ascii="宋体" w:hAnsi="宋体" w:eastAsia="宋体" w:cs="宋体"/>
          <w:color w:val="auto"/>
        </w:rPr>
        <w:t>( 一) 评标标底价</w:t>
      </w:r>
    </w:p>
    <w:p>
      <w:pPr>
        <w:widowControl w:val="0"/>
        <w:kinsoku/>
        <w:autoSpaceDE/>
        <w:autoSpaceDN/>
        <w:adjustRightInd/>
        <w:snapToGrid/>
        <w:spacing w:line="440" w:lineRule="exact"/>
        <w:ind w:firstLine="420" w:firstLineChars="200"/>
        <w:textAlignment w:val="auto"/>
        <w:rPr>
          <w:rFonts w:ascii="宋体" w:hAnsi="宋体" w:eastAsia="宋体" w:cs="宋体"/>
          <w:color w:val="auto"/>
        </w:rPr>
      </w:pPr>
      <w:r>
        <w:rPr>
          <w:rFonts w:hint="eastAsia" w:ascii="宋体" w:hAnsi="宋体" w:eastAsia="宋体" w:cs="宋体"/>
          <w:color w:val="auto"/>
        </w:rPr>
        <w:t>最高投标限价乘以调整系数作为评标标底价，即评标标底价＝最高投标限价×调整系数。（以元为单位，保留整数）</w:t>
      </w:r>
    </w:p>
    <w:p>
      <w:pPr>
        <w:widowControl w:val="0"/>
        <w:kinsoku/>
        <w:autoSpaceDE/>
        <w:autoSpaceDN/>
        <w:adjustRightInd/>
        <w:snapToGrid/>
        <w:spacing w:line="440" w:lineRule="exact"/>
        <w:ind w:firstLine="420" w:firstLineChars="200"/>
        <w:textAlignment w:val="auto"/>
        <w:rPr>
          <w:rFonts w:ascii="宋体" w:hAnsi="宋体" w:eastAsia="宋体" w:cs="宋体"/>
          <w:color w:val="auto"/>
        </w:rPr>
      </w:pPr>
      <w:r>
        <w:rPr>
          <w:rFonts w:hint="eastAsia" w:ascii="宋体" w:hAnsi="宋体" w:eastAsia="宋体" w:cs="宋体"/>
          <w:color w:val="auto"/>
        </w:rPr>
        <w:t>调整系数＝（100–D）%，D值在0.00～0.99范围内随机抽取产生。先从0～9中抽取十分位数字X，再从0～9中抽取百分位数字Y，则抽取的D值即为0.XY。</w:t>
      </w:r>
    </w:p>
    <w:p>
      <w:pPr>
        <w:widowControl w:val="0"/>
        <w:kinsoku/>
        <w:autoSpaceDE/>
        <w:autoSpaceDN/>
        <w:adjustRightInd/>
        <w:snapToGrid/>
        <w:spacing w:line="440" w:lineRule="exact"/>
        <w:ind w:firstLine="420" w:firstLineChars="200"/>
        <w:textAlignment w:val="auto"/>
        <w:rPr>
          <w:rFonts w:ascii="宋体" w:hAnsi="宋体" w:eastAsia="宋体" w:cs="宋体"/>
          <w:color w:val="auto"/>
        </w:rPr>
      </w:pPr>
      <w:r>
        <w:rPr>
          <w:rFonts w:hint="eastAsia" w:ascii="宋体" w:hAnsi="宋体" w:eastAsia="宋体" w:cs="宋体"/>
          <w:color w:val="auto"/>
        </w:rPr>
        <w:t>(二) 商务标得分</w:t>
      </w:r>
    </w:p>
    <w:p>
      <w:pPr>
        <w:widowControl w:val="0"/>
        <w:kinsoku/>
        <w:autoSpaceDE/>
        <w:autoSpaceDN/>
        <w:adjustRightInd/>
        <w:snapToGrid/>
        <w:spacing w:line="440" w:lineRule="exact"/>
        <w:ind w:firstLine="420" w:firstLineChars="200"/>
        <w:textAlignment w:val="auto"/>
        <w:rPr>
          <w:rFonts w:ascii="宋体" w:hAnsi="宋体" w:eastAsia="宋体" w:cs="宋体"/>
          <w:color w:val="auto"/>
        </w:rPr>
      </w:pPr>
      <w:r>
        <w:rPr>
          <w:rFonts w:hint="eastAsia" w:ascii="宋体" w:hAnsi="宋体" w:eastAsia="宋体" w:cs="宋体"/>
          <w:color w:val="auto"/>
        </w:rPr>
        <w:t>投标人的投标报价等于评标标底价的得80分。偏离评标标底价的，每高于或每低于评标标底价1个百分点的均扣2分，即商务标得分=80-|(投标报价-评标标底价)|/评标标底价×100×2(小数点后保留2位，小数点后第3位四舍五入) 。</w:t>
      </w:r>
    </w:p>
    <w:p>
      <w:pPr>
        <w:pStyle w:val="8"/>
        <w:numPr>
          <w:ilvl w:val="0"/>
          <w:numId w:val="7"/>
        </w:numPr>
        <w:spacing w:line="440" w:lineRule="exact"/>
        <w:ind w:firstLine="200" w:firstLineChars="0"/>
        <w:rPr>
          <w:rFonts w:ascii="宋体" w:hAnsi="宋体" w:cs="宋体"/>
          <w:b/>
          <w:bCs/>
          <w:szCs w:val="21"/>
        </w:rPr>
      </w:pPr>
      <w:r>
        <w:rPr>
          <w:rFonts w:hint="eastAsia" w:ascii="宋体" w:hAnsi="宋体" w:cs="宋体"/>
          <w:b/>
          <w:bCs/>
          <w:szCs w:val="21"/>
        </w:rPr>
        <w:t>评标总得分的确定。</w:t>
      </w:r>
    </w:p>
    <w:p>
      <w:pPr>
        <w:pStyle w:val="8"/>
        <w:spacing w:before="50" w:line="440" w:lineRule="exact"/>
        <w:ind w:left="-4" w:leftChars="-2"/>
        <w:rPr>
          <w:rFonts w:ascii="宋体" w:hAnsi="宋体" w:cs="宋体"/>
          <w:szCs w:val="21"/>
        </w:rPr>
      </w:pPr>
      <w:r>
        <w:rPr>
          <w:rFonts w:hint="eastAsia" w:ascii="宋体" w:hAnsi="宋体" w:cs="宋体"/>
          <w:szCs w:val="21"/>
        </w:rPr>
        <w:t>投标人的总得分＝资信标得分＋技术标得分＋商务标得分。</w:t>
      </w:r>
    </w:p>
    <w:p>
      <w:pPr>
        <w:pStyle w:val="8"/>
        <w:numPr>
          <w:ilvl w:val="0"/>
          <w:numId w:val="7"/>
        </w:numPr>
        <w:spacing w:line="440" w:lineRule="exact"/>
        <w:ind w:firstLine="200" w:firstLineChars="0"/>
        <w:rPr>
          <w:rFonts w:ascii="宋体" w:hAnsi="宋体" w:cs="宋体"/>
          <w:b/>
          <w:bCs/>
          <w:szCs w:val="21"/>
        </w:rPr>
      </w:pPr>
      <w:r>
        <w:rPr>
          <w:rFonts w:hint="eastAsia" w:ascii="宋体" w:hAnsi="宋体" w:cs="宋体"/>
          <w:b/>
          <w:bCs/>
          <w:szCs w:val="21"/>
        </w:rPr>
        <w:t>中标候选人的确定</w:t>
      </w:r>
    </w:p>
    <w:p>
      <w:pPr>
        <w:widowControl w:val="0"/>
        <w:kinsoku/>
        <w:autoSpaceDE/>
        <w:autoSpaceDN/>
        <w:adjustRightInd/>
        <w:snapToGrid/>
        <w:spacing w:line="440" w:lineRule="exact"/>
        <w:ind w:firstLine="420" w:firstLineChars="200"/>
        <w:textAlignment w:val="auto"/>
        <w:rPr>
          <w:rFonts w:ascii="宋体" w:hAnsi="宋体" w:eastAsia="宋体" w:cs="宋体"/>
          <w:color w:val="auto"/>
          <w:kern w:val="2"/>
        </w:rPr>
      </w:pPr>
      <w:r>
        <w:rPr>
          <w:rFonts w:hint="eastAsia" w:ascii="宋体" w:hAnsi="宋体" w:eastAsia="宋体" w:cs="宋体"/>
          <w:color w:val="auto"/>
          <w:kern w:val="2"/>
        </w:rPr>
        <w:t>中标候选人的排名次序按投标人综合得分高低来确定，取得分最高者为中标候选人。如出现总得分相同的，按以下优先顺序确定中标候选人推荐次序：</w:t>
      </w:r>
    </w:p>
    <w:p>
      <w:pPr>
        <w:widowControl w:val="0"/>
        <w:kinsoku/>
        <w:autoSpaceDE/>
        <w:autoSpaceDN/>
        <w:adjustRightInd/>
        <w:snapToGrid/>
        <w:spacing w:line="440" w:lineRule="exact"/>
        <w:ind w:left="134"/>
        <w:textAlignment w:val="auto"/>
        <w:rPr>
          <w:rFonts w:ascii="宋体" w:hAnsi="宋体" w:eastAsia="宋体" w:cs="宋体"/>
          <w:color w:val="auto"/>
          <w:kern w:val="2"/>
        </w:rPr>
      </w:pPr>
      <w:r>
        <w:rPr>
          <w:rFonts w:hint="eastAsia" w:ascii="宋体" w:hAnsi="宋体" w:eastAsia="宋体" w:cs="宋体"/>
          <w:color w:val="auto"/>
          <w:kern w:val="2"/>
        </w:rPr>
        <w:t>(1)资信标得分高者；</w:t>
      </w:r>
    </w:p>
    <w:p>
      <w:pPr>
        <w:widowControl w:val="0"/>
        <w:kinsoku/>
        <w:autoSpaceDE/>
        <w:autoSpaceDN/>
        <w:adjustRightInd/>
        <w:snapToGrid/>
        <w:spacing w:line="440" w:lineRule="exact"/>
        <w:ind w:left="134"/>
        <w:textAlignment w:val="auto"/>
        <w:rPr>
          <w:rFonts w:ascii="宋体" w:hAnsi="宋体" w:eastAsia="宋体" w:cs="宋体"/>
          <w:color w:val="auto"/>
          <w:kern w:val="2"/>
        </w:rPr>
      </w:pPr>
      <w:r>
        <w:rPr>
          <w:rFonts w:hint="eastAsia" w:ascii="宋体" w:hAnsi="宋体" w:eastAsia="宋体" w:cs="宋体"/>
          <w:color w:val="auto"/>
          <w:kern w:val="2"/>
        </w:rPr>
        <w:t>(2)技术标得分高者；</w:t>
      </w:r>
    </w:p>
    <w:p>
      <w:pPr>
        <w:widowControl w:val="0"/>
        <w:kinsoku/>
        <w:autoSpaceDE/>
        <w:autoSpaceDN/>
        <w:adjustRightInd/>
        <w:snapToGrid/>
        <w:spacing w:line="440" w:lineRule="exact"/>
        <w:ind w:left="134"/>
        <w:textAlignment w:val="auto"/>
        <w:rPr>
          <w:rFonts w:ascii="宋体" w:hAnsi="宋体" w:eastAsia="宋体" w:cs="宋体"/>
          <w:color w:val="auto"/>
          <w:kern w:val="2"/>
        </w:rPr>
      </w:pPr>
      <w:r>
        <w:rPr>
          <w:rFonts w:hint="eastAsia" w:ascii="宋体" w:hAnsi="宋体" w:eastAsia="宋体" w:cs="宋体"/>
          <w:color w:val="auto"/>
          <w:kern w:val="2"/>
        </w:rPr>
        <w:t>(3)投标报价低者；</w:t>
      </w:r>
    </w:p>
    <w:p>
      <w:pPr>
        <w:widowControl w:val="0"/>
        <w:kinsoku/>
        <w:autoSpaceDE/>
        <w:autoSpaceDN/>
        <w:adjustRightInd/>
        <w:snapToGrid/>
        <w:spacing w:line="440" w:lineRule="exact"/>
        <w:ind w:firstLine="210" w:firstLineChars="100"/>
        <w:textAlignment w:val="auto"/>
        <w:rPr>
          <w:rFonts w:ascii="宋体" w:hAnsi="宋体" w:eastAsia="宋体" w:cs="宋体"/>
          <w:color w:val="auto"/>
          <w:kern w:val="2"/>
        </w:rPr>
      </w:pPr>
      <w:r>
        <w:rPr>
          <w:rFonts w:hint="eastAsia" w:ascii="宋体" w:hAnsi="宋体" w:eastAsia="宋体" w:cs="宋体"/>
          <w:color w:val="auto"/>
          <w:kern w:val="2"/>
        </w:rPr>
        <w:t>(4)抽签确定。</w:t>
      </w:r>
    </w:p>
    <w:p>
      <w:pPr>
        <w:pStyle w:val="3"/>
        <w:ind w:firstLine="210"/>
        <w:rPr>
          <w:rFonts w:eastAsiaTheme="minorEastAsia"/>
        </w:rPr>
      </w:pPr>
    </w:p>
    <w:p>
      <w:pPr>
        <w:pStyle w:val="5"/>
        <w:jc w:val="center"/>
        <w:rPr>
          <w:rFonts w:ascii="黑体" w:hAnsi="黑体" w:cs="黑体"/>
          <w:spacing w:val="12"/>
          <w:sz w:val="31"/>
          <w:szCs w:val="31"/>
        </w:rPr>
      </w:pPr>
    </w:p>
    <w:p>
      <w:pPr>
        <w:rPr>
          <w:rFonts w:ascii="黑体" w:hAnsi="黑体" w:cs="黑体"/>
          <w:spacing w:val="12"/>
          <w:sz w:val="31"/>
          <w:szCs w:val="31"/>
        </w:rPr>
      </w:pPr>
    </w:p>
    <w:p>
      <w:pPr>
        <w:pStyle w:val="2"/>
        <w:rPr>
          <w:rFonts w:ascii="黑体" w:hAnsi="黑体" w:cs="黑体"/>
          <w:spacing w:val="12"/>
          <w:sz w:val="31"/>
          <w:szCs w:val="31"/>
        </w:rPr>
      </w:pPr>
    </w:p>
    <w:p>
      <w:pPr>
        <w:pStyle w:val="3"/>
        <w:ind w:firstLine="322"/>
        <w:rPr>
          <w:rFonts w:ascii="黑体" w:hAnsi="黑体" w:cs="黑体"/>
          <w:spacing w:val="12"/>
          <w:sz w:val="31"/>
          <w:szCs w:val="31"/>
        </w:rPr>
      </w:pPr>
    </w:p>
    <w:p>
      <w:pPr>
        <w:rPr>
          <w:rFonts w:ascii="黑体" w:hAnsi="黑体" w:cs="黑体"/>
          <w:spacing w:val="12"/>
          <w:sz w:val="31"/>
          <w:szCs w:val="31"/>
        </w:rPr>
      </w:pPr>
    </w:p>
    <w:p>
      <w:pPr>
        <w:pStyle w:val="5"/>
        <w:rPr>
          <w:rFonts w:ascii="黑体" w:hAnsi="黑体" w:cs="黑体"/>
          <w:spacing w:val="12"/>
          <w:sz w:val="31"/>
          <w:szCs w:val="31"/>
        </w:rPr>
      </w:pPr>
    </w:p>
    <w:p>
      <w:pPr>
        <w:pStyle w:val="5"/>
        <w:jc w:val="center"/>
        <w:rPr>
          <w:rFonts w:ascii="黑体" w:hAnsi="黑体" w:cs="黑体"/>
          <w:sz w:val="31"/>
          <w:szCs w:val="31"/>
        </w:rPr>
      </w:pPr>
      <w:bookmarkStart w:id="194" w:name="_Toc109826674"/>
      <w:r>
        <w:rPr>
          <w:rFonts w:ascii="黑体" w:hAnsi="黑体" w:cs="黑体"/>
          <w:spacing w:val="12"/>
          <w:sz w:val="31"/>
          <w:szCs w:val="31"/>
        </w:rPr>
        <w:t>第</w:t>
      </w:r>
      <w:r>
        <w:rPr>
          <w:rFonts w:ascii="黑体" w:hAnsi="黑体" w:cs="黑体"/>
          <w:spacing w:val="8"/>
          <w:sz w:val="31"/>
          <w:szCs w:val="31"/>
        </w:rPr>
        <w:t>四章 合同条款及格式</w:t>
      </w:r>
      <w:bookmarkEnd w:id="194"/>
    </w:p>
    <w:p>
      <w:pPr>
        <w:spacing w:before="200" w:line="228" w:lineRule="auto"/>
        <w:ind w:left="3" w:firstLine="1080" w:firstLineChars="500"/>
        <w:rPr>
          <w:rFonts w:ascii="宋体" w:hAnsi="宋体" w:eastAsia="宋体" w:cs="宋体"/>
          <w:sz w:val="20"/>
          <w:szCs w:val="20"/>
        </w:rPr>
      </w:pPr>
      <w:r>
        <w:rPr>
          <w:rFonts w:ascii="宋体" w:hAnsi="宋体" w:eastAsia="宋体" w:cs="宋体"/>
          <w:spacing w:val="8"/>
          <w:sz w:val="20"/>
          <w:szCs w:val="20"/>
        </w:rPr>
        <w:t>合同文本采用《</w:t>
      </w:r>
      <w:r>
        <w:rPr>
          <w:rFonts w:ascii="宋体" w:hAnsi="宋体" w:eastAsia="宋体" w:cs="宋体"/>
          <w:spacing w:val="7"/>
          <w:sz w:val="20"/>
          <w:szCs w:val="20"/>
        </w:rPr>
        <w:t>建</w:t>
      </w:r>
      <w:r>
        <w:rPr>
          <w:rFonts w:ascii="宋体" w:hAnsi="宋体" w:eastAsia="宋体" w:cs="宋体"/>
          <w:spacing w:val="4"/>
          <w:sz w:val="20"/>
          <w:szCs w:val="20"/>
        </w:rPr>
        <w:t>设工程施工合同 (示范文本) 》  (</w:t>
      </w:r>
      <w:r>
        <w:rPr>
          <w:rFonts w:ascii="Times New Roman" w:hAnsi="Times New Roman" w:eastAsia="Times New Roman" w:cs="Times New Roman"/>
          <w:sz w:val="20"/>
          <w:szCs w:val="20"/>
        </w:rPr>
        <w:t>GF</w:t>
      </w:r>
      <w:r>
        <w:rPr>
          <w:rFonts w:ascii="Times New Roman" w:hAnsi="Times New Roman" w:eastAsia="Times New Roman" w:cs="Times New Roman"/>
          <w:spacing w:val="4"/>
          <w:sz w:val="20"/>
          <w:szCs w:val="20"/>
        </w:rPr>
        <w:t>-2017-0201</w:t>
      </w:r>
      <w:r>
        <w:rPr>
          <w:rFonts w:ascii="宋体" w:hAnsi="宋体" w:eastAsia="宋体" w:cs="宋体"/>
          <w:spacing w:val="4"/>
          <w:sz w:val="20"/>
          <w:szCs w:val="20"/>
        </w:rPr>
        <w:t>)。</w:t>
      </w:r>
    </w:p>
    <w:p>
      <w:pPr>
        <w:spacing w:before="114" w:line="335" w:lineRule="auto"/>
        <w:ind w:left="3" w:right="408"/>
        <w:jc w:val="center"/>
        <w:rPr>
          <w:rFonts w:ascii="宋体" w:hAnsi="宋体" w:eastAsia="宋体" w:cs="宋体"/>
          <w:spacing w:val="7"/>
          <w:sz w:val="20"/>
          <w:szCs w:val="20"/>
        </w:rPr>
      </w:pPr>
      <w:r>
        <w:rPr>
          <w:rFonts w:ascii="宋体" w:hAnsi="宋体" w:eastAsia="宋体" w:cs="宋体"/>
          <w:spacing w:val="14"/>
          <w:sz w:val="20"/>
          <w:szCs w:val="20"/>
        </w:rPr>
        <w:t>合</w:t>
      </w:r>
      <w:r>
        <w:rPr>
          <w:rFonts w:ascii="宋体" w:hAnsi="宋体" w:eastAsia="宋体" w:cs="宋体"/>
          <w:spacing w:val="11"/>
          <w:sz w:val="20"/>
          <w:szCs w:val="20"/>
        </w:rPr>
        <w:t>同</w:t>
      </w:r>
      <w:r>
        <w:rPr>
          <w:rFonts w:ascii="宋体" w:hAnsi="宋体" w:eastAsia="宋体" w:cs="宋体"/>
          <w:spacing w:val="7"/>
          <w:sz w:val="20"/>
          <w:szCs w:val="20"/>
        </w:rPr>
        <w:t>通用条款采用《建设工程施工合同 (示范文本) 》的通用条款 (</w:t>
      </w:r>
      <w:r>
        <w:rPr>
          <w:rFonts w:ascii="Times New Roman" w:hAnsi="Times New Roman" w:eastAsia="Times New Roman" w:cs="Times New Roman"/>
          <w:sz w:val="20"/>
          <w:szCs w:val="20"/>
        </w:rPr>
        <w:t>GF</w:t>
      </w:r>
      <w:r>
        <w:rPr>
          <w:rFonts w:ascii="Times New Roman" w:hAnsi="Times New Roman" w:eastAsia="Times New Roman" w:cs="Times New Roman"/>
          <w:spacing w:val="7"/>
          <w:sz w:val="20"/>
          <w:szCs w:val="20"/>
        </w:rPr>
        <w:t>-2017-0201</w:t>
      </w:r>
      <w:r>
        <w:rPr>
          <w:rFonts w:ascii="宋体" w:hAnsi="宋体" w:eastAsia="宋体" w:cs="宋体"/>
          <w:spacing w:val="7"/>
          <w:sz w:val="20"/>
          <w:szCs w:val="20"/>
        </w:rPr>
        <w:t>)。</w:t>
      </w:r>
    </w:p>
    <w:p>
      <w:pPr>
        <w:spacing w:before="114" w:line="335" w:lineRule="auto"/>
        <w:ind w:left="3" w:right="408"/>
        <w:jc w:val="center"/>
        <w:rPr>
          <w:rFonts w:ascii="宋体" w:hAnsi="宋体" w:eastAsia="宋体" w:cs="宋体"/>
          <w:spacing w:val="8"/>
          <w:sz w:val="20"/>
          <w:szCs w:val="20"/>
        </w:rPr>
      </w:pPr>
      <w:r>
        <w:rPr>
          <w:rFonts w:ascii="宋体" w:hAnsi="宋体" w:eastAsia="宋体" w:cs="宋体"/>
          <w:spacing w:val="16"/>
          <w:sz w:val="20"/>
          <w:szCs w:val="20"/>
        </w:rPr>
        <w:t>合同专</w:t>
      </w:r>
      <w:r>
        <w:rPr>
          <w:rFonts w:ascii="宋体" w:hAnsi="宋体" w:eastAsia="宋体" w:cs="宋体"/>
          <w:spacing w:val="15"/>
          <w:sz w:val="20"/>
          <w:szCs w:val="20"/>
        </w:rPr>
        <w:t>用</w:t>
      </w:r>
      <w:r>
        <w:rPr>
          <w:rFonts w:ascii="宋体" w:hAnsi="宋体" w:eastAsia="宋体" w:cs="宋体"/>
          <w:spacing w:val="8"/>
          <w:sz w:val="20"/>
          <w:szCs w:val="20"/>
        </w:rPr>
        <w:t>条款中的主要条款将由招标人</w:t>
      </w:r>
      <w:r>
        <w:rPr>
          <w:rFonts w:ascii="Times New Roman" w:hAnsi="Times New Roman" w:eastAsia="Times New Roman" w:cs="Times New Roman"/>
          <w:spacing w:val="8"/>
          <w:sz w:val="20"/>
          <w:szCs w:val="20"/>
        </w:rPr>
        <w:t>(</w:t>
      </w:r>
      <w:r>
        <w:rPr>
          <w:rFonts w:ascii="宋体" w:hAnsi="宋体" w:eastAsia="宋体" w:cs="宋体"/>
          <w:spacing w:val="8"/>
          <w:sz w:val="20"/>
          <w:szCs w:val="20"/>
        </w:rPr>
        <w:t>发包人</w:t>
      </w:r>
      <w:r>
        <w:rPr>
          <w:rFonts w:ascii="Times New Roman" w:hAnsi="Times New Roman" w:eastAsia="Times New Roman" w:cs="Times New Roman"/>
          <w:spacing w:val="8"/>
          <w:sz w:val="20"/>
          <w:szCs w:val="20"/>
        </w:rPr>
        <w:t>)</w:t>
      </w:r>
      <w:r>
        <w:rPr>
          <w:rFonts w:ascii="宋体" w:hAnsi="宋体" w:eastAsia="宋体" w:cs="宋体"/>
          <w:spacing w:val="8"/>
          <w:sz w:val="20"/>
          <w:szCs w:val="20"/>
        </w:rPr>
        <w:t>与中标人</w:t>
      </w:r>
      <w:r>
        <w:rPr>
          <w:rFonts w:ascii="Times New Roman" w:hAnsi="Times New Roman" w:eastAsia="Times New Roman" w:cs="Times New Roman"/>
          <w:spacing w:val="8"/>
          <w:sz w:val="20"/>
          <w:szCs w:val="20"/>
        </w:rPr>
        <w:t>(</w:t>
      </w:r>
      <w:r>
        <w:rPr>
          <w:rFonts w:ascii="宋体" w:hAnsi="宋体" w:eastAsia="宋体" w:cs="宋体"/>
          <w:spacing w:val="8"/>
          <w:sz w:val="20"/>
          <w:szCs w:val="20"/>
        </w:rPr>
        <w:t>承包人</w:t>
      </w:r>
      <w:r>
        <w:rPr>
          <w:rFonts w:ascii="Times New Roman" w:hAnsi="Times New Roman" w:eastAsia="Times New Roman" w:cs="Times New Roman"/>
          <w:spacing w:val="8"/>
          <w:sz w:val="20"/>
          <w:szCs w:val="20"/>
        </w:rPr>
        <w:t>)</w:t>
      </w:r>
      <w:r>
        <w:rPr>
          <w:rFonts w:ascii="宋体" w:hAnsi="宋体" w:eastAsia="宋体" w:cs="宋体"/>
          <w:spacing w:val="8"/>
          <w:sz w:val="20"/>
          <w:szCs w:val="20"/>
        </w:rPr>
        <w:t>根据投标文件签订。</w:t>
      </w:r>
      <w:bookmarkStart w:id="195" w:name="_bookmark23"/>
      <w:bookmarkEnd w:id="195"/>
    </w:p>
    <w:p>
      <w:pPr>
        <w:spacing w:before="114" w:line="335" w:lineRule="auto"/>
        <w:ind w:left="3" w:right="408"/>
        <w:jc w:val="center"/>
        <w:rPr>
          <w:rFonts w:ascii="黑体" w:hAnsi="黑体" w:eastAsia="黑体" w:cs="黑体"/>
          <w:spacing w:val="11"/>
          <w:sz w:val="31"/>
          <w:szCs w:val="31"/>
        </w:rPr>
      </w:pPr>
    </w:p>
    <w:p>
      <w:pPr>
        <w:spacing w:before="114" w:line="335" w:lineRule="auto"/>
        <w:ind w:left="3" w:right="408"/>
        <w:jc w:val="center"/>
        <w:rPr>
          <w:rFonts w:ascii="黑体" w:hAnsi="黑体" w:eastAsia="黑体" w:cs="黑体"/>
          <w:spacing w:val="11"/>
          <w:sz w:val="31"/>
          <w:szCs w:val="31"/>
        </w:rPr>
      </w:pPr>
    </w:p>
    <w:p>
      <w:pPr>
        <w:spacing w:before="114" w:line="335" w:lineRule="auto"/>
        <w:ind w:left="3" w:right="408"/>
        <w:jc w:val="center"/>
        <w:rPr>
          <w:rFonts w:ascii="黑体" w:hAnsi="黑体" w:eastAsia="黑体" w:cs="黑体"/>
          <w:spacing w:val="11"/>
          <w:sz w:val="31"/>
          <w:szCs w:val="31"/>
        </w:rPr>
      </w:pPr>
    </w:p>
    <w:p>
      <w:pPr>
        <w:spacing w:before="114" w:line="335" w:lineRule="auto"/>
        <w:ind w:left="3" w:right="408"/>
        <w:jc w:val="center"/>
        <w:rPr>
          <w:rFonts w:ascii="黑体" w:hAnsi="黑体" w:eastAsia="黑体" w:cs="黑体"/>
          <w:spacing w:val="11"/>
          <w:sz w:val="31"/>
          <w:szCs w:val="31"/>
        </w:rPr>
      </w:pPr>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3"/>
        <w:ind w:firstLine="210"/>
      </w:pPr>
    </w:p>
    <w:p>
      <w:pPr>
        <w:pStyle w:val="3"/>
        <w:ind w:firstLine="210"/>
        <w:rPr>
          <w:rFonts w:eastAsiaTheme="minorEastAsia"/>
        </w:rPr>
      </w:pPr>
    </w:p>
    <w:p>
      <w:pPr>
        <w:rPr>
          <w:rFonts w:eastAsiaTheme="minorEastAsia"/>
        </w:rPr>
      </w:pPr>
    </w:p>
    <w:p>
      <w:pPr>
        <w:pStyle w:val="2"/>
        <w:rPr>
          <w:rFonts w:eastAsiaTheme="minorEastAsia"/>
        </w:rPr>
      </w:pPr>
    </w:p>
    <w:p>
      <w:pPr>
        <w:pStyle w:val="3"/>
        <w:ind w:firstLine="210"/>
        <w:rPr>
          <w:rFonts w:eastAsiaTheme="minorEastAsia"/>
        </w:rPr>
      </w:pPr>
    </w:p>
    <w:p>
      <w:pPr>
        <w:rPr>
          <w:rFonts w:eastAsiaTheme="minorEastAsia"/>
        </w:rPr>
      </w:pPr>
    </w:p>
    <w:p>
      <w:pPr>
        <w:pStyle w:val="2"/>
        <w:rPr>
          <w:rFonts w:eastAsiaTheme="minorEastAsia"/>
        </w:rPr>
      </w:pPr>
    </w:p>
    <w:p>
      <w:pPr>
        <w:pStyle w:val="35"/>
        <w:jc w:val="center"/>
        <w:rPr>
          <w:rFonts w:cs="Times New Roman"/>
          <w:color w:val="auto"/>
          <w:sz w:val="32"/>
          <w:szCs w:val="32"/>
        </w:rPr>
      </w:pPr>
      <w:bookmarkStart w:id="196" w:name="_Toc109826675"/>
      <w:bookmarkStart w:id="197" w:name="_Toc394573945"/>
      <w:bookmarkStart w:id="198" w:name="_Toc4203"/>
      <w:bookmarkStart w:id="199" w:name="_Toc10724"/>
      <w:r>
        <w:rPr>
          <w:rFonts w:cs="Times New Roman"/>
          <w:color w:val="auto"/>
          <w:sz w:val="32"/>
          <w:szCs w:val="32"/>
        </w:rPr>
        <w:t>第一部分　　合同协议书</w:t>
      </w:r>
      <w:bookmarkEnd w:id="196"/>
      <w:bookmarkEnd w:id="197"/>
      <w:bookmarkEnd w:id="198"/>
      <w:bookmarkEnd w:id="199"/>
    </w:p>
    <w:p>
      <w:pPr>
        <w:spacing w:line="360" w:lineRule="auto"/>
        <w:rPr>
          <w:rFonts w:eastAsia="仿宋_GB2312"/>
          <w:color w:val="auto"/>
          <w:sz w:val="24"/>
          <w:u w:val="single"/>
        </w:rPr>
      </w:pPr>
    </w:p>
    <w:p>
      <w:pPr>
        <w:spacing w:line="400" w:lineRule="exact"/>
        <w:ind w:firstLine="422" w:firstLineChars="200"/>
        <w:rPr>
          <w:rFonts w:eastAsia="黑体"/>
          <w:b/>
          <w:color w:val="auto"/>
          <w:u w:val="single"/>
        </w:rPr>
      </w:pPr>
      <w:r>
        <w:rPr>
          <w:rFonts w:eastAsia="黑体"/>
          <w:b/>
          <w:color w:val="auto"/>
        </w:rPr>
        <w:t>发包人（全称）：</w:t>
      </w:r>
      <w:r>
        <w:rPr>
          <w:rFonts w:eastAsia="黑体"/>
          <w:b/>
          <w:color w:val="auto"/>
          <w:u w:val="single"/>
        </w:rPr>
        <w:t xml:space="preserve">  </w:t>
      </w:r>
      <w:r>
        <w:rPr>
          <w:rFonts w:hint="eastAsia" w:eastAsia="黑体"/>
          <w:b/>
          <w:color w:val="auto"/>
          <w:u w:val="single"/>
        </w:rPr>
        <w:t>台州市北部湾区经济开发集团有限公司</w:t>
      </w:r>
      <w:r>
        <w:rPr>
          <w:rFonts w:eastAsia="黑体"/>
          <w:b/>
          <w:color w:val="auto"/>
          <w:u w:val="single"/>
        </w:rPr>
        <w:t xml:space="preserve"> </w:t>
      </w:r>
    </w:p>
    <w:p>
      <w:pPr>
        <w:spacing w:line="400" w:lineRule="exact"/>
        <w:ind w:firstLine="422" w:firstLineChars="200"/>
        <w:rPr>
          <w:rFonts w:eastAsia="黑体"/>
          <w:b/>
          <w:color w:val="auto"/>
          <w:u w:val="single"/>
        </w:rPr>
      </w:pPr>
      <w:r>
        <w:rPr>
          <w:rFonts w:eastAsia="黑体"/>
          <w:b/>
          <w:color w:val="auto"/>
        </w:rPr>
        <w:t>承包人（全称）：</w:t>
      </w:r>
      <w:r>
        <w:rPr>
          <w:rFonts w:hint="eastAsia" w:eastAsia="黑体"/>
          <w:b/>
          <w:color w:val="auto"/>
          <w:u w:val="single"/>
        </w:rPr>
        <w:t xml:space="preserve">                                              </w:t>
      </w:r>
    </w:p>
    <w:p>
      <w:pPr>
        <w:spacing w:line="400" w:lineRule="exact"/>
        <w:ind w:firstLine="420" w:firstLineChars="200"/>
        <w:rPr>
          <w:color w:val="auto"/>
        </w:rPr>
      </w:pPr>
      <w:bookmarkStart w:id="200" w:name="_Toc351203481"/>
      <w:r>
        <w:rPr>
          <w:color w:val="auto"/>
        </w:rPr>
        <w:t>根据《中华人民共和国</w:t>
      </w:r>
      <w:r>
        <w:rPr>
          <w:rFonts w:hint="eastAsia"/>
          <w:color w:val="auto"/>
        </w:rPr>
        <w:t>民法典</w:t>
      </w:r>
      <w:r>
        <w:rPr>
          <w:color w:val="auto"/>
        </w:rPr>
        <w:t>》、《中华人民共和国建筑法》及有关法律规定，遵循平等、自愿、公平和诚实信用的原则，双方就</w:t>
      </w:r>
      <w:r>
        <w:rPr>
          <w:rFonts w:hint="eastAsia" w:ascii="宋体" w:hAnsi="宋体" w:eastAsia="宋体" w:cs="宋体"/>
          <w:bCs/>
          <w:color w:val="auto"/>
          <w:u w:val="single"/>
        </w:rPr>
        <w:t>三门县绿色智慧停车项目-道路停车位改造照明提升工程</w:t>
      </w:r>
      <w:r>
        <w:rPr>
          <w:color w:val="auto"/>
        </w:rPr>
        <w:t>施工及有关事项协商一致，共同达成如下协议：</w:t>
      </w:r>
    </w:p>
    <w:p>
      <w:pPr>
        <w:spacing w:line="400" w:lineRule="exact"/>
        <w:ind w:firstLine="422" w:firstLineChars="200"/>
        <w:rPr>
          <w:color w:val="auto"/>
        </w:rPr>
      </w:pPr>
      <w:r>
        <w:rPr>
          <w:rFonts w:eastAsia="黑体"/>
          <w:b/>
          <w:color w:val="auto"/>
        </w:rPr>
        <w:t>一、工程概况</w:t>
      </w:r>
      <w:bookmarkEnd w:id="200"/>
    </w:p>
    <w:p>
      <w:pPr>
        <w:spacing w:line="400" w:lineRule="exact"/>
        <w:ind w:firstLine="420" w:firstLineChars="200"/>
        <w:rPr>
          <w:bCs/>
          <w:color w:val="auto"/>
          <w:u w:val="single"/>
        </w:rPr>
      </w:pPr>
      <w:bookmarkStart w:id="201" w:name="_Toc351203482"/>
      <w:r>
        <w:rPr>
          <w:bCs/>
          <w:color w:val="auto"/>
        </w:rPr>
        <w:t>1．工程名称：</w:t>
      </w:r>
      <w:r>
        <w:rPr>
          <w:bCs/>
          <w:color w:val="auto"/>
          <w:u w:val="single"/>
        </w:rPr>
        <w:t></w:t>
      </w:r>
      <w:r>
        <w:rPr>
          <w:rFonts w:hint="eastAsia" w:ascii="宋体" w:hAnsi="宋体" w:eastAsia="宋体" w:cs="宋体"/>
          <w:bCs/>
          <w:color w:val="auto"/>
          <w:u w:val="single"/>
        </w:rPr>
        <w:t>三门县绿色智慧停车项目-道路停车位改造照明提升工程</w:t>
      </w:r>
      <w:r>
        <w:rPr>
          <w:rFonts w:hint="eastAsia"/>
          <w:bCs/>
          <w:color w:val="auto"/>
          <w:u w:val="single"/>
        </w:rPr>
        <w:t xml:space="preserve">  </w:t>
      </w:r>
      <w:r>
        <w:rPr>
          <w:bCs/>
          <w:color w:val="auto"/>
        </w:rPr>
        <w:t>。</w:t>
      </w:r>
    </w:p>
    <w:p>
      <w:pPr>
        <w:spacing w:line="400" w:lineRule="exact"/>
        <w:ind w:firstLine="420" w:firstLineChars="200"/>
        <w:rPr>
          <w:bCs/>
          <w:color w:val="auto"/>
        </w:rPr>
      </w:pPr>
      <w:r>
        <w:rPr>
          <w:bCs/>
          <w:color w:val="auto"/>
        </w:rPr>
        <w:t>2．工程地点：</w:t>
      </w:r>
      <w:r>
        <w:rPr>
          <w:bCs/>
          <w:color w:val="auto"/>
          <w:u w:val="single"/>
        </w:rPr>
        <w:t></w:t>
      </w:r>
      <w:r>
        <w:rPr>
          <w:rFonts w:hint="eastAsia"/>
          <w:bCs/>
          <w:color w:val="auto"/>
          <w:u w:val="single"/>
        </w:rPr>
        <w:t xml:space="preserve">三门县 </w:t>
      </w:r>
      <w:r>
        <w:rPr>
          <w:bCs/>
          <w:color w:val="auto"/>
          <w:u w:val="single"/>
        </w:rPr>
        <w:t xml:space="preserve"> </w:t>
      </w:r>
      <w:r>
        <w:rPr>
          <w:bCs/>
          <w:color w:val="auto"/>
        </w:rPr>
        <w:t>。</w:t>
      </w:r>
    </w:p>
    <w:p>
      <w:pPr>
        <w:spacing w:line="400" w:lineRule="exact"/>
        <w:ind w:firstLine="420" w:firstLineChars="200"/>
        <w:rPr>
          <w:bCs/>
          <w:color w:val="auto"/>
        </w:rPr>
      </w:pPr>
      <w:r>
        <w:rPr>
          <w:bCs/>
          <w:color w:val="auto"/>
        </w:rPr>
        <w:t>3．工程立项批准文号：</w:t>
      </w:r>
      <w:r>
        <w:rPr>
          <w:bCs/>
          <w:color w:val="auto"/>
          <w:u w:val="single"/>
        </w:rPr>
        <w:t xml:space="preserve"> </w:t>
      </w:r>
      <w:r>
        <w:rPr>
          <w:rFonts w:hint="eastAsia"/>
          <w:bCs/>
          <w:color w:val="auto"/>
          <w:u w:val="single"/>
        </w:rPr>
        <w:t xml:space="preserve"> 备案代码</w:t>
      </w:r>
      <w:r>
        <w:rPr>
          <w:rFonts w:hint="eastAsia"/>
          <w:u w:val="single"/>
          <w:shd w:val="clear" w:color="auto" w:fill="FFFFFF"/>
        </w:rPr>
        <w:t>2</w:t>
      </w:r>
      <w:r>
        <w:rPr>
          <w:rFonts w:hint="eastAsia" w:eastAsiaTheme="minorEastAsia"/>
          <w:u w:val="single"/>
          <w:shd w:val="clear" w:color="auto" w:fill="FFFFFF"/>
        </w:rPr>
        <w:t>305</w:t>
      </w:r>
      <w:r>
        <w:rPr>
          <w:rFonts w:hint="eastAsia"/>
          <w:u w:val="single"/>
          <w:shd w:val="clear" w:color="auto" w:fill="FFFFFF"/>
        </w:rPr>
        <w:t>-331022-04-01-88</w:t>
      </w:r>
      <w:r>
        <w:rPr>
          <w:rFonts w:hint="eastAsia" w:eastAsiaTheme="minorEastAsia"/>
          <w:u w:val="single"/>
          <w:shd w:val="clear" w:color="auto" w:fill="FFFFFF"/>
        </w:rPr>
        <w:t>6948</w:t>
      </w:r>
      <w:r>
        <w:rPr>
          <w:rFonts w:hint="eastAsia"/>
          <w:bCs/>
          <w:color w:val="auto"/>
          <w:u w:val="single"/>
        </w:rPr>
        <w:t xml:space="preserve"> </w:t>
      </w:r>
      <w:r>
        <w:rPr>
          <w:bCs/>
          <w:color w:val="auto"/>
          <w:u w:val="single"/>
        </w:rPr>
        <w:t xml:space="preserve"> </w:t>
      </w:r>
      <w:r>
        <w:rPr>
          <w:bCs/>
          <w:color w:val="auto"/>
        </w:rPr>
        <w:t>。</w:t>
      </w:r>
    </w:p>
    <w:p>
      <w:pPr>
        <w:spacing w:line="400" w:lineRule="exact"/>
        <w:ind w:firstLine="420" w:firstLineChars="200"/>
        <w:rPr>
          <w:bCs/>
          <w:color w:val="auto"/>
        </w:rPr>
      </w:pPr>
      <w:r>
        <w:rPr>
          <w:bCs/>
          <w:color w:val="auto"/>
        </w:rPr>
        <w:t>4．资金来源：</w:t>
      </w:r>
      <w:r>
        <w:rPr>
          <w:bCs/>
          <w:color w:val="auto"/>
          <w:u w:val="single"/>
        </w:rPr>
        <w:t></w:t>
      </w:r>
      <w:r>
        <w:rPr>
          <w:rFonts w:hint="eastAsia" w:ascii="宋体" w:hAnsi="宋体" w:eastAsia="宋体" w:cs="宋体"/>
          <w:bCs/>
          <w:color w:val="auto"/>
          <w:u w:val="single"/>
        </w:rPr>
        <w:t>自筹</w:t>
      </w:r>
      <w:r>
        <w:rPr>
          <w:bCs/>
          <w:color w:val="auto"/>
          <w:u w:val="single"/>
        </w:rPr>
        <w:t xml:space="preserve">  </w:t>
      </w:r>
      <w:r>
        <w:rPr>
          <w:bCs/>
          <w:color w:val="auto"/>
        </w:rPr>
        <w:t>。</w:t>
      </w:r>
    </w:p>
    <w:p>
      <w:pPr>
        <w:pStyle w:val="11"/>
        <w:spacing w:line="400" w:lineRule="exact"/>
        <w:ind w:firstLine="420" w:firstLineChars="200"/>
        <w:rPr>
          <w:rFonts w:ascii="Times New Roman" w:hAnsi="Times New Roman" w:cs="Times New Roman"/>
          <w:bCs/>
          <w:color w:val="auto"/>
          <w:u w:val="single"/>
        </w:rPr>
      </w:pPr>
      <w:r>
        <w:rPr>
          <w:bCs/>
          <w:color w:val="auto"/>
          <w:szCs w:val="21"/>
        </w:rPr>
        <w:t>5．工程内容：</w:t>
      </w:r>
      <w:r>
        <w:rPr>
          <w:bCs/>
          <w:color w:val="auto"/>
          <w:szCs w:val="21"/>
          <w:u w:val="single"/>
        </w:rPr>
        <w:t>主</w:t>
      </w:r>
      <w:r>
        <w:rPr>
          <w:rFonts w:hint="eastAsia" w:ascii="Times New Roman" w:hAnsi="Times New Roman" w:cs="Times New Roman"/>
          <w:bCs/>
          <w:color w:val="auto"/>
          <w:u w:val="single"/>
        </w:rPr>
        <w:t>要包括</w:t>
      </w:r>
      <w:r>
        <w:rPr>
          <w:rFonts w:hint="eastAsia" w:hAnsi="宋体" w:eastAsia="宋体" w:cs="宋体"/>
          <w:bCs/>
          <w:color w:val="auto"/>
          <w:u w:val="single"/>
        </w:rPr>
        <w:t>水幕电影</w:t>
      </w:r>
      <w:r>
        <w:rPr>
          <w:rFonts w:hint="eastAsia" w:ascii="Times New Roman" w:hAnsi="Times New Roman" w:cs="Times New Roman"/>
          <w:bCs/>
          <w:color w:val="auto"/>
          <w:u w:val="single"/>
        </w:rPr>
        <w:t>、景观亮化及建筑亮化工程等内容。</w:t>
      </w:r>
    </w:p>
    <w:p>
      <w:pPr>
        <w:spacing w:line="400" w:lineRule="exact"/>
        <w:ind w:firstLine="420" w:firstLineChars="200"/>
        <w:rPr>
          <w:bCs/>
          <w:color w:val="auto"/>
        </w:rPr>
      </w:pPr>
      <w:r>
        <w:rPr>
          <w:bCs/>
          <w:color w:val="auto"/>
        </w:rPr>
        <w:t>群体工程应附《承包人承揽工程项目一览表》（附件1）。</w:t>
      </w:r>
    </w:p>
    <w:p>
      <w:pPr>
        <w:numPr>
          <w:ilvl w:val="0"/>
          <w:numId w:val="8"/>
        </w:numPr>
        <w:spacing w:line="400" w:lineRule="exact"/>
        <w:ind w:firstLine="420" w:firstLineChars="200"/>
        <w:rPr>
          <w:bCs/>
          <w:color w:val="auto"/>
        </w:rPr>
      </w:pPr>
      <w:r>
        <w:rPr>
          <w:bCs/>
          <w:color w:val="auto"/>
        </w:rPr>
        <w:t>工程承包范围：</w:t>
      </w:r>
    </w:p>
    <w:p>
      <w:pPr>
        <w:spacing w:line="400" w:lineRule="exact"/>
        <w:ind w:firstLine="420" w:firstLineChars="200"/>
        <w:rPr>
          <w:rFonts w:eastAsia="宋体" w:cs="Times New Roman"/>
          <w:bCs/>
          <w:color w:val="auto"/>
        </w:rPr>
      </w:pPr>
      <w:r>
        <w:rPr>
          <w:rFonts w:hint="eastAsia" w:eastAsia="宋体" w:cs="Times New Roman"/>
          <w:bCs/>
          <w:color w:val="auto"/>
        </w:rPr>
        <w:t>（1）</w:t>
      </w:r>
      <w:r>
        <w:rPr>
          <w:rFonts w:hint="eastAsia" w:eastAsia="宋体" w:cs="Times New Roman"/>
          <w:bCs/>
          <w:color w:val="auto"/>
          <w:u w:val="single"/>
        </w:rPr>
        <w:t>发包</w:t>
      </w:r>
      <w:r>
        <w:rPr>
          <w:rFonts w:hint="eastAsia" w:ascii="宋体" w:hAnsi="宋体" w:cs="宋体"/>
          <w:bCs/>
          <w:color w:val="000000" w:themeColor="text1"/>
          <w:u w:val="single"/>
          <w14:textFill>
            <w14:solidFill>
              <w14:schemeClr w14:val="tx1"/>
            </w14:solidFill>
          </w14:textFill>
        </w:rPr>
        <w:t xml:space="preserve">人提供的施工图纸 (详见第六章) </w:t>
      </w:r>
      <w:r>
        <w:rPr>
          <w:rFonts w:hint="eastAsia" w:ascii="宋体" w:hAnsi="宋体" w:eastAsia="宋体" w:cs="宋体"/>
          <w:bCs/>
          <w:color w:val="000000" w:themeColor="text1"/>
          <w:u w:val="single"/>
          <w14:textFill>
            <w14:solidFill>
              <w14:schemeClr w14:val="tx1"/>
            </w14:solidFill>
          </w14:textFill>
        </w:rPr>
        <w:t>、</w:t>
      </w:r>
      <w:r>
        <w:rPr>
          <w:rFonts w:hint="eastAsia" w:ascii="宋体" w:hAnsi="宋体" w:cs="宋体"/>
          <w:bCs/>
          <w:color w:val="000000" w:themeColor="text1"/>
          <w:u w:val="single"/>
          <w14:textFill>
            <w14:solidFill>
              <w14:schemeClr w14:val="tx1"/>
            </w14:solidFill>
          </w14:textFill>
        </w:rPr>
        <w:t>工程量清单所包含的内容等工程</w:t>
      </w:r>
      <w:r>
        <w:rPr>
          <w:rFonts w:hint="eastAsia" w:ascii="宋体" w:hAnsi="宋体" w:eastAsia="宋体" w:cs="宋体"/>
          <w:bCs/>
          <w:color w:val="000000" w:themeColor="text1"/>
          <w:u w:val="single"/>
          <w14:textFill>
            <w14:solidFill>
              <w14:schemeClr w14:val="tx1"/>
            </w14:solidFill>
          </w14:textFill>
        </w:rPr>
        <w:t>及运营管理</w:t>
      </w:r>
      <w:r>
        <w:rPr>
          <w:rFonts w:hint="eastAsia" w:ascii="宋体" w:hAnsi="宋体" w:cs="宋体"/>
          <w:bCs/>
          <w:color w:val="000000" w:themeColor="text1"/>
          <w:u w:val="single"/>
          <w14:textFill>
            <w14:solidFill>
              <w14:schemeClr w14:val="tx1"/>
            </w14:solidFill>
          </w14:textFill>
        </w:rPr>
        <w:t>。具体内容</w:t>
      </w:r>
      <w:r>
        <w:rPr>
          <w:rFonts w:hint="eastAsia" w:ascii="宋体" w:hAnsi="宋体" w:eastAsia="宋体" w:cs="宋体"/>
          <w:bCs/>
          <w:color w:val="000000" w:themeColor="text1"/>
          <w:u w:val="single"/>
          <w14:textFill>
            <w14:solidFill>
              <w14:schemeClr w14:val="tx1"/>
            </w14:solidFill>
          </w14:textFill>
        </w:rPr>
        <w:t>除</w:t>
      </w:r>
      <w:r>
        <w:rPr>
          <w:rFonts w:hint="eastAsia" w:ascii="宋体" w:hAnsi="宋体" w:cs="宋体"/>
          <w:bCs/>
          <w:color w:val="000000" w:themeColor="text1"/>
          <w:u w:val="single"/>
          <w14:textFill>
            <w14:solidFill>
              <w14:schemeClr w14:val="tx1"/>
            </w14:solidFill>
          </w14:textFill>
        </w:rPr>
        <w:t>招标人提供的工程量清单</w:t>
      </w:r>
      <w:r>
        <w:rPr>
          <w:rFonts w:hint="eastAsia" w:ascii="宋体" w:hAnsi="宋体" w:eastAsia="宋体" w:cs="宋体"/>
          <w:bCs/>
          <w:color w:val="000000" w:themeColor="text1"/>
          <w:u w:val="single"/>
          <w14:textFill>
            <w14:solidFill>
              <w14:schemeClr w14:val="tx1"/>
            </w14:solidFill>
          </w14:textFill>
        </w:rPr>
        <w:t>以外，还包含运营管理</w:t>
      </w:r>
      <w:r>
        <w:rPr>
          <w:rFonts w:hint="eastAsia" w:eastAsia="宋体" w:cs="Times New Roman"/>
          <w:bCs/>
          <w:color w:val="auto"/>
        </w:rPr>
        <w:t>。</w:t>
      </w:r>
    </w:p>
    <w:p>
      <w:pPr>
        <w:spacing w:line="400" w:lineRule="exact"/>
        <w:ind w:firstLine="422" w:firstLineChars="200"/>
        <w:rPr>
          <w:b/>
          <w:color w:val="auto"/>
        </w:rPr>
      </w:pPr>
      <w:r>
        <w:rPr>
          <w:rFonts w:eastAsia="黑体"/>
          <w:b/>
          <w:color w:val="auto"/>
        </w:rPr>
        <w:t>二、合同工期</w:t>
      </w:r>
      <w:bookmarkEnd w:id="201"/>
    </w:p>
    <w:p>
      <w:pPr>
        <w:widowControl w:val="0"/>
        <w:kinsoku/>
        <w:autoSpaceDE/>
        <w:autoSpaceDN/>
        <w:adjustRightInd/>
        <w:snapToGrid/>
        <w:spacing w:line="360" w:lineRule="exact"/>
        <w:ind w:firstLine="420" w:firstLineChars="200"/>
        <w:textAlignment w:val="auto"/>
        <w:rPr>
          <w:color w:val="auto"/>
        </w:rPr>
      </w:pPr>
      <w:r>
        <w:rPr>
          <w:color w:val="auto"/>
        </w:rPr>
        <w:t>计划开工日期：</w:t>
      </w:r>
      <w:r>
        <w:rPr>
          <w:rFonts w:hint="eastAsia"/>
          <w:color w:val="auto"/>
        </w:rPr>
        <w:t>具体</w:t>
      </w:r>
      <w:r>
        <w:rPr>
          <w:color w:val="auto"/>
        </w:rPr>
        <w:t>以开工报告</w:t>
      </w:r>
      <w:r>
        <w:rPr>
          <w:rFonts w:hint="eastAsia"/>
          <w:color w:val="auto"/>
        </w:rPr>
        <w:t>为准</w:t>
      </w:r>
      <w:r>
        <w:rPr>
          <w:color w:val="auto"/>
        </w:rPr>
        <w:t>。</w:t>
      </w:r>
    </w:p>
    <w:p>
      <w:pPr>
        <w:widowControl w:val="0"/>
        <w:kinsoku/>
        <w:autoSpaceDE/>
        <w:autoSpaceDN/>
        <w:adjustRightInd/>
        <w:snapToGrid/>
        <w:spacing w:line="360" w:lineRule="exact"/>
        <w:ind w:firstLine="420" w:firstLineChars="200"/>
        <w:textAlignment w:val="auto"/>
        <w:rPr>
          <w:color w:val="auto"/>
        </w:rPr>
      </w:pPr>
      <w:r>
        <w:rPr>
          <w:color w:val="auto"/>
        </w:rPr>
        <w:t>计划竣工日期：</w:t>
      </w:r>
      <w:r>
        <w:rPr>
          <w:rFonts w:hint="eastAsia"/>
          <w:color w:val="auto"/>
        </w:rPr>
        <w:t>具体</w:t>
      </w:r>
      <w:r>
        <w:rPr>
          <w:color w:val="auto"/>
        </w:rPr>
        <w:t>以</w:t>
      </w:r>
      <w:r>
        <w:rPr>
          <w:rFonts w:hint="eastAsia"/>
          <w:color w:val="auto"/>
        </w:rPr>
        <w:t>竣工</w:t>
      </w:r>
      <w:r>
        <w:rPr>
          <w:color w:val="auto"/>
        </w:rPr>
        <w:t>报告</w:t>
      </w:r>
      <w:r>
        <w:rPr>
          <w:rFonts w:hint="eastAsia"/>
          <w:color w:val="auto"/>
        </w:rPr>
        <w:t>为准</w:t>
      </w:r>
      <w:r>
        <w:rPr>
          <w:color w:val="auto"/>
        </w:rPr>
        <w:t>。</w:t>
      </w:r>
    </w:p>
    <w:p>
      <w:pPr>
        <w:widowControl w:val="0"/>
        <w:kinsoku/>
        <w:autoSpaceDE/>
        <w:autoSpaceDN/>
        <w:adjustRightInd/>
        <w:snapToGrid/>
        <w:spacing w:line="360" w:lineRule="exact"/>
        <w:ind w:firstLine="420" w:firstLineChars="200"/>
        <w:textAlignment w:val="auto"/>
        <w:rPr>
          <w:color w:val="auto"/>
        </w:rPr>
      </w:pPr>
      <w:r>
        <w:rPr>
          <w:color w:val="auto"/>
        </w:rPr>
        <w:t>工期总日历天数：</w:t>
      </w:r>
      <w:r>
        <w:rPr>
          <w:color w:val="auto"/>
          <w:u w:val="single"/>
        </w:rPr>
        <w:t></w:t>
      </w:r>
      <w:r>
        <w:rPr>
          <w:color w:val="auto"/>
        </w:rPr>
        <w:t>天。工期总日历天数与根据前述计划开竣工日期计算的工期天数不一致的，以工期总日历天数为准。</w:t>
      </w:r>
    </w:p>
    <w:p>
      <w:pPr>
        <w:widowControl w:val="0"/>
        <w:kinsoku/>
        <w:autoSpaceDE/>
        <w:autoSpaceDN/>
        <w:adjustRightInd/>
        <w:snapToGrid/>
        <w:spacing w:line="360" w:lineRule="exact"/>
        <w:ind w:firstLine="420" w:firstLineChars="200"/>
        <w:textAlignment w:val="auto"/>
        <w:rPr>
          <w:bCs/>
          <w:color w:val="auto"/>
        </w:rPr>
      </w:pPr>
      <w:r>
        <w:rPr>
          <w:bCs/>
          <w:color w:val="auto"/>
        </w:rPr>
        <w:t xml:space="preserve"> </w:t>
      </w:r>
      <w:r>
        <w:rPr>
          <w:rFonts w:hint="eastAsia"/>
          <w:color w:val="auto"/>
        </w:rPr>
        <w:t>形象进度工期要求：</w:t>
      </w:r>
      <w:r>
        <w:rPr>
          <w:rFonts w:hint="eastAsia" w:hAnsi="仿宋"/>
          <w:sz w:val="28"/>
          <w:szCs w:val="28"/>
          <w:u w:val="single"/>
        </w:rPr>
        <w:t xml:space="preserve">                                    </w:t>
      </w:r>
      <w:r>
        <w:rPr>
          <w:rFonts w:hint="eastAsia" w:hAnsi="仿宋"/>
          <w:sz w:val="28"/>
          <w:szCs w:val="28"/>
        </w:rPr>
        <w:t>。</w:t>
      </w:r>
    </w:p>
    <w:p>
      <w:pPr>
        <w:spacing w:line="400" w:lineRule="exact"/>
        <w:ind w:firstLine="420" w:firstLineChars="200"/>
        <w:rPr>
          <w:bCs/>
          <w:color w:val="auto"/>
        </w:rPr>
      </w:pPr>
      <w:r>
        <w:rPr>
          <w:bCs/>
          <w:color w:val="auto"/>
        </w:rPr>
        <w:t xml:space="preserve"> </w:t>
      </w:r>
      <w:bookmarkStart w:id="202" w:name="_Toc351203483"/>
      <w:r>
        <w:rPr>
          <w:rFonts w:eastAsia="黑体"/>
          <w:b/>
          <w:color w:val="auto"/>
        </w:rPr>
        <w:t>三、质量标准</w:t>
      </w:r>
      <w:bookmarkEnd w:id="202"/>
    </w:p>
    <w:p>
      <w:pPr>
        <w:spacing w:line="400" w:lineRule="exact"/>
        <w:ind w:firstLine="420" w:firstLineChars="200"/>
        <w:rPr>
          <w:color w:val="auto"/>
        </w:rPr>
      </w:pPr>
      <w:r>
        <w:rPr>
          <w:color w:val="auto"/>
        </w:rPr>
        <w:t>工程质量符合</w:t>
      </w:r>
      <w:r>
        <w:rPr>
          <w:color w:val="auto"/>
          <w:u w:val="single"/>
        </w:rPr>
        <w:t xml:space="preserve">     合格    </w:t>
      </w:r>
      <w:r>
        <w:rPr>
          <w:color w:val="auto"/>
        </w:rPr>
        <w:t>标准。</w:t>
      </w:r>
    </w:p>
    <w:p>
      <w:pPr>
        <w:spacing w:line="400" w:lineRule="exact"/>
        <w:ind w:firstLine="420" w:firstLineChars="200"/>
        <w:rPr>
          <w:bCs/>
          <w:color w:val="auto"/>
        </w:rPr>
      </w:pPr>
      <w:r>
        <w:rPr>
          <w:bCs/>
          <w:color w:val="auto"/>
        </w:rPr>
        <w:t xml:space="preserve"> </w:t>
      </w:r>
      <w:bookmarkStart w:id="203" w:name="_Toc351203484"/>
      <w:r>
        <w:rPr>
          <w:rFonts w:eastAsia="黑体"/>
          <w:b/>
          <w:color w:val="auto"/>
        </w:rPr>
        <w:t>四、签约合同价与合同价格形式</w:t>
      </w:r>
      <w:bookmarkEnd w:id="203"/>
      <w:r>
        <w:rPr>
          <w:b/>
          <w:color w:val="auto"/>
        </w:rPr>
        <w:tab/>
      </w:r>
    </w:p>
    <w:p>
      <w:pPr>
        <w:spacing w:line="400" w:lineRule="exact"/>
        <w:ind w:firstLine="420" w:firstLineChars="200"/>
        <w:rPr>
          <w:color w:val="auto"/>
        </w:rPr>
      </w:pPr>
      <w:r>
        <w:rPr>
          <w:color w:val="auto"/>
        </w:rPr>
        <w:t>1．签约合同价为：</w:t>
      </w:r>
    </w:p>
    <w:p>
      <w:pPr>
        <w:spacing w:line="400" w:lineRule="exact"/>
        <w:ind w:firstLine="420" w:firstLineChars="200"/>
        <w:rPr>
          <w:color w:val="auto"/>
        </w:rPr>
      </w:pPr>
      <w:r>
        <w:rPr>
          <w:color w:val="auto"/>
        </w:rPr>
        <w:t>人民币（大写）</w:t>
      </w:r>
      <w:r>
        <w:rPr>
          <w:color w:val="auto"/>
          <w:u w:val="single"/>
        </w:rPr>
        <w:t xml:space="preserve">                 </w:t>
      </w:r>
      <w:r>
        <w:rPr>
          <w:color w:val="auto"/>
        </w:rPr>
        <w:t>（¥</w:t>
      </w:r>
      <w:r>
        <w:rPr>
          <w:color w:val="auto"/>
          <w:u w:val="single"/>
        </w:rPr>
        <w:t xml:space="preserve">            </w:t>
      </w:r>
      <w:r>
        <w:rPr>
          <w:color w:val="auto"/>
        </w:rPr>
        <w:t>元）；</w:t>
      </w:r>
    </w:p>
    <w:p>
      <w:pPr>
        <w:spacing w:line="400" w:lineRule="exact"/>
        <w:ind w:firstLine="420" w:firstLineChars="200"/>
        <w:rPr>
          <w:color w:val="auto"/>
        </w:rPr>
      </w:pPr>
      <w:r>
        <w:rPr>
          <w:color w:val="auto"/>
        </w:rPr>
        <w:t>其中：</w:t>
      </w:r>
    </w:p>
    <w:p>
      <w:pPr>
        <w:spacing w:line="400" w:lineRule="exact"/>
        <w:ind w:firstLine="420" w:firstLineChars="200"/>
        <w:rPr>
          <w:color w:val="auto"/>
        </w:rPr>
      </w:pPr>
      <w:r>
        <w:rPr>
          <w:color w:val="auto"/>
        </w:rPr>
        <w:t>（1）安全文明施工费：</w:t>
      </w:r>
    </w:p>
    <w:p>
      <w:pPr>
        <w:spacing w:line="400" w:lineRule="exact"/>
        <w:ind w:firstLine="420" w:firstLineChars="200"/>
        <w:rPr>
          <w:color w:val="auto"/>
        </w:rPr>
      </w:pPr>
      <w:r>
        <w:rPr>
          <w:color w:val="auto"/>
        </w:rPr>
        <w:t>人民币（大写）</w:t>
      </w:r>
      <w:r>
        <w:rPr>
          <w:color w:val="auto"/>
          <w:u w:val="single"/>
        </w:rPr>
        <w:t xml:space="preserve">              </w:t>
      </w:r>
      <w:r>
        <w:rPr>
          <w:color w:val="auto"/>
        </w:rPr>
        <w:t xml:space="preserve"> （¥</w:t>
      </w:r>
      <w:r>
        <w:rPr>
          <w:color w:val="auto"/>
          <w:u w:val="single"/>
        </w:rPr>
        <w:t xml:space="preserve">          </w:t>
      </w:r>
      <w:r>
        <w:rPr>
          <w:color w:val="auto"/>
        </w:rPr>
        <w:t>元）；</w:t>
      </w:r>
    </w:p>
    <w:p>
      <w:pPr>
        <w:spacing w:line="400" w:lineRule="exact"/>
        <w:ind w:firstLine="420" w:firstLineChars="200"/>
        <w:rPr>
          <w:color w:val="auto"/>
        </w:rPr>
      </w:pPr>
      <w:r>
        <w:rPr>
          <w:color w:val="auto"/>
        </w:rPr>
        <w:t>（2）材料和工程设备暂估价金额：</w:t>
      </w:r>
    </w:p>
    <w:p>
      <w:pPr>
        <w:spacing w:line="400" w:lineRule="exact"/>
        <w:ind w:firstLine="420" w:firstLineChars="200"/>
        <w:rPr>
          <w:color w:val="auto"/>
        </w:rPr>
      </w:pPr>
      <w:r>
        <w:rPr>
          <w:color w:val="auto"/>
        </w:rPr>
        <w:t>人民币（大写）</w:t>
      </w:r>
      <w:r>
        <w:rPr>
          <w:color w:val="auto"/>
          <w:u w:val="single"/>
        </w:rPr>
        <w:t xml:space="preserve">              </w:t>
      </w:r>
      <w:r>
        <w:rPr>
          <w:color w:val="auto"/>
        </w:rPr>
        <w:t xml:space="preserve"> （¥</w:t>
      </w:r>
      <w:r>
        <w:rPr>
          <w:color w:val="auto"/>
          <w:u w:val="single"/>
        </w:rPr>
        <w:t xml:space="preserve">          </w:t>
      </w:r>
      <w:r>
        <w:rPr>
          <w:color w:val="auto"/>
        </w:rPr>
        <w:t>元）；</w:t>
      </w:r>
    </w:p>
    <w:p>
      <w:pPr>
        <w:spacing w:line="400" w:lineRule="exact"/>
        <w:ind w:firstLine="420" w:firstLineChars="200"/>
        <w:rPr>
          <w:color w:val="auto"/>
        </w:rPr>
      </w:pPr>
      <w:r>
        <w:rPr>
          <w:color w:val="auto"/>
        </w:rPr>
        <w:t>（3）专业工程暂估价金额：</w:t>
      </w:r>
    </w:p>
    <w:p>
      <w:pPr>
        <w:spacing w:line="400" w:lineRule="exact"/>
        <w:ind w:firstLine="420" w:firstLineChars="200"/>
        <w:rPr>
          <w:color w:val="auto"/>
        </w:rPr>
      </w:pPr>
      <w:r>
        <w:rPr>
          <w:color w:val="auto"/>
        </w:rPr>
        <w:t>人民币（大写）</w:t>
      </w:r>
      <w:r>
        <w:rPr>
          <w:color w:val="auto"/>
          <w:u w:val="single"/>
        </w:rPr>
        <w:t xml:space="preserve">              </w:t>
      </w:r>
      <w:r>
        <w:rPr>
          <w:color w:val="auto"/>
        </w:rPr>
        <w:t xml:space="preserve"> （¥</w:t>
      </w:r>
      <w:r>
        <w:rPr>
          <w:color w:val="auto"/>
          <w:u w:val="single"/>
        </w:rPr>
        <w:t xml:space="preserve">          </w:t>
      </w:r>
      <w:r>
        <w:rPr>
          <w:color w:val="auto"/>
        </w:rPr>
        <w:t>元）；</w:t>
      </w:r>
    </w:p>
    <w:p>
      <w:pPr>
        <w:spacing w:line="400" w:lineRule="exact"/>
        <w:ind w:firstLine="420" w:firstLineChars="200"/>
        <w:rPr>
          <w:color w:val="auto"/>
        </w:rPr>
      </w:pPr>
      <w:r>
        <w:rPr>
          <w:color w:val="auto"/>
        </w:rPr>
        <w:t>（4）暂列金额：</w:t>
      </w:r>
    </w:p>
    <w:p>
      <w:pPr>
        <w:spacing w:line="400" w:lineRule="exact"/>
        <w:ind w:firstLine="420" w:firstLineChars="200"/>
        <w:rPr>
          <w:color w:val="auto"/>
        </w:rPr>
      </w:pPr>
      <w:r>
        <w:rPr>
          <w:color w:val="auto"/>
        </w:rPr>
        <w:t>人民币（大写）</w:t>
      </w:r>
      <w:r>
        <w:rPr>
          <w:color w:val="auto"/>
          <w:u w:val="single"/>
        </w:rPr>
        <w:t xml:space="preserve">              </w:t>
      </w:r>
      <w:r>
        <w:rPr>
          <w:color w:val="auto"/>
        </w:rPr>
        <w:t xml:space="preserve"> （¥</w:t>
      </w:r>
      <w:r>
        <w:rPr>
          <w:color w:val="auto"/>
          <w:u w:val="single"/>
        </w:rPr>
        <w:t xml:space="preserve">          </w:t>
      </w:r>
      <w:r>
        <w:rPr>
          <w:color w:val="auto"/>
        </w:rPr>
        <w:t>元）。</w:t>
      </w:r>
    </w:p>
    <w:p>
      <w:pPr>
        <w:spacing w:line="400" w:lineRule="exact"/>
        <w:ind w:firstLine="420" w:firstLineChars="200"/>
        <w:rPr>
          <w:color w:val="auto"/>
        </w:rPr>
      </w:pPr>
      <w:r>
        <w:rPr>
          <w:color w:val="auto"/>
        </w:rPr>
        <w:t>2．合同价格形式：</w:t>
      </w:r>
      <w:r>
        <w:rPr>
          <w:color w:val="auto"/>
          <w:u w:val="single"/>
        </w:rPr>
        <w:t xml:space="preserve">     </w:t>
      </w:r>
      <w:r>
        <w:rPr>
          <w:rFonts w:hint="eastAsia"/>
          <w:color w:val="auto"/>
          <w:u w:val="single"/>
        </w:rPr>
        <w:t>单价合同</w:t>
      </w:r>
      <w:r>
        <w:rPr>
          <w:color w:val="auto"/>
          <w:u w:val="single"/>
        </w:rPr>
        <w:t xml:space="preserve">        </w:t>
      </w:r>
      <w:r>
        <w:rPr>
          <w:color w:val="auto"/>
        </w:rPr>
        <w:t>。</w:t>
      </w:r>
    </w:p>
    <w:p>
      <w:pPr>
        <w:spacing w:line="360" w:lineRule="exact"/>
        <w:ind w:firstLine="420" w:firstLineChars="200"/>
        <w:rPr>
          <w:color w:val="auto"/>
        </w:rPr>
      </w:pPr>
      <w:bookmarkStart w:id="204" w:name="_Toc351203485"/>
      <w:r>
        <w:rPr>
          <w:rFonts w:hint="eastAsia"/>
          <w:color w:val="auto"/>
        </w:rPr>
        <w:t>3．发包人向承包人支付工程价款及其他应当支付的款项均须汇入承包人合同协议书中的银行账户，承包人并开具增值税专用发票。</w:t>
      </w:r>
    </w:p>
    <w:p>
      <w:pPr>
        <w:spacing w:line="360" w:lineRule="exact"/>
        <w:ind w:firstLine="352" w:firstLineChars="168"/>
        <w:rPr>
          <w:rFonts w:ascii="仿宋_GB2312"/>
          <w:color w:val="auto"/>
        </w:rPr>
      </w:pPr>
      <w:r>
        <w:rPr>
          <w:rFonts w:hint="eastAsia" w:ascii="仿宋_GB2312"/>
          <w:color w:val="auto"/>
        </w:rPr>
        <w:t>根据《关于全面推开营业税改征增值税试点的通知》（</w:t>
      </w:r>
      <w:r>
        <w:rPr>
          <w:rFonts w:hint="eastAsia" w:ascii="仿宋_GB2312" w:hAnsi="微软雅黑"/>
          <w:bCs/>
          <w:color w:val="auto"/>
          <w:shd w:val="clear" w:color="auto" w:fill="FFFFFF"/>
        </w:rPr>
        <w:t>财税〔2016〕36号</w:t>
      </w:r>
      <w:r>
        <w:rPr>
          <w:rFonts w:hint="eastAsia" w:ascii="仿宋_GB2312" w:hAnsi="微软雅黑"/>
          <w:color w:val="auto"/>
          <w:shd w:val="clear" w:color="auto" w:fill="FFFFFF"/>
        </w:rPr>
        <w:t>）等有关规定，承包人完成本合同项下应税行为的计税方式按</w:t>
      </w:r>
      <w:r>
        <w:rPr>
          <w:rFonts w:hint="eastAsia" w:ascii="仿宋_GB2312"/>
          <w:color w:val="auto"/>
        </w:rPr>
        <w:t>以下第</w:t>
      </w:r>
      <w:r>
        <w:rPr>
          <w:rFonts w:hint="eastAsia" w:ascii="仿宋_GB2312" w:hAnsi="微软雅黑"/>
          <w:color w:val="auto"/>
          <w:u w:val="single"/>
          <w:shd w:val="clear" w:color="auto" w:fill="FFFFFF"/>
        </w:rPr>
        <w:t xml:space="preserve"> （1） </w:t>
      </w:r>
      <w:r>
        <w:rPr>
          <w:rFonts w:hint="eastAsia" w:ascii="仿宋_GB2312" w:hAnsi="微软雅黑"/>
          <w:color w:val="auto"/>
          <w:shd w:val="clear" w:color="auto" w:fill="FFFFFF"/>
        </w:rPr>
        <w:t>种方法，并与</w:t>
      </w:r>
      <w:r>
        <w:rPr>
          <w:rFonts w:hint="eastAsia" w:ascii="仿宋_GB2312"/>
          <w:color w:val="auto"/>
        </w:rPr>
        <w:t>工程计价时采用的计税方法一致。</w:t>
      </w:r>
    </w:p>
    <w:p>
      <w:pPr>
        <w:spacing w:line="360" w:lineRule="exact"/>
        <w:ind w:firstLine="352" w:firstLineChars="168"/>
        <w:rPr>
          <w:rFonts w:ascii="仿宋_GB2312"/>
          <w:color w:val="auto"/>
        </w:rPr>
      </w:pPr>
      <w:r>
        <w:rPr>
          <w:rFonts w:hint="eastAsia" w:ascii="仿宋_GB2312" w:hAnsi="微软雅黑"/>
          <w:color w:val="auto"/>
          <w:shd w:val="clear" w:color="auto" w:fill="FFFFFF"/>
        </w:rPr>
        <w:t>（1）一般计税方法。</w:t>
      </w:r>
    </w:p>
    <w:p>
      <w:pPr>
        <w:spacing w:line="360" w:lineRule="exact"/>
        <w:ind w:firstLine="352" w:firstLineChars="168"/>
        <w:rPr>
          <w:color w:val="auto"/>
        </w:rPr>
      </w:pPr>
      <w:r>
        <w:rPr>
          <w:rFonts w:hint="eastAsia" w:ascii="仿宋_GB2312"/>
          <w:color w:val="auto"/>
        </w:rPr>
        <w:t>（2）</w:t>
      </w:r>
      <w:r>
        <w:rPr>
          <w:rFonts w:hint="eastAsia" w:ascii="仿宋_GB2312" w:hAnsi="微软雅黑"/>
          <w:color w:val="auto"/>
          <w:shd w:val="clear" w:color="auto" w:fill="FFFFFF"/>
        </w:rPr>
        <w:t>简易计税方法。</w:t>
      </w:r>
    </w:p>
    <w:p>
      <w:pPr>
        <w:spacing w:line="400" w:lineRule="exact"/>
        <w:ind w:firstLine="422" w:firstLineChars="200"/>
        <w:rPr>
          <w:b/>
          <w:color w:val="auto"/>
        </w:rPr>
      </w:pPr>
      <w:r>
        <w:rPr>
          <w:rFonts w:eastAsia="黑体"/>
          <w:b/>
          <w:color w:val="auto"/>
        </w:rPr>
        <w:t>五、</w:t>
      </w:r>
      <w:bookmarkEnd w:id="204"/>
      <w:r>
        <w:rPr>
          <w:rFonts w:eastAsia="黑体"/>
          <w:b/>
          <w:color w:val="auto"/>
        </w:rPr>
        <w:t>项目经理</w:t>
      </w:r>
    </w:p>
    <w:p>
      <w:pPr>
        <w:spacing w:line="400" w:lineRule="exact"/>
        <w:ind w:firstLine="420" w:firstLineChars="200"/>
        <w:rPr>
          <w:color w:val="auto"/>
        </w:rPr>
      </w:pPr>
      <w:r>
        <w:rPr>
          <w:color w:val="auto"/>
        </w:rPr>
        <w:t>承包人项目经理：</w:t>
      </w:r>
      <w:r>
        <w:rPr>
          <w:color w:val="auto"/>
          <w:u w:val="single"/>
        </w:rPr>
        <w:t xml:space="preserve">                                  </w:t>
      </w:r>
      <w:r>
        <w:rPr>
          <w:color w:val="auto"/>
        </w:rPr>
        <w:t>。</w:t>
      </w:r>
    </w:p>
    <w:p>
      <w:pPr>
        <w:spacing w:line="400" w:lineRule="exact"/>
        <w:ind w:firstLine="420" w:firstLineChars="200"/>
        <w:rPr>
          <w:bCs/>
          <w:color w:val="auto"/>
        </w:rPr>
      </w:pPr>
      <w:r>
        <w:rPr>
          <w:bCs/>
          <w:color w:val="auto"/>
        </w:rPr>
        <w:t xml:space="preserve"> </w:t>
      </w:r>
      <w:bookmarkStart w:id="205" w:name="_Toc351203486"/>
      <w:r>
        <w:rPr>
          <w:rFonts w:eastAsia="黑体"/>
          <w:b/>
          <w:color w:val="auto"/>
        </w:rPr>
        <w:t>六、合同文件构成</w:t>
      </w:r>
      <w:bookmarkEnd w:id="205"/>
    </w:p>
    <w:p>
      <w:pPr>
        <w:spacing w:line="400" w:lineRule="exact"/>
        <w:ind w:firstLine="420" w:firstLineChars="200"/>
        <w:rPr>
          <w:bCs/>
          <w:color w:val="auto"/>
        </w:rPr>
      </w:pPr>
      <w:r>
        <w:rPr>
          <w:bCs/>
          <w:color w:val="auto"/>
        </w:rPr>
        <w:t>本协议书与下列文件一起构成合同文件：</w:t>
      </w:r>
    </w:p>
    <w:p>
      <w:pPr>
        <w:widowControl w:val="0"/>
        <w:numPr>
          <w:ilvl w:val="0"/>
          <w:numId w:val="9"/>
        </w:numPr>
        <w:kinsoku/>
        <w:autoSpaceDE/>
        <w:autoSpaceDN/>
        <w:adjustRightInd/>
        <w:snapToGrid/>
        <w:spacing w:line="400" w:lineRule="exact"/>
        <w:ind w:left="0" w:firstLine="420" w:firstLineChars="200"/>
        <w:jc w:val="both"/>
        <w:textAlignment w:val="auto"/>
        <w:rPr>
          <w:bCs/>
          <w:color w:val="auto"/>
        </w:rPr>
      </w:pPr>
      <w:bookmarkStart w:id="206" w:name="_Toc351203487"/>
      <w:r>
        <w:rPr>
          <w:bCs/>
          <w:color w:val="auto"/>
        </w:rPr>
        <w:t>中标通知书（如果有）；</w:t>
      </w:r>
    </w:p>
    <w:p>
      <w:pPr>
        <w:widowControl w:val="0"/>
        <w:numPr>
          <w:ilvl w:val="0"/>
          <w:numId w:val="9"/>
        </w:numPr>
        <w:kinsoku/>
        <w:autoSpaceDE/>
        <w:autoSpaceDN/>
        <w:adjustRightInd/>
        <w:snapToGrid/>
        <w:spacing w:line="400" w:lineRule="exact"/>
        <w:ind w:left="0" w:firstLine="420" w:firstLineChars="200"/>
        <w:jc w:val="both"/>
        <w:textAlignment w:val="auto"/>
        <w:rPr>
          <w:bCs/>
          <w:color w:val="auto"/>
        </w:rPr>
      </w:pPr>
      <w:r>
        <w:rPr>
          <w:bCs/>
          <w:color w:val="auto"/>
        </w:rPr>
        <w:t>投标函及其附录（如果有）；</w:t>
      </w:r>
    </w:p>
    <w:p>
      <w:pPr>
        <w:widowControl w:val="0"/>
        <w:numPr>
          <w:ilvl w:val="0"/>
          <w:numId w:val="9"/>
        </w:numPr>
        <w:kinsoku/>
        <w:autoSpaceDE/>
        <w:autoSpaceDN/>
        <w:adjustRightInd/>
        <w:snapToGrid/>
        <w:spacing w:line="400" w:lineRule="exact"/>
        <w:ind w:left="0" w:firstLine="420" w:firstLineChars="200"/>
        <w:jc w:val="both"/>
        <w:textAlignment w:val="auto"/>
        <w:rPr>
          <w:bCs/>
          <w:color w:val="auto"/>
        </w:rPr>
      </w:pPr>
      <w:r>
        <w:rPr>
          <w:bCs/>
          <w:color w:val="auto"/>
        </w:rPr>
        <w:t>专用合同条款及其附件；</w:t>
      </w:r>
    </w:p>
    <w:p>
      <w:pPr>
        <w:widowControl w:val="0"/>
        <w:numPr>
          <w:ilvl w:val="0"/>
          <w:numId w:val="9"/>
        </w:numPr>
        <w:kinsoku/>
        <w:autoSpaceDE/>
        <w:autoSpaceDN/>
        <w:adjustRightInd/>
        <w:snapToGrid/>
        <w:spacing w:line="400" w:lineRule="exact"/>
        <w:ind w:left="0" w:firstLine="420" w:firstLineChars="200"/>
        <w:jc w:val="both"/>
        <w:textAlignment w:val="auto"/>
        <w:rPr>
          <w:bCs/>
          <w:color w:val="auto"/>
        </w:rPr>
      </w:pPr>
      <w:r>
        <w:rPr>
          <w:bCs/>
          <w:color w:val="auto"/>
        </w:rPr>
        <w:t>通用合同条款；</w:t>
      </w:r>
    </w:p>
    <w:p>
      <w:pPr>
        <w:widowControl w:val="0"/>
        <w:numPr>
          <w:ilvl w:val="0"/>
          <w:numId w:val="9"/>
        </w:numPr>
        <w:kinsoku/>
        <w:autoSpaceDE/>
        <w:autoSpaceDN/>
        <w:adjustRightInd/>
        <w:snapToGrid/>
        <w:spacing w:line="400" w:lineRule="exact"/>
        <w:ind w:left="0" w:firstLine="420" w:firstLineChars="200"/>
        <w:jc w:val="both"/>
        <w:textAlignment w:val="auto"/>
        <w:rPr>
          <w:bCs/>
          <w:color w:val="auto"/>
        </w:rPr>
      </w:pPr>
      <w:r>
        <w:rPr>
          <w:bCs/>
          <w:color w:val="auto"/>
        </w:rPr>
        <w:t>技术标准和要求；</w:t>
      </w:r>
    </w:p>
    <w:p>
      <w:pPr>
        <w:widowControl w:val="0"/>
        <w:numPr>
          <w:ilvl w:val="0"/>
          <w:numId w:val="9"/>
        </w:numPr>
        <w:kinsoku/>
        <w:autoSpaceDE/>
        <w:autoSpaceDN/>
        <w:adjustRightInd/>
        <w:snapToGrid/>
        <w:spacing w:line="400" w:lineRule="exact"/>
        <w:ind w:left="0" w:firstLine="420" w:firstLineChars="200"/>
        <w:jc w:val="both"/>
        <w:textAlignment w:val="auto"/>
        <w:rPr>
          <w:bCs/>
          <w:color w:val="auto"/>
        </w:rPr>
      </w:pPr>
      <w:r>
        <w:rPr>
          <w:bCs/>
          <w:color w:val="auto"/>
        </w:rPr>
        <w:t>图纸；</w:t>
      </w:r>
    </w:p>
    <w:p>
      <w:pPr>
        <w:widowControl w:val="0"/>
        <w:numPr>
          <w:ilvl w:val="0"/>
          <w:numId w:val="9"/>
        </w:numPr>
        <w:kinsoku/>
        <w:autoSpaceDE/>
        <w:autoSpaceDN/>
        <w:adjustRightInd/>
        <w:snapToGrid/>
        <w:spacing w:line="400" w:lineRule="exact"/>
        <w:ind w:left="0" w:firstLine="420" w:firstLineChars="200"/>
        <w:jc w:val="both"/>
        <w:textAlignment w:val="auto"/>
        <w:rPr>
          <w:rFonts w:eastAsia="宋体" w:cs="Times New Roman"/>
          <w:bCs/>
          <w:color w:val="auto"/>
        </w:rPr>
      </w:pPr>
      <w:r>
        <w:rPr>
          <w:rFonts w:eastAsia="宋体" w:cs="Times New Roman"/>
          <w:bCs/>
          <w:color w:val="auto"/>
        </w:rPr>
        <w:t>已标价工程量清单或预算书；</w:t>
      </w:r>
    </w:p>
    <w:p>
      <w:pPr>
        <w:widowControl w:val="0"/>
        <w:numPr>
          <w:ilvl w:val="0"/>
          <w:numId w:val="9"/>
        </w:numPr>
        <w:kinsoku/>
        <w:autoSpaceDE/>
        <w:autoSpaceDN/>
        <w:adjustRightInd/>
        <w:snapToGrid/>
        <w:spacing w:line="400" w:lineRule="exact"/>
        <w:ind w:left="0" w:firstLine="420" w:firstLineChars="200"/>
        <w:textAlignment w:val="auto"/>
        <w:rPr>
          <w:rFonts w:eastAsia="宋体" w:cs="Times New Roman"/>
          <w:bCs/>
          <w:color w:val="auto"/>
        </w:rPr>
      </w:pPr>
      <w:r>
        <w:rPr>
          <w:rFonts w:hint="eastAsia" w:eastAsia="宋体" w:cs="Times New Roman"/>
          <w:bCs/>
          <w:color w:val="auto"/>
        </w:rPr>
        <w:t>其他合同文件：</w:t>
      </w:r>
    </w:p>
    <w:p>
      <w:pPr>
        <w:spacing w:line="400" w:lineRule="exact"/>
        <w:ind w:firstLine="368" w:firstLineChars="175"/>
        <w:rPr>
          <w:rFonts w:ascii="宋体" w:hAnsi="宋体" w:cs="宋体"/>
          <w:b/>
          <w:bCs/>
          <w:color w:val="auto"/>
          <w:u w:val="single"/>
        </w:rPr>
      </w:pPr>
      <w:r>
        <w:rPr>
          <w:rFonts w:hint="eastAsia" w:ascii="宋体" w:hAnsi="宋体" w:cs="宋体"/>
          <w:b/>
          <w:bCs/>
          <w:color w:val="auto"/>
          <w:u w:val="single"/>
        </w:rPr>
        <w:t>①施工组织设计；</w:t>
      </w:r>
    </w:p>
    <w:p>
      <w:pPr>
        <w:spacing w:line="400" w:lineRule="exact"/>
        <w:ind w:firstLine="368" w:firstLineChars="175"/>
        <w:rPr>
          <w:rFonts w:ascii="宋体" w:hAnsi="宋体" w:cs="宋体"/>
          <w:color w:val="auto"/>
        </w:rPr>
      </w:pPr>
      <w:r>
        <w:rPr>
          <w:rFonts w:hint="eastAsia" w:ascii="宋体" w:hAnsi="宋体" w:cs="宋体"/>
          <w:b/>
          <w:bCs/>
          <w:color w:val="auto"/>
          <w:u w:val="single"/>
        </w:rPr>
        <w:t>②其他：招标文件及招标答疑；</w:t>
      </w:r>
    </w:p>
    <w:p>
      <w:pPr>
        <w:spacing w:line="400" w:lineRule="exact"/>
        <w:ind w:firstLine="420" w:firstLineChars="200"/>
        <w:rPr>
          <w:bCs/>
          <w:color w:val="auto"/>
        </w:rPr>
      </w:pPr>
      <w:r>
        <w:rPr>
          <w:rFonts w:hint="eastAsia"/>
          <w:bCs/>
          <w:color w:val="auto"/>
        </w:rPr>
        <w:t>在合同订立及履行过程中形成的与合同有关的文件均构成合同文件组成部分。</w:t>
      </w:r>
    </w:p>
    <w:p>
      <w:pPr>
        <w:spacing w:line="400" w:lineRule="exact"/>
        <w:ind w:firstLine="420" w:firstLineChars="200"/>
        <w:rPr>
          <w:bCs/>
          <w:color w:val="auto"/>
        </w:rPr>
      </w:pPr>
      <w:r>
        <w:rPr>
          <w:rFonts w:hint="eastAsia"/>
          <w:bCs/>
          <w:color w:val="auto"/>
        </w:rPr>
        <w:t>上述各项合同文件包括合同当事人就该项合同文件所作出的补充和修改，属于同一类内容的文件，应以最新签署的为准。专用合同条款及其附件须经合同当事人签字或盖章。</w:t>
      </w:r>
    </w:p>
    <w:p>
      <w:pPr>
        <w:spacing w:line="400" w:lineRule="exact"/>
        <w:ind w:firstLine="422" w:firstLineChars="200"/>
        <w:rPr>
          <w:b/>
          <w:bCs/>
          <w:color w:val="auto"/>
        </w:rPr>
      </w:pPr>
      <w:r>
        <w:rPr>
          <w:rFonts w:eastAsia="黑体"/>
          <w:b/>
          <w:color w:val="auto"/>
        </w:rPr>
        <w:t>七、</w:t>
      </w:r>
      <w:bookmarkEnd w:id="206"/>
      <w:r>
        <w:rPr>
          <w:rFonts w:hint="eastAsia" w:eastAsia="黑体"/>
          <w:b/>
          <w:color w:val="auto"/>
        </w:rPr>
        <w:t>创优目标</w:t>
      </w:r>
    </w:p>
    <w:p>
      <w:pPr>
        <w:spacing w:line="400" w:lineRule="exact"/>
        <w:ind w:firstLine="420" w:firstLineChars="200"/>
        <w:rPr>
          <w:bCs/>
          <w:color w:val="auto"/>
        </w:rPr>
      </w:pPr>
      <w:bookmarkStart w:id="207" w:name="_Toc351203488"/>
      <w:r>
        <w:rPr>
          <w:rFonts w:hint="eastAsia"/>
          <w:bCs/>
          <w:color w:val="auto"/>
        </w:rPr>
        <w:t>工程质量创〔/〕优质工程。</w:t>
      </w:r>
    </w:p>
    <w:p>
      <w:pPr>
        <w:spacing w:line="400" w:lineRule="exact"/>
        <w:ind w:firstLine="420" w:firstLineChars="200"/>
        <w:rPr>
          <w:b/>
          <w:color w:val="auto"/>
        </w:rPr>
      </w:pPr>
      <w:r>
        <w:rPr>
          <w:rFonts w:hint="eastAsia"/>
          <w:b/>
          <w:color w:val="auto"/>
        </w:rPr>
        <w:t>安全文明施工创</w:t>
      </w:r>
      <w:r>
        <w:rPr>
          <w:rFonts w:hint="eastAsia"/>
          <w:bCs/>
          <w:color w:val="auto"/>
        </w:rPr>
        <w:t>〔/〕</w:t>
      </w:r>
      <w:r>
        <w:rPr>
          <w:rFonts w:hint="eastAsia"/>
          <w:b/>
          <w:color w:val="auto"/>
        </w:rPr>
        <w:t>安全文明标准化工地。</w:t>
      </w:r>
    </w:p>
    <w:p>
      <w:pPr>
        <w:spacing w:line="400" w:lineRule="exact"/>
        <w:ind w:firstLine="422" w:firstLineChars="200"/>
        <w:rPr>
          <w:rFonts w:eastAsia="黑体"/>
          <w:b/>
          <w:color w:val="auto"/>
        </w:rPr>
      </w:pPr>
      <w:r>
        <w:rPr>
          <w:rFonts w:hint="eastAsia" w:eastAsia="黑体"/>
          <w:b/>
          <w:color w:val="auto"/>
        </w:rPr>
        <w:t>八、承诺</w:t>
      </w:r>
    </w:p>
    <w:p>
      <w:pPr>
        <w:spacing w:line="400" w:lineRule="exact"/>
        <w:ind w:firstLine="420" w:firstLineChars="200"/>
        <w:rPr>
          <w:color w:val="auto"/>
        </w:rPr>
      </w:pPr>
      <w:r>
        <w:rPr>
          <w:rFonts w:hint="eastAsia"/>
          <w:color w:val="auto"/>
        </w:rPr>
        <w:t>1．发包人承诺按照法律规定履行项目审批手续、筹集工程建设资金并按照合同约定的期限和方式支付合同价款。</w:t>
      </w:r>
    </w:p>
    <w:p>
      <w:pPr>
        <w:spacing w:line="400" w:lineRule="exact"/>
        <w:ind w:firstLine="420" w:firstLineChars="200"/>
        <w:rPr>
          <w:color w:val="auto"/>
        </w:rPr>
      </w:pPr>
      <w:r>
        <w:rPr>
          <w:rFonts w:hint="eastAsia"/>
          <w:color w:val="auto"/>
        </w:rPr>
        <w:t>2．承包人承诺按照法律规定及合同约定组织完成工程施工，确保工程质量和安全，不进行转包及违法分包，并在缺陷责任期及保修期内承担相应的工程维修责任。</w:t>
      </w:r>
    </w:p>
    <w:p>
      <w:pPr>
        <w:spacing w:line="400" w:lineRule="exact"/>
        <w:ind w:firstLine="420" w:firstLineChars="200"/>
        <w:rPr>
          <w:color w:val="auto"/>
        </w:rPr>
      </w:pPr>
      <w:r>
        <w:rPr>
          <w:rFonts w:hint="eastAsia"/>
          <w:color w:val="auto"/>
        </w:rPr>
        <w:t>3. 承包人承诺不拖欠工人工资，因拖欠工资造成的一切后果，均由承包人承担，发包人有权将应拔付的工程款，先代付工人工资。</w:t>
      </w:r>
    </w:p>
    <w:p>
      <w:pPr>
        <w:spacing w:line="400" w:lineRule="exact"/>
        <w:ind w:firstLine="420" w:firstLineChars="200"/>
        <w:rPr>
          <w:color w:val="auto"/>
        </w:rPr>
      </w:pPr>
      <w:r>
        <w:rPr>
          <w:rFonts w:hint="eastAsia"/>
          <w:color w:val="auto"/>
        </w:rPr>
        <w:t>4．发包人和承包人通过招投标形式签订合同的，双方理解并承诺不再就同一工程另行签订与合同实质性内容相背离的协议。</w:t>
      </w:r>
    </w:p>
    <w:p>
      <w:pPr>
        <w:spacing w:line="400" w:lineRule="exact"/>
        <w:ind w:firstLine="420" w:firstLineChars="200"/>
        <w:rPr>
          <w:bCs/>
          <w:color w:val="auto"/>
        </w:rPr>
      </w:pPr>
      <w:r>
        <w:rPr>
          <w:b/>
          <w:color w:val="auto"/>
        </w:rPr>
        <w:t xml:space="preserve"> </w:t>
      </w:r>
      <w:r>
        <w:rPr>
          <w:rFonts w:hint="eastAsia"/>
          <w:b/>
          <w:color w:val="auto"/>
        </w:rPr>
        <w:t>九</w:t>
      </w:r>
      <w:r>
        <w:rPr>
          <w:rFonts w:eastAsia="黑体"/>
          <w:b/>
          <w:color w:val="auto"/>
        </w:rPr>
        <w:t>、词语含义</w:t>
      </w:r>
      <w:bookmarkEnd w:id="207"/>
    </w:p>
    <w:p>
      <w:pPr>
        <w:spacing w:line="400" w:lineRule="exact"/>
        <w:ind w:firstLine="420" w:firstLineChars="200"/>
        <w:rPr>
          <w:bCs/>
          <w:color w:val="auto"/>
        </w:rPr>
      </w:pPr>
      <w:r>
        <w:rPr>
          <w:bCs/>
          <w:color w:val="auto"/>
        </w:rPr>
        <w:t>本协议书中词语含义与第二部分通用合同条款中赋予的含义相同。</w:t>
      </w:r>
    </w:p>
    <w:p>
      <w:pPr>
        <w:spacing w:line="400" w:lineRule="exact"/>
        <w:ind w:firstLine="420" w:firstLineChars="200"/>
        <w:rPr>
          <w:bCs/>
          <w:color w:val="auto"/>
        </w:rPr>
      </w:pPr>
      <w:r>
        <w:rPr>
          <w:bCs/>
          <w:color w:val="auto"/>
        </w:rPr>
        <w:t xml:space="preserve"> </w:t>
      </w:r>
      <w:bookmarkStart w:id="208" w:name="_Toc351203489"/>
      <w:r>
        <w:rPr>
          <w:rFonts w:hint="eastAsia"/>
          <w:bCs/>
          <w:color w:val="auto"/>
        </w:rPr>
        <w:t>十</w:t>
      </w:r>
      <w:r>
        <w:rPr>
          <w:rFonts w:eastAsia="黑体"/>
          <w:b/>
          <w:color w:val="auto"/>
        </w:rPr>
        <w:t>、签订时间</w:t>
      </w:r>
      <w:bookmarkEnd w:id="208"/>
    </w:p>
    <w:p>
      <w:pPr>
        <w:spacing w:line="400" w:lineRule="exact"/>
        <w:ind w:firstLine="420" w:firstLineChars="200"/>
        <w:rPr>
          <w:bCs/>
          <w:color w:val="auto"/>
        </w:rPr>
      </w:pPr>
      <w:r>
        <w:rPr>
          <w:bCs/>
          <w:color w:val="auto"/>
        </w:rPr>
        <w:t>本合同于</w:t>
      </w:r>
      <w:r>
        <w:rPr>
          <w:bCs/>
          <w:color w:val="auto"/>
          <w:u w:val="single"/>
        </w:rPr>
        <w:t xml:space="preserve">         </w:t>
      </w:r>
      <w:r>
        <w:rPr>
          <w:bCs/>
          <w:color w:val="auto"/>
        </w:rPr>
        <w:t>年</w:t>
      </w:r>
      <w:r>
        <w:rPr>
          <w:bCs/>
          <w:color w:val="auto"/>
          <w:u w:val="single"/>
        </w:rPr>
        <w:t xml:space="preserve">    </w:t>
      </w:r>
      <w:r>
        <w:rPr>
          <w:bCs/>
          <w:color w:val="auto"/>
        </w:rPr>
        <w:t>月</w:t>
      </w:r>
      <w:r>
        <w:rPr>
          <w:bCs/>
          <w:color w:val="auto"/>
          <w:u w:val="single"/>
        </w:rPr>
        <w:t xml:space="preserve">    </w:t>
      </w:r>
      <w:r>
        <w:rPr>
          <w:bCs/>
          <w:color w:val="auto"/>
        </w:rPr>
        <w:t>日签订。</w:t>
      </w:r>
    </w:p>
    <w:p>
      <w:pPr>
        <w:spacing w:line="400" w:lineRule="exact"/>
        <w:ind w:firstLine="420" w:firstLineChars="200"/>
        <w:rPr>
          <w:bCs/>
          <w:color w:val="auto"/>
        </w:rPr>
      </w:pPr>
      <w:r>
        <w:rPr>
          <w:bCs/>
          <w:color w:val="auto"/>
        </w:rPr>
        <w:t xml:space="preserve"> </w:t>
      </w:r>
      <w:bookmarkStart w:id="209" w:name="_Toc351203490"/>
      <w:r>
        <w:rPr>
          <w:rFonts w:eastAsia="黑体"/>
          <w:b/>
          <w:color w:val="auto"/>
        </w:rPr>
        <w:t>十</w:t>
      </w:r>
      <w:r>
        <w:rPr>
          <w:rFonts w:hint="eastAsia" w:eastAsia="黑体"/>
          <w:b/>
          <w:color w:val="auto"/>
        </w:rPr>
        <w:t>一</w:t>
      </w:r>
      <w:r>
        <w:rPr>
          <w:rFonts w:eastAsia="黑体"/>
          <w:b/>
          <w:color w:val="auto"/>
        </w:rPr>
        <w:t>、签订地点</w:t>
      </w:r>
      <w:bookmarkEnd w:id="209"/>
    </w:p>
    <w:p>
      <w:pPr>
        <w:spacing w:line="400" w:lineRule="exact"/>
        <w:ind w:firstLine="420" w:firstLineChars="200"/>
        <w:rPr>
          <w:bCs/>
          <w:color w:val="auto"/>
        </w:rPr>
      </w:pPr>
      <w:r>
        <w:rPr>
          <w:bCs/>
          <w:color w:val="auto"/>
        </w:rPr>
        <w:t>本合同在</w:t>
      </w:r>
      <w:r>
        <w:rPr>
          <w:bCs/>
          <w:color w:val="auto"/>
          <w:u w:val="single"/>
        </w:rPr>
        <w:t xml:space="preserve"> </w:t>
      </w:r>
      <w:r>
        <w:rPr>
          <w:rFonts w:hint="eastAsia" w:eastAsia="黑体"/>
          <w:b/>
          <w:color w:val="auto"/>
          <w:u w:val="single"/>
        </w:rPr>
        <w:t>台州市北部湾区经济开发集团有限公司</w:t>
      </w:r>
      <w:r>
        <w:rPr>
          <w:bCs/>
          <w:color w:val="auto"/>
        </w:rPr>
        <w:t>签订。</w:t>
      </w:r>
    </w:p>
    <w:p>
      <w:pPr>
        <w:spacing w:line="400" w:lineRule="exact"/>
        <w:ind w:firstLine="420" w:firstLineChars="200"/>
        <w:rPr>
          <w:bCs/>
          <w:color w:val="auto"/>
        </w:rPr>
      </w:pPr>
      <w:r>
        <w:rPr>
          <w:bCs/>
          <w:color w:val="auto"/>
        </w:rPr>
        <w:t xml:space="preserve"> </w:t>
      </w:r>
      <w:bookmarkStart w:id="210" w:name="_Toc351203491"/>
      <w:r>
        <w:rPr>
          <w:rFonts w:eastAsia="黑体"/>
          <w:b/>
          <w:color w:val="auto"/>
        </w:rPr>
        <w:t>十</w:t>
      </w:r>
      <w:r>
        <w:rPr>
          <w:rFonts w:hint="eastAsia" w:eastAsia="黑体"/>
          <w:b/>
          <w:color w:val="auto"/>
        </w:rPr>
        <w:t>二</w:t>
      </w:r>
      <w:r>
        <w:rPr>
          <w:rFonts w:eastAsia="黑体"/>
          <w:b/>
          <w:color w:val="auto"/>
        </w:rPr>
        <w:t>、补充协议</w:t>
      </w:r>
      <w:bookmarkEnd w:id="210"/>
    </w:p>
    <w:p>
      <w:pPr>
        <w:spacing w:line="400" w:lineRule="exact"/>
        <w:ind w:firstLine="420" w:firstLineChars="200"/>
        <w:rPr>
          <w:b/>
          <w:bCs/>
          <w:color w:val="auto"/>
        </w:rPr>
      </w:pPr>
      <w:r>
        <w:rPr>
          <w:bCs/>
          <w:color w:val="auto"/>
        </w:rPr>
        <w:t>合同未尽事宜，合同当事人另行签订补充协议，补充协议是合同的组成部分。</w:t>
      </w:r>
    </w:p>
    <w:p>
      <w:pPr>
        <w:spacing w:line="400" w:lineRule="exact"/>
        <w:ind w:firstLine="420" w:firstLineChars="200"/>
        <w:rPr>
          <w:bCs/>
          <w:color w:val="auto"/>
        </w:rPr>
      </w:pPr>
      <w:r>
        <w:rPr>
          <w:bCs/>
          <w:color w:val="auto"/>
        </w:rPr>
        <w:t xml:space="preserve"> </w:t>
      </w:r>
      <w:bookmarkStart w:id="211" w:name="_Toc351203492"/>
      <w:r>
        <w:rPr>
          <w:rFonts w:eastAsia="黑体"/>
          <w:b/>
          <w:color w:val="auto"/>
        </w:rPr>
        <w:t>十</w:t>
      </w:r>
      <w:r>
        <w:rPr>
          <w:rFonts w:hint="eastAsia" w:eastAsia="黑体"/>
          <w:b/>
          <w:color w:val="auto"/>
        </w:rPr>
        <w:t>三</w:t>
      </w:r>
      <w:r>
        <w:rPr>
          <w:rFonts w:eastAsia="黑体"/>
          <w:b/>
          <w:color w:val="auto"/>
        </w:rPr>
        <w:t>、合同生效</w:t>
      </w:r>
      <w:bookmarkEnd w:id="211"/>
    </w:p>
    <w:p>
      <w:pPr>
        <w:spacing w:line="400" w:lineRule="exact"/>
        <w:ind w:firstLine="420" w:firstLineChars="200"/>
        <w:rPr>
          <w:bCs/>
          <w:color w:val="auto"/>
        </w:rPr>
      </w:pPr>
      <w:r>
        <w:rPr>
          <w:bCs/>
          <w:color w:val="auto"/>
        </w:rPr>
        <w:t>本合同自</w:t>
      </w:r>
      <w:r>
        <w:rPr>
          <w:bCs/>
          <w:color w:val="auto"/>
          <w:u w:val="single"/>
        </w:rPr>
        <w:t>双方法定代表人或委托代理人签字，并加盖公章后</w:t>
      </w:r>
      <w:r>
        <w:rPr>
          <w:bCs/>
          <w:color w:val="auto"/>
        </w:rPr>
        <w:t>生效。</w:t>
      </w:r>
    </w:p>
    <w:p>
      <w:pPr>
        <w:spacing w:line="400" w:lineRule="exact"/>
        <w:ind w:firstLine="420" w:firstLineChars="200"/>
        <w:rPr>
          <w:bCs/>
          <w:color w:val="auto"/>
        </w:rPr>
      </w:pPr>
      <w:r>
        <w:rPr>
          <w:bCs/>
          <w:color w:val="auto"/>
        </w:rPr>
        <w:t xml:space="preserve"> </w:t>
      </w:r>
      <w:bookmarkStart w:id="212" w:name="_Toc351203493"/>
      <w:r>
        <w:rPr>
          <w:rFonts w:eastAsia="黑体"/>
          <w:b/>
          <w:color w:val="auto"/>
        </w:rPr>
        <w:t>十</w:t>
      </w:r>
      <w:r>
        <w:rPr>
          <w:rFonts w:hint="eastAsia" w:eastAsia="黑体"/>
          <w:b/>
          <w:color w:val="auto"/>
        </w:rPr>
        <w:t>四</w:t>
      </w:r>
      <w:r>
        <w:rPr>
          <w:rFonts w:eastAsia="黑体"/>
          <w:b/>
          <w:color w:val="auto"/>
        </w:rPr>
        <w:t>、合同份数</w:t>
      </w:r>
      <w:bookmarkEnd w:id="212"/>
    </w:p>
    <w:p>
      <w:pPr>
        <w:spacing w:line="400" w:lineRule="exact"/>
        <w:ind w:firstLine="420" w:firstLineChars="200"/>
        <w:rPr>
          <w:rFonts w:eastAsiaTheme="minorEastAsia"/>
          <w:bCs/>
          <w:color w:val="auto"/>
        </w:rPr>
      </w:pPr>
      <w:r>
        <w:rPr>
          <w:bCs/>
          <w:color w:val="auto"/>
        </w:rPr>
        <w:t>本合同一式</w:t>
      </w:r>
      <w:r>
        <w:rPr>
          <w:bCs/>
          <w:color w:val="auto"/>
          <w:u w:val="single"/>
        </w:rPr>
        <w:t xml:space="preserve"> </w:t>
      </w:r>
      <w:r>
        <w:rPr>
          <w:rFonts w:hint="eastAsia"/>
          <w:bCs/>
          <w:color w:val="auto"/>
          <w:u w:val="single"/>
        </w:rPr>
        <w:t>捌</w:t>
      </w:r>
      <w:r>
        <w:rPr>
          <w:bCs/>
          <w:color w:val="auto"/>
          <w:u w:val="single"/>
        </w:rPr>
        <w:t xml:space="preserve"> </w:t>
      </w:r>
      <w:r>
        <w:rPr>
          <w:bCs/>
          <w:color w:val="auto"/>
        </w:rPr>
        <w:t>份，均具有同等法律效力，发包人执</w:t>
      </w:r>
      <w:r>
        <w:rPr>
          <w:bCs/>
          <w:color w:val="auto"/>
          <w:u w:val="single"/>
        </w:rPr>
        <w:t xml:space="preserve"> </w:t>
      </w:r>
      <w:r>
        <w:rPr>
          <w:rFonts w:hint="eastAsia"/>
          <w:bCs/>
          <w:color w:val="auto"/>
          <w:u w:val="single"/>
        </w:rPr>
        <w:t>肆</w:t>
      </w:r>
      <w:r>
        <w:rPr>
          <w:bCs/>
          <w:color w:val="auto"/>
          <w:u w:val="single"/>
        </w:rPr>
        <w:t xml:space="preserve">  </w:t>
      </w:r>
      <w:r>
        <w:rPr>
          <w:bCs/>
          <w:color w:val="auto"/>
        </w:rPr>
        <w:t>份，承包人执</w:t>
      </w:r>
      <w:r>
        <w:rPr>
          <w:bCs/>
          <w:color w:val="auto"/>
          <w:u w:val="single"/>
        </w:rPr>
        <w:t xml:space="preserve"> </w:t>
      </w:r>
      <w:r>
        <w:rPr>
          <w:rFonts w:hint="eastAsia"/>
          <w:bCs/>
          <w:color w:val="auto"/>
          <w:u w:val="single"/>
        </w:rPr>
        <w:t>叁</w:t>
      </w:r>
      <w:r>
        <w:rPr>
          <w:bCs/>
          <w:color w:val="auto"/>
          <w:u w:val="single"/>
        </w:rPr>
        <w:t xml:space="preserve"> </w:t>
      </w:r>
      <w:r>
        <w:rPr>
          <w:bCs/>
          <w:color w:val="auto"/>
        </w:rPr>
        <w:t>份，合同备案机构执</w:t>
      </w:r>
      <w:r>
        <w:rPr>
          <w:bCs/>
          <w:color w:val="auto"/>
          <w:u w:val="single"/>
        </w:rPr>
        <w:t xml:space="preserve"> </w:t>
      </w:r>
      <w:r>
        <w:rPr>
          <w:rFonts w:hint="eastAsia"/>
          <w:bCs/>
          <w:color w:val="auto"/>
          <w:u w:val="single"/>
        </w:rPr>
        <w:t>壹</w:t>
      </w:r>
      <w:r>
        <w:rPr>
          <w:bCs/>
          <w:color w:val="auto"/>
          <w:u w:val="single"/>
        </w:rPr>
        <w:t xml:space="preserve"> </w:t>
      </w:r>
      <w:r>
        <w:rPr>
          <w:bCs/>
          <w:color w:val="auto"/>
        </w:rPr>
        <w:t>份。</w:t>
      </w:r>
    </w:p>
    <w:p>
      <w:pPr>
        <w:spacing w:line="586" w:lineRule="exact"/>
        <w:rPr>
          <w:color w:val="auto"/>
        </w:rPr>
      </w:pPr>
      <w:r>
        <w:rPr>
          <w:color w:val="auto"/>
        </w:rPr>
        <w:t>发包人</w:t>
      </w:r>
      <w:r>
        <w:rPr>
          <w:rFonts w:hint="eastAsia"/>
          <w:color w:val="auto"/>
        </w:rPr>
        <w:t>：  （</w:t>
      </w:r>
      <w:r>
        <w:rPr>
          <w:color w:val="auto"/>
        </w:rPr>
        <w:t>公章</w:t>
      </w:r>
      <w:r>
        <w:rPr>
          <w:rFonts w:hint="eastAsia"/>
          <w:color w:val="auto"/>
        </w:rPr>
        <w:t xml:space="preserve">）                 </w:t>
      </w:r>
      <w:r>
        <w:rPr>
          <w:color w:val="auto"/>
        </w:rPr>
        <w:t>承包人</w:t>
      </w:r>
      <w:r>
        <w:rPr>
          <w:rFonts w:hint="eastAsia"/>
          <w:color w:val="auto"/>
        </w:rPr>
        <w:t>：  （</w:t>
      </w:r>
      <w:r>
        <w:rPr>
          <w:color w:val="auto"/>
        </w:rPr>
        <w:t>公章</w:t>
      </w:r>
      <w:r>
        <w:rPr>
          <w:rFonts w:hint="eastAsia"/>
          <w:color w:val="auto"/>
        </w:rPr>
        <w:t>）</w:t>
      </w:r>
    </w:p>
    <w:p>
      <w:pPr>
        <w:spacing w:line="586" w:lineRule="exact"/>
        <w:rPr>
          <w:color w:val="auto"/>
        </w:rPr>
      </w:pPr>
      <w:r>
        <w:rPr>
          <w:rFonts w:hint="eastAsia"/>
          <w:color w:val="auto"/>
        </w:rPr>
        <w:t>法定代表人或其委托代理人：    法定代表人或其委托代理人：</w:t>
      </w:r>
    </w:p>
    <w:p>
      <w:pPr>
        <w:spacing w:line="440" w:lineRule="exact"/>
        <w:rPr>
          <w:color w:val="auto"/>
        </w:rPr>
      </w:pPr>
      <w:r>
        <w:rPr>
          <w:rFonts w:hint="eastAsia"/>
          <w:color w:val="auto"/>
        </w:rPr>
        <w:t>（签字）                     （签字）</w:t>
      </w:r>
    </w:p>
    <w:p>
      <w:pPr>
        <w:tabs>
          <w:tab w:val="left" w:pos="4410"/>
        </w:tabs>
        <w:spacing w:line="440" w:lineRule="exact"/>
        <w:rPr>
          <w:color w:val="auto"/>
        </w:rPr>
      </w:pPr>
      <w:r>
        <w:rPr>
          <w:rFonts w:hint="eastAsia"/>
          <w:color w:val="auto"/>
        </w:rPr>
        <w:t>统一社会信用代码：</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w:t>
      </w:r>
      <w:r>
        <w:rPr>
          <w:rFonts w:hint="eastAsia"/>
          <w:color w:val="auto"/>
        </w:rPr>
        <w:t xml:space="preserve">  统一社会信用代码：</w:t>
      </w:r>
      <w:r>
        <w:rPr>
          <w:color w:val="auto"/>
          <w:u w:val="single"/>
        </w:rPr>
        <w:t xml:space="preserve"> </w:t>
      </w:r>
      <w:r>
        <w:rPr>
          <w:rFonts w:hint="eastAsia"/>
          <w:color w:val="auto"/>
          <w:u w:val="single"/>
        </w:rPr>
        <w:t xml:space="preserve"> </w:t>
      </w:r>
      <w:r>
        <w:rPr>
          <w:color w:val="auto"/>
          <w:u w:val="single"/>
        </w:rPr>
        <w:t></w:t>
      </w:r>
      <w:r>
        <w:rPr>
          <w:rFonts w:hint="eastAsia"/>
          <w:color w:val="auto"/>
          <w:u w:val="single"/>
        </w:rPr>
        <w:t xml:space="preserve"> </w:t>
      </w:r>
      <w:r>
        <w:rPr>
          <w:color w:val="auto"/>
          <w:u w:val="single"/>
        </w:rPr>
        <w:t xml:space="preserve">   </w:t>
      </w:r>
    </w:p>
    <w:p>
      <w:pPr>
        <w:spacing w:line="440" w:lineRule="exact"/>
        <w:rPr>
          <w:color w:val="auto"/>
        </w:rPr>
      </w:pPr>
      <w:r>
        <w:rPr>
          <w:color w:val="auto"/>
        </w:rPr>
        <w:t>地  址：</w:t>
      </w:r>
      <w:r>
        <w:rPr>
          <w:color w:val="auto"/>
          <w:u w:val="single"/>
        </w:rPr>
        <w:t xml:space="preserve">     </w:t>
      </w:r>
      <w:r>
        <w:rPr>
          <w:rFonts w:hint="eastAsia"/>
          <w:color w:val="auto"/>
        </w:rPr>
        <w:t xml:space="preserve">   </w:t>
      </w:r>
      <w:r>
        <w:rPr>
          <w:color w:val="auto"/>
        </w:rPr>
        <w:t>地  址：</w:t>
      </w:r>
      <w:r>
        <w:rPr>
          <w:color w:val="auto"/>
          <w:u w:val="single"/>
        </w:rPr>
        <w:t></w:t>
      </w:r>
      <w:r>
        <w:rPr>
          <w:rFonts w:hint="eastAsia"/>
          <w:color w:val="auto"/>
          <w:u w:val="single"/>
        </w:rPr>
        <w:t xml:space="preserve"> </w:t>
      </w:r>
      <w:r>
        <w:rPr>
          <w:color w:val="auto"/>
          <w:u w:val="single"/>
        </w:rPr>
        <w:t></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u w:val="single"/>
        </w:rPr>
        <w:t xml:space="preserve">   </w:t>
      </w:r>
    </w:p>
    <w:p>
      <w:pPr>
        <w:spacing w:line="440" w:lineRule="exact"/>
        <w:rPr>
          <w:color w:val="auto"/>
        </w:rPr>
      </w:pPr>
      <w:r>
        <w:rPr>
          <w:color w:val="auto"/>
        </w:rPr>
        <w:t>邮政编码：</w:t>
      </w:r>
      <w:r>
        <w:rPr>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w:t>
      </w:r>
      <w:r>
        <w:rPr>
          <w:rFonts w:hint="eastAsia"/>
          <w:color w:val="auto"/>
        </w:rPr>
        <w:t xml:space="preserve">  </w:t>
      </w:r>
      <w:r>
        <w:rPr>
          <w:color w:val="auto"/>
        </w:rPr>
        <w:t>邮政编码：</w:t>
      </w:r>
      <w:r>
        <w:rPr>
          <w:color w:val="auto"/>
          <w:u w:val="single"/>
        </w:rPr>
        <w:t xml:space="preserve"> </w:t>
      </w:r>
    </w:p>
    <w:p>
      <w:pPr>
        <w:spacing w:line="440" w:lineRule="exact"/>
        <w:rPr>
          <w:color w:val="auto"/>
        </w:rPr>
      </w:pPr>
      <w:r>
        <w:rPr>
          <w:color w:val="auto"/>
        </w:rPr>
        <w:t>法定代表人：</w:t>
      </w:r>
      <w:r>
        <w:rPr>
          <w:color w:val="auto"/>
          <w:u w:val="single"/>
        </w:rPr>
        <w:t></w:t>
      </w:r>
      <w:r>
        <w:rPr>
          <w:rFonts w:hint="eastAsia"/>
          <w:color w:val="auto"/>
          <w:u w:val="single"/>
        </w:rPr>
        <w:t xml:space="preserve">     </w:t>
      </w:r>
      <w:r>
        <w:rPr>
          <w:color w:val="auto"/>
          <w:u w:val="single"/>
        </w:rPr>
        <w:t></w:t>
      </w:r>
      <w:r>
        <w:rPr>
          <w:rFonts w:hint="eastAsia"/>
          <w:color w:val="auto"/>
          <w:u w:val="single"/>
        </w:rPr>
        <w:t xml:space="preserve">     </w:t>
      </w:r>
      <w:r>
        <w:rPr>
          <w:color w:val="auto"/>
          <w:u w:val="single"/>
        </w:rPr>
        <w:t xml:space="preserve"> </w:t>
      </w:r>
      <w:r>
        <w:rPr>
          <w:color w:val="auto"/>
        </w:rPr>
        <w:t xml:space="preserve"> </w:t>
      </w:r>
      <w:r>
        <w:rPr>
          <w:rFonts w:hint="eastAsia"/>
          <w:color w:val="auto"/>
        </w:rPr>
        <w:t xml:space="preserve">  </w:t>
      </w:r>
      <w:r>
        <w:rPr>
          <w:color w:val="auto"/>
        </w:rPr>
        <w:t>法定代表人：</w:t>
      </w:r>
      <w:r>
        <w:rPr>
          <w:color w:val="auto"/>
          <w:u w:val="single"/>
        </w:rPr>
        <w:t></w:t>
      </w:r>
      <w:r>
        <w:rPr>
          <w:rFonts w:hint="eastAsia"/>
          <w:color w:val="auto"/>
          <w:u w:val="single"/>
        </w:rPr>
        <w:t xml:space="preserve">      </w:t>
      </w:r>
      <w:r>
        <w:rPr>
          <w:color w:val="auto"/>
          <w:u w:val="single"/>
        </w:rPr>
        <w:t></w:t>
      </w:r>
      <w:r>
        <w:rPr>
          <w:rFonts w:hint="eastAsia"/>
          <w:color w:val="auto"/>
          <w:u w:val="single"/>
        </w:rPr>
        <w:t xml:space="preserve">      </w:t>
      </w:r>
    </w:p>
    <w:p>
      <w:pPr>
        <w:spacing w:line="440" w:lineRule="exact"/>
        <w:rPr>
          <w:color w:val="auto"/>
        </w:rPr>
      </w:pPr>
      <w:r>
        <w:rPr>
          <w:color w:val="auto"/>
        </w:rPr>
        <w:t>委托代理人：</w:t>
      </w:r>
      <w:r>
        <w:rPr>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w:t>
      </w:r>
      <w:r>
        <w:rPr>
          <w:rFonts w:hint="eastAsia"/>
          <w:color w:val="auto"/>
        </w:rPr>
        <w:t xml:space="preserve">  </w:t>
      </w:r>
      <w:r>
        <w:rPr>
          <w:color w:val="auto"/>
        </w:rPr>
        <w:t>委托代理人：</w:t>
      </w:r>
      <w:r>
        <w:rPr>
          <w:color w:val="auto"/>
          <w:u w:val="single"/>
        </w:rPr>
        <w:t xml:space="preserve">  </w:t>
      </w:r>
      <w:r>
        <w:rPr>
          <w:rFonts w:hint="eastAsia"/>
          <w:color w:val="auto"/>
          <w:u w:val="single"/>
        </w:rPr>
        <w:t xml:space="preserve">       </w:t>
      </w:r>
      <w:r>
        <w:rPr>
          <w:color w:val="auto"/>
          <w:u w:val="single"/>
        </w:rPr>
        <w:t xml:space="preserve">   </w:t>
      </w:r>
    </w:p>
    <w:p>
      <w:pPr>
        <w:spacing w:line="440" w:lineRule="exact"/>
        <w:rPr>
          <w:color w:val="auto"/>
        </w:rPr>
      </w:pPr>
      <w:r>
        <w:rPr>
          <w:color w:val="auto"/>
        </w:rPr>
        <w:t>电  话：</w:t>
      </w:r>
      <w:r>
        <w:rPr>
          <w:color w:val="auto"/>
          <w:u w:val="single"/>
        </w:rPr>
        <w:t></w:t>
      </w:r>
      <w:r>
        <w:rPr>
          <w:rFonts w:hint="eastAsia"/>
          <w:color w:val="auto"/>
          <w:u w:val="single"/>
        </w:rPr>
        <w:t xml:space="preserve"> </w:t>
      </w:r>
      <w:r>
        <w:rPr>
          <w:color w:val="auto"/>
          <w:u w:val="single"/>
        </w:rPr>
        <w:t xml:space="preserve">  </w:t>
      </w:r>
      <w:r>
        <w:rPr>
          <w:color w:val="auto"/>
        </w:rPr>
        <w:t xml:space="preserve"> </w:t>
      </w:r>
      <w:r>
        <w:rPr>
          <w:rFonts w:hint="eastAsia"/>
          <w:color w:val="auto"/>
        </w:rPr>
        <w:t xml:space="preserve">  </w:t>
      </w:r>
      <w:r>
        <w:rPr>
          <w:color w:val="auto"/>
        </w:rPr>
        <w:t>电  话：</w:t>
      </w:r>
      <w:r>
        <w:rPr>
          <w:color w:val="auto"/>
          <w:u w:val="single"/>
        </w:rPr>
        <w:t></w:t>
      </w:r>
      <w:r>
        <w:rPr>
          <w:rFonts w:hint="eastAsia"/>
          <w:color w:val="auto"/>
          <w:u w:val="single"/>
        </w:rPr>
        <w:t xml:space="preserve">  </w:t>
      </w:r>
      <w:r>
        <w:rPr>
          <w:color w:val="auto"/>
          <w:u w:val="single"/>
        </w:rPr>
        <w:t xml:space="preserve">  </w:t>
      </w:r>
    </w:p>
    <w:p>
      <w:pPr>
        <w:spacing w:line="440" w:lineRule="exact"/>
        <w:rPr>
          <w:color w:val="auto"/>
        </w:rPr>
      </w:pPr>
      <w:r>
        <w:rPr>
          <w:color w:val="auto"/>
        </w:rPr>
        <w:t>传  真：</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w:t>
      </w:r>
      <w:r>
        <w:rPr>
          <w:rFonts w:hint="eastAsia"/>
          <w:color w:val="auto"/>
        </w:rPr>
        <w:t xml:space="preserve">  </w:t>
      </w:r>
      <w:r>
        <w:rPr>
          <w:color w:val="auto"/>
        </w:rPr>
        <w:t>传  真：</w:t>
      </w:r>
      <w:r>
        <w:rPr>
          <w:color w:val="auto"/>
          <w:u w:val="single"/>
        </w:rPr>
        <w:t></w:t>
      </w:r>
      <w:r>
        <w:rPr>
          <w:rFonts w:hint="eastAsia"/>
          <w:color w:val="auto"/>
          <w:u w:val="single"/>
        </w:rPr>
        <w:t xml:space="preserve">  </w:t>
      </w:r>
      <w:r>
        <w:rPr>
          <w:color w:val="auto"/>
          <w:u w:val="single"/>
        </w:rPr>
        <w:t xml:space="preserve">  </w:t>
      </w:r>
    </w:p>
    <w:p>
      <w:pPr>
        <w:spacing w:line="440" w:lineRule="exact"/>
        <w:rPr>
          <w:color w:val="auto"/>
        </w:rPr>
      </w:pPr>
      <w:r>
        <w:rPr>
          <w:color w:val="auto"/>
        </w:rPr>
        <w:t>电子信箱：</w:t>
      </w:r>
      <w:r>
        <w:rPr>
          <w:color w:val="auto"/>
          <w:u w:val="single"/>
        </w:rPr>
        <w:t xml:space="preserve">                 </w:t>
      </w:r>
      <w:r>
        <w:rPr>
          <w:color w:val="auto"/>
        </w:rPr>
        <w:t xml:space="preserve"> </w:t>
      </w:r>
      <w:r>
        <w:rPr>
          <w:rFonts w:hint="eastAsia"/>
          <w:color w:val="auto"/>
        </w:rPr>
        <w:t xml:space="preserve">  </w:t>
      </w:r>
      <w:r>
        <w:rPr>
          <w:color w:val="auto"/>
        </w:rPr>
        <w:t>电子信箱：</w:t>
      </w:r>
      <w:r>
        <w:rPr>
          <w:color w:val="auto"/>
          <w:u w:val="single"/>
        </w:rPr>
        <w:t xml:space="preserve">  </w:t>
      </w:r>
    </w:p>
    <w:p>
      <w:pPr>
        <w:spacing w:line="440" w:lineRule="exact"/>
        <w:rPr>
          <w:color w:val="auto"/>
        </w:rPr>
      </w:pPr>
      <w:r>
        <w:rPr>
          <w:color w:val="auto"/>
        </w:rPr>
        <w:t>开户银行：</w:t>
      </w:r>
      <w:r>
        <w:rPr>
          <w:color w:val="auto"/>
          <w:u w:val="single"/>
        </w:rPr>
        <w:t xml:space="preserve">   </w:t>
      </w:r>
      <w:r>
        <w:rPr>
          <w:color w:val="auto"/>
        </w:rPr>
        <w:t xml:space="preserve"> </w:t>
      </w:r>
      <w:r>
        <w:rPr>
          <w:rFonts w:hint="eastAsia"/>
          <w:color w:val="auto"/>
        </w:rPr>
        <w:t xml:space="preserve">  </w:t>
      </w:r>
      <w:r>
        <w:rPr>
          <w:color w:val="auto"/>
        </w:rPr>
        <w:t>开户银行：</w:t>
      </w:r>
      <w:r>
        <w:rPr>
          <w:color w:val="auto"/>
          <w:u w:val="single"/>
        </w:rPr>
        <w:t xml:space="preserve">  </w:t>
      </w:r>
    </w:p>
    <w:p>
      <w:pPr>
        <w:spacing w:line="440" w:lineRule="exact"/>
        <w:rPr>
          <w:b/>
          <w:color w:val="auto"/>
        </w:rPr>
      </w:pPr>
      <w:r>
        <w:rPr>
          <w:color w:val="auto"/>
        </w:rPr>
        <w:t>账  号：</w:t>
      </w:r>
      <w:r>
        <w:rPr>
          <w:color w:val="auto"/>
          <w:u w:val="single"/>
        </w:rPr>
        <w:t xml:space="preserve">       </w:t>
      </w:r>
      <w:r>
        <w:rPr>
          <w:rFonts w:hint="eastAsia"/>
          <w:color w:val="auto"/>
        </w:rPr>
        <w:t xml:space="preserve">    </w:t>
      </w:r>
      <w:r>
        <w:rPr>
          <w:color w:val="auto"/>
        </w:rPr>
        <w:t>账</w:t>
      </w:r>
      <w:r>
        <w:rPr>
          <w:rFonts w:hint="eastAsia"/>
          <w:color w:val="auto"/>
        </w:rPr>
        <w:t xml:space="preserve"> </w:t>
      </w:r>
      <w:r>
        <w:rPr>
          <w:color w:val="auto"/>
        </w:rPr>
        <w:t xml:space="preserve"> 号：</w:t>
      </w:r>
      <w:r>
        <w:rPr>
          <w:color w:val="auto"/>
          <w:u w:val="single"/>
        </w:rPr>
        <w:t></w:t>
      </w:r>
      <w:r>
        <w:rPr>
          <w:rFonts w:hint="eastAsia"/>
          <w:color w:val="auto"/>
          <w:u w:val="single"/>
        </w:rPr>
        <w:t xml:space="preserve">   </w:t>
      </w:r>
      <w:r>
        <w:rPr>
          <w:color w:val="auto"/>
          <w:u w:val="single"/>
        </w:rPr>
        <w:t xml:space="preserve"> </w:t>
      </w:r>
    </w:p>
    <w:p>
      <w:pPr>
        <w:pStyle w:val="35"/>
        <w:jc w:val="center"/>
        <w:rPr>
          <w:color w:val="auto"/>
        </w:rPr>
      </w:pPr>
      <w:r>
        <w:rPr>
          <w:color w:val="auto"/>
          <w:szCs w:val="21"/>
        </w:rPr>
        <w:br w:type="page"/>
      </w:r>
      <w:bookmarkStart w:id="213" w:name="_Toc394573946"/>
      <w:bookmarkStart w:id="214" w:name="_Toc228163246"/>
      <w:bookmarkStart w:id="215" w:name="_Toc16349"/>
      <w:bookmarkStart w:id="216" w:name="_Toc32700"/>
      <w:bookmarkStart w:id="217" w:name="_Toc109826676"/>
      <w:r>
        <w:rPr>
          <w:rFonts w:cs="Times New Roman"/>
          <w:color w:val="auto"/>
          <w:sz w:val="32"/>
          <w:szCs w:val="32"/>
        </w:rPr>
        <w:t>第二部分   通用合同条款</w:t>
      </w:r>
      <w:bookmarkEnd w:id="213"/>
      <w:bookmarkEnd w:id="214"/>
      <w:bookmarkEnd w:id="215"/>
      <w:r>
        <w:rPr>
          <w:rFonts w:cs="Times New Roman"/>
          <w:color w:val="auto"/>
          <w:sz w:val="32"/>
          <w:szCs w:val="32"/>
        </w:rPr>
        <w:t>（略）</w:t>
      </w:r>
      <w:bookmarkEnd w:id="216"/>
      <w:bookmarkEnd w:id="217"/>
    </w:p>
    <w:p>
      <w:pPr>
        <w:pStyle w:val="42"/>
        <w:ind w:firstLine="420"/>
        <w:rPr>
          <w:rFonts w:cs="Times New Roman"/>
          <w:color w:val="auto"/>
          <w:sz w:val="32"/>
          <w:szCs w:val="32"/>
        </w:rPr>
      </w:pPr>
      <w:r>
        <w:rPr>
          <w:color w:val="auto"/>
        </w:rPr>
        <w:t>合同通用条款采用《建设工程施工合同（示范文本）》的通用条款（GF—201</w:t>
      </w:r>
      <w:r>
        <w:rPr>
          <w:rFonts w:hint="eastAsia"/>
          <w:color w:val="auto"/>
        </w:rPr>
        <w:t>7</w:t>
      </w:r>
      <w:r>
        <w:rPr>
          <w:color w:val="auto"/>
        </w:rPr>
        <w:t>—</w:t>
      </w:r>
      <w:r>
        <w:rPr>
          <w:rFonts w:hint="eastAsia"/>
          <w:color w:val="auto"/>
        </w:rPr>
        <w:t>0201</w:t>
      </w:r>
      <w:r>
        <w:rPr>
          <w:color w:val="auto"/>
        </w:rPr>
        <w:t>）</w:t>
      </w:r>
    </w:p>
    <w:p>
      <w:pPr>
        <w:pStyle w:val="35"/>
        <w:jc w:val="center"/>
        <w:rPr>
          <w:rFonts w:cs="Times New Roman"/>
          <w:color w:val="auto"/>
          <w:sz w:val="32"/>
          <w:szCs w:val="32"/>
        </w:rPr>
      </w:pPr>
      <w:bookmarkStart w:id="218" w:name="_Toc26372"/>
      <w:bookmarkStart w:id="219" w:name="_Toc109826677"/>
      <w:bookmarkStart w:id="220" w:name="_Toc278377207"/>
      <w:bookmarkStart w:id="221" w:name="_Toc394573947"/>
      <w:bookmarkStart w:id="222" w:name="_Toc267919286"/>
      <w:bookmarkStart w:id="223" w:name="_Toc2213"/>
      <w:r>
        <w:rPr>
          <w:rFonts w:cs="Times New Roman"/>
          <w:color w:val="auto"/>
          <w:sz w:val="32"/>
          <w:szCs w:val="32"/>
        </w:rPr>
        <w:t>第三部分　　专用合同条款</w:t>
      </w:r>
      <w:bookmarkEnd w:id="218"/>
      <w:bookmarkEnd w:id="219"/>
      <w:bookmarkEnd w:id="220"/>
      <w:bookmarkEnd w:id="221"/>
      <w:bookmarkEnd w:id="222"/>
      <w:bookmarkEnd w:id="223"/>
    </w:p>
    <w:p>
      <w:pPr>
        <w:pStyle w:val="7"/>
        <w:spacing w:before="0" w:after="0" w:line="360" w:lineRule="exact"/>
        <w:ind w:firstLine="422" w:firstLineChars="200"/>
        <w:rPr>
          <w:rFonts w:ascii="Times New Roman" w:hAnsi="Times New Roman"/>
          <w:color w:val="auto"/>
          <w:sz w:val="21"/>
          <w:szCs w:val="21"/>
        </w:rPr>
      </w:pPr>
      <w:bookmarkStart w:id="224" w:name="_Toc351203633"/>
      <w:bookmarkStart w:id="225" w:name="_Toc228163249"/>
      <w:r>
        <w:rPr>
          <w:rFonts w:ascii="Times New Roman" w:hAnsi="Times New Roman"/>
          <w:color w:val="auto"/>
          <w:sz w:val="21"/>
          <w:szCs w:val="21"/>
        </w:rPr>
        <w:t>1</w:t>
      </w:r>
      <w:bookmarkStart w:id="226" w:name="_Toc296891196"/>
      <w:bookmarkStart w:id="227" w:name="_Toc296503156"/>
      <w:bookmarkStart w:id="228" w:name="_Toc296944495"/>
      <w:bookmarkStart w:id="229" w:name="_Toc296890984"/>
      <w:bookmarkStart w:id="230" w:name="_Toc296347155"/>
      <w:bookmarkStart w:id="231" w:name="_Toc297120456"/>
      <w:bookmarkStart w:id="232" w:name="_Toc296346657"/>
      <w:bookmarkStart w:id="233" w:name="_Toc292559866"/>
      <w:bookmarkStart w:id="234" w:name="_Toc297048342"/>
      <w:bookmarkStart w:id="235" w:name="_Toc292559361"/>
      <w:r>
        <w:rPr>
          <w:rFonts w:ascii="Times New Roman" w:hAnsi="Times New Roman"/>
          <w:color w:val="auto"/>
          <w:sz w:val="21"/>
          <w:szCs w:val="21"/>
        </w:rPr>
        <w:t>. 一般约定</w:t>
      </w:r>
      <w:bookmarkEnd w:id="224"/>
    </w:p>
    <w:bookmarkEnd w:id="226"/>
    <w:bookmarkEnd w:id="227"/>
    <w:bookmarkEnd w:id="228"/>
    <w:bookmarkEnd w:id="229"/>
    <w:bookmarkEnd w:id="230"/>
    <w:bookmarkEnd w:id="231"/>
    <w:bookmarkEnd w:id="232"/>
    <w:bookmarkEnd w:id="233"/>
    <w:bookmarkEnd w:id="234"/>
    <w:bookmarkEnd w:id="235"/>
    <w:p>
      <w:pPr>
        <w:spacing w:line="360" w:lineRule="exact"/>
        <w:ind w:firstLine="420" w:firstLineChars="200"/>
        <w:rPr>
          <w:color w:val="auto"/>
        </w:rPr>
      </w:pPr>
      <w:r>
        <w:rPr>
          <w:color w:val="auto"/>
        </w:rPr>
        <w:t>1.1 词语定义</w:t>
      </w:r>
    </w:p>
    <w:p>
      <w:pPr>
        <w:spacing w:line="360" w:lineRule="exact"/>
        <w:ind w:firstLine="420" w:firstLineChars="200"/>
        <w:rPr>
          <w:color w:val="auto"/>
        </w:rPr>
      </w:pPr>
      <w:r>
        <w:rPr>
          <w:color w:val="auto"/>
        </w:rPr>
        <w:t>1.1.1合同</w:t>
      </w:r>
    </w:p>
    <w:p>
      <w:pPr>
        <w:spacing w:line="380" w:lineRule="exact"/>
        <w:ind w:firstLine="420" w:firstLineChars="200"/>
        <w:rPr>
          <w:color w:val="auto"/>
          <w:u w:val="single"/>
        </w:rPr>
      </w:pPr>
      <w:r>
        <w:rPr>
          <w:color w:val="auto"/>
        </w:rPr>
        <w:t>1.1.1.10其他合同文件包括：</w:t>
      </w:r>
      <w:r>
        <w:rPr>
          <w:rFonts w:hint="eastAsia" w:ascii="仿宋" w:hAnsi="仿宋" w:eastAsia="仿宋" w:cs="仿宋"/>
          <w:u w:val="single"/>
        </w:rPr>
        <w:t>工程招标文件、《三门县政府投资项目变更管理（试行）办法》（三政办规〔2023〕4 号）、《关于进一步规范报送工程变更资料的通知》（三发改【2021】42号）除投标函及其附录和已标价工程量清单或预算审核书外的其它投标文件</w:t>
      </w:r>
      <w:r>
        <w:rPr>
          <w:rFonts w:hint="eastAsia"/>
          <w:color w:val="auto"/>
          <w:u w:val="single"/>
        </w:rPr>
        <w:t>。</w:t>
      </w:r>
    </w:p>
    <w:p>
      <w:pPr>
        <w:spacing w:line="360" w:lineRule="exact"/>
        <w:ind w:firstLine="420" w:firstLineChars="200"/>
        <w:rPr>
          <w:color w:val="auto"/>
        </w:rPr>
      </w:pPr>
      <w:r>
        <w:rPr>
          <w:color w:val="auto"/>
        </w:rPr>
        <w:t>1.1.2 合同当事人及其他相关方</w:t>
      </w:r>
    </w:p>
    <w:p>
      <w:pPr>
        <w:spacing w:line="360" w:lineRule="exact"/>
        <w:ind w:firstLine="420" w:firstLineChars="200"/>
        <w:rPr>
          <w:color w:val="auto"/>
        </w:rPr>
      </w:pPr>
      <w:r>
        <w:rPr>
          <w:color w:val="auto"/>
        </w:rPr>
        <w:t>1.1.2.4监理人：</w:t>
      </w:r>
    </w:p>
    <w:p>
      <w:pPr>
        <w:spacing w:line="360" w:lineRule="exact"/>
        <w:ind w:firstLine="420" w:firstLineChars="200"/>
        <w:rPr>
          <w:color w:val="auto"/>
        </w:rPr>
      </w:pPr>
      <w:r>
        <w:rPr>
          <w:color w:val="auto"/>
        </w:rPr>
        <w:t>名    称：</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资质类别和等级：</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联系电话：</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电子信箱：</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通信地址：</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1.1.2.5 设计人：</w:t>
      </w:r>
    </w:p>
    <w:p>
      <w:pPr>
        <w:spacing w:line="360" w:lineRule="exact"/>
        <w:ind w:firstLine="420" w:firstLineChars="200"/>
        <w:rPr>
          <w:color w:val="auto"/>
        </w:rPr>
      </w:pPr>
      <w:r>
        <w:rPr>
          <w:color w:val="auto"/>
        </w:rPr>
        <w:t>名    称：</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资质类别和等级：</w:t>
      </w:r>
      <w:r>
        <w:rPr>
          <w:bCs/>
          <w:color w:val="auto"/>
          <w:u w:val="single"/>
        </w:rPr>
        <w:t xml:space="preserve">   </w:t>
      </w:r>
      <w:r>
        <w:rPr>
          <w:rFonts w:hint="eastAsia"/>
          <w:bCs/>
          <w:color w:val="auto"/>
          <w:u w:val="single"/>
        </w:rPr>
        <w:t xml:space="preserve">                     </w:t>
      </w:r>
      <w:r>
        <w:rPr>
          <w:bCs/>
          <w:color w:val="auto"/>
          <w:u w:val="single"/>
        </w:rPr>
        <w:t xml:space="preserve"> </w:t>
      </w:r>
      <w:r>
        <w:rPr>
          <w:rFonts w:hint="eastAsia"/>
          <w:bCs/>
          <w:color w:val="auto"/>
          <w:u w:val="single"/>
        </w:rPr>
        <w:t xml:space="preserve"> </w:t>
      </w:r>
      <w:r>
        <w:rPr>
          <w:bCs/>
          <w:color w:val="auto"/>
          <w:u w:val="single"/>
        </w:rPr>
        <w:t xml:space="preserve">                     </w:t>
      </w:r>
      <w:r>
        <w:rPr>
          <w:color w:val="auto"/>
        </w:rPr>
        <w:t>；</w:t>
      </w:r>
    </w:p>
    <w:p>
      <w:pPr>
        <w:spacing w:line="360" w:lineRule="exact"/>
        <w:ind w:firstLine="420" w:firstLineChars="200"/>
        <w:rPr>
          <w:color w:val="auto"/>
        </w:rPr>
      </w:pPr>
      <w:r>
        <w:rPr>
          <w:color w:val="auto"/>
        </w:rPr>
        <w:t>联系电话：</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电子信箱：</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通信地址：</w:t>
      </w:r>
      <w:r>
        <w:rPr>
          <w:bCs/>
          <w:color w:val="auto"/>
          <w:u w:val="single"/>
        </w:rPr>
        <w:t xml:space="preserve">                          </w:t>
      </w:r>
      <w:r>
        <w:rPr>
          <w:rFonts w:hint="eastAsia"/>
          <w:bCs/>
          <w:color w:val="auto"/>
          <w:u w:val="single"/>
        </w:rPr>
        <w:t xml:space="preserve">                        </w:t>
      </w:r>
      <w:r>
        <w:rPr>
          <w:bCs/>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1.1.3 工程和设备</w:t>
      </w:r>
    </w:p>
    <w:p>
      <w:pPr>
        <w:spacing w:line="360" w:lineRule="exact"/>
        <w:ind w:firstLine="420" w:firstLineChars="200"/>
        <w:rPr>
          <w:color w:val="auto"/>
        </w:rPr>
      </w:pPr>
      <w:r>
        <w:rPr>
          <w:color w:val="auto"/>
        </w:rPr>
        <w:t>1.1.3.7 作为施工现场组成部分的其他场所包括：</w:t>
      </w:r>
      <w:r>
        <w:rPr>
          <w:color w:val="auto"/>
          <w:u w:val="single"/>
        </w:rPr>
        <w:t xml:space="preserve">                                    </w:t>
      </w:r>
      <w:r>
        <w:rPr>
          <w:color w:val="auto"/>
        </w:rPr>
        <w:t>。</w:t>
      </w:r>
    </w:p>
    <w:p>
      <w:pPr>
        <w:spacing w:line="360" w:lineRule="exact"/>
        <w:ind w:firstLine="420" w:firstLineChars="200"/>
        <w:rPr>
          <w:color w:val="auto"/>
        </w:rPr>
      </w:pPr>
      <w:r>
        <w:rPr>
          <w:color w:val="auto"/>
        </w:rPr>
        <w:t>1.1.3.9 永久占地包括：</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1.1.3.10 临时占地包括：</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 xml:space="preserve">1.3法律 </w:t>
      </w:r>
    </w:p>
    <w:p>
      <w:pPr>
        <w:spacing w:line="360" w:lineRule="auto"/>
        <w:rPr>
          <w:color w:val="auto"/>
          <w:u w:val="single"/>
        </w:rPr>
      </w:pPr>
      <w:r>
        <w:rPr>
          <w:color w:val="auto"/>
        </w:rPr>
        <w:t>适用于合同的其他规范性文件：</w:t>
      </w:r>
      <w:r>
        <w:rPr>
          <w:rFonts w:hint="eastAsia" w:ascii="宋体" w:hAnsi="宋体" w:eastAsia="宋体" w:cs="宋体"/>
          <w:color w:val="0000FF"/>
          <w:u w:val="single"/>
        </w:rPr>
        <w:t>《建设工程工程量清单计价规范》（GB50500-2013）, 建设工程工程量清单计算规范（2013）浙江省补充规定（一）、（二），《浙江省建设工程费用定额》（2018版）、《浙江省通用安装工程预算定额》（2018版）、《浙江省市政工程预算定额》（2018版）、《浙江省园林绿化及仿古建筑工程预算定额》（2018版），《浙江省建设工程计价规则》（2018版）、人工、材料、机械信息价根据《台州造价》2023/6期台州市价格、《台州造价》2023/6期三门地区价格、《浙江造价信息》2023/6期及市场调查价，</w:t>
      </w:r>
      <w:r>
        <w:rPr>
          <w:rFonts w:hint="eastAsia"/>
          <w:color w:val="0000FF"/>
          <w:u w:val="single"/>
        </w:rPr>
        <w:t>浙江省补充规定</w:t>
      </w:r>
      <w:r>
        <w:rPr>
          <w:rFonts w:hint="eastAsia" w:ascii="宋体" w:hAnsi="宋体" w:eastAsia="宋体" w:cs="宋体"/>
          <w:color w:val="0000FF"/>
          <w:u w:val="single"/>
        </w:rPr>
        <w:t>等</w:t>
      </w:r>
      <w:r>
        <w:rPr>
          <w:rFonts w:hint="eastAsia" w:ascii="宋体" w:hAnsi="宋体"/>
          <w:color w:val="0000FF"/>
          <w:u w:val="single"/>
        </w:rPr>
        <w:t>以及</w:t>
      </w:r>
      <w:r>
        <w:rPr>
          <w:color w:val="0000FF"/>
          <w:u w:val="single"/>
        </w:rPr>
        <w:t>工程所在地现行的有关工程造价方面规定</w:t>
      </w:r>
      <w:r>
        <w:rPr>
          <w:color w:val="0000FF"/>
        </w:rPr>
        <w:t>。</w:t>
      </w:r>
    </w:p>
    <w:p>
      <w:pPr>
        <w:spacing w:line="360" w:lineRule="exact"/>
        <w:ind w:firstLine="420" w:firstLineChars="200"/>
        <w:rPr>
          <w:b/>
          <w:color w:val="auto"/>
        </w:rPr>
      </w:pPr>
      <w:r>
        <w:rPr>
          <w:b/>
          <w:color w:val="auto"/>
        </w:rPr>
        <w:t>1.4 标准和规范</w:t>
      </w:r>
    </w:p>
    <w:p>
      <w:pPr>
        <w:spacing w:line="360" w:lineRule="auto"/>
        <w:rPr>
          <w:color w:val="auto"/>
        </w:rPr>
      </w:pPr>
      <w:r>
        <w:rPr>
          <w:color w:val="auto"/>
        </w:rPr>
        <w:t>1.4.1适用于工程的标准规范包括：</w:t>
      </w:r>
      <w:r>
        <w:rPr>
          <w:color w:val="auto"/>
          <w:u w:val="single"/>
        </w:rPr>
        <w:t>现行的国家、省、市施工验收规范、质量评定标准及有关规定。合同工期内的标准、规范，招标文件中的技术要求等</w:t>
      </w:r>
      <w:r>
        <w:rPr>
          <w:color w:val="auto"/>
        </w:rPr>
        <w:t>。</w:t>
      </w:r>
    </w:p>
    <w:p>
      <w:pPr>
        <w:spacing w:line="360" w:lineRule="auto"/>
        <w:rPr>
          <w:color w:val="auto"/>
          <w:u w:val="single"/>
        </w:rPr>
      </w:pPr>
      <w:r>
        <w:rPr>
          <w:color w:val="auto"/>
        </w:rPr>
        <w:t>1.4.2 发包人提供国外标准、规范的名称：</w:t>
      </w:r>
      <w:r>
        <w:rPr>
          <w:color w:val="auto"/>
          <w:u w:val="single"/>
        </w:rPr>
        <w:t xml:space="preserve">       </w:t>
      </w:r>
      <w:r>
        <w:rPr>
          <w:rFonts w:hint="eastAsia"/>
          <w:color w:val="auto"/>
          <w:u w:val="single"/>
        </w:rPr>
        <w:t xml:space="preserve">      /                       </w:t>
      </w:r>
      <w:r>
        <w:rPr>
          <w:color w:val="auto"/>
          <w:u w:val="single"/>
        </w:rPr>
        <w:t xml:space="preserve">          </w:t>
      </w:r>
      <w:r>
        <w:rPr>
          <w:color w:val="auto"/>
        </w:rPr>
        <w:t>；</w:t>
      </w:r>
    </w:p>
    <w:p>
      <w:pPr>
        <w:spacing w:line="360" w:lineRule="auto"/>
        <w:rPr>
          <w:color w:val="auto"/>
        </w:rPr>
      </w:pPr>
      <w:r>
        <w:rPr>
          <w:color w:val="auto"/>
        </w:rPr>
        <w:t>发包人提供国外标准、规范的份数：</w:t>
      </w:r>
      <w:r>
        <w:rPr>
          <w:color w:val="auto"/>
          <w:u w:val="single"/>
        </w:rPr>
        <w:t xml:space="preserve">          </w:t>
      </w:r>
      <w:r>
        <w:rPr>
          <w:rFonts w:hint="eastAsia"/>
          <w:color w:val="auto"/>
          <w:u w:val="single"/>
        </w:rPr>
        <w:t xml:space="preserve">         /                   </w:t>
      </w:r>
      <w:r>
        <w:rPr>
          <w:color w:val="auto"/>
          <w:u w:val="single"/>
        </w:rPr>
        <w:t xml:space="preserve">            </w:t>
      </w:r>
      <w:r>
        <w:rPr>
          <w:color w:val="auto"/>
        </w:rPr>
        <w:t>；</w:t>
      </w:r>
    </w:p>
    <w:p>
      <w:pPr>
        <w:spacing w:line="360" w:lineRule="auto"/>
        <w:rPr>
          <w:color w:val="auto"/>
        </w:rPr>
      </w:pPr>
      <w:r>
        <w:rPr>
          <w:color w:val="auto"/>
        </w:rPr>
        <w:t>发包人提供国外标准、规范的名称：</w:t>
      </w:r>
      <w:r>
        <w:rPr>
          <w:color w:val="auto"/>
          <w:u w:val="single"/>
        </w:rPr>
        <w:t xml:space="preserve">            </w:t>
      </w:r>
      <w:r>
        <w:rPr>
          <w:rFonts w:hint="eastAsia"/>
          <w:color w:val="auto"/>
          <w:u w:val="single"/>
        </w:rPr>
        <w:t xml:space="preserve">       /                     </w:t>
      </w:r>
      <w:r>
        <w:rPr>
          <w:color w:val="auto"/>
          <w:u w:val="single"/>
        </w:rPr>
        <w:t xml:space="preserve">          </w:t>
      </w:r>
      <w:r>
        <w:rPr>
          <w:color w:val="auto"/>
        </w:rPr>
        <w:t>。</w:t>
      </w:r>
    </w:p>
    <w:p>
      <w:pPr>
        <w:spacing w:line="360" w:lineRule="auto"/>
        <w:rPr>
          <w:color w:val="auto"/>
        </w:rPr>
      </w:pPr>
      <w:r>
        <w:rPr>
          <w:color w:val="auto"/>
        </w:rPr>
        <w:t>1.4.3发包人对工程的技术标准和功能要求的特殊要求：</w:t>
      </w:r>
      <w:r>
        <w:rPr>
          <w:rFonts w:hint="eastAsia"/>
          <w:b/>
          <w:bCs/>
          <w:color w:val="auto"/>
          <w:u w:val="single"/>
        </w:rPr>
        <w:t xml:space="preserve">国家或行业如有新的技术标准和功能要求，则要求从新。 </w:t>
      </w:r>
      <w:r>
        <w:rPr>
          <w:rFonts w:hint="eastAsia"/>
          <w:color w:val="auto"/>
          <w:u w:val="single"/>
        </w:rPr>
        <w:t xml:space="preserve"> </w:t>
      </w:r>
    </w:p>
    <w:p>
      <w:pPr>
        <w:spacing w:line="360" w:lineRule="exact"/>
        <w:ind w:firstLine="420" w:firstLineChars="200"/>
        <w:rPr>
          <w:b/>
          <w:color w:val="auto"/>
        </w:rPr>
      </w:pPr>
      <w:r>
        <w:rPr>
          <w:b/>
          <w:color w:val="auto"/>
        </w:rPr>
        <w:t>1.5 合同文件的优先顺序</w:t>
      </w:r>
    </w:p>
    <w:p>
      <w:pPr>
        <w:spacing w:line="360" w:lineRule="exact"/>
        <w:ind w:firstLine="420" w:firstLineChars="200"/>
        <w:rPr>
          <w:color w:val="auto"/>
        </w:rPr>
      </w:pPr>
      <w:r>
        <w:rPr>
          <w:color w:val="auto"/>
        </w:rPr>
        <w:t>合同文件组成及优先顺序为：</w:t>
      </w:r>
      <w:r>
        <w:rPr>
          <w:color w:val="auto"/>
          <w:u w:val="single"/>
        </w:rPr>
        <w:t>按合同</w:t>
      </w:r>
      <w:r>
        <w:rPr>
          <w:rFonts w:hint="eastAsia"/>
          <w:color w:val="auto"/>
          <w:u w:val="single"/>
        </w:rPr>
        <w:t>协议书（六）执行</w:t>
      </w:r>
      <w:r>
        <w:rPr>
          <w:color w:val="auto"/>
        </w:rPr>
        <w:t>。</w:t>
      </w:r>
    </w:p>
    <w:p>
      <w:pPr>
        <w:spacing w:line="360" w:lineRule="exact"/>
        <w:ind w:firstLine="420" w:firstLineChars="200"/>
        <w:rPr>
          <w:b/>
          <w:color w:val="auto"/>
        </w:rPr>
      </w:pPr>
      <w:r>
        <w:rPr>
          <w:b/>
          <w:color w:val="auto"/>
        </w:rPr>
        <w:t>1.6 图纸和承包人文件</w:t>
      </w:r>
      <w:r>
        <w:rPr>
          <w:b/>
          <w:color w:val="auto"/>
        </w:rPr>
        <w:tab/>
      </w:r>
    </w:p>
    <w:p>
      <w:pPr>
        <w:spacing w:line="360" w:lineRule="exact"/>
        <w:ind w:firstLine="420" w:firstLineChars="200"/>
        <w:rPr>
          <w:color w:val="auto"/>
        </w:rPr>
      </w:pPr>
      <w:r>
        <w:rPr>
          <w:color w:val="auto"/>
        </w:rPr>
        <w:t>1.6.1 图纸的提供</w:t>
      </w:r>
    </w:p>
    <w:p>
      <w:pPr>
        <w:spacing w:line="360" w:lineRule="exact"/>
        <w:ind w:firstLine="420" w:firstLineChars="200"/>
        <w:rPr>
          <w:color w:val="auto"/>
        </w:rPr>
      </w:pPr>
      <w:r>
        <w:rPr>
          <w:color w:val="auto"/>
        </w:rPr>
        <w:t>发包人向承包人提供图纸的期限：</w:t>
      </w:r>
      <w:r>
        <w:rPr>
          <w:color w:val="auto"/>
          <w:u w:val="single"/>
        </w:rPr>
        <w:t>开工日期14天前</w:t>
      </w:r>
      <w:r>
        <w:rPr>
          <w:color w:val="auto"/>
        </w:rPr>
        <w:t>；</w:t>
      </w:r>
    </w:p>
    <w:p>
      <w:pPr>
        <w:spacing w:line="360" w:lineRule="exact"/>
        <w:ind w:firstLine="420" w:firstLineChars="200"/>
        <w:rPr>
          <w:color w:val="auto"/>
        </w:rPr>
      </w:pPr>
      <w:r>
        <w:rPr>
          <w:color w:val="auto"/>
        </w:rPr>
        <w:t>发包人向承包人提供图纸的数量：</w:t>
      </w:r>
      <w:r>
        <w:rPr>
          <w:rFonts w:hint="eastAsia"/>
          <w:color w:val="auto"/>
          <w:u w:val="single"/>
        </w:rPr>
        <w:t>纸质施工图〔3 〕套并附目录清单及与其一致的电子版施工图</w:t>
      </w:r>
      <w:r>
        <w:rPr>
          <w:color w:val="auto"/>
        </w:rPr>
        <w:t>；</w:t>
      </w:r>
    </w:p>
    <w:p>
      <w:pPr>
        <w:spacing w:line="360" w:lineRule="exact"/>
        <w:ind w:firstLine="420" w:firstLineChars="200"/>
        <w:rPr>
          <w:color w:val="auto"/>
        </w:rPr>
      </w:pPr>
      <w:r>
        <w:rPr>
          <w:color w:val="auto"/>
        </w:rPr>
        <w:t>发包人向承包人提供图纸的内容：</w:t>
      </w:r>
      <w:r>
        <w:rPr>
          <w:color w:val="auto"/>
          <w:u w:val="single"/>
        </w:rPr>
        <w:t>（须载明施工图纸名称、工程号、版本、出图日期、目录、已有的变更联系单编号等）</w:t>
      </w:r>
      <w:r>
        <w:rPr>
          <w:color w:val="auto"/>
        </w:rPr>
        <w:t>。</w:t>
      </w:r>
    </w:p>
    <w:p>
      <w:pPr>
        <w:spacing w:line="360" w:lineRule="exact"/>
        <w:ind w:firstLine="420" w:firstLineChars="200"/>
        <w:rPr>
          <w:color w:val="auto"/>
        </w:rPr>
      </w:pPr>
      <w:r>
        <w:rPr>
          <w:color w:val="auto"/>
        </w:rPr>
        <w:t>1.6.4 承包人文件</w:t>
      </w:r>
    </w:p>
    <w:p>
      <w:pPr>
        <w:spacing w:line="360" w:lineRule="exact"/>
        <w:ind w:firstLine="420" w:firstLineChars="200"/>
        <w:rPr>
          <w:color w:val="auto"/>
          <w:u w:val="single"/>
        </w:rPr>
      </w:pPr>
      <w:r>
        <w:rPr>
          <w:rFonts w:hint="eastAsia"/>
          <w:color w:val="auto"/>
        </w:rPr>
        <w:t>需要由承包人提供的文件，包括：</w:t>
      </w:r>
      <w:r>
        <w:rPr>
          <w:rFonts w:hint="eastAsia"/>
          <w:color w:val="auto"/>
          <w:u w:val="single"/>
        </w:rPr>
        <w:t>资金月使用计划，施工组织设计、专项施工方案、工程总进度计划、工程月进度计划表等；承包人提交修正后的施工组织设计、专项施工方案等的技术标准不低于投标承诺或原承诺标准，且修改或优化后的施工组织设计、专项施工方案须报监理人、发包人批准；</w:t>
      </w:r>
    </w:p>
    <w:p>
      <w:pPr>
        <w:spacing w:line="360" w:lineRule="exact"/>
        <w:ind w:firstLine="420" w:firstLineChars="200"/>
        <w:rPr>
          <w:color w:val="auto"/>
          <w:u w:val="single"/>
        </w:rPr>
      </w:pPr>
      <w:r>
        <w:rPr>
          <w:rFonts w:hint="eastAsia"/>
          <w:color w:val="auto"/>
        </w:rPr>
        <w:t>承包人提供的文件的期限为：</w:t>
      </w:r>
      <w:r>
        <w:rPr>
          <w:rFonts w:hint="eastAsia"/>
          <w:color w:val="auto"/>
          <w:u w:val="single"/>
        </w:rPr>
        <w:t>施工组织设计、进度计划在接到开工通知（或确定开工日期）后7天内，专项施工方案在相应部位施工前7天；发包人对承包人的施工组织设计（或方案）和进度计划提出质疑和合理修正时，承包人应7天内提供修正完成并重新提交；每月20日前向发包人提交下月进度计划和施工方案；</w:t>
      </w:r>
    </w:p>
    <w:p>
      <w:pPr>
        <w:spacing w:line="360" w:lineRule="exact"/>
        <w:ind w:firstLine="420" w:firstLineChars="200"/>
        <w:rPr>
          <w:color w:val="auto"/>
        </w:rPr>
      </w:pPr>
      <w:r>
        <w:rPr>
          <w:color w:val="auto"/>
        </w:rPr>
        <w:t>承包人提供的文件的数量为：</w:t>
      </w:r>
      <w:r>
        <w:rPr>
          <w:color w:val="auto"/>
          <w:u w:val="single"/>
        </w:rPr>
        <w:t>按发包人要求         </w:t>
      </w:r>
      <w:r>
        <w:rPr>
          <w:color w:val="auto"/>
        </w:rPr>
        <w:t>；</w:t>
      </w:r>
    </w:p>
    <w:p>
      <w:pPr>
        <w:spacing w:line="360" w:lineRule="exact"/>
        <w:ind w:firstLine="420" w:firstLineChars="200"/>
        <w:rPr>
          <w:color w:val="auto"/>
        </w:rPr>
      </w:pPr>
      <w:r>
        <w:rPr>
          <w:color w:val="auto"/>
        </w:rPr>
        <w:t>承包人提供的文件的形式为：</w:t>
      </w:r>
      <w:r>
        <w:rPr>
          <w:color w:val="auto"/>
          <w:u w:val="single"/>
        </w:rPr>
        <w:t>纸质及电子版本     </w:t>
      </w:r>
      <w:r>
        <w:rPr>
          <w:color w:val="auto"/>
        </w:rPr>
        <w:t>；</w:t>
      </w:r>
    </w:p>
    <w:p>
      <w:pPr>
        <w:spacing w:line="360" w:lineRule="exact"/>
        <w:ind w:firstLine="420" w:firstLineChars="200"/>
        <w:rPr>
          <w:color w:val="auto"/>
        </w:rPr>
      </w:pPr>
      <w:r>
        <w:rPr>
          <w:color w:val="auto"/>
        </w:rPr>
        <w:t>发包人审批承包人文件的期限：</w:t>
      </w:r>
      <w:r>
        <w:rPr>
          <w:color w:val="auto"/>
          <w:u w:val="single"/>
        </w:rPr>
        <w:t>收到相应文件后7天内 </w:t>
      </w:r>
      <w:r>
        <w:rPr>
          <w:color w:val="auto"/>
        </w:rPr>
        <w:t>。</w:t>
      </w:r>
    </w:p>
    <w:p>
      <w:pPr>
        <w:spacing w:line="360" w:lineRule="exact"/>
        <w:ind w:firstLine="420" w:firstLineChars="200"/>
        <w:rPr>
          <w:color w:val="auto"/>
        </w:rPr>
      </w:pPr>
      <w:r>
        <w:rPr>
          <w:color w:val="auto"/>
        </w:rPr>
        <w:t>1.6.5 现场图纸准备</w:t>
      </w:r>
    </w:p>
    <w:p>
      <w:pPr>
        <w:spacing w:line="360" w:lineRule="exact"/>
        <w:ind w:firstLine="420" w:firstLineChars="200"/>
        <w:rPr>
          <w:color w:val="auto"/>
        </w:rPr>
      </w:pPr>
      <w:r>
        <w:rPr>
          <w:color w:val="auto"/>
        </w:rPr>
        <w:t>关于现场图纸准备的约定：</w:t>
      </w:r>
      <w:r>
        <w:rPr>
          <w:color w:val="auto"/>
          <w:u w:val="single"/>
        </w:rPr>
        <w:t>由监理人在现场保管一套完整施工图，供发包人、监理人及有关人员进行工程检查等活动时使用 </w:t>
      </w:r>
      <w:r>
        <w:rPr>
          <w:color w:val="auto"/>
        </w:rPr>
        <w:t>。</w:t>
      </w:r>
    </w:p>
    <w:p>
      <w:pPr>
        <w:spacing w:line="360" w:lineRule="exact"/>
        <w:ind w:firstLine="420" w:firstLineChars="200"/>
        <w:rPr>
          <w:color w:val="auto"/>
        </w:rPr>
      </w:pPr>
      <w:r>
        <w:rPr>
          <w:color w:val="auto"/>
        </w:rPr>
        <w:t>1.7 联络</w:t>
      </w:r>
    </w:p>
    <w:p>
      <w:pPr>
        <w:spacing w:line="360" w:lineRule="exact"/>
        <w:ind w:firstLine="420" w:firstLineChars="200"/>
        <w:rPr>
          <w:color w:val="auto"/>
        </w:rPr>
      </w:pPr>
      <w:r>
        <w:rPr>
          <w:color w:val="auto"/>
        </w:rPr>
        <w:t>1.7.1发包人和承包人应当在</w:t>
      </w:r>
      <w:r>
        <w:rPr>
          <w:color w:val="auto"/>
          <w:u w:val="single"/>
        </w:rPr>
        <w:t xml:space="preserve">7  </w:t>
      </w:r>
      <w:r>
        <w:rPr>
          <w:color w:val="auto"/>
        </w:rPr>
        <w:t>天内将与合同有关的通知、批准、证明、证书、指示、指令、要求、请求、同意、意见、确定和决定等书面函件送达对方当事人。</w:t>
      </w:r>
    </w:p>
    <w:p>
      <w:pPr>
        <w:spacing w:line="360" w:lineRule="exact"/>
        <w:ind w:firstLine="420" w:firstLineChars="200"/>
        <w:rPr>
          <w:color w:val="auto"/>
        </w:rPr>
      </w:pPr>
      <w:r>
        <w:rPr>
          <w:rFonts w:hint="eastAsia"/>
          <w:color w:val="auto"/>
        </w:rPr>
        <w:t xml:space="preserve"> 1.7.2发包人接收文件的地点：</w:t>
      </w:r>
      <w:r>
        <w:rPr>
          <w:rFonts w:hint="eastAsia"/>
          <w:color w:val="auto"/>
          <w:u w:val="single"/>
        </w:rPr>
        <w:t xml:space="preserve">  </w:t>
      </w:r>
      <w:r>
        <w:rPr>
          <w:rFonts w:hint="eastAsia" w:ascii="宋体" w:hAnsi="宋体" w:eastAsia="宋体" w:cs="宋体"/>
          <w:color w:val="auto"/>
          <w:u w:val="single"/>
        </w:rPr>
        <w:t>台州市北部湾区经济开发集团有限公司</w:t>
      </w:r>
      <w:r>
        <w:rPr>
          <w:rFonts w:hint="eastAsia"/>
          <w:color w:val="auto"/>
          <w:u w:val="single"/>
        </w:rPr>
        <w:t xml:space="preserve"> </w:t>
      </w:r>
      <w:r>
        <w:rPr>
          <w:rFonts w:hint="eastAsia"/>
          <w:color w:val="auto"/>
        </w:rPr>
        <w:t>；</w:t>
      </w:r>
    </w:p>
    <w:p>
      <w:pPr>
        <w:spacing w:line="360" w:lineRule="exact"/>
        <w:ind w:firstLine="420" w:firstLineChars="200"/>
        <w:rPr>
          <w:color w:val="auto"/>
        </w:rPr>
      </w:pPr>
      <w:r>
        <w:rPr>
          <w:rFonts w:hint="eastAsia"/>
          <w:color w:val="auto"/>
        </w:rPr>
        <w:t>发包人接收文件的电子信箱：</w:t>
      </w:r>
      <w:r>
        <w:rPr>
          <w:rFonts w:hint="eastAsia"/>
          <w:color w:val="auto"/>
          <w:u w:val="single"/>
        </w:rPr>
        <w:t xml:space="preserve">                                       </w:t>
      </w:r>
      <w:r>
        <w:rPr>
          <w:rFonts w:hint="eastAsia"/>
          <w:color w:val="auto"/>
        </w:rPr>
        <w:t>。</w:t>
      </w:r>
    </w:p>
    <w:p>
      <w:pPr>
        <w:spacing w:line="360" w:lineRule="exact"/>
        <w:ind w:firstLine="420" w:firstLineChars="200"/>
        <w:rPr>
          <w:color w:val="auto"/>
        </w:rPr>
      </w:pPr>
      <w:r>
        <w:rPr>
          <w:rFonts w:hint="eastAsia"/>
          <w:color w:val="auto"/>
        </w:rPr>
        <w:t>发包人指定的接收人为：</w:t>
      </w:r>
      <w:r>
        <w:rPr>
          <w:rFonts w:hint="eastAsia"/>
          <w:color w:val="auto"/>
          <w:u w:val="single"/>
        </w:rPr>
        <w:t xml:space="preserve">   </w:t>
      </w:r>
      <w:r>
        <w:rPr>
          <w:rFonts w:hint="eastAsia" w:ascii="宋体" w:hAnsi="宋体" w:eastAsia="宋体" w:cs="宋体"/>
          <w:color w:val="auto"/>
          <w:u w:val="single"/>
        </w:rPr>
        <w:t>薛君</w:t>
      </w:r>
      <w:r>
        <w:rPr>
          <w:rFonts w:hint="eastAsia"/>
          <w:color w:val="auto"/>
          <w:u w:val="single"/>
        </w:rPr>
        <w:t xml:space="preserve">、 </w:t>
      </w:r>
      <w:r>
        <w:rPr>
          <w:rFonts w:hint="eastAsia" w:eastAsiaTheme="minorEastAsia"/>
          <w:color w:val="auto"/>
          <w:u w:val="single"/>
        </w:rPr>
        <w:t>0576-83318539</w:t>
      </w:r>
      <w:r>
        <w:rPr>
          <w:rFonts w:hint="eastAsia"/>
          <w:color w:val="auto"/>
          <w:u w:val="single"/>
        </w:rPr>
        <w:t xml:space="preserve">         </w:t>
      </w:r>
      <w:r>
        <w:rPr>
          <w:rFonts w:hint="eastAsia"/>
          <w:color w:val="auto"/>
        </w:rPr>
        <w:t xml:space="preserve"> 。</w:t>
      </w:r>
    </w:p>
    <w:p>
      <w:pPr>
        <w:spacing w:line="360" w:lineRule="exact"/>
        <w:ind w:firstLine="420" w:firstLineChars="200"/>
        <w:rPr>
          <w:color w:val="auto"/>
        </w:rPr>
      </w:pPr>
      <w:r>
        <w:rPr>
          <w:rFonts w:hint="eastAsia"/>
          <w:color w:val="auto"/>
        </w:rPr>
        <w:t>承包人接收文件的地点：</w:t>
      </w:r>
      <w:r>
        <w:rPr>
          <w:rFonts w:hint="eastAsia"/>
          <w:color w:val="auto"/>
          <w:u w:val="single"/>
        </w:rPr>
        <w:t xml:space="preserve">                                   </w:t>
      </w:r>
      <w:r>
        <w:rPr>
          <w:rFonts w:hint="eastAsia"/>
          <w:color w:val="auto"/>
        </w:rPr>
        <w:t xml:space="preserve"> ；</w:t>
      </w:r>
    </w:p>
    <w:p>
      <w:pPr>
        <w:spacing w:line="360" w:lineRule="exact"/>
        <w:ind w:firstLine="420" w:firstLineChars="200"/>
        <w:rPr>
          <w:color w:val="auto"/>
        </w:rPr>
      </w:pPr>
      <w:r>
        <w:rPr>
          <w:rFonts w:hint="eastAsia"/>
          <w:color w:val="auto"/>
        </w:rPr>
        <w:t>承包人接收文件的电子信箱：</w:t>
      </w:r>
      <w:r>
        <w:rPr>
          <w:rFonts w:hint="eastAsia"/>
          <w:color w:val="auto"/>
          <w:u w:val="single"/>
        </w:rPr>
        <w:t xml:space="preserve">                               </w:t>
      </w:r>
      <w:r>
        <w:rPr>
          <w:rFonts w:hint="eastAsia"/>
          <w:color w:val="auto"/>
        </w:rPr>
        <w:t xml:space="preserve"> 。</w:t>
      </w:r>
    </w:p>
    <w:p>
      <w:pPr>
        <w:spacing w:line="360" w:lineRule="exact"/>
        <w:ind w:firstLine="420" w:firstLineChars="200"/>
        <w:rPr>
          <w:color w:val="auto"/>
        </w:rPr>
      </w:pPr>
      <w:r>
        <w:rPr>
          <w:rFonts w:hint="eastAsia"/>
          <w:color w:val="auto"/>
        </w:rPr>
        <w:t>承包人指定的接收人为：</w:t>
      </w:r>
      <w:r>
        <w:rPr>
          <w:rFonts w:hint="eastAsia"/>
          <w:color w:val="auto"/>
          <w:u w:val="single"/>
        </w:rPr>
        <w:t xml:space="preserve">    （注：2人以上及联系电话）     </w:t>
      </w:r>
      <w:r>
        <w:rPr>
          <w:rFonts w:hint="eastAsia"/>
          <w:color w:val="auto"/>
        </w:rPr>
        <w:t xml:space="preserve"> 。</w:t>
      </w:r>
    </w:p>
    <w:p>
      <w:pPr>
        <w:spacing w:line="360" w:lineRule="exact"/>
        <w:ind w:firstLine="420" w:firstLineChars="200"/>
        <w:rPr>
          <w:color w:val="auto"/>
        </w:rPr>
      </w:pPr>
      <w:r>
        <w:rPr>
          <w:rFonts w:hint="eastAsia"/>
          <w:color w:val="auto"/>
        </w:rPr>
        <w:t>监理人接收文件的地点：</w:t>
      </w:r>
      <w:r>
        <w:rPr>
          <w:rFonts w:hint="eastAsia"/>
          <w:color w:val="auto"/>
          <w:u w:val="single"/>
        </w:rPr>
        <w:t xml:space="preserve">                                   </w:t>
      </w:r>
      <w:r>
        <w:rPr>
          <w:rFonts w:hint="eastAsia"/>
          <w:color w:val="auto"/>
        </w:rPr>
        <w:t xml:space="preserve"> ；</w:t>
      </w:r>
    </w:p>
    <w:p>
      <w:pPr>
        <w:spacing w:line="360" w:lineRule="exact"/>
        <w:ind w:firstLine="420" w:firstLineChars="200"/>
        <w:rPr>
          <w:color w:val="auto"/>
        </w:rPr>
      </w:pPr>
      <w:r>
        <w:rPr>
          <w:rFonts w:hint="eastAsia"/>
          <w:color w:val="auto"/>
        </w:rPr>
        <w:t>监理人接收文件的电子信箱：</w:t>
      </w:r>
      <w:r>
        <w:rPr>
          <w:rFonts w:hint="eastAsia"/>
          <w:color w:val="auto"/>
          <w:u w:val="single"/>
        </w:rPr>
        <w:t xml:space="preserve">                               </w:t>
      </w:r>
      <w:r>
        <w:rPr>
          <w:rFonts w:hint="eastAsia"/>
          <w:color w:val="auto"/>
        </w:rPr>
        <w:t xml:space="preserve"> 。</w:t>
      </w:r>
    </w:p>
    <w:p>
      <w:pPr>
        <w:spacing w:line="360" w:lineRule="exact"/>
        <w:ind w:firstLine="420" w:firstLineChars="200"/>
        <w:rPr>
          <w:color w:val="auto"/>
        </w:rPr>
      </w:pPr>
      <w:r>
        <w:rPr>
          <w:rFonts w:hint="eastAsia"/>
          <w:color w:val="auto"/>
        </w:rPr>
        <w:t>监理人指定的接收人为：</w:t>
      </w:r>
      <w:r>
        <w:rPr>
          <w:rFonts w:hint="eastAsia"/>
          <w:color w:val="auto"/>
          <w:u w:val="single"/>
        </w:rPr>
        <w:t xml:space="preserve">    （注：2人以上及联系电话）     </w:t>
      </w:r>
      <w:r>
        <w:rPr>
          <w:rFonts w:hint="eastAsia"/>
          <w:color w:val="auto"/>
        </w:rPr>
        <w:t xml:space="preserve"> 。</w:t>
      </w:r>
    </w:p>
    <w:p>
      <w:pPr>
        <w:spacing w:line="360" w:lineRule="exact"/>
        <w:ind w:firstLine="420" w:firstLineChars="200"/>
        <w:rPr>
          <w:color w:val="auto"/>
        </w:rPr>
      </w:pPr>
      <w:r>
        <w:rPr>
          <w:rFonts w:hint="eastAsia"/>
          <w:color w:val="auto"/>
        </w:rPr>
        <w:t>发包人、承包人、监理人的文件接收地址、接收人（含联系电话）发生变动的，应提前3天通知各方。</w:t>
      </w:r>
    </w:p>
    <w:p>
      <w:pPr>
        <w:spacing w:line="360" w:lineRule="exact"/>
        <w:ind w:firstLine="420" w:firstLineChars="200"/>
        <w:rPr>
          <w:color w:val="auto"/>
        </w:rPr>
      </w:pPr>
      <w:r>
        <w:rPr>
          <w:color w:val="auto"/>
        </w:rPr>
        <w:t>1.10 交通运输</w:t>
      </w:r>
    </w:p>
    <w:p>
      <w:pPr>
        <w:spacing w:line="360" w:lineRule="exact"/>
        <w:ind w:firstLine="420" w:firstLineChars="200"/>
        <w:rPr>
          <w:color w:val="auto"/>
        </w:rPr>
      </w:pPr>
      <w:r>
        <w:rPr>
          <w:color w:val="auto"/>
        </w:rPr>
        <w:t>1</w:t>
      </w:r>
      <w:bookmarkStart w:id="236" w:name="_Toc303539100"/>
      <w:bookmarkStart w:id="237" w:name="_Toc318581155"/>
      <w:bookmarkStart w:id="238" w:name="_Toc312677986"/>
      <w:bookmarkStart w:id="239" w:name="_Toc304295521"/>
      <w:bookmarkStart w:id="240" w:name="_Toc300934943"/>
      <w:r>
        <w:rPr>
          <w:color w:val="auto"/>
        </w:rPr>
        <w:t>.10.1 出入现场的权利</w:t>
      </w:r>
    </w:p>
    <w:p>
      <w:pPr>
        <w:spacing w:line="360" w:lineRule="exact"/>
        <w:ind w:firstLine="420" w:firstLineChars="200"/>
        <w:rPr>
          <w:color w:val="auto"/>
        </w:rPr>
      </w:pPr>
      <w:r>
        <w:rPr>
          <w:color w:val="auto"/>
        </w:rPr>
        <w:t>关于出入现场的权利的约定：</w:t>
      </w:r>
      <w:r>
        <w:rPr>
          <w:color w:val="auto"/>
          <w:u w:val="single"/>
        </w:rPr>
        <w:t>按合同通用条款</w:t>
      </w:r>
      <w:r>
        <w:rPr>
          <w:rFonts w:hint="eastAsia"/>
          <w:color w:val="auto"/>
          <w:u w:val="single"/>
        </w:rPr>
        <w:t></w:t>
      </w:r>
      <w:r>
        <w:rPr>
          <w:color w:val="auto"/>
        </w:rPr>
        <w:t>。</w:t>
      </w:r>
    </w:p>
    <w:bookmarkEnd w:id="236"/>
    <w:bookmarkEnd w:id="237"/>
    <w:bookmarkEnd w:id="238"/>
    <w:bookmarkEnd w:id="239"/>
    <w:bookmarkEnd w:id="240"/>
    <w:p>
      <w:pPr>
        <w:spacing w:line="360" w:lineRule="exact"/>
        <w:ind w:firstLine="420" w:firstLineChars="200"/>
        <w:rPr>
          <w:color w:val="auto"/>
        </w:rPr>
      </w:pPr>
      <w:r>
        <w:rPr>
          <w:color w:val="auto"/>
        </w:rPr>
        <w:t>1</w:t>
      </w:r>
      <w:bookmarkStart w:id="241" w:name="_Toc304295522"/>
      <w:bookmarkStart w:id="242" w:name="_Toc303539101"/>
      <w:bookmarkStart w:id="243" w:name="_Toc318581156"/>
      <w:bookmarkStart w:id="244" w:name="_Toc312677987"/>
      <w:bookmarkStart w:id="245" w:name="_Toc300934944"/>
      <w:r>
        <w:rPr>
          <w:color w:val="auto"/>
        </w:rPr>
        <w:t>.10.3 场内交通</w:t>
      </w:r>
    </w:p>
    <w:bookmarkEnd w:id="241"/>
    <w:bookmarkEnd w:id="242"/>
    <w:bookmarkEnd w:id="243"/>
    <w:bookmarkEnd w:id="244"/>
    <w:bookmarkEnd w:id="245"/>
    <w:p>
      <w:pPr>
        <w:spacing w:line="360" w:lineRule="exact"/>
        <w:ind w:firstLine="420" w:firstLineChars="200"/>
        <w:rPr>
          <w:color w:val="auto"/>
        </w:rPr>
      </w:pPr>
      <w:r>
        <w:rPr>
          <w:color w:val="auto"/>
        </w:rPr>
        <w:t>关于场外交通和场内交通的边界的</w:t>
      </w:r>
      <w:r>
        <w:rPr>
          <w:color w:val="00B050"/>
        </w:rPr>
        <w:t>约定：</w:t>
      </w:r>
      <w:r>
        <w:rPr>
          <w:rFonts w:hint="eastAsia" w:ascii="宋体" w:hAnsi="宋体" w:cs="宋体"/>
          <w:color w:val="00B050"/>
          <w:u w:val="single"/>
        </w:rPr>
        <w:t>以现场红线为界</w:t>
      </w:r>
      <w:r>
        <w:rPr>
          <w:rFonts w:hint="eastAsia" w:ascii="宋体" w:hAnsi="宋体" w:cs="宋体"/>
          <w:color w:val="00B050"/>
        </w:rPr>
        <w:t>。</w:t>
      </w:r>
    </w:p>
    <w:p>
      <w:pPr>
        <w:spacing w:line="360" w:lineRule="exact"/>
        <w:ind w:firstLine="420" w:firstLineChars="200"/>
        <w:rPr>
          <w:color w:val="auto"/>
        </w:rPr>
      </w:pPr>
      <w:r>
        <w:rPr>
          <w:color w:val="auto"/>
        </w:rPr>
        <w:t>关于发包人向承包人免费提供满足工程施工需要的场内道路和交通设施的约定：</w:t>
      </w:r>
      <w:r>
        <w:rPr>
          <w:rFonts w:hint="eastAsia"/>
          <w:color w:val="auto"/>
          <w:u w:val="single"/>
        </w:rPr>
        <w:t>发包人提供的场内交通条件为现状，承包人自行组织现场踏勘</w:t>
      </w:r>
      <w:r>
        <w:rPr>
          <w:color w:val="auto"/>
        </w:rPr>
        <w:t>。</w:t>
      </w:r>
    </w:p>
    <w:p>
      <w:pPr>
        <w:spacing w:line="360" w:lineRule="exact"/>
        <w:ind w:firstLine="420" w:firstLineChars="200"/>
        <w:rPr>
          <w:color w:val="auto"/>
        </w:rPr>
      </w:pPr>
      <w:r>
        <w:rPr>
          <w:color w:val="auto"/>
        </w:rPr>
        <w:t>1.10.4超大件和超重件的运输</w:t>
      </w:r>
    </w:p>
    <w:p>
      <w:pPr>
        <w:spacing w:line="360" w:lineRule="exact"/>
        <w:ind w:firstLine="420" w:firstLineChars="200"/>
        <w:rPr>
          <w:color w:val="auto"/>
        </w:rPr>
      </w:pPr>
      <w:r>
        <w:rPr>
          <w:color w:val="auto"/>
        </w:rPr>
        <w:t>运输超大件或超重件所需的道路和桥梁临时加固改造费用和其他有关费用由</w:t>
      </w:r>
      <w:r>
        <w:rPr>
          <w:color w:val="auto"/>
          <w:u w:val="single"/>
        </w:rPr>
        <w:t>承包人在报价中综合考虑，并承担相应费用</w:t>
      </w:r>
      <w:r>
        <w:rPr>
          <w:color w:val="auto"/>
        </w:rPr>
        <w:t>。</w:t>
      </w:r>
    </w:p>
    <w:p>
      <w:pPr>
        <w:spacing w:line="360" w:lineRule="exact"/>
        <w:ind w:firstLine="420" w:firstLineChars="200"/>
        <w:rPr>
          <w:color w:val="auto"/>
        </w:rPr>
      </w:pPr>
      <w:r>
        <w:rPr>
          <w:color w:val="auto"/>
        </w:rPr>
        <w:t>1.11 知识产权</w:t>
      </w:r>
    </w:p>
    <w:p>
      <w:pPr>
        <w:spacing w:line="360" w:lineRule="exact"/>
        <w:ind w:firstLine="420" w:firstLineChars="200"/>
        <w:rPr>
          <w:color w:val="auto"/>
        </w:rPr>
      </w:pPr>
      <w:r>
        <w:rPr>
          <w:color w:val="auto"/>
        </w:rPr>
        <w:t>1.11.1关于发包人提供给承包人的图纸、发包人为实施工程自行编制或委托编制的技术规范以及反映发包人关于合同要求或其他类似性质的文件的著作权的归属：</w:t>
      </w:r>
      <w:r>
        <w:rPr>
          <w:color w:val="auto"/>
          <w:u w:val="single"/>
        </w:rPr>
        <w:t xml:space="preserve">按合同通用条款  </w:t>
      </w:r>
      <w:r>
        <w:rPr>
          <w:color w:val="auto"/>
        </w:rPr>
        <w:t>。</w:t>
      </w:r>
    </w:p>
    <w:p>
      <w:pPr>
        <w:spacing w:line="360" w:lineRule="exact"/>
        <w:ind w:firstLine="420" w:firstLineChars="200"/>
        <w:rPr>
          <w:color w:val="auto"/>
        </w:rPr>
      </w:pPr>
      <w:r>
        <w:rPr>
          <w:color w:val="auto"/>
        </w:rPr>
        <w:t>关于发包人提供的上述文件的使用限制的要求：</w:t>
      </w:r>
      <w:r>
        <w:rPr>
          <w:color w:val="auto"/>
          <w:u w:val="single"/>
        </w:rPr>
        <w:t xml:space="preserve"> 按合同通用条款</w:t>
      </w:r>
      <w:r>
        <w:rPr>
          <w:color w:val="auto"/>
        </w:rPr>
        <w:t>。</w:t>
      </w:r>
    </w:p>
    <w:p>
      <w:pPr>
        <w:spacing w:line="360" w:lineRule="exact"/>
        <w:ind w:firstLine="420" w:firstLineChars="200"/>
        <w:rPr>
          <w:color w:val="auto"/>
        </w:rPr>
      </w:pPr>
      <w:r>
        <w:rPr>
          <w:color w:val="auto"/>
        </w:rPr>
        <w:t>1.11.2 关于承包人为实施工程所编制文件的著作权的归属：</w:t>
      </w:r>
      <w:r>
        <w:rPr>
          <w:color w:val="auto"/>
          <w:u w:val="single"/>
        </w:rPr>
        <w:t xml:space="preserve"> 发包人</w:t>
      </w:r>
      <w:r>
        <w:rPr>
          <w:color w:val="auto"/>
        </w:rPr>
        <w:t>。</w:t>
      </w:r>
    </w:p>
    <w:p>
      <w:pPr>
        <w:spacing w:line="360" w:lineRule="exact"/>
        <w:ind w:firstLine="420" w:firstLineChars="200"/>
        <w:rPr>
          <w:color w:val="auto"/>
        </w:rPr>
      </w:pPr>
      <w:r>
        <w:rPr>
          <w:color w:val="auto"/>
        </w:rPr>
        <w:t>关于承包人提供的上述文件的使用限制的要求：</w:t>
      </w:r>
      <w:r>
        <w:rPr>
          <w:color w:val="auto"/>
          <w:u w:val="single"/>
        </w:rPr>
        <w:t>按合同通用条款</w:t>
      </w:r>
      <w:r>
        <w:rPr>
          <w:color w:val="auto"/>
        </w:rPr>
        <w:t>。</w:t>
      </w:r>
    </w:p>
    <w:p>
      <w:pPr>
        <w:spacing w:line="360" w:lineRule="exact"/>
        <w:ind w:firstLine="420" w:firstLineChars="200"/>
        <w:rPr>
          <w:color w:val="auto"/>
        </w:rPr>
      </w:pPr>
      <w:r>
        <w:rPr>
          <w:color w:val="auto"/>
        </w:rPr>
        <w:t>1.11.4 承包人在施工过程中所采用的专利、专有技术、技术秘密的使用费的承担方式：</w:t>
      </w:r>
      <w:r>
        <w:rPr>
          <w:color w:val="auto"/>
          <w:u w:val="single"/>
        </w:rPr>
        <w:t xml:space="preserve">包含在签约合同价内  </w:t>
      </w:r>
      <w:r>
        <w:rPr>
          <w:color w:val="auto"/>
        </w:rPr>
        <w:t>。</w:t>
      </w:r>
    </w:p>
    <w:p>
      <w:pPr>
        <w:spacing w:line="360" w:lineRule="exact"/>
        <w:ind w:firstLine="420" w:firstLineChars="200"/>
        <w:rPr>
          <w:b/>
          <w:color w:val="auto"/>
        </w:rPr>
      </w:pPr>
      <w:r>
        <w:rPr>
          <w:b/>
          <w:color w:val="auto"/>
        </w:rPr>
        <w:t>1.13工程量清单错误的修正</w:t>
      </w:r>
    </w:p>
    <w:p>
      <w:pPr>
        <w:ind w:firstLine="420" w:firstLineChars="200"/>
        <w:rPr>
          <w:color w:val="auto"/>
        </w:rPr>
      </w:pPr>
      <w:bookmarkStart w:id="246" w:name="_Toc351203634"/>
      <w:r>
        <w:rPr>
          <w:color w:val="auto"/>
        </w:rPr>
        <w:t>出现工程量清单错误时，是否调整合同价格：</w:t>
      </w:r>
      <w:r>
        <w:rPr>
          <w:rFonts w:hint="eastAsia"/>
          <w:color w:val="auto"/>
          <w:u w:val="single"/>
        </w:rPr>
        <w:t>工程量清单特征描述不符引起造价变化的子目及工程量清单漏项子目按专用条款10.4.1（2）（3）（4）条约定调整合同价格 。</w:t>
      </w:r>
    </w:p>
    <w:p>
      <w:pPr>
        <w:pStyle w:val="7"/>
        <w:spacing w:before="0" w:after="0" w:line="360" w:lineRule="exact"/>
        <w:ind w:firstLine="420" w:firstLineChars="200"/>
        <w:rPr>
          <w:rFonts w:ascii="Times New Roman" w:hAnsi="Times New Roman" w:eastAsia="宋体"/>
          <w:b w:val="0"/>
          <w:bCs w:val="0"/>
          <w:color w:val="auto"/>
          <w:sz w:val="21"/>
          <w:szCs w:val="21"/>
          <w:u w:val="single"/>
        </w:rPr>
      </w:pPr>
      <w:r>
        <w:rPr>
          <w:rFonts w:ascii="Times New Roman" w:hAnsi="Times New Roman" w:eastAsia="宋体"/>
          <w:b w:val="0"/>
          <w:bCs w:val="0"/>
          <w:color w:val="auto"/>
          <w:sz w:val="21"/>
          <w:szCs w:val="21"/>
        </w:rPr>
        <w:t>允许调整合同价格的工程量偏差范围：</w:t>
      </w:r>
      <w:r>
        <w:rPr>
          <w:rFonts w:hint="eastAsia" w:ascii="Times New Roman" w:hAnsi="Times New Roman" w:eastAsia="宋体"/>
          <w:b w:val="0"/>
          <w:bCs w:val="0"/>
          <w:color w:val="auto"/>
          <w:sz w:val="21"/>
          <w:szCs w:val="21"/>
          <w:u w:val="single"/>
        </w:rPr>
        <w:t>因招标工程量清单中的工程量计算偏差或工程变更等引起的工程量变化不调整综合单价；但如综合单价异常（综合单价异常是指：投标综合单价与按本项目招标控制价（或预算审核价）编制依据计算的综合单价偏差±30%以上），工程量增加，调整综合单价的工程量偏差范围及综合单价确定方法按专用条款10.4.1（1）（2）（3）（4）条约定，工程量减少按投标综合单价计算，不调整综合单价。</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2</w:t>
      </w:r>
      <w:bookmarkStart w:id="247" w:name="_Toc297048343"/>
      <w:bookmarkStart w:id="248" w:name="_Toc296503157"/>
      <w:bookmarkStart w:id="249" w:name="_Toc292559867"/>
      <w:bookmarkStart w:id="250" w:name="_Toc297120457"/>
      <w:bookmarkStart w:id="251" w:name="_Toc296891197"/>
      <w:bookmarkStart w:id="252" w:name="_Toc296890985"/>
      <w:bookmarkStart w:id="253" w:name="_Toc292559362"/>
      <w:bookmarkStart w:id="254" w:name="_Toc296944496"/>
      <w:bookmarkStart w:id="255" w:name="_Toc296347156"/>
      <w:bookmarkStart w:id="256" w:name="_Toc296346658"/>
      <w:r>
        <w:rPr>
          <w:rFonts w:ascii="Times New Roman" w:hAnsi="Times New Roman"/>
          <w:color w:val="auto"/>
          <w:sz w:val="21"/>
          <w:szCs w:val="21"/>
        </w:rPr>
        <w:t>. 发包人</w:t>
      </w:r>
      <w:bookmarkEnd w:id="246"/>
    </w:p>
    <w:bookmarkEnd w:id="247"/>
    <w:bookmarkEnd w:id="248"/>
    <w:bookmarkEnd w:id="249"/>
    <w:bookmarkEnd w:id="250"/>
    <w:bookmarkEnd w:id="251"/>
    <w:bookmarkEnd w:id="252"/>
    <w:bookmarkEnd w:id="253"/>
    <w:bookmarkEnd w:id="254"/>
    <w:bookmarkEnd w:id="255"/>
    <w:bookmarkEnd w:id="256"/>
    <w:p>
      <w:pPr>
        <w:spacing w:line="360" w:lineRule="exact"/>
        <w:ind w:firstLine="420" w:firstLineChars="200"/>
        <w:rPr>
          <w:color w:val="auto"/>
        </w:rPr>
      </w:pPr>
      <w:r>
        <w:rPr>
          <w:color w:val="auto"/>
        </w:rPr>
        <w:t>2.2 发包人代表</w:t>
      </w:r>
    </w:p>
    <w:p>
      <w:pPr>
        <w:spacing w:line="360" w:lineRule="exact"/>
        <w:ind w:firstLine="420" w:firstLineChars="200"/>
        <w:rPr>
          <w:color w:val="auto"/>
        </w:rPr>
      </w:pPr>
      <w:r>
        <w:rPr>
          <w:color w:val="auto"/>
        </w:rPr>
        <w:t>发包人代表：</w:t>
      </w:r>
    </w:p>
    <w:p>
      <w:pPr>
        <w:spacing w:line="360" w:lineRule="exact"/>
        <w:ind w:firstLine="420" w:firstLineChars="200"/>
        <w:rPr>
          <w:rFonts w:ascii="宋体" w:hAnsi="宋体"/>
          <w:color w:val="auto"/>
        </w:rPr>
      </w:pPr>
      <w:r>
        <w:rPr>
          <w:rFonts w:hint="eastAsia" w:ascii="宋体" w:hAnsi="宋体"/>
          <w:color w:val="auto"/>
        </w:rPr>
        <w:t>姓    名：</w:t>
      </w:r>
      <w:r>
        <w:rPr>
          <w:rFonts w:hint="eastAsia" w:ascii="宋体" w:hAnsi="宋体" w:cs="宋体"/>
          <w:color w:val="auto"/>
          <w:u w:val="single"/>
        </w:rPr>
        <w:t xml:space="preserve"> </w:t>
      </w:r>
      <w:r>
        <w:rPr>
          <w:rFonts w:hint="eastAsia" w:ascii="宋体" w:hAnsi="宋体" w:eastAsia="宋体" w:cs="宋体"/>
          <w:color w:val="auto"/>
          <w:u w:val="single"/>
        </w:rPr>
        <w:t>薛君</w:t>
      </w:r>
      <w:r>
        <w:rPr>
          <w:rFonts w:hint="eastAsia" w:ascii="宋体" w:hAnsi="宋体" w:cs="宋体"/>
          <w:color w:val="auto"/>
          <w:u w:val="single"/>
        </w:rPr>
        <w:t xml:space="preserve"> </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；身份证号：</w:t>
      </w:r>
      <w:r>
        <w:rPr>
          <w:rFonts w:hint="eastAsia" w:ascii="宋体" w:hAnsi="宋体" w:cs="宋体"/>
          <w:color w:val="auto"/>
          <w:u w:val="single"/>
        </w:rPr>
        <w:t xml:space="preserve">                 </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w:t>
      </w:r>
    </w:p>
    <w:p>
      <w:pPr>
        <w:spacing w:line="360" w:lineRule="exact"/>
        <w:ind w:firstLine="420" w:firstLineChars="200"/>
        <w:rPr>
          <w:rFonts w:ascii="宋体" w:hAnsi="宋体"/>
          <w:color w:val="auto"/>
        </w:rPr>
      </w:pPr>
      <w:r>
        <w:rPr>
          <w:rFonts w:hint="eastAsia" w:ascii="宋体" w:hAnsi="宋体"/>
          <w:color w:val="auto"/>
        </w:rPr>
        <w:t>职    务：</w:t>
      </w:r>
      <w:r>
        <w:rPr>
          <w:rFonts w:hint="eastAsia" w:ascii="宋体" w:hAnsi="宋体" w:cs="宋体"/>
          <w:color w:val="auto"/>
          <w:u w:val="single"/>
        </w:rPr>
        <w:t xml:space="preserve"> </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；联系电话：</w:t>
      </w:r>
      <w:r>
        <w:rPr>
          <w:rFonts w:hint="eastAsia" w:ascii="宋体" w:hAnsi="宋体" w:cs="宋体"/>
          <w:color w:val="auto"/>
          <w:u w:val="single"/>
        </w:rPr>
        <w:t></w:t>
      </w:r>
      <w:r>
        <w:rPr>
          <w:rFonts w:hint="eastAsia"/>
          <w:color w:val="auto"/>
          <w:u w:val="single"/>
        </w:rPr>
        <w:t xml:space="preserve"> </w:t>
      </w:r>
      <w:r>
        <w:rPr>
          <w:rFonts w:hint="eastAsia" w:ascii="宋体" w:hAnsi="宋体"/>
          <w:color w:val="auto"/>
          <w:u w:val="single"/>
        </w:rPr>
        <w:t xml:space="preserve"> 0576-83318539     ；</w:t>
      </w:r>
    </w:p>
    <w:p>
      <w:pPr>
        <w:spacing w:line="360" w:lineRule="exact"/>
        <w:ind w:firstLine="420" w:firstLineChars="200"/>
        <w:rPr>
          <w:color w:val="auto"/>
        </w:rPr>
      </w:pPr>
      <w:r>
        <w:rPr>
          <w:rFonts w:hint="eastAsia" w:ascii="宋体" w:hAnsi="宋体"/>
          <w:color w:val="auto"/>
        </w:rPr>
        <w:t>电子信箱：</w:t>
      </w:r>
      <w:r>
        <w:rPr>
          <w:rFonts w:hint="eastAsia"/>
          <w:color w:val="auto"/>
          <w:u w:val="single"/>
        </w:rPr>
        <w:t xml:space="preserve">                  </w:t>
      </w:r>
      <w:r>
        <w:rPr>
          <w:rFonts w:hint="eastAsia" w:ascii="宋体" w:hAnsi="宋体"/>
          <w:color w:val="auto"/>
        </w:rPr>
        <w:t>；通信地址：</w:t>
      </w:r>
      <w:r>
        <w:rPr>
          <w:rFonts w:hint="eastAsia"/>
          <w:color w:val="auto"/>
          <w:u w:val="single"/>
        </w:rPr>
        <w:t xml:space="preserve">                             </w:t>
      </w:r>
      <w:r>
        <w:rPr>
          <w:rFonts w:hint="eastAsia" w:ascii="宋体" w:hAnsi="宋体" w:cs="宋体"/>
          <w:color w:val="auto"/>
          <w:u w:val="single"/>
        </w:rPr>
        <w:t></w:t>
      </w:r>
      <w:r>
        <w:rPr>
          <w:rFonts w:hint="eastAsia" w:ascii="宋体" w:hAnsi="宋体"/>
          <w:color w:val="auto"/>
        </w:rPr>
        <w:t>。</w:t>
      </w:r>
    </w:p>
    <w:p>
      <w:pPr>
        <w:spacing w:line="360" w:lineRule="exact"/>
        <w:ind w:firstLine="420" w:firstLineChars="200"/>
        <w:rPr>
          <w:b/>
          <w:color w:val="auto"/>
        </w:rPr>
      </w:pPr>
      <w:r>
        <w:rPr>
          <w:color w:val="auto"/>
        </w:rPr>
        <w:t>发包人对发包人代表的授权范围如下：</w:t>
      </w:r>
      <w:r>
        <w:rPr>
          <w:rFonts w:hint="eastAsia" w:ascii="宋体" w:hAnsi="宋体" w:cs="宋体"/>
          <w:b/>
          <w:u w:val="single"/>
        </w:rPr>
        <w:t>对质量、成本、安全、进度进行全面管理，但涉及合同价格变更、安全事故、质量事故等重大事项的处理须经发包人领导班子签字同意并加盖公章方有效。</w:t>
      </w:r>
    </w:p>
    <w:p>
      <w:pPr>
        <w:spacing w:line="360" w:lineRule="exact"/>
        <w:ind w:firstLine="420" w:firstLineChars="200"/>
        <w:rPr>
          <w:color w:val="auto"/>
        </w:rPr>
      </w:pPr>
      <w:r>
        <w:rPr>
          <w:color w:val="auto"/>
        </w:rPr>
        <w:t>2.4 施工现场、施工条件和基础资料的提供</w:t>
      </w:r>
    </w:p>
    <w:p>
      <w:pPr>
        <w:spacing w:line="360" w:lineRule="exact"/>
        <w:ind w:firstLine="420" w:firstLineChars="200"/>
        <w:rPr>
          <w:color w:val="auto"/>
        </w:rPr>
      </w:pPr>
      <w:r>
        <w:rPr>
          <w:color w:val="auto"/>
        </w:rPr>
        <w:t>2.4.1 提供施工现场</w:t>
      </w:r>
    </w:p>
    <w:p>
      <w:pPr>
        <w:spacing w:line="360" w:lineRule="exact"/>
        <w:ind w:firstLine="420" w:firstLineChars="200"/>
        <w:rPr>
          <w:color w:val="auto"/>
        </w:rPr>
      </w:pPr>
      <w:r>
        <w:rPr>
          <w:color w:val="auto"/>
        </w:rPr>
        <w:t>关于发包人移交施工现场的期限要求：</w:t>
      </w:r>
      <w:r>
        <w:rPr>
          <w:rFonts w:hint="eastAsia"/>
          <w:color w:val="auto"/>
          <w:u w:val="single"/>
        </w:rPr>
        <w:t>开工日期7天前  。</w:t>
      </w:r>
    </w:p>
    <w:p>
      <w:pPr>
        <w:spacing w:line="360" w:lineRule="exact"/>
        <w:ind w:firstLine="420" w:firstLineChars="200"/>
        <w:rPr>
          <w:color w:val="auto"/>
        </w:rPr>
      </w:pPr>
      <w:r>
        <w:rPr>
          <w:color w:val="auto"/>
        </w:rPr>
        <w:t>2.4.2 提供施工条件</w:t>
      </w:r>
    </w:p>
    <w:p>
      <w:pPr>
        <w:spacing w:line="360" w:lineRule="exact"/>
        <w:ind w:firstLine="420" w:firstLineChars="200"/>
        <w:rPr>
          <w:color w:val="auto"/>
          <w:u w:val="single"/>
        </w:rPr>
      </w:pPr>
      <w:r>
        <w:rPr>
          <w:color w:val="auto"/>
        </w:rPr>
        <w:t>关于发包人应负责提供施工所需要的条件，包括：</w:t>
      </w:r>
      <w:r>
        <w:rPr>
          <w:color w:val="auto"/>
          <w:u w:val="single"/>
        </w:rPr>
        <w:t xml:space="preserve">   </w:t>
      </w:r>
      <w:r>
        <w:rPr>
          <w:rFonts w:hint="eastAsia"/>
          <w:color w:val="auto"/>
          <w:u w:val="single"/>
        </w:rPr>
        <w:t>施工用临时水源、电源的接入、安装，委托承包人完成，发包人配合协调 。</w:t>
      </w:r>
    </w:p>
    <w:p>
      <w:pPr>
        <w:spacing w:line="360" w:lineRule="exact"/>
        <w:ind w:firstLine="420" w:firstLineChars="200"/>
        <w:rPr>
          <w:color w:val="auto"/>
        </w:rPr>
      </w:pPr>
      <w:r>
        <w:rPr>
          <w:color w:val="auto"/>
        </w:rPr>
        <w:t>2.5 资金来源证明及支付担保</w:t>
      </w:r>
    </w:p>
    <w:p>
      <w:pPr>
        <w:spacing w:line="360" w:lineRule="exact"/>
        <w:ind w:firstLine="420" w:firstLineChars="200"/>
        <w:rPr>
          <w:color w:val="auto"/>
        </w:rPr>
      </w:pPr>
      <w:r>
        <w:rPr>
          <w:color w:val="auto"/>
        </w:rPr>
        <w:t>发包人提供资金来源证明的期限要求：</w:t>
      </w:r>
      <w:r>
        <w:rPr>
          <w:color w:val="auto"/>
          <w:u w:val="single"/>
        </w:rPr>
        <w:t xml:space="preserve">       /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发包人是否提供支付担保：</w:t>
      </w:r>
      <w:r>
        <w:rPr>
          <w:color w:val="auto"/>
          <w:u w:val="single"/>
        </w:rPr>
        <w:t xml:space="preserve">       /         </w:t>
      </w:r>
      <w:r>
        <w:rPr>
          <w:color w:val="auto"/>
        </w:rPr>
        <w:t>。</w:t>
      </w:r>
    </w:p>
    <w:p>
      <w:pPr>
        <w:spacing w:line="360" w:lineRule="exact"/>
        <w:ind w:firstLine="420" w:firstLineChars="200"/>
        <w:rPr>
          <w:color w:val="auto"/>
          <w:u w:val="single"/>
        </w:rPr>
      </w:pPr>
      <w:r>
        <w:rPr>
          <w:color w:val="auto"/>
        </w:rPr>
        <w:t>发包人提供支付担保的形式：</w:t>
      </w:r>
      <w:r>
        <w:rPr>
          <w:color w:val="auto"/>
          <w:u w:val="single"/>
        </w:rPr>
        <w:t xml:space="preserve">    /        </w:t>
      </w:r>
      <w:r>
        <w:rPr>
          <w:color w:val="auto"/>
        </w:rPr>
        <w:t>。</w:t>
      </w:r>
    </w:p>
    <w:p>
      <w:pPr>
        <w:spacing w:line="380" w:lineRule="exact"/>
        <w:ind w:firstLine="420" w:firstLineChars="200"/>
        <w:rPr>
          <w:rFonts w:ascii="宋体" w:hAnsi="宋体" w:cs="宋体"/>
          <w:b/>
          <w:bCs/>
          <w:color w:val="auto"/>
        </w:rPr>
      </w:pPr>
      <w:bookmarkStart w:id="257" w:name="_Toc351203635"/>
      <w:r>
        <w:rPr>
          <w:rFonts w:hint="eastAsia" w:ascii="宋体" w:hAnsi="宋体" w:cs="宋体"/>
          <w:b/>
          <w:bCs/>
          <w:color w:val="auto"/>
        </w:rPr>
        <w:t>2.6 支付合同价款</w:t>
      </w:r>
    </w:p>
    <w:p>
      <w:pPr>
        <w:spacing w:line="380" w:lineRule="exact"/>
        <w:ind w:firstLine="420" w:firstLineChars="200"/>
        <w:rPr>
          <w:color w:val="auto"/>
        </w:rPr>
      </w:pPr>
      <w:r>
        <w:rPr>
          <w:rFonts w:hint="eastAsia"/>
          <w:color w:val="auto"/>
        </w:rPr>
        <w:t>发包人应按合同约定向承包人及时支付合同价款。</w:t>
      </w:r>
    </w:p>
    <w:p>
      <w:pPr>
        <w:spacing w:line="380" w:lineRule="exact"/>
        <w:ind w:firstLine="420" w:firstLineChars="200"/>
        <w:rPr>
          <w:rFonts w:ascii="宋体" w:hAnsi="宋体" w:cs="宋体"/>
          <w:b/>
          <w:bCs/>
          <w:color w:val="auto"/>
        </w:rPr>
      </w:pPr>
      <w:r>
        <w:rPr>
          <w:rFonts w:hint="eastAsia" w:ascii="宋体" w:hAnsi="宋体" w:cs="宋体"/>
          <w:b/>
          <w:bCs/>
          <w:color w:val="auto"/>
        </w:rPr>
        <w:t>2.7 组织竣工验收</w:t>
      </w:r>
    </w:p>
    <w:p>
      <w:pPr>
        <w:spacing w:line="380" w:lineRule="exact"/>
        <w:ind w:firstLine="420" w:firstLineChars="200"/>
        <w:rPr>
          <w:color w:val="auto"/>
        </w:rPr>
      </w:pPr>
      <w:r>
        <w:rPr>
          <w:rFonts w:hint="eastAsia"/>
          <w:color w:val="auto"/>
        </w:rPr>
        <w:t>发包人应按合同约定及时组织竣工验收。</w:t>
      </w:r>
    </w:p>
    <w:p>
      <w:pPr>
        <w:spacing w:line="380" w:lineRule="exact"/>
        <w:ind w:firstLine="420" w:firstLineChars="200"/>
        <w:rPr>
          <w:color w:val="auto"/>
        </w:rPr>
      </w:pPr>
      <w:r>
        <w:rPr>
          <w:rFonts w:hint="eastAsia"/>
          <w:color w:val="auto"/>
          <w:u w:val="single"/>
        </w:rPr>
        <w:t>承包人完成合同范围内工程内容，发包人应根据施工图纸、现行施工验收规范和质量验收标准及时组织工程质量验收。</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3</w:t>
      </w:r>
      <w:bookmarkStart w:id="258" w:name="_Toc297120458"/>
      <w:bookmarkStart w:id="259" w:name="_Toc292559363"/>
      <w:bookmarkStart w:id="260" w:name="_Toc296944497"/>
      <w:bookmarkStart w:id="261" w:name="_Toc296890986"/>
      <w:bookmarkStart w:id="262" w:name="_Toc292559868"/>
      <w:bookmarkStart w:id="263" w:name="_Toc296347157"/>
      <w:bookmarkStart w:id="264" w:name="_Toc296891198"/>
      <w:bookmarkStart w:id="265" w:name="_Toc297048344"/>
      <w:bookmarkStart w:id="266" w:name="_Toc296503158"/>
      <w:bookmarkStart w:id="267" w:name="_Toc296346659"/>
      <w:r>
        <w:rPr>
          <w:rFonts w:ascii="Times New Roman" w:hAnsi="Times New Roman"/>
          <w:color w:val="auto"/>
          <w:sz w:val="21"/>
          <w:szCs w:val="21"/>
        </w:rPr>
        <w:t>. 承包人</w:t>
      </w:r>
      <w:bookmarkEnd w:id="257"/>
    </w:p>
    <w:bookmarkEnd w:id="258"/>
    <w:bookmarkEnd w:id="259"/>
    <w:bookmarkEnd w:id="260"/>
    <w:bookmarkEnd w:id="261"/>
    <w:bookmarkEnd w:id="262"/>
    <w:bookmarkEnd w:id="263"/>
    <w:bookmarkEnd w:id="264"/>
    <w:bookmarkEnd w:id="265"/>
    <w:bookmarkEnd w:id="266"/>
    <w:bookmarkEnd w:id="267"/>
    <w:p>
      <w:pPr>
        <w:spacing w:line="360" w:lineRule="exact"/>
        <w:ind w:firstLine="420" w:firstLineChars="200"/>
        <w:rPr>
          <w:color w:val="auto"/>
        </w:rPr>
      </w:pPr>
      <w:r>
        <w:rPr>
          <w:color w:val="auto"/>
        </w:rPr>
        <w:t>3.1 承包人的一般义务</w:t>
      </w:r>
    </w:p>
    <w:p>
      <w:pPr>
        <w:spacing w:line="360" w:lineRule="exact"/>
        <w:ind w:firstLine="420" w:firstLineChars="200"/>
        <w:rPr>
          <w:color w:val="auto"/>
        </w:rPr>
      </w:pPr>
      <w:r>
        <w:rPr>
          <w:color w:val="auto"/>
        </w:rPr>
        <w:t>（9）承包人提交的竣工资料的内容：</w:t>
      </w:r>
      <w:r>
        <w:rPr>
          <w:rFonts w:hint="eastAsia"/>
          <w:color w:val="auto"/>
          <w:u w:val="single"/>
        </w:rPr>
        <w:t>向发包人提交按规范规定应由承包人编制部分的竣工资料，包括含施工过程中验收、检查时拍摄或录制的相片、影像资料等，并符合建设工程资料存档要求</w:t>
      </w:r>
      <w:r>
        <w:rPr>
          <w:color w:val="auto"/>
        </w:rPr>
        <w:t>。</w:t>
      </w:r>
    </w:p>
    <w:p>
      <w:pPr>
        <w:adjustRightInd/>
        <w:snapToGrid/>
        <w:spacing w:line="312" w:lineRule="auto"/>
        <w:ind w:firstLine="420" w:firstLineChars="200"/>
        <w:rPr>
          <w:rFonts w:ascii="宋体" w:hAnsi="宋体" w:cs="宋体"/>
        </w:rPr>
      </w:pPr>
      <w:r>
        <w:rPr>
          <w:rFonts w:hint="eastAsia" w:ascii="宋体" w:hAnsi="宋体" w:cs="宋体"/>
        </w:rPr>
        <w:t>承包人需要提交的竣工资料套数：</w:t>
      </w:r>
      <w:r>
        <w:rPr>
          <w:rFonts w:hint="eastAsia" w:ascii="宋体" w:hAnsi="宋体" w:cs="宋体"/>
          <w:u w:val="single"/>
        </w:rPr>
        <w:t xml:space="preserve">     两套   </w:t>
      </w:r>
      <w:r>
        <w:rPr>
          <w:rFonts w:hint="eastAsia" w:ascii="宋体" w:hAnsi="宋体" w:cs="宋体"/>
        </w:rPr>
        <w:t>。</w:t>
      </w:r>
    </w:p>
    <w:p>
      <w:pPr>
        <w:spacing w:line="360" w:lineRule="exact"/>
        <w:ind w:firstLine="420" w:firstLineChars="200"/>
        <w:rPr>
          <w:color w:val="auto"/>
        </w:rPr>
      </w:pPr>
      <w:r>
        <w:rPr>
          <w:color w:val="auto"/>
        </w:rPr>
        <w:t>承包人提交的竣工资料的费用承担：</w:t>
      </w:r>
      <w:r>
        <w:rPr>
          <w:color w:val="auto"/>
          <w:u w:val="single"/>
        </w:rPr>
        <w:t xml:space="preserve">由承包人承担  </w:t>
      </w:r>
      <w:r>
        <w:rPr>
          <w:color w:val="auto"/>
        </w:rPr>
        <w:t>。</w:t>
      </w:r>
    </w:p>
    <w:p>
      <w:pPr>
        <w:spacing w:line="360" w:lineRule="exact"/>
        <w:ind w:firstLine="420" w:firstLineChars="200"/>
        <w:rPr>
          <w:color w:val="auto"/>
        </w:rPr>
      </w:pPr>
      <w:r>
        <w:rPr>
          <w:color w:val="auto"/>
        </w:rPr>
        <w:t>承包人提交的竣工资料移交时间：</w:t>
      </w:r>
      <w:r>
        <w:rPr>
          <w:color w:val="auto"/>
          <w:u w:val="single"/>
        </w:rPr>
        <w:t>工程竣工验收合格后7天内</w:t>
      </w:r>
      <w:r>
        <w:rPr>
          <w:color w:val="auto"/>
        </w:rPr>
        <w:t>。</w:t>
      </w:r>
    </w:p>
    <w:p>
      <w:pPr>
        <w:spacing w:line="360" w:lineRule="exact"/>
        <w:ind w:firstLine="420" w:firstLineChars="200"/>
        <w:rPr>
          <w:color w:val="auto"/>
        </w:rPr>
      </w:pPr>
      <w:r>
        <w:rPr>
          <w:color w:val="auto"/>
        </w:rPr>
        <w:t>承包人提交的竣工资料形式要求：</w:t>
      </w:r>
      <w:r>
        <w:rPr>
          <w:color w:val="auto"/>
          <w:u w:val="single"/>
        </w:rPr>
        <w:t xml:space="preserve">   纸质及相关电子数据  </w:t>
      </w:r>
      <w:r>
        <w:rPr>
          <w:color w:val="auto"/>
        </w:rPr>
        <w:t>。</w:t>
      </w:r>
    </w:p>
    <w:p>
      <w:pPr>
        <w:spacing w:line="360" w:lineRule="exact"/>
        <w:ind w:firstLine="420" w:firstLineChars="200"/>
        <w:rPr>
          <w:color w:val="auto"/>
          <w:u w:val="single"/>
        </w:rPr>
      </w:pPr>
      <w:r>
        <w:rPr>
          <w:color w:val="auto"/>
        </w:rPr>
        <w:t>（10）承包人应履行的其他义务：</w:t>
      </w:r>
    </w:p>
    <w:p>
      <w:pPr>
        <w:spacing w:line="360" w:lineRule="exact"/>
        <w:ind w:firstLine="420" w:firstLineChars="200"/>
        <w:rPr>
          <w:color w:val="auto"/>
          <w:u w:val="single"/>
        </w:rPr>
      </w:pPr>
      <w:r>
        <w:rPr>
          <w:color w:val="auto"/>
          <w:u w:val="single"/>
        </w:rPr>
        <w:t xml:space="preserve">a.向发包人、监理人提供施工现场办公室各1间免费使用。 </w:t>
      </w:r>
    </w:p>
    <w:p>
      <w:pPr>
        <w:spacing w:line="360" w:lineRule="exact"/>
        <w:ind w:firstLine="420" w:firstLineChars="200"/>
        <w:rPr>
          <w:color w:val="auto"/>
          <w:u w:val="single"/>
        </w:rPr>
      </w:pPr>
      <w:r>
        <w:rPr>
          <w:color w:val="auto"/>
          <w:u w:val="single"/>
        </w:rPr>
        <w:t>b.在施工中必须严格按照规范操作，并针对邻近建筑物实际情况，采取相应防护措施，对不按规范要求施工或未采取防护措施的，造成的损失由承包人承担。</w:t>
      </w:r>
    </w:p>
    <w:p>
      <w:pPr>
        <w:spacing w:line="360" w:lineRule="exact"/>
        <w:ind w:firstLine="420" w:firstLineChars="200"/>
        <w:rPr>
          <w:color w:val="auto"/>
          <w:u w:val="single"/>
        </w:rPr>
      </w:pPr>
      <w:r>
        <w:rPr>
          <w:color w:val="auto"/>
          <w:u w:val="single"/>
        </w:rPr>
        <w:t>c.本项目施工安全由承包人负总责。</w:t>
      </w:r>
    </w:p>
    <w:p>
      <w:pPr>
        <w:spacing w:line="360" w:lineRule="exact"/>
        <w:ind w:firstLine="420" w:firstLineChars="200"/>
        <w:rPr>
          <w:rFonts w:eastAsia="宋体"/>
          <w:color w:val="auto"/>
          <w:u w:val="single"/>
        </w:rPr>
      </w:pPr>
      <w:r>
        <w:rPr>
          <w:color w:val="auto"/>
          <w:u w:val="single"/>
        </w:rPr>
        <w:t>d.</w:t>
      </w:r>
      <w:r>
        <w:rPr>
          <w:rFonts w:hint="eastAsia"/>
          <w:color w:val="auto"/>
          <w:u w:val="single"/>
        </w:rPr>
        <w:t>按当地有关部门要求，由承包人办理有关施工场地交通、环卫和施工噪音排放等手续。</w:t>
      </w:r>
    </w:p>
    <w:p>
      <w:pPr>
        <w:spacing w:line="360" w:lineRule="exact"/>
        <w:ind w:firstLine="420" w:firstLineChars="200"/>
        <w:rPr>
          <w:rFonts w:ascii="宋体" w:hAnsi="宋体"/>
          <w:b/>
          <w:color w:val="auto"/>
          <w:u w:val="single"/>
        </w:rPr>
      </w:pPr>
      <w:r>
        <w:rPr>
          <w:rFonts w:ascii="宋体" w:hAnsi="宋体"/>
          <w:b/>
          <w:color w:val="auto"/>
          <w:u w:val="single"/>
        </w:rPr>
        <w:t>e、其他：</w:t>
      </w:r>
    </w:p>
    <w:p>
      <w:pPr>
        <w:spacing w:line="360" w:lineRule="exact"/>
        <w:ind w:firstLine="420" w:firstLineChars="200"/>
        <w:rPr>
          <w:rFonts w:ascii="宋体" w:hAnsi="宋体"/>
          <w:b/>
          <w:color w:val="auto"/>
          <w:u w:val="single"/>
        </w:rPr>
      </w:pPr>
      <w:r>
        <w:rPr>
          <w:rFonts w:ascii="宋体" w:hAnsi="宋体"/>
          <w:b/>
          <w:color w:val="auto"/>
        </w:rPr>
        <w:t>①</w:t>
      </w:r>
      <w:r>
        <w:rPr>
          <w:rFonts w:ascii="宋体" w:hAnsi="宋体"/>
          <w:b/>
          <w:color w:val="auto"/>
          <w:u w:val="single"/>
        </w:rPr>
        <w:t>承包人必须遵守浙江省、台州市等地方法规，服从行业主管部门的管理，凡涉及到承包单位的施工备案、车辆准运等有关行政或者事业许可、备案、审批等程序，均由承包人自行办理，发包人给予配合，发生的费用全部由承包人承担，包括施工备案费用、排污管理费、噪声管理费、垃圾管理费等</w:t>
      </w:r>
      <w:r>
        <w:rPr>
          <w:rFonts w:ascii="宋体" w:hAnsi="宋体"/>
          <w:b/>
          <w:color w:val="auto"/>
        </w:rPr>
        <w:t>。</w:t>
      </w:r>
    </w:p>
    <w:p>
      <w:pPr>
        <w:spacing w:line="360" w:lineRule="exact"/>
        <w:ind w:firstLine="441" w:firstLineChars="210"/>
        <w:rPr>
          <w:rFonts w:ascii="宋体" w:hAnsi="宋体"/>
          <w:b/>
          <w:color w:val="auto"/>
          <w:u w:val="single"/>
        </w:rPr>
      </w:pPr>
      <w:r>
        <w:rPr>
          <w:rFonts w:ascii="宋体" w:hAnsi="宋体"/>
          <w:b/>
          <w:color w:val="auto"/>
        </w:rPr>
        <w:t>②</w:t>
      </w:r>
      <w:r>
        <w:rPr>
          <w:rFonts w:ascii="宋体" w:hAnsi="宋体"/>
          <w:b/>
          <w:color w:val="auto"/>
          <w:u w:val="single"/>
        </w:rPr>
        <w:t>承包人应负责协助办理质量监督委托、安全监督委托及施工许可证等开工手续，费用按相关规定承担。协助办理竣工验收备案、工程档案移交、工程项目移交（包括发包人另行招标的专业分包、设备安装工程）的相关手续，并协助发包人进行工程移交。承包人协助组织施工过程中的专项验收、竣工验收等，</w:t>
      </w:r>
      <w:r>
        <w:rPr>
          <w:rFonts w:hint="eastAsia" w:ascii="宋体" w:hAnsi="宋体"/>
          <w:b/>
          <w:color w:val="auto"/>
          <w:u w:val="single"/>
        </w:rPr>
        <w:t>承包人自身发生的</w:t>
      </w:r>
      <w:r>
        <w:rPr>
          <w:rFonts w:ascii="宋体" w:hAnsi="宋体"/>
          <w:b/>
          <w:color w:val="auto"/>
          <w:u w:val="single"/>
        </w:rPr>
        <w:t>相关费用含在本合同价款中，发包人不再另行支付。</w:t>
      </w:r>
    </w:p>
    <w:p>
      <w:pPr>
        <w:spacing w:line="360" w:lineRule="exact"/>
        <w:ind w:firstLine="420" w:firstLineChars="200"/>
        <w:rPr>
          <w:rFonts w:ascii="宋体" w:hAnsi="宋体"/>
          <w:b/>
          <w:color w:val="auto"/>
          <w:u w:val="single"/>
        </w:rPr>
      </w:pPr>
      <w:r>
        <w:rPr>
          <w:rFonts w:ascii="宋体" w:hAnsi="宋体"/>
          <w:b/>
          <w:color w:val="auto"/>
        </w:rPr>
        <w:t>③</w:t>
      </w:r>
      <w:r>
        <w:rPr>
          <w:rFonts w:ascii="宋体" w:hAnsi="宋体"/>
          <w:b/>
          <w:color w:val="auto"/>
          <w:u w:val="single"/>
        </w:rPr>
        <w:t>对发包人的现场监督工作予以充分的配合与协助。承包人服从发包人、监理公司的管理，做好交叉施工事宜及其他与本工程施工相关的工作。</w:t>
      </w:r>
    </w:p>
    <w:p>
      <w:pPr>
        <w:spacing w:line="360" w:lineRule="exact"/>
        <w:ind w:firstLine="420" w:firstLineChars="200"/>
        <w:rPr>
          <w:rFonts w:ascii="宋体" w:hAnsi="宋体"/>
          <w:b/>
          <w:color w:val="auto"/>
          <w:u w:val="single"/>
        </w:rPr>
      </w:pPr>
      <w:r>
        <w:rPr>
          <w:rFonts w:ascii="宋体" w:hAnsi="宋体"/>
          <w:b/>
          <w:color w:val="auto"/>
        </w:rPr>
        <w:t>④</w:t>
      </w:r>
      <w:r>
        <w:rPr>
          <w:rFonts w:ascii="宋体" w:hAnsi="宋体"/>
          <w:b/>
          <w:color w:val="auto"/>
          <w:u w:val="single"/>
        </w:rPr>
        <w:t>承包人承担施工期间的水、电费用，承包人必须每月按水、电部门的计价标准，按所需缴纳金额及时足额向水、电部门缴纳，若承包人不按时缴纳，则发包人有权采取相应措施。</w:t>
      </w:r>
    </w:p>
    <w:p>
      <w:pPr>
        <w:tabs>
          <w:tab w:val="left" w:pos="450"/>
        </w:tabs>
        <w:spacing w:line="360" w:lineRule="exact"/>
        <w:ind w:firstLine="473" w:firstLineChars="225"/>
        <w:rPr>
          <w:rFonts w:ascii="宋体" w:hAnsi="宋体"/>
          <w:b/>
          <w:color w:val="auto"/>
          <w:u w:val="single"/>
        </w:rPr>
      </w:pPr>
      <w:r>
        <w:rPr>
          <w:rFonts w:ascii="宋体" w:hAnsi="宋体"/>
          <w:b/>
          <w:color w:val="auto"/>
        </w:rPr>
        <w:t>⑤</w:t>
      </w:r>
      <w:r>
        <w:rPr>
          <w:rFonts w:ascii="宋体" w:hAnsi="宋体"/>
          <w:b/>
          <w:color w:val="auto"/>
          <w:u w:val="single"/>
        </w:rPr>
        <w:t>承包人负责落实对施工现场的安全文明施工的管理制度、交底，进行定期及不定期检查，并提出整改意见，承包人负责落实整个工地现场的保安、防盗工作。承包人应专人负责妥善处理因施工引起的、对相邻或周边的建筑物或环境的各种影响，并承担相关的索赔费用。</w:t>
      </w:r>
    </w:p>
    <w:p>
      <w:pPr>
        <w:spacing w:line="360" w:lineRule="exact"/>
        <w:ind w:firstLine="420" w:firstLineChars="200"/>
        <w:rPr>
          <w:rFonts w:ascii="宋体" w:hAnsi="宋体"/>
          <w:b/>
          <w:color w:val="auto"/>
          <w:u w:val="single"/>
        </w:rPr>
      </w:pPr>
      <w:r>
        <w:rPr>
          <w:rFonts w:ascii="宋体" w:hAnsi="宋体"/>
          <w:b/>
          <w:color w:val="auto"/>
        </w:rPr>
        <w:t>⑥</w:t>
      </w:r>
      <w:r>
        <w:rPr>
          <w:rFonts w:ascii="宋体" w:hAnsi="宋体"/>
          <w:b/>
          <w:color w:val="auto"/>
          <w:u w:val="single"/>
        </w:rPr>
        <w:t xml:space="preserve">不管投标时有无承诺，施工现场必须配备能满足停电时施工所需要的发电机组。承包人应充分考虑发包人提供电源容量与施工所需机器设备用电是否相匹配，并采取包括自备电源在内的必要措施解决施工用电的临时断电问题以保证施工的顺利进行。该笔费用已包含在合同价内，不再另行计取。 </w:t>
      </w:r>
    </w:p>
    <w:p>
      <w:pPr>
        <w:spacing w:line="360" w:lineRule="exact"/>
        <w:ind w:firstLine="441" w:firstLineChars="210"/>
        <w:rPr>
          <w:rFonts w:ascii="宋体" w:hAnsi="宋体"/>
          <w:b/>
          <w:color w:val="auto"/>
          <w:u w:val="single"/>
        </w:rPr>
      </w:pPr>
      <w:r>
        <w:rPr>
          <w:rFonts w:ascii="宋体" w:hAnsi="宋体"/>
          <w:b/>
          <w:color w:val="auto"/>
        </w:rPr>
        <w:t>⑦</w:t>
      </w:r>
      <w:r>
        <w:rPr>
          <w:rFonts w:ascii="宋体" w:hAnsi="宋体"/>
          <w:b/>
          <w:color w:val="auto"/>
          <w:u w:val="single"/>
        </w:rPr>
        <w:t>施工现场的标语、条幅和围挡图案、廉政文化宣传等制作，在悬挂和喷涂前应征得发包人同意，如发包人提出修改意见，承包人应无条件修改，直到符合要求为止，合同价款不予调整。</w:t>
      </w:r>
    </w:p>
    <w:p>
      <w:pPr>
        <w:spacing w:line="360" w:lineRule="exact"/>
        <w:ind w:firstLine="422" w:firstLineChars="200"/>
        <w:rPr>
          <w:rFonts w:ascii="宋体" w:hAnsi="宋体" w:eastAsia="宋体" w:cs="宋体"/>
          <w:b/>
          <w:bCs/>
          <w:color w:val="auto"/>
          <w:u w:val="single"/>
        </w:rPr>
      </w:pPr>
      <w:r>
        <w:rPr>
          <w:rFonts w:hint="eastAsia" w:ascii="宋体" w:hAnsi="宋体" w:eastAsia="宋体" w:cs="宋体"/>
          <w:b/>
          <w:bCs/>
          <w:color w:val="auto"/>
          <w:u w:val="single"/>
        </w:rPr>
        <w:t>⑧承包人进场后需对场地标高进行测量，测量过程应通知监理人及发包人代表到场，并提供测量成果，此结果在得到监理人及发包人代表确认后做为土方工程计量的依据。</w:t>
      </w:r>
    </w:p>
    <w:p>
      <w:pPr>
        <w:spacing w:line="360" w:lineRule="exact"/>
        <w:ind w:firstLine="422" w:firstLineChars="200"/>
        <w:rPr>
          <w:rFonts w:ascii="宋体" w:hAnsi="宋体" w:eastAsia="宋体" w:cs="宋体"/>
          <w:b/>
          <w:bCs/>
          <w:color w:val="auto"/>
          <w:u w:val="single"/>
        </w:rPr>
      </w:pPr>
      <w:r>
        <w:rPr>
          <w:rFonts w:hint="eastAsia" w:ascii="宋体" w:hAnsi="宋体" w:eastAsia="宋体" w:cs="宋体"/>
          <w:b/>
          <w:bCs/>
          <w:color w:val="auto"/>
          <w:u w:val="single"/>
        </w:rPr>
        <w:t>⑨承包人在合同履行过程中，应严格遵守和执行发包人制定的各项管理制度和规定，严格执行发包人关于工程设计变更、签证等方面的审批程序及制度。</w:t>
      </w:r>
    </w:p>
    <w:p>
      <w:pPr>
        <w:spacing w:line="360" w:lineRule="exact"/>
        <w:ind w:firstLine="422" w:firstLineChars="200"/>
        <w:rPr>
          <w:rFonts w:ascii="宋体" w:hAnsi="宋体" w:eastAsia="宋体" w:cs="宋体"/>
          <w:b/>
          <w:bCs/>
          <w:color w:val="auto"/>
          <w:u w:val="single"/>
        </w:rPr>
      </w:pPr>
      <w:r>
        <w:rPr>
          <w:rFonts w:hint="eastAsia" w:ascii="宋体" w:hAnsi="宋体" w:eastAsia="宋体" w:cs="宋体"/>
          <w:b/>
          <w:bCs/>
          <w:color w:val="auto"/>
          <w:u w:val="single"/>
        </w:rPr>
        <w:t>⑩由承包人的质量安全职能部门每月对本工程施工现场的质量、安全文明、进度等进行全面督查，并将督查结果向发包人汇报。</w:t>
      </w:r>
    </w:p>
    <w:p>
      <w:pPr>
        <w:spacing w:line="360" w:lineRule="exact"/>
        <w:ind w:firstLine="422" w:firstLineChars="200"/>
        <w:rPr>
          <w:rFonts w:ascii="宋体" w:hAnsi="宋体" w:eastAsia="宋体" w:cs="宋体"/>
          <w:b/>
          <w:bCs/>
          <w:color w:val="auto"/>
          <w:u w:val="single"/>
        </w:rPr>
      </w:pPr>
      <w:r>
        <w:rPr>
          <w:rFonts w:hint="eastAsia" w:ascii="宋体" w:hAnsi="宋体" w:eastAsia="宋体" w:cs="宋体"/>
          <w:b/>
          <w:bCs/>
          <w:color w:val="auto"/>
        </w:rPr>
        <w:t>⑪</w:t>
      </w:r>
      <w:r>
        <w:rPr>
          <w:rFonts w:hint="eastAsia" w:ascii="宋体" w:hAnsi="宋体" w:eastAsia="宋体" w:cs="宋体"/>
          <w:b/>
          <w:bCs/>
          <w:color w:val="auto"/>
          <w:u w:val="single"/>
        </w:rPr>
        <w:t>已竣工工程未交付之前，承包人按协议条款约定负责已完工程的保护工作，保护期间发生损坏，责任方自费予以修复至符合验收条件。</w:t>
      </w:r>
    </w:p>
    <w:p>
      <w:pPr>
        <w:tabs>
          <w:tab w:val="left" w:pos="450"/>
        </w:tabs>
        <w:spacing w:line="360" w:lineRule="exact"/>
        <w:ind w:firstLine="473" w:firstLineChars="225"/>
        <w:rPr>
          <w:rFonts w:ascii="宋体" w:hAnsi="宋体"/>
          <w:b/>
          <w:color w:val="auto"/>
          <w:u w:val="single"/>
        </w:rPr>
      </w:pPr>
      <w:r>
        <w:rPr>
          <w:rFonts w:hint="eastAsia" w:ascii="宋体" w:hAnsi="宋体"/>
          <w:b/>
          <w:color w:val="auto"/>
          <w:u w:val="single"/>
        </w:rPr>
        <w:t>f、</w:t>
      </w:r>
      <w:r>
        <w:rPr>
          <w:rFonts w:hint="eastAsia" w:eastAsia="黑体"/>
          <w:b/>
          <w:color w:val="auto"/>
          <w:u w:val="single"/>
        </w:rPr>
        <w:t>农民工工资按三人社〔2019〕41号《关于印发三门县建设领域民工工资管理办法（试行）的通知》执行。</w:t>
      </w:r>
    </w:p>
    <w:p>
      <w:pPr>
        <w:spacing w:line="360" w:lineRule="exact"/>
        <w:ind w:firstLine="420" w:firstLineChars="200"/>
        <w:rPr>
          <w:color w:val="auto"/>
          <w:u w:val="single"/>
        </w:rPr>
      </w:pPr>
      <w:r>
        <w:rPr>
          <w:color w:val="auto"/>
        </w:rPr>
        <w:t>（11）承包人诚实信用的承诺：</w:t>
      </w:r>
      <w:r>
        <w:rPr>
          <w:color w:val="auto"/>
          <w:u w:val="single"/>
        </w:rPr>
        <w:t xml:space="preserve"> </w:t>
      </w:r>
      <w:r>
        <w:rPr>
          <w:rFonts w:hint="eastAsia"/>
          <w:color w:val="auto"/>
          <w:u w:val="single"/>
        </w:rPr>
        <w:t>承包人向发包人承诺按照本合同约定及现场发包人和监理工程师的指令进行施工。竣工后，保修期内承担工程质量保修责任，并履行本合同约定的全部义务</w:t>
      </w:r>
      <w:r>
        <w:rPr>
          <w:color w:val="auto"/>
          <w:u w:val="single"/>
        </w:rPr>
        <w:t xml:space="preserve"> 。</w:t>
      </w:r>
    </w:p>
    <w:p>
      <w:pPr>
        <w:spacing w:line="360" w:lineRule="exact"/>
        <w:ind w:firstLine="420" w:firstLineChars="200"/>
        <w:rPr>
          <w:color w:val="auto"/>
          <w:u w:val="single"/>
        </w:rPr>
      </w:pPr>
      <w:r>
        <w:rPr>
          <w:color w:val="auto"/>
        </w:rPr>
        <w:t>（12）承包人使用新技术、工法、工艺的承诺：</w:t>
      </w:r>
      <w:r>
        <w:rPr>
          <w:color w:val="auto"/>
          <w:u w:val="single"/>
        </w:rPr>
        <w:t xml:space="preserve">   </w:t>
      </w:r>
      <w:r>
        <w:rPr>
          <w:rFonts w:hint="eastAsia"/>
          <w:color w:val="auto"/>
          <w:u w:val="single"/>
        </w:rPr>
        <w:t xml:space="preserve">                </w:t>
      </w:r>
      <w:r>
        <w:rPr>
          <w:color w:val="auto"/>
          <w:u w:val="single"/>
        </w:rPr>
        <w:t xml:space="preserve">  / </w:t>
      </w:r>
      <w:r>
        <w:rPr>
          <w:rFonts w:hint="eastAsia"/>
          <w:color w:val="auto"/>
          <w:u w:val="single"/>
        </w:rPr>
        <w:t xml:space="preserve">       </w:t>
      </w:r>
      <w:r>
        <w:rPr>
          <w:color w:val="auto"/>
          <w:u w:val="single"/>
        </w:rPr>
        <w:t xml:space="preserve">      。</w:t>
      </w:r>
    </w:p>
    <w:p>
      <w:pPr>
        <w:spacing w:line="360" w:lineRule="exact"/>
        <w:ind w:firstLine="420" w:firstLineChars="200"/>
        <w:rPr>
          <w:color w:val="auto"/>
        </w:rPr>
      </w:pPr>
      <w:r>
        <w:rPr>
          <w:color w:val="auto"/>
        </w:rPr>
        <w:t>3.2 项目经理</w:t>
      </w:r>
    </w:p>
    <w:p>
      <w:pPr>
        <w:adjustRightInd/>
        <w:snapToGrid/>
        <w:spacing w:line="312" w:lineRule="auto"/>
        <w:ind w:firstLine="420" w:firstLineChars="200"/>
        <w:rPr>
          <w:rFonts w:ascii="宋体" w:hAnsi="宋体" w:cs="宋体"/>
        </w:rPr>
      </w:pPr>
      <w:r>
        <w:rPr>
          <w:rFonts w:hint="eastAsia" w:ascii="宋体" w:hAnsi="宋体" w:cs="宋体"/>
        </w:rPr>
        <w:t>3.2.1 项目经理：</w:t>
      </w:r>
    </w:p>
    <w:p>
      <w:pPr>
        <w:adjustRightInd/>
        <w:snapToGrid/>
        <w:spacing w:line="312" w:lineRule="auto"/>
        <w:ind w:firstLine="420" w:firstLineChars="200"/>
        <w:rPr>
          <w:rFonts w:ascii="宋体" w:hAnsi="宋体" w:cs="宋体"/>
        </w:rPr>
      </w:pPr>
      <w:r>
        <w:rPr>
          <w:rFonts w:hint="eastAsia" w:ascii="宋体" w:hAnsi="宋体" w:cs="宋体"/>
        </w:rPr>
        <w:t>姓    名：</w:t>
      </w:r>
      <w:r>
        <w:rPr>
          <w:rFonts w:hint="eastAsia" w:ascii="宋体" w:hAnsi="宋体" w:cs="宋体"/>
          <w:u w:val="single"/>
        </w:rPr>
        <w:t>  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身份证号：</w:t>
      </w:r>
      <w:r>
        <w:rPr>
          <w:rFonts w:hint="eastAsia" w:ascii="宋体" w:hAnsi="宋体" w:cs="宋体"/>
          <w:u w:val="single"/>
        </w:rPr>
        <w:t>  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建造师执业资格等级：</w:t>
      </w:r>
      <w:r>
        <w:rPr>
          <w:rFonts w:hint="eastAsia" w:ascii="宋体" w:hAnsi="宋体" w:cs="宋体"/>
          <w:u w:val="single"/>
        </w:rPr>
        <w:t>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建造师注册证书号：</w:t>
      </w:r>
      <w:r>
        <w:rPr>
          <w:rFonts w:hint="eastAsia" w:ascii="宋体" w:hAnsi="宋体" w:cs="宋体"/>
          <w:u w:val="single"/>
        </w:rPr>
        <w:t>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建造师执业印章号：</w:t>
      </w:r>
      <w:r>
        <w:rPr>
          <w:rFonts w:hint="eastAsia" w:ascii="宋体" w:hAnsi="宋体" w:cs="宋体"/>
          <w:u w:val="single"/>
        </w:rPr>
        <w:t>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安全生产考核合格证书号：</w:t>
      </w:r>
      <w:r>
        <w:rPr>
          <w:rFonts w:hint="eastAsia" w:ascii="宋体" w:hAnsi="宋体" w:cs="宋体"/>
          <w:u w:val="single"/>
        </w:rPr>
        <w:t>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联系电话：</w:t>
      </w:r>
      <w:r>
        <w:rPr>
          <w:rFonts w:hint="eastAsia" w:ascii="宋体" w:hAnsi="宋体" w:cs="宋体"/>
          <w:u w:val="single"/>
        </w:rPr>
        <w:t>  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电子信箱：</w:t>
      </w:r>
      <w:r>
        <w:rPr>
          <w:rFonts w:hint="eastAsia" w:ascii="宋体" w:hAnsi="宋体" w:cs="宋体"/>
          <w:u w:val="single"/>
        </w:rPr>
        <w:t>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通信地址：</w:t>
      </w:r>
      <w:r>
        <w:rPr>
          <w:rFonts w:hint="eastAsia" w:ascii="宋体" w:hAnsi="宋体" w:cs="宋体"/>
          <w:u w:val="single"/>
        </w:rPr>
        <w:t>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 xml:space="preserve">承包人对项目经理的授权范围如下：  </w:t>
      </w:r>
      <w:r>
        <w:rPr>
          <w:rFonts w:hint="eastAsia" w:ascii="宋体" w:hAnsi="宋体" w:cs="宋体"/>
          <w:u w:val="single"/>
        </w:rPr>
        <w:t xml:space="preserve">                   </w:t>
      </w:r>
      <w:r>
        <w:rPr>
          <w:rFonts w:hint="eastAsia" w:ascii="宋体" w:hAnsi="宋体" w:cs="宋体"/>
        </w:rPr>
        <w:t>。</w:t>
      </w:r>
    </w:p>
    <w:p>
      <w:pPr>
        <w:adjustRightInd/>
        <w:snapToGrid/>
        <w:spacing w:line="312" w:lineRule="auto"/>
        <w:ind w:firstLine="420" w:firstLineChars="200"/>
        <w:rPr>
          <w:rFonts w:ascii="宋体" w:hAnsi="宋体" w:cs="宋体"/>
          <w:u w:val="single"/>
        </w:rPr>
      </w:pPr>
      <w:r>
        <w:rPr>
          <w:rFonts w:hint="eastAsia" w:ascii="宋体" w:hAnsi="宋体" w:cs="宋体"/>
        </w:rPr>
        <w:t>关于项目经理每月在施工现场的时间要求：</w:t>
      </w:r>
      <w:r>
        <w:rPr>
          <w:rFonts w:ascii="宋体" w:hAnsi="宋体" w:cs="宋体"/>
          <w:u w:val="single"/>
        </w:rPr>
        <w:t>月到岗须不少于 24 天；月到岗达不到约定天数，按相关行业主管部发布的规定处理；遇有工程检查、验收或参观等活动时，无特殊原因不得离开施工现场。</w:t>
      </w:r>
    </w:p>
    <w:p>
      <w:pPr>
        <w:adjustRightInd/>
        <w:snapToGrid/>
        <w:spacing w:line="312" w:lineRule="auto"/>
        <w:ind w:firstLine="420" w:firstLineChars="200"/>
        <w:rPr>
          <w:rFonts w:ascii="宋体" w:hAnsi="宋体" w:cs="宋体"/>
        </w:rPr>
      </w:pPr>
      <w:r>
        <w:rPr>
          <w:rFonts w:hint="eastAsia" w:ascii="宋体" w:hAnsi="宋体" w:cs="宋体"/>
        </w:rPr>
        <w:t>承包人未提交劳动合同，以及没有为项目经理缴纳社会保险证明的违约责任：</w:t>
      </w:r>
      <w:r>
        <w:rPr>
          <w:rFonts w:hint="eastAsia" w:ascii="宋体" w:hAnsi="宋体" w:cs="宋体"/>
          <w:u w:val="single"/>
        </w:rPr>
        <w:t>发包人有权要求更换项目经理，由此增加的费用和（或）延误的工期由承包人承担，并承担违约责任</w:t>
      </w:r>
      <w:r>
        <w:rPr>
          <w:rFonts w:hint="eastAsia" w:ascii="宋体" w:hAnsi="宋体" w:cs="宋体"/>
        </w:rPr>
        <w:t>。</w:t>
      </w:r>
    </w:p>
    <w:p>
      <w:pPr>
        <w:adjustRightInd/>
        <w:snapToGrid/>
        <w:spacing w:line="312" w:lineRule="auto"/>
        <w:ind w:firstLine="420" w:firstLineChars="200"/>
        <w:rPr>
          <w:color w:val="auto"/>
          <w:u w:val="single"/>
        </w:rPr>
      </w:pPr>
      <w:r>
        <w:rPr>
          <w:color w:val="auto"/>
        </w:rPr>
        <w:t>项目经理未经批准，擅自离开施工现场的违约责任：</w:t>
      </w:r>
      <w:r>
        <w:rPr>
          <w:rFonts w:hint="eastAsia"/>
          <w:color w:val="auto"/>
          <w:u w:val="single" w:color="000000"/>
        </w:rPr>
        <w:t>月</w:t>
      </w:r>
      <w:r>
        <w:rPr>
          <w:rFonts w:hint="eastAsia"/>
          <w:color w:val="auto"/>
          <w:spacing w:val="-3"/>
          <w:u w:val="single" w:color="000000"/>
        </w:rPr>
        <w:t>到</w:t>
      </w:r>
      <w:r>
        <w:rPr>
          <w:rFonts w:hint="eastAsia"/>
          <w:color w:val="auto"/>
          <w:u w:val="single" w:color="000000"/>
        </w:rPr>
        <w:t>岗率</w:t>
      </w:r>
      <w:r>
        <w:rPr>
          <w:rFonts w:hint="eastAsia"/>
          <w:color w:val="auto"/>
          <w:spacing w:val="-3"/>
          <w:u w:val="single" w:color="000000"/>
        </w:rPr>
        <w:t>须不少于24天，不足天数，</w:t>
      </w:r>
      <w:r>
        <w:rPr>
          <w:color w:val="auto"/>
          <w:u w:val="single"/>
        </w:rPr>
        <w:t>每天扣除履约担保金额的0.1%，每月结算，在当期工程款支付时扣除；连续三个月达不到要求且项目经理不能到岗的，发包人有权终止合同，没收全部履约担保金，同时由承包人赔偿发包人由此造成的损失。另遇有工程检查、验收或参观等活动时，无特殊原因不得离开施工现场。</w:t>
      </w:r>
    </w:p>
    <w:p>
      <w:pPr>
        <w:adjustRightInd/>
        <w:snapToGrid/>
        <w:spacing w:line="312" w:lineRule="auto"/>
        <w:ind w:firstLine="420" w:firstLineChars="200"/>
        <w:rPr>
          <w:rFonts w:ascii="宋体" w:hAnsi="宋体" w:cs="宋体"/>
          <w:u w:val="single"/>
        </w:rPr>
      </w:pPr>
      <w:r>
        <w:rPr>
          <w:rFonts w:hint="eastAsia" w:ascii="宋体" w:hAnsi="宋体" w:cs="宋体"/>
        </w:rPr>
        <w:t>3.2.3 承包人擅自更换项目经理的违约责任：</w:t>
      </w:r>
      <w:r>
        <w:rPr>
          <w:rFonts w:hint="eastAsia" w:ascii="宋体" w:hAnsi="宋体" w:cs="宋体"/>
          <w:u w:val="single"/>
        </w:rPr>
        <w:t>项目经理因发生重大安全事故、生病住院、终止劳动合同关系、被责令停止执业、羁押或判刑等情形，确已无法继续担任项目经理，承包人向发包人提出申请，发包人应同意更换，并报所在地建设行政主管部门批准，更换到位的项目经理资质、信用等级不低于原项目经理；</w:t>
      </w:r>
      <w:r>
        <w:rPr>
          <w:rFonts w:hint="eastAsia" w:ascii="宋体" w:hAnsi="宋体" w:cs="宋体"/>
          <w:color w:val="auto"/>
          <w:u w:val="single"/>
        </w:rPr>
        <w:t>除上述情形外不允许更换，</w:t>
      </w:r>
      <w:r>
        <w:rPr>
          <w:rFonts w:hint="eastAsia" w:ascii="宋体" w:hAnsi="宋体" w:cs="宋体"/>
          <w:u w:val="single"/>
        </w:rPr>
        <w:t>如承包人擅自更换，按每更换一人次扣除履约担保金额的20%；及至发包人可通知承包人全部解除合同，所有履约担保金归发包人，并赔偿发包人损失。</w:t>
      </w:r>
    </w:p>
    <w:p>
      <w:pPr>
        <w:adjustRightInd/>
        <w:snapToGrid/>
        <w:spacing w:line="312" w:lineRule="auto"/>
        <w:ind w:firstLine="420" w:firstLineChars="200"/>
        <w:rPr>
          <w:rFonts w:ascii="宋体" w:hAnsi="宋体" w:cs="宋体"/>
        </w:rPr>
      </w:pPr>
      <w:r>
        <w:rPr>
          <w:rFonts w:hint="eastAsia" w:ascii="宋体" w:hAnsi="宋体" w:cs="宋体"/>
        </w:rPr>
        <w:t>3.2.4 承包人无正当理由拒绝更换项目经理的违约责任：</w:t>
      </w:r>
      <w:r>
        <w:rPr>
          <w:rFonts w:hint="eastAsia" w:ascii="宋体" w:hAnsi="宋体" w:cs="宋体"/>
          <w:u w:val="single"/>
        </w:rPr>
        <w:t>发包人可通知承包人全部解除合同，所有履约担保金归发包人，同时赔偿发包人损失。</w:t>
      </w:r>
    </w:p>
    <w:p>
      <w:pPr>
        <w:adjustRightInd/>
        <w:snapToGrid/>
        <w:spacing w:line="312" w:lineRule="auto"/>
        <w:ind w:firstLine="420" w:firstLineChars="200"/>
        <w:rPr>
          <w:rFonts w:ascii="宋体" w:hAnsi="宋体" w:cs="宋体"/>
          <w:b/>
          <w:bCs/>
        </w:rPr>
      </w:pPr>
      <w:r>
        <w:rPr>
          <w:rFonts w:hint="eastAsia" w:ascii="宋体" w:hAnsi="宋体" w:cs="宋体"/>
          <w:b/>
          <w:bCs/>
        </w:rPr>
        <w:t>3.3 承包人人员</w:t>
      </w:r>
    </w:p>
    <w:p>
      <w:pPr>
        <w:adjustRightInd/>
        <w:snapToGrid/>
        <w:spacing w:line="312" w:lineRule="auto"/>
        <w:ind w:firstLine="420" w:firstLineChars="200"/>
        <w:rPr>
          <w:rFonts w:ascii="宋体" w:hAnsi="宋体" w:cs="宋体"/>
        </w:rPr>
      </w:pPr>
      <w:r>
        <w:rPr>
          <w:rFonts w:hint="eastAsia" w:ascii="宋体" w:hAnsi="宋体" w:cs="宋体"/>
        </w:rPr>
        <w:t>3.3.1 承包人提交项目管理机构及施工现场管理人员安排报告的期限：</w:t>
      </w:r>
      <w:r>
        <w:rPr>
          <w:rFonts w:hint="eastAsia" w:ascii="宋体" w:hAnsi="宋体" w:cs="宋体"/>
          <w:u w:val="single"/>
        </w:rPr>
        <w:t xml:space="preserve"> 接到开工通知（或确定开工日期）后7天内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3.3.3 承包人无正当理由拒绝撤换主要施工管理人员的违约责任：</w:t>
      </w:r>
      <w:r>
        <w:rPr>
          <w:rFonts w:hint="eastAsia" w:ascii="宋体" w:hAnsi="宋体" w:cs="宋体"/>
          <w:u w:val="single"/>
        </w:rPr>
        <w:t>发包人可通知承包人全部解除合同，所有履约担保金归发包人，同时赔偿发包人损失。</w:t>
      </w:r>
    </w:p>
    <w:p>
      <w:pPr>
        <w:adjustRightInd/>
        <w:snapToGrid/>
        <w:spacing w:line="312" w:lineRule="auto"/>
        <w:ind w:firstLine="420" w:firstLineChars="200"/>
        <w:rPr>
          <w:rFonts w:ascii="宋体" w:hAnsi="宋体" w:cs="宋体"/>
          <w:u w:val="single"/>
        </w:rPr>
      </w:pPr>
      <w:r>
        <w:rPr>
          <w:rFonts w:hint="eastAsia" w:ascii="宋体" w:hAnsi="宋体" w:cs="宋体"/>
        </w:rPr>
        <w:t>3.3.4 承包人主要施工管理人员离开施工现场的批准要求：</w:t>
      </w:r>
      <w:r>
        <w:rPr>
          <w:rFonts w:hint="eastAsia" w:ascii="宋体" w:hAnsi="宋体" w:cs="宋体"/>
          <w:u w:val="single"/>
        </w:rPr>
        <w:t>按通用合同条款；未经批准擅自离开施工现场按相关行业主管部发布的规定处理；另遇有工程检查、验收或参观等活动时，无特殊原因不得请假。</w:t>
      </w:r>
    </w:p>
    <w:p>
      <w:pPr>
        <w:adjustRightInd/>
        <w:snapToGrid/>
        <w:spacing w:line="312" w:lineRule="auto"/>
        <w:ind w:firstLine="420" w:firstLineChars="200"/>
        <w:rPr>
          <w:rFonts w:ascii="宋体" w:hAnsi="宋体" w:cs="宋体"/>
        </w:rPr>
      </w:pPr>
      <w:r>
        <w:rPr>
          <w:rFonts w:hint="eastAsia" w:ascii="宋体" w:hAnsi="宋体" w:cs="宋体"/>
        </w:rPr>
        <w:t>3.3.5承包人擅自更换主要施工管理人员的违约责任：</w:t>
      </w:r>
      <w:r>
        <w:rPr>
          <w:rFonts w:hint="eastAsia" w:ascii="宋体" w:hAnsi="宋体" w:cs="宋体"/>
          <w:color w:val="auto"/>
          <w:u w:val="single"/>
        </w:rPr>
        <w:t>因发生重大安全事故、生病住院、终止劳动合同关系、被责令停止执业、羁押或判刑情形，确已无法继续担任相应岗位工作，承包人向发包人提出申请，发包人应同意更换，并报工程所在地建设行政主管部门批准，对更换到位的技术负责人资质、信用等级应不低于原技术负责人；除上述情形外不允许更换，如承包人擅自更换，按技术负责人每更换一人次扣除履约担保金的10%；其他关键岗位人员每更换一人次扣除履约担保金额的5%</w:t>
      </w:r>
      <w:r>
        <w:rPr>
          <w:rFonts w:hint="eastAsia" w:ascii="宋体" w:hAnsi="宋体" w:cs="宋体"/>
          <w:u w:val="single"/>
        </w:rPr>
        <w:t>。</w:t>
      </w:r>
    </w:p>
    <w:p>
      <w:pPr>
        <w:adjustRightInd/>
        <w:snapToGrid/>
        <w:spacing w:line="312" w:lineRule="auto"/>
        <w:ind w:firstLine="420" w:firstLineChars="200"/>
        <w:rPr>
          <w:rFonts w:ascii="宋体" w:hAnsi="宋体" w:cs="宋体"/>
          <w:u w:val="single"/>
        </w:rPr>
      </w:pPr>
      <w:r>
        <w:rPr>
          <w:rFonts w:hint="eastAsia" w:ascii="宋体" w:hAnsi="宋体" w:cs="宋体"/>
        </w:rPr>
        <w:t>承包人主要施工管理人员擅自离开施工现场的违约责任：</w:t>
      </w:r>
      <w:r>
        <w:rPr>
          <w:rFonts w:hint="eastAsia" w:ascii="宋体" w:hAnsi="宋体" w:cs="宋体"/>
          <w:color w:val="auto"/>
          <w:u w:val="single"/>
        </w:rPr>
        <w:t>按《台州市建设工程施工现场关键岗位人员管理办法的通知》（台建〔2018〕110号）文件规定,关键岗位人员到岗达不到 24 天的，不足天数每人次每天扣除履约担保金额的0.05%，每月结算，在当期工程款支付时扣除,某关键岗位人员连续三个月到岗率达不到要求且不能到岗的，一次性扣除履约担保金的 5%（含前三个月已扣除的履约担保金），且发包人有权要求承包人更换该关键岗位人员</w:t>
      </w:r>
      <w:r>
        <w:rPr>
          <w:rFonts w:hint="eastAsia" w:ascii="宋体" w:hAnsi="宋体" w:cs="宋体"/>
          <w:u w:val="single"/>
        </w:rPr>
        <w:t>。</w:t>
      </w:r>
    </w:p>
    <w:p>
      <w:pPr>
        <w:spacing w:line="360" w:lineRule="exact"/>
        <w:ind w:firstLine="420" w:firstLineChars="200"/>
        <w:rPr>
          <w:color w:val="auto"/>
        </w:rPr>
      </w:pPr>
      <w:r>
        <w:rPr>
          <w:color w:val="auto"/>
        </w:rPr>
        <w:t>3</w:t>
      </w:r>
      <w:bookmarkStart w:id="268" w:name="_Toc292559869"/>
      <w:bookmarkStart w:id="269" w:name="_Toc296503159"/>
      <w:bookmarkStart w:id="270" w:name="_Toc297120459"/>
      <w:bookmarkStart w:id="271" w:name="_Toc292559364"/>
      <w:bookmarkStart w:id="272" w:name="_Toc296944498"/>
      <w:bookmarkStart w:id="273" w:name="_Toc296890987"/>
      <w:bookmarkStart w:id="274" w:name="_Toc312677988"/>
      <w:bookmarkStart w:id="275" w:name="_Toc304295523"/>
      <w:bookmarkStart w:id="276" w:name="_Toc303539102"/>
      <w:bookmarkStart w:id="277" w:name="_Toc297123492"/>
      <w:bookmarkStart w:id="278" w:name="_Toc297216151"/>
      <w:bookmarkStart w:id="279" w:name="_Toc296891199"/>
      <w:bookmarkStart w:id="280" w:name="_Toc296346660"/>
      <w:bookmarkStart w:id="281" w:name="_Toc300934945"/>
      <w:bookmarkStart w:id="282" w:name="_Toc297048345"/>
      <w:bookmarkStart w:id="283" w:name="_Toc296347158"/>
      <w:r>
        <w:rPr>
          <w:color w:val="auto"/>
        </w:rPr>
        <w:t>.5 分包</w:t>
      </w:r>
    </w:p>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Pr>
        <w:spacing w:line="360" w:lineRule="exact"/>
        <w:ind w:firstLine="420" w:firstLineChars="200"/>
        <w:rPr>
          <w:color w:val="auto"/>
        </w:rPr>
      </w:pPr>
      <w:bookmarkStart w:id="284" w:name="_Toc318581159"/>
      <w:bookmarkStart w:id="285" w:name="_Toc312677990"/>
      <w:r>
        <w:rPr>
          <w:color w:val="auto"/>
        </w:rPr>
        <w:t>3</w:t>
      </w:r>
      <w:bookmarkStart w:id="286" w:name="_Toc292559365"/>
      <w:bookmarkStart w:id="287" w:name="_Toc296890988"/>
      <w:bookmarkStart w:id="288" w:name="_Toc296944499"/>
      <w:bookmarkStart w:id="289" w:name="_Toc297123493"/>
      <w:bookmarkStart w:id="290" w:name="_Toc297048346"/>
      <w:bookmarkStart w:id="291" w:name="_Toc296346661"/>
      <w:bookmarkStart w:id="292" w:name="_Toc297216152"/>
      <w:bookmarkStart w:id="293" w:name="_Toc297120460"/>
      <w:bookmarkStart w:id="294" w:name="_Toc296891200"/>
      <w:bookmarkStart w:id="295" w:name="_Toc304295524"/>
      <w:bookmarkStart w:id="296" w:name="_Toc296503160"/>
      <w:bookmarkStart w:id="297" w:name="_Toc300934946"/>
      <w:bookmarkStart w:id="298" w:name="_Toc303539103"/>
      <w:bookmarkStart w:id="299" w:name="_Toc292559870"/>
      <w:bookmarkStart w:id="300" w:name="_Toc296347159"/>
      <w:bookmarkStart w:id="301" w:name="_Toc318581158"/>
      <w:bookmarkStart w:id="302" w:name="_Toc312677989"/>
      <w:r>
        <w:rPr>
          <w:color w:val="auto"/>
        </w:rPr>
        <w:t>.5.1 分包的一般约定</w:t>
      </w:r>
    </w:p>
    <w:p>
      <w:pPr>
        <w:spacing w:line="360" w:lineRule="exact"/>
        <w:ind w:firstLine="420" w:firstLineChars="200"/>
        <w:rPr>
          <w:color w:val="auto"/>
        </w:rPr>
      </w:pPr>
      <w:r>
        <w:rPr>
          <w:color w:val="auto"/>
        </w:rPr>
        <w:t>禁止分包的工程包括：</w:t>
      </w:r>
      <w:r>
        <w:rPr>
          <w:color w:val="auto"/>
          <w:u w:val="single"/>
        </w:rPr>
        <w:t></w:t>
      </w:r>
      <w:r>
        <w:rPr>
          <w:rFonts w:hint="eastAsia"/>
          <w:color w:val="auto"/>
          <w:u w:val="single"/>
        </w:rPr>
        <w:t xml:space="preserve">   </w:t>
      </w:r>
      <w:r>
        <w:rPr>
          <w:color w:val="auto"/>
          <w:u w:val="single"/>
        </w:rPr>
        <w:t>工程主体结构、关键性工作</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u w:val="single"/>
        </w:rPr>
      </w:pPr>
      <w:r>
        <w:rPr>
          <w:color w:val="auto"/>
        </w:rPr>
        <w:t>主体结构、关键性工作的范围：</w:t>
      </w:r>
      <w:r>
        <w:rPr>
          <w:color w:val="auto"/>
          <w:u w:val="single"/>
        </w:rPr>
        <w:t xml:space="preserve">  </w:t>
      </w:r>
      <w:r>
        <w:rPr>
          <w:rFonts w:hint="eastAsia"/>
          <w:color w:val="auto"/>
          <w:u w:val="single"/>
        </w:rPr>
        <w:t xml:space="preserve">              </w:t>
      </w:r>
      <w:r>
        <w:rPr>
          <w:color w:val="auto"/>
          <w:u w:val="single"/>
        </w:rPr>
        <w:t xml:space="preserve">       </w:t>
      </w:r>
      <w:r>
        <w:rPr>
          <w:color w:val="auto"/>
        </w:rPr>
        <w:t>。</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Start w:id="303" w:name="_Toc296891201"/>
      <w:bookmarkStart w:id="304" w:name="_Toc296347160"/>
      <w:bookmarkStart w:id="305" w:name="_Toc297048347"/>
      <w:bookmarkStart w:id="306" w:name="_Toc297216153"/>
      <w:bookmarkStart w:id="307" w:name="_Toc296346662"/>
      <w:bookmarkStart w:id="308" w:name="_Toc300934947"/>
      <w:bookmarkStart w:id="309" w:name="_Toc297120461"/>
      <w:bookmarkStart w:id="310" w:name="_Toc296890989"/>
      <w:bookmarkStart w:id="311" w:name="_Toc303539104"/>
      <w:bookmarkStart w:id="312" w:name="_Toc304295525"/>
      <w:bookmarkStart w:id="313" w:name="_Toc297123494"/>
      <w:bookmarkStart w:id="314" w:name="_Toc296503161"/>
      <w:bookmarkStart w:id="315" w:name="_Toc296944500"/>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Pr>
        <w:spacing w:line="360" w:lineRule="exact"/>
        <w:ind w:firstLine="315" w:firstLineChars="150"/>
        <w:rPr>
          <w:color w:val="auto"/>
        </w:rPr>
      </w:pPr>
      <w:r>
        <w:rPr>
          <w:color w:val="auto"/>
        </w:rPr>
        <w:t xml:space="preserve"> 3.5.2分包的确定</w:t>
      </w:r>
    </w:p>
    <w:p>
      <w:pPr>
        <w:spacing w:line="360" w:lineRule="exact"/>
        <w:ind w:firstLine="420" w:firstLineChars="200"/>
        <w:rPr>
          <w:color w:val="auto"/>
          <w:u w:val="single"/>
        </w:rPr>
      </w:pPr>
      <w:r>
        <w:rPr>
          <w:color w:val="auto"/>
        </w:rPr>
        <w:t>允许分包的专业工程包括：</w:t>
      </w:r>
      <w:r>
        <w:rPr>
          <w:color w:val="auto"/>
          <w:u w:val="single"/>
        </w:rPr>
        <w:t xml:space="preserve">          </w:t>
      </w:r>
      <w:r>
        <w:rPr>
          <w:rFonts w:hint="eastAsia"/>
          <w:color w:val="auto"/>
          <w:u w:val="single"/>
        </w:rPr>
        <w:t>/</w:t>
      </w:r>
      <w:r>
        <w:rPr>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其他关于分包的约定：</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3.5.4 分包合同价款</w:t>
      </w:r>
    </w:p>
    <w:p>
      <w:pPr>
        <w:spacing w:line="360" w:lineRule="exact"/>
        <w:ind w:firstLine="420" w:firstLineChars="200"/>
        <w:rPr>
          <w:color w:val="auto"/>
        </w:rPr>
      </w:pPr>
      <w:r>
        <w:rPr>
          <w:color w:val="auto"/>
        </w:rPr>
        <w:t>关于分包合同价款支付的约定：</w:t>
      </w:r>
      <w:r>
        <w:rPr>
          <w:color w:val="auto"/>
          <w:u w:val="single"/>
        </w:rPr>
        <w:t></w:t>
      </w:r>
      <w:r>
        <w:rPr>
          <w:rFonts w:hint="eastAsia"/>
          <w:color w:val="auto"/>
          <w:u w:val="single"/>
        </w:rPr>
        <w:t xml:space="preserve">     /       </w:t>
      </w:r>
      <w:r>
        <w:rPr>
          <w:color w:val="auto"/>
          <w:u w:val="single"/>
        </w:rPr>
        <w:t xml:space="preserve">         </w:t>
      </w:r>
      <w:r>
        <w:rPr>
          <w:color w:val="auto"/>
        </w:rPr>
        <w:t>。</w:t>
      </w:r>
    </w:p>
    <w:bookmarkEnd w:id="284"/>
    <w:bookmarkEnd w:id="285"/>
    <w:p>
      <w:pPr>
        <w:spacing w:line="360" w:lineRule="exact"/>
        <w:ind w:firstLine="420" w:firstLineChars="200"/>
        <w:rPr>
          <w:color w:val="auto"/>
        </w:rPr>
      </w:pPr>
      <w:r>
        <w:rPr>
          <w:color w:val="auto"/>
        </w:rPr>
        <w:t>3.6 工程照管与成品、半成品保护</w:t>
      </w:r>
    </w:p>
    <w:p>
      <w:pPr>
        <w:spacing w:line="360" w:lineRule="exact"/>
        <w:ind w:firstLine="420" w:firstLineChars="200"/>
        <w:rPr>
          <w:color w:val="auto"/>
          <w:u w:val="single"/>
        </w:rPr>
      </w:pPr>
      <w:r>
        <w:rPr>
          <w:color w:val="auto"/>
        </w:rPr>
        <w:t>承包人负责照管工程及工程相关的材料、工程设备的起始时间：</w:t>
      </w:r>
      <w:r>
        <w:rPr>
          <w:color w:val="auto"/>
          <w:u w:val="single"/>
        </w:rPr>
        <w:t>按合同通用条款执行</w:t>
      </w:r>
      <w:r>
        <w:rPr>
          <w:color w:val="auto"/>
        </w:rPr>
        <w:t>。</w:t>
      </w:r>
    </w:p>
    <w:p>
      <w:pPr>
        <w:spacing w:line="360" w:lineRule="exact"/>
        <w:ind w:firstLine="420" w:firstLineChars="200"/>
        <w:rPr>
          <w:color w:val="auto"/>
        </w:rPr>
      </w:pPr>
      <w:r>
        <w:rPr>
          <w:color w:val="auto"/>
        </w:rPr>
        <w:t>3.7 履约担保</w:t>
      </w:r>
    </w:p>
    <w:p>
      <w:pPr>
        <w:spacing w:line="360" w:lineRule="exact"/>
        <w:ind w:firstLine="420" w:firstLineChars="200"/>
        <w:rPr>
          <w:color w:val="auto"/>
        </w:rPr>
      </w:pPr>
      <w:bookmarkStart w:id="316" w:name="_Toc351203636"/>
      <w:r>
        <w:rPr>
          <w:color w:val="auto"/>
        </w:rPr>
        <w:t>承包人是否提供履约担保：</w:t>
      </w:r>
      <w:r>
        <w:rPr>
          <w:color w:val="auto"/>
          <w:u w:val="single"/>
        </w:rPr>
        <w:t xml:space="preserve">     是     </w:t>
      </w:r>
      <w:r>
        <w:rPr>
          <w:color w:val="auto"/>
        </w:rPr>
        <w:t>。</w:t>
      </w:r>
    </w:p>
    <w:p>
      <w:pPr>
        <w:adjustRightInd/>
        <w:snapToGrid/>
        <w:spacing w:line="312" w:lineRule="auto"/>
        <w:ind w:firstLine="420" w:firstLineChars="200"/>
        <w:rPr>
          <w:rFonts w:ascii="宋体" w:hAnsi="宋体" w:eastAsia="宋体" w:cs="宋体"/>
          <w:b/>
          <w:color w:val="000000" w:themeColor="text1"/>
          <w14:textFill>
            <w14:solidFill>
              <w14:schemeClr w14:val="tx1"/>
            </w14:solidFill>
          </w14:textFill>
        </w:rPr>
      </w:pPr>
      <w:r>
        <w:rPr>
          <w:color w:val="auto"/>
        </w:rPr>
        <w:t>承包人提供履约担保的形式、金额：</w:t>
      </w:r>
      <w:r>
        <w:rPr>
          <w:rFonts w:hint="eastAsia" w:ascii="宋体" w:hAnsi="宋体" w:eastAsia="宋体" w:cs="宋体"/>
          <w:b/>
          <w:color w:val="000000" w:themeColor="text1"/>
          <w14:textFill>
            <w14:solidFill>
              <w14:schemeClr w14:val="tx1"/>
            </w14:solidFill>
          </w14:textFill>
        </w:rPr>
        <w:t>本项目履约担保分建设期履约担保和运营管理期（运管期）履约担保。</w:t>
      </w:r>
    </w:p>
    <w:p>
      <w:pPr>
        <w:adjustRightInd/>
        <w:snapToGrid/>
        <w:spacing w:line="312" w:lineRule="auto"/>
        <w:ind w:firstLine="422" w:firstLineChars="200"/>
        <w:rPr>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3.7.1建设期履约担保在</w:t>
      </w:r>
      <w:r>
        <w:rPr>
          <w:rFonts w:hint="eastAsia" w:ascii="宋体" w:hAnsi="宋体" w:cs="宋体"/>
          <w:b/>
          <w:color w:val="000000" w:themeColor="text1"/>
          <w14:textFill>
            <w14:solidFill>
              <w14:schemeClr w14:val="tx1"/>
            </w14:solidFill>
          </w14:textFill>
        </w:rPr>
        <w:t>签订工程合同时提供</w:t>
      </w:r>
      <w:r>
        <w:rPr>
          <w:rFonts w:hint="eastAsia" w:ascii="宋体" w:hAnsi="宋体" w:eastAsia="宋体" w:cs="宋体"/>
          <w:b/>
          <w:color w:val="000000" w:themeColor="text1"/>
          <w14:textFill>
            <w14:solidFill>
              <w14:schemeClr w14:val="tx1"/>
            </w14:solidFill>
          </w14:textFill>
        </w:rPr>
        <w:t>，</w:t>
      </w:r>
      <w:r>
        <w:rPr>
          <w:rFonts w:hint="eastAsia" w:ascii="宋体" w:hAnsi="宋体" w:cs="宋体"/>
          <w:b/>
          <w:color w:val="000000" w:themeColor="text1"/>
          <w14:textFill>
            <w14:solidFill>
              <w14:schemeClr w14:val="tx1"/>
            </w14:solidFill>
          </w14:textFill>
        </w:rPr>
        <w:t>履约担保</w:t>
      </w:r>
      <w:r>
        <w:rPr>
          <w:rFonts w:hint="eastAsia" w:ascii="宋体" w:hAnsi="宋体" w:eastAsia="宋体" w:cs="宋体"/>
          <w:b/>
          <w:color w:val="000000" w:themeColor="text1"/>
          <w14:textFill>
            <w14:solidFill>
              <w14:schemeClr w14:val="tx1"/>
            </w14:solidFill>
          </w14:textFill>
        </w:rPr>
        <w:t>的</w:t>
      </w:r>
      <w:r>
        <w:rPr>
          <w:rFonts w:hint="eastAsia" w:ascii="宋体" w:hAnsi="宋体" w:cs="宋体"/>
          <w:b/>
          <w:color w:val="000000" w:themeColor="text1"/>
          <w14:textFill>
            <w14:solidFill>
              <w14:schemeClr w14:val="tx1"/>
            </w14:solidFill>
          </w14:textFill>
        </w:rPr>
        <w:t>形式为银行保函或保险机构保证保险保单</w:t>
      </w:r>
      <w:r>
        <w:rPr>
          <w:rFonts w:hint="eastAsia" w:ascii="宋体" w:hAnsi="宋体" w:eastAsia="宋体" w:cs="宋体"/>
          <w:b/>
          <w:color w:val="000000" w:themeColor="text1"/>
          <w14:textFill>
            <w14:solidFill>
              <w14:schemeClr w14:val="tx1"/>
            </w14:solidFill>
          </w14:textFill>
        </w:rPr>
        <w:t>；</w:t>
      </w:r>
      <w:r>
        <w:rPr>
          <w:rFonts w:hint="eastAsia" w:ascii="宋体" w:hAnsi="宋体" w:cs="宋体"/>
          <w:b/>
          <w:color w:val="000000" w:themeColor="text1"/>
          <w14:textFill>
            <w14:solidFill>
              <w14:schemeClr w14:val="tx1"/>
            </w14:solidFill>
          </w14:textFill>
        </w:rPr>
        <w:t>金额为签约合同价的2%。因工程延期竣工导致</w:t>
      </w:r>
      <w:r>
        <w:rPr>
          <w:rFonts w:hint="eastAsia" w:ascii="宋体" w:hAnsi="宋体" w:eastAsia="宋体" w:cs="宋体"/>
          <w:b/>
          <w:color w:val="000000" w:themeColor="text1"/>
          <w14:textFill>
            <w14:solidFill>
              <w14:schemeClr w14:val="tx1"/>
            </w14:solidFill>
          </w14:textFill>
        </w:rPr>
        <w:t>建设期</w:t>
      </w:r>
      <w:r>
        <w:rPr>
          <w:rFonts w:hint="eastAsia" w:ascii="宋体" w:hAnsi="宋体" w:cs="宋体"/>
          <w:b/>
          <w:color w:val="000000" w:themeColor="text1"/>
          <w14:textFill>
            <w14:solidFill>
              <w14:schemeClr w14:val="tx1"/>
            </w14:solidFill>
          </w14:textFill>
        </w:rPr>
        <w:t>履约担保失效的，承包人应在</w:t>
      </w:r>
      <w:r>
        <w:rPr>
          <w:rFonts w:hint="eastAsia" w:ascii="宋体" w:hAnsi="宋体" w:eastAsia="宋体" w:cs="宋体"/>
          <w:b/>
          <w:color w:val="000000" w:themeColor="text1"/>
          <w14:textFill>
            <w14:solidFill>
              <w14:schemeClr w14:val="tx1"/>
            </w14:solidFill>
          </w14:textFill>
        </w:rPr>
        <w:t>建设期</w:t>
      </w:r>
      <w:r>
        <w:rPr>
          <w:rFonts w:hint="eastAsia" w:ascii="宋体" w:hAnsi="宋体" w:cs="宋体"/>
          <w:b/>
          <w:color w:val="000000" w:themeColor="text1"/>
          <w14:textFill>
            <w14:solidFill>
              <w14:schemeClr w14:val="tx1"/>
            </w14:solidFill>
          </w14:textFill>
        </w:rPr>
        <w:t>履约担保有效期截止日15日历天前重新办理履约担保，否则发包人将从承包人未支付的工程款中扣回履约担保，无论因何种原因导致的工程延期，重新办理</w:t>
      </w:r>
      <w:r>
        <w:rPr>
          <w:rFonts w:hint="eastAsia" w:ascii="宋体" w:hAnsi="宋体" w:eastAsia="宋体" w:cs="宋体"/>
          <w:b/>
          <w:color w:val="000000" w:themeColor="text1"/>
          <w14:textFill>
            <w14:solidFill>
              <w14:schemeClr w14:val="tx1"/>
            </w14:solidFill>
          </w14:textFill>
        </w:rPr>
        <w:t>建设期</w:t>
      </w:r>
      <w:r>
        <w:rPr>
          <w:rFonts w:hint="eastAsia" w:ascii="宋体" w:hAnsi="宋体" w:cs="宋体"/>
          <w:b/>
          <w:color w:val="000000" w:themeColor="text1"/>
          <w14:textFill>
            <w14:solidFill>
              <w14:schemeClr w14:val="tx1"/>
            </w14:solidFill>
          </w14:textFill>
        </w:rPr>
        <w:t>履约担保导致的费用增加均由承包人自行在投标报价时综合考虑。</w:t>
      </w:r>
    </w:p>
    <w:p>
      <w:pPr>
        <w:adjustRightInd/>
        <w:snapToGrid/>
        <w:spacing w:line="312" w:lineRule="auto"/>
        <w:ind w:firstLine="420" w:firstLineChars="200"/>
        <w:rPr>
          <w:rFonts w:ascii="宋体" w:hAnsi="宋体" w:cs="宋体"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发包人在工程完工验收后10天内，向承包人全额返还</w:t>
      </w:r>
      <w:r>
        <w:rPr>
          <w:rFonts w:hint="eastAsia" w:ascii="宋体" w:hAnsi="宋体" w:eastAsia="宋体" w:cs="宋体"/>
          <w:color w:val="000000" w:themeColor="text1"/>
          <w14:textFill>
            <w14:solidFill>
              <w14:schemeClr w14:val="tx1"/>
            </w14:solidFill>
          </w14:textFill>
        </w:rPr>
        <w:t>建设期履约担保</w:t>
      </w:r>
      <w:r>
        <w:rPr>
          <w:rFonts w:hint="eastAsia" w:ascii="宋体" w:hAnsi="宋体" w:cs="宋体"/>
          <w:color w:val="000000" w:themeColor="text1"/>
          <w14:textFill>
            <w14:solidFill>
              <w14:schemeClr w14:val="tx1"/>
            </w14:solidFill>
          </w14:textFill>
        </w:rPr>
        <w:t>；承包人应保证履约担保在工程完工验收前持续有效。</w:t>
      </w:r>
    </w:p>
    <w:p>
      <w:pPr>
        <w:adjustRightInd/>
        <w:snapToGrid/>
        <w:spacing w:line="312" w:lineRule="auto"/>
        <w:ind w:firstLine="420" w:firstLineChars="200"/>
        <w:rPr>
          <w:rFonts w:ascii="宋体" w:hAnsi="宋体" w:cs="宋体"/>
          <w:b/>
          <w:color w:val="000000" w:themeColor="text1"/>
          <w14:textFill>
            <w14:solidFill>
              <w14:schemeClr w14:val="tx1"/>
            </w14:solidFill>
          </w14:textFill>
        </w:rPr>
      </w:pPr>
      <w:r>
        <w:rPr>
          <w:rFonts w:hint="eastAsia" w:eastAsiaTheme="minorEastAsia"/>
          <w:color w:val="000000" w:themeColor="text1"/>
          <w14:textFill>
            <w14:solidFill>
              <w14:schemeClr w14:val="tx1"/>
            </w14:solidFill>
          </w14:textFill>
        </w:rPr>
        <w:t xml:space="preserve">    </w:t>
      </w:r>
      <w:r>
        <w:rPr>
          <w:rFonts w:hint="eastAsia" w:ascii="宋体" w:hAnsi="宋体" w:cs="宋体"/>
          <w:b/>
          <w:color w:val="000000" w:themeColor="text1"/>
          <w14:textFill>
            <w14:solidFill>
              <w14:schemeClr w14:val="tx1"/>
            </w14:solidFill>
          </w14:textFill>
        </w:rPr>
        <w:t>3.7.2运管期履约担保在返还建设期履约担保前提供，运管期履约担保的形式为银行保函或保险机构保证保险保单；金额为签约结算价的5%。承包人应该确保该履约担保在运管期有效；发包人在运管期满后10天内，向承包人全额返还运管期履约担保。</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4</w:t>
      </w:r>
      <w:bookmarkStart w:id="317" w:name="_Toc297120462"/>
      <w:bookmarkStart w:id="318" w:name="_Toc267251413"/>
      <w:bookmarkStart w:id="319" w:name="_Toc297048348"/>
      <w:bookmarkStart w:id="320" w:name="_Toc296346663"/>
      <w:bookmarkStart w:id="321" w:name="_Toc292559366"/>
      <w:bookmarkStart w:id="322" w:name="_Toc296890990"/>
      <w:bookmarkStart w:id="323" w:name="_Toc292559871"/>
      <w:bookmarkStart w:id="324" w:name="_Toc296891202"/>
      <w:bookmarkStart w:id="325" w:name="_Toc296347161"/>
      <w:bookmarkStart w:id="326" w:name="_Toc296944501"/>
      <w:bookmarkStart w:id="327" w:name="_Toc296503162"/>
      <w:r>
        <w:rPr>
          <w:rFonts w:ascii="Times New Roman" w:hAnsi="Times New Roman"/>
          <w:color w:val="auto"/>
          <w:sz w:val="21"/>
          <w:szCs w:val="21"/>
        </w:rPr>
        <w:t>. 监</w:t>
      </w:r>
      <w:bookmarkEnd w:id="317"/>
      <w:bookmarkEnd w:id="318"/>
      <w:bookmarkEnd w:id="319"/>
      <w:bookmarkEnd w:id="320"/>
      <w:bookmarkEnd w:id="321"/>
      <w:bookmarkEnd w:id="322"/>
      <w:bookmarkEnd w:id="323"/>
      <w:bookmarkEnd w:id="324"/>
      <w:bookmarkEnd w:id="325"/>
      <w:bookmarkEnd w:id="326"/>
      <w:bookmarkEnd w:id="327"/>
      <w:r>
        <w:rPr>
          <w:rFonts w:ascii="Times New Roman" w:hAnsi="Times New Roman"/>
          <w:color w:val="auto"/>
          <w:sz w:val="21"/>
          <w:szCs w:val="21"/>
        </w:rPr>
        <w:t>理人</w:t>
      </w:r>
      <w:bookmarkEnd w:id="316"/>
    </w:p>
    <w:p>
      <w:pPr>
        <w:spacing w:line="360" w:lineRule="exact"/>
        <w:ind w:firstLine="420" w:firstLineChars="200"/>
        <w:rPr>
          <w:color w:val="auto"/>
        </w:rPr>
      </w:pPr>
      <w:bookmarkStart w:id="328" w:name="_Toc267251418"/>
      <w:r>
        <w:rPr>
          <w:color w:val="auto"/>
        </w:rPr>
        <w:t>4.1监理人的一般规定</w:t>
      </w:r>
    </w:p>
    <w:p>
      <w:pPr>
        <w:spacing w:line="360" w:lineRule="exact"/>
        <w:ind w:firstLine="420" w:firstLineChars="200"/>
        <w:rPr>
          <w:color w:val="auto"/>
        </w:rPr>
      </w:pPr>
      <w:r>
        <w:rPr>
          <w:color w:val="auto"/>
        </w:rPr>
        <w:t>关于监理人的监理内容：</w:t>
      </w:r>
      <w:r>
        <w:rPr>
          <w:color w:val="auto"/>
          <w:u w:val="single"/>
        </w:rPr>
        <w:t xml:space="preserve"> 按本工程监理合同约定内容</w:t>
      </w:r>
      <w:r>
        <w:rPr>
          <w:color w:val="auto"/>
        </w:rPr>
        <w:t>。</w:t>
      </w:r>
    </w:p>
    <w:p>
      <w:pPr>
        <w:spacing w:line="360" w:lineRule="exact"/>
        <w:ind w:firstLine="420" w:firstLineChars="200"/>
        <w:rPr>
          <w:color w:val="auto"/>
        </w:rPr>
      </w:pPr>
      <w:r>
        <w:rPr>
          <w:color w:val="auto"/>
        </w:rPr>
        <w:t>关于监理人的监理权限：〔</w:t>
      </w:r>
      <w:r>
        <w:rPr>
          <w:color w:val="auto"/>
          <w:u w:val="single"/>
        </w:rPr>
        <w:t>按本工程监理合同约定内容，涉及工程变更（含设计变更等参建各方变更）均需报发包人审批后生效</w:t>
      </w:r>
      <w:r>
        <w:rPr>
          <w:color w:val="auto"/>
        </w:rPr>
        <w:t>〕。</w:t>
      </w:r>
    </w:p>
    <w:p>
      <w:pPr>
        <w:spacing w:line="360" w:lineRule="exact"/>
        <w:ind w:firstLine="420" w:firstLineChars="200"/>
        <w:rPr>
          <w:color w:val="auto"/>
        </w:rPr>
      </w:pPr>
      <w:r>
        <w:rPr>
          <w:color w:val="auto"/>
        </w:rPr>
        <w:t>关于监理人在施工现场的办公场所、生活场所的提供和费用承担的约定：</w:t>
      </w:r>
      <w:r>
        <w:rPr>
          <w:color w:val="auto"/>
          <w:u w:val="single"/>
        </w:rPr>
        <w:t xml:space="preserve"> 由承包人免费提供办公室1间使用。</w:t>
      </w:r>
    </w:p>
    <w:p>
      <w:pPr>
        <w:spacing w:line="360" w:lineRule="exact"/>
        <w:ind w:firstLine="420" w:firstLineChars="200"/>
        <w:rPr>
          <w:color w:val="auto"/>
        </w:rPr>
      </w:pPr>
      <w:r>
        <w:rPr>
          <w:color w:val="auto"/>
        </w:rPr>
        <w:t>4.2 监理人员</w:t>
      </w:r>
    </w:p>
    <w:p>
      <w:pPr>
        <w:spacing w:line="360" w:lineRule="exact"/>
        <w:ind w:firstLine="420" w:firstLineChars="200"/>
        <w:rPr>
          <w:color w:val="auto"/>
        </w:rPr>
      </w:pPr>
      <w:r>
        <w:rPr>
          <w:color w:val="auto"/>
        </w:rPr>
        <w:t>总监理工程师：</w:t>
      </w:r>
    </w:p>
    <w:p>
      <w:pPr>
        <w:spacing w:line="360" w:lineRule="exact"/>
        <w:ind w:firstLine="420" w:firstLineChars="200"/>
        <w:rPr>
          <w:rFonts w:ascii="宋体" w:hAnsi="宋体"/>
          <w:color w:val="auto"/>
        </w:rPr>
      </w:pPr>
      <w:r>
        <w:rPr>
          <w:rFonts w:hint="eastAsia" w:ascii="宋体" w:hAnsi="宋体"/>
          <w:color w:val="auto"/>
        </w:rPr>
        <w:t>姓    名：</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；职    务：</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w:t>
      </w:r>
    </w:p>
    <w:p>
      <w:pPr>
        <w:spacing w:line="360" w:lineRule="exact"/>
        <w:ind w:firstLine="420" w:firstLineChars="200"/>
        <w:rPr>
          <w:rFonts w:ascii="宋体" w:hAnsi="宋体"/>
          <w:color w:val="auto"/>
        </w:rPr>
      </w:pPr>
      <w:r>
        <w:rPr>
          <w:rFonts w:hint="eastAsia" w:ascii="宋体" w:hAnsi="宋体"/>
          <w:color w:val="auto"/>
        </w:rPr>
        <w:t>监理工程师执业资格证书号：</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；联系电话：</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w:t>
      </w:r>
    </w:p>
    <w:p>
      <w:pPr>
        <w:spacing w:line="360" w:lineRule="exact"/>
        <w:ind w:firstLine="420" w:firstLineChars="200"/>
        <w:rPr>
          <w:rFonts w:ascii="宋体" w:hAnsi="宋体"/>
          <w:color w:val="auto"/>
        </w:rPr>
      </w:pPr>
      <w:r>
        <w:rPr>
          <w:rFonts w:hint="eastAsia" w:ascii="宋体" w:hAnsi="宋体"/>
          <w:color w:val="auto"/>
        </w:rPr>
        <w:t>电子信箱：</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；通信地址：</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u w:val="single"/>
        </w:rPr>
        <w:t xml:space="preserve"> </w:t>
      </w:r>
      <w:r>
        <w:rPr>
          <w:rFonts w:hint="eastAsia" w:ascii="宋体" w:hAnsi="宋体" w:cs="宋体"/>
          <w:color w:val="auto"/>
          <w:u w:val="single"/>
        </w:rPr>
        <w:t></w:t>
      </w:r>
      <w:r>
        <w:rPr>
          <w:rFonts w:hint="eastAsia" w:ascii="宋体" w:hAnsi="宋体"/>
          <w:color w:val="auto"/>
        </w:rPr>
        <w:t>；</w:t>
      </w:r>
    </w:p>
    <w:p>
      <w:pPr>
        <w:spacing w:line="360" w:lineRule="exact"/>
        <w:ind w:firstLine="420" w:firstLineChars="200"/>
        <w:rPr>
          <w:color w:val="auto"/>
          <w:u w:val="single"/>
        </w:rPr>
      </w:pPr>
      <w:r>
        <w:rPr>
          <w:color w:val="auto"/>
        </w:rPr>
        <w:t>关于监理人的其他约定：</w:t>
      </w:r>
    </w:p>
    <w:p>
      <w:pPr>
        <w:spacing w:line="360" w:lineRule="exact"/>
        <w:ind w:firstLine="420" w:firstLineChars="200"/>
        <w:rPr>
          <w:color w:val="auto"/>
          <w:u w:val="single"/>
        </w:rPr>
      </w:pPr>
      <w:r>
        <w:rPr>
          <w:color w:val="auto"/>
          <w:u w:val="single"/>
        </w:rPr>
        <w:t>（1）监理人授权超出合同约定，承包人有权提出异议，如监理人对于承包人合理的异议不予接受，则承包人可要求发包人就该事项作出处理决定；</w:t>
      </w:r>
    </w:p>
    <w:p>
      <w:pPr>
        <w:spacing w:line="360" w:lineRule="exact"/>
        <w:ind w:firstLine="420" w:firstLineChars="200"/>
        <w:rPr>
          <w:color w:val="auto"/>
          <w:u w:val="single"/>
        </w:rPr>
      </w:pPr>
      <w:r>
        <w:rPr>
          <w:color w:val="auto"/>
          <w:u w:val="single"/>
        </w:rPr>
        <w:t>（2）对于监理人更换其委派的监理人员的，监理人在征得发包人同意后应当提前48小时书面通知承包人；</w:t>
      </w:r>
    </w:p>
    <w:p>
      <w:pPr>
        <w:spacing w:line="360" w:lineRule="exact"/>
        <w:ind w:firstLine="420" w:firstLineChars="200"/>
        <w:rPr>
          <w:color w:val="auto"/>
          <w:u w:val="single"/>
        </w:rPr>
      </w:pPr>
      <w:r>
        <w:rPr>
          <w:color w:val="auto"/>
          <w:u w:val="single"/>
        </w:rPr>
        <w:t>（3）监理人对其监理人员的任何授权，承包人均应当要求监理人提供书面的授权，否则，承包人有权拒绝接受监理人员的指示。</w:t>
      </w:r>
    </w:p>
    <w:p>
      <w:pPr>
        <w:spacing w:line="360" w:lineRule="exact"/>
        <w:ind w:firstLine="420" w:firstLineChars="200"/>
        <w:rPr>
          <w:color w:val="auto"/>
        </w:rPr>
      </w:pPr>
      <w:r>
        <w:rPr>
          <w:color w:val="auto"/>
        </w:rPr>
        <w:t>4.4 商定或确定</w:t>
      </w:r>
    </w:p>
    <w:p>
      <w:pPr>
        <w:spacing w:line="360" w:lineRule="exact"/>
        <w:ind w:firstLine="420" w:firstLineChars="200"/>
        <w:rPr>
          <w:color w:val="auto"/>
        </w:rPr>
      </w:pPr>
      <w:r>
        <w:rPr>
          <w:color w:val="auto"/>
        </w:rPr>
        <w:t>在发包人和承包人不能通过协商达成一致意见时，发包人授权监理人对以下事项进行确定：</w:t>
      </w:r>
    </w:p>
    <w:p>
      <w:pPr>
        <w:spacing w:line="360" w:lineRule="exact"/>
        <w:ind w:firstLine="420" w:firstLineChars="200"/>
        <w:rPr>
          <w:color w:val="auto"/>
        </w:rPr>
      </w:pPr>
      <w:r>
        <w:rPr>
          <w:color w:val="auto"/>
        </w:rPr>
        <w:t>（1）</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（2）</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（3）</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pStyle w:val="7"/>
        <w:spacing w:before="0" w:after="0" w:line="360" w:lineRule="exact"/>
        <w:ind w:firstLine="422" w:firstLineChars="200"/>
        <w:rPr>
          <w:rFonts w:ascii="Times New Roman" w:hAnsi="Times New Roman"/>
          <w:color w:val="auto"/>
          <w:sz w:val="21"/>
          <w:szCs w:val="21"/>
        </w:rPr>
      </w:pPr>
      <w:bookmarkStart w:id="329" w:name="_Toc351203637"/>
      <w:r>
        <w:rPr>
          <w:rFonts w:ascii="Times New Roman" w:hAnsi="Times New Roman"/>
          <w:color w:val="auto"/>
          <w:sz w:val="21"/>
          <w:szCs w:val="21"/>
        </w:rPr>
        <w:t>5</w:t>
      </w:r>
      <w:bookmarkEnd w:id="328"/>
      <w:bookmarkStart w:id="330" w:name="_Toc296346664"/>
      <w:bookmarkStart w:id="331" w:name="_Toc296944502"/>
      <w:bookmarkStart w:id="332" w:name="_Toc292559367"/>
      <w:bookmarkStart w:id="333" w:name="_Toc296890991"/>
      <w:bookmarkStart w:id="334" w:name="_Toc297120463"/>
      <w:bookmarkStart w:id="335" w:name="_Toc296891203"/>
      <w:bookmarkStart w:id="336" w:name="_Toc296347162"/>
      <w:bookmarkStart w:id="337" w:name="_Toc292559872"/>
      <w:bookmarkStart w:id="338" w:name="_Toc297048349"/>
      <w:bookmarkStart w:id="339" w:name="_Toc296503163"/>
      <w:r>
        <w:rPr>
          <w:rFonts w:ascii="Times New Roman" w:hAnsi="Times New Roman"/>
          <w:color w:val="auto"/>
          <w:sz w:val="21"/>
          <w:szCs w:val="21"/>
        </w:rPr>
        <w:t>. 工程质量</w:t>
      </w:r>
      <w:bookmarkEnd w:id="329"/>
    </w:p>
    <w:p>
      <w:pPr>
        <w:spacing w:line="360" w:lineRule="exact"/>
        <w:ind w:firstLine="420" w:firstLineChars="200"/>
        <w:rPr>
          <w:color w:val="auto"/>
        </w:rPr>
      </w:pPr>
      <w:bookmarkStart w:id="340" w:name="_Toc318581164"/>
      <w:bookmarkStart w:id="341" w:name="_Toc303539106"/>
      <w:bookmarkStart w:id="342" w:name="_Toc300934949"/>
      <w:bookmarkStart w:id="343" w:name="_Toc312677997"/>
      <w:bookmarkStart w:id="344" w:name="_Toc297216155"/>
      <w:bookmarkStart w:id="345" w:name="_Toc297123496"/>
      <w:bookmarkStart w:id="346" w:name="_Toc304295527"/>
      <w:r>
        <w:rPr>
          <w:color w:val="auto"/>
        </w:rPr>
        <w:t>5.1 质量要求</w:t>
      </w:r>
    </w:p>
    <w:p>
      <w:pPr>
        <w:spacing w:line="360" w:lineRule="exact"/>
        <w:ind w:firstLine="420" w:firstLineChars="200"/>
        <w:rPr>
          <w:color w:val="auto"/>
        </w:rPr>
      </w:pPr>
      <w:r>
        <w:rPr>
          <w:color w:val="auto"/>
        </w:rPr>
        <w:t>5.1.1 特殊质量标准和要求：</w:t>
      </w:r>
      <w:r>
        <w:rPr>
          <w:color w:val="auto"/>
          <w:u w:val="single"/>
        </w:rPr>
        <w:t xml:space="preserve">           </w:t>
      </w:r>
      <w:r>
        <w:rPr>
          <w:rFonts w:hint="eastAsia"/>
          <w:color w:val="auto"/>
          <w:u w:val="single"/>
        </w:rPr>
        <w:t xml:space="preserve">    /                         </w:t>
      </w:r>
      <w:r>
        <w:rPr>
          <w:color w:val="auto"/>
          <w:u w:val="single"/>
        </w:rPr>
        <w:t xml:space="preserve">  </w:t>
      </w:r>
      <w:r>
        <w:rPr>
          <w:color w:val="auto"/>
        </w:rPr>
        <w:t>。</w:t>
      </w:r>
    </w:p>
    <w:p>
      <w:pPr>
        <w:spacing w:line="360" w:lineRule="exact"/>
        <w:ind w:firstLine="420" w:firstLineChars="200"/>
        <w:rPr>
          <w:color w:val="auto"/>
        </w:rPr>
      </w:pPr>
      <w:r>
        <w:rPr>
          <w:color w:val="auto"/>
        </w:rPr>
        <w:t>关于工程奖项的约定：</w:t>
      </w:r>
      <w:r>
        <w:rPr>
          <w:color w:val="auto"/>
          <w:u w:val="single"/>
        </w:rPr>
        <w:t xml:space="preserve">                 </w:t>
      </w:r>
      <w:r>
        <w:rPr>
          <w:rFonts w:hint="eastAsia"/>
          <w:color w:val="auto"/>
          <w:u w:val="single"/>
        </w:rPr>
        <w:t xml:space="preserve">     /                       </w:t>
      </w:r>
      <w:r>
        <w:rPr>
          <w:color w:val="auto"/>
          <w:u w:val="single"/>
        </w:rPr>
        <w:t xml:space="preserve">  </w:t>
      </w:r>
      <w:r>
        <w:rPr>
          <w:color w:val="auto"/>
        </w:rPr>
        <w:t>。</w:t>
      </w:r>
    </w:p>
    <w:p>
      <w:pPr>
        <w:spacing w:line="360" w:lineRule="exact"/>
        <w:ind w:firstLine="420" w:firstLineChars="200"/>
        <w:rPr>
          <w:color w:val="auto"/>
        </w:rPr>
      </w:pPr>
      <w:r>
        <w:rPr>
          <w:color w:val="auto"/>
        </w:rPr>
        <w:t>5.3 隐蔽工程检查</w:t>
      </w:r>
    </w:p>
    <w:p>
      <w:pPr>
        <w:spacing w:line="360" w:lineRule="exact"/>
        <w:ind w:firstLine="420" w:firstLineChars="200"/>
        <w:rPr>
          <w:color w:val="auto"/>
        </w:rPr>
      </w:pPr>
      <w:r>
        <w:rPr>
          <w:color w:val="auto"/>
        </w:rPr>
        <w:t>5.3.2承包人提前通知监理人隐蔽工程检查的期限的约定：</w:t>
      </w:r>
      <w:r>
        <w:rPr>
          <w:color w:val="auto"/>
          <w:u w:val="single"/>
        </w:rPr>
        <w:t xml:space="preserve"> 按合同通用条款执行。</w:t>
      </w:r>
    </w:p>
    <w:p>
      <w:pPr>
        <w:spacing w:line="360" w:lineRule="exact"/>
        <w:ind w:firstLine="420" w:firstLineChars="200"/>
        <w:rPr>
          <w:color w:val="auto"/>
        </w:rPr>
      </w:pPr>
      <w:r>
        <w:rPr>
          <w:color w:val="auto"/>
        </w:rPr>
        <w:t>监理人不能按时进行检查时，应提前</w:t>
      </w:r>
      <w:r>
        <w:rPr>
          <w:color w:val="auto"/>
          <w:u w:val="single"/>
        </w:rPr>
        <w:t xml:space="preserve"> 24 </w:t>
      </w:r>
      <w:r>
        <w:rPr>
          <w:color w:val="auto"/>
        </w:rPr>
        <w:t>小时提交书面延期要求。</w:t>
      </w:r>
    </w:p>
    <w:p>
      <w:pPr>
        <w:spacing w:line="360" w:lineRule="exact"/>
        <w:ind w:firstLine="420" w:firstLineChars="200"/>
        <w:rPr>
          <w:color w:val="auto"/>
        </w:rPr>
      </w:pPr>
      <w:r>
        <w:rPr>
          <w:color w:val="auto"/>
        </w:rPr>
        <w:t>关于延期最长不得超过：</w:t>
      </w:r>
      <w:r>
        <w:rPr>
          <w:color w:val="auto"/>
          <w:u w:val="single"/>
        </w:rPr>
        <w:t xml:space="preserve"> 24 </w:t>
      </w:r>
      <w:r>
        <w:rPr>
          <w:color w:val="auto"/>
        </w:rPr>
        <w:t>小时，由此导致工期延误的，工期予以顺延。</w:t>
      </w:r>
    </w:p>
    <w:p>
      <w:pPr>
        <w:pStyle w:val="7"/>
        <w:spacing w:before="0" w:after="0" w:line="360" w:lineRule="exact"/>
        <w:ind w:firstLine="420" w:firstLineChars="200"/>
        <w:rPr>
          <w:rFonts w:ascii="Calibri" w:hAnsi="Calibri" w:eastAsia="宋体" w:cs="Times New Roman"/>
          <w:b w:val="0"/>
          <w:bCs w:val="0"/>
          <w:color w:val="auto"/>
          <w:kern w:val="2"/>
          <w:sz w:val="21"/>
          <w:szCs w:val="21"/>
        </w:rPr>
      </w:pPr>
      <w:bookmarkStart w:id="347" w:name="_Toc351203638"/>
      <w:r>
        <w:rPr>
          <w:rFonts w:hint="eastAsia" w:ascii="Calibri" w:hAnsi="Calibri" w:eastAsia="宋体" w:cs="Times New Roman"/>
          <w:b w:val="0"/>
          <w:bCs w:val="0"/>
          <w:color w:val="auto"/>
          <w:kern w:val="2"/>
          <w:sz w:val="21"/>
          <w:szCs w:val="21"/>
        </w:rPr>
        <w:t>重要节点的隐蔽工程验收过程、验收部位除办理纸质验收记录，承包人还应保留验收部位、验收过程、验收人员相片、影像等资料。</w:t>
      </w:r>
    </w:p>
    <w:p>
      <w:pPr>
        <w:pStyle w:val="7"/>
        <w:spacing w:before="0" w:after="0" w:line="360" w:lineRule="exact"/>
        <w:ind w:firstLine="422" w:firstLineChars="200"/>
        <w:rPr>
          <w:rFonts w:ascii="Times New Roman" w:hAnsi="Times New Roman" w:eastAsia="宋体"/>
          <w:b w:val="0"/>
          <w:color w:val="auto"/>
          <w:sz w:val="21"/>
          <w:szCs w:val="21"/>
        </w:rPr>
      </w:pPr>
      <w:r>
        <w:rPr>
          <w:rFonts w:ascii="Times New Roman" w:hAnsi="Times New Roman"/>
          <w:color w:val="auto"/>
          <w:sz w:val="21"/>
          <w:szCs w:val="21"/>
        </w:rPr>
        <w:t>6. 安全文明施工与环境保护</w:t>
      </w:r>
      <w:bookmarkEnd w:id="347"/>
    </w:p>
    <w:p>
      <w:pPr>
        <w:spacing w:line="360" w:lineRule="exact"/>
        <w:ind w:firstLine="420" w:firstLineChars="200"/>
        <w:rPr>
          <w:color w:val="auto"/>
        </w:rPr>
      </w:pPr>
      <w:r>
        <w:rPr>
          <w:color w:val="auto"/>
        </w:rPr>
        <w:t>6.1安全文明施工</w:t>
      </w:r>
    </w:p>
    <w:p>
      <w:pPr>
        <w:spacing w:line="360" w:lineRule="exact"/>
        <w:ind w:firstLine="420" w:firstLineChars="200"/>
        <w:rPr>
          <w:color w:val="auto"/>
        </w:rPr>
      </w:pPr>
      <w:r>
        <w:rPr>
          <w:color w:val="auto"/>
        </w:rPr>
        <w:t>6.1.1 项目安全生产的达标目标及相应事项的约定：</w:t>
      </w:r>
      <w:r>
        <w:rPr>
          <w:color w:val="auto"/>
          <w:u w:val="single"/>
        </w:rPr>
        <w:t xml:space="preserve"> </w:t>
      </w:r>
      <w:r>
        <w:rPr>
          <w:b/>
          <w:color w:val="auto"/>
          <w:u w:val="single"/>
        </w:rPr>
        <w:t>按《浙江省建筑施工安全标准化管理规定》（浙建建〔2012〕54号）及省、市建筑业、安全监督等相关主管部门发布的有关管理规定执行</w:t>
      </w:r>
      <w:r>
        <w:rPr>
          <w:color w:val="auto"/>
        </w:rPr>
        <w:t>。</w:t>
      </w:r>
    </w:p>
    <w:p>
      <w:pPr>
        <w:spacing w:line="360" w:lineRule="exact"/>
        <w:ind w:firstLine="420" w:firstLineChars="200"/>
        <w:rPr>
          <w:color w:val="auto"/>
        </w:rPr>
      </w:pPr>
      <w:r>
        <w:rPr>
          <w:color w:val="auto"/>
        </w:rPr>
        <w:t>6.1.4 关于治安保卫的特别约定：</w:t>
      </w:r>
      <w:r>
        <w:rPr>
          <w:color w:val="auto"/>
          <w:u w:val="single"/>
        </w:rPr>
        <w:t>按合同通用条款</w:t>
      </w:r>
      <w:r>
        <w:rPr>
          <w:color w:val="auto"/>
        </w:rPr>
        <w:t>。</w:t>
      </w:r>
    </w:p>
    <w:p>
      <w:pPr>
        <w:spacing w:line="360" w:lineRule="exact"/>
        <w:ind w:firstLine="420" w:firstLineChars="200"/>
        <w:rPr>
          <w:color w:val="auto"/>
        </w:rPr>
      </w:pPr>
      <w:r>
        <w:rPr>
          <w:color w:val="auto"/>
        </w:rPr>
        <w:t>关于编制施工场地治安管理计划的约定：</w:t>
      </w:r>
      <w:r>
        <w:rPr>
          <w:color w:val="auto"/>
          <w:u w:val="single"/>
        </w:rPr>
        <w:t>按合同通用条款</w:t>
      </w:r>
      <w:r>
        <w:rPr>
          <w:color w:val="auto"/>
        </w:rPr>
        <w:t>。</w:t>
      </w:r>
    </w:p>
    <w:p>
      <w:pPr>
        <w:spacing w:line="360" w:lineRule="exact"/>
        <w:ind w:firstLine="420" w:firstLineChars="200"/>
        <w:rPr>
          <w:color w:val="auto"/>
        </w:rPr>
      </w:pPr>
      <w:r>
        <w:rPr>
          <w:color w:val="auto"/>
        </w:rPr>
        <w:t>6.1.5 文明施工</w:t>
      </w:r>
    </w:p>
    <w:p>
      <w:pPr>
        <w:spacing w:line="360" w:lineRule="exact"/>
        <w:ind w:firstLine="420" w:firstLineChars="200"/>
        <w:rPr>
          <w:color w:val="auto"/>
          <w:u w:val="single"/>
        </w:rPr>
      </w:pPr>
      <w:r>
        <w:rPr>
          <w:color w:val="auto"/>
        </w:rPr>
        <w:t>合同当事人对文明施工的要求：</w:t>
      </w:r>
      <w:r>
        <w:rPr>
          <w:color w:val="auto"/>
          <w:u w:val="single"/>
        </w:rPr>
        <w:t>按省、市发有关文明施工管理规定执行</w:t>
      </w:r>
      <w:r>
        <w:rPr>
          <w:color w:val="auto"/>
        </w:rPr>
        <w:t>。</w:t>
      </w:r>
    </w:p>
    <w:p>
      <w:pPr>
        <w:spacing w:line="360" w:lineRule="exact"/>
        <w:ind w:firstLine="420" w:firstLineChars="200"/>
        <w:rPr>
          <w:color w:val="auto"/>
          <w:u w:val="single"/>
        </w:rPr>
      </w:pPr>
      <w:r>
        <w:rPr>
          <w:color w:val="auto"/>
        </w:rPr>
        <w:t>6.1.6 关于安全文明施工费支付比例和支付期限的约定：</w:t>
      </w:r>
      <w:r>
        <w:rPr>
          <w:color w:val="auto"/>
          <w:u w:val="single"/>
        </w:rPr>
        <w:t>安全文明施工费预付费用包含在工程预付款内，</w:t>
      </w:r>
      <w:r>
        <w:rPr>
          <w:rFonts w:hint="eastAsia"/>
          <w:color w:val="auto"/>
          <w:u w:val="single"/>
        </w:rPr>
        <w:t>与工程预付款一并支付，</w:t>
      </w:r>
      <w:r>
        <w:rPr>
          <w:color w:val="auto"/>
          <w:u w:val="single"/>
        </w:rPr>
        <w:t>支付比例为安全文明施工费（不含创标化工地增加费）总额的</w:t>
      </w:r>
      <w:r>
        <w:rPr>
          <w:rFonts w:hint="eastAsia"/>
          <w:color w:val="auto"/>
          <w:u w:val="single"/>
        </w:rPr>
        <w:t>50</w:t>
      </w:r>
      <w:r>
        <w:rPr>
          <w:color w:val="auto"/>
          <w:u w:val="single"/>
        </w:rPr>
        <w:t xml:space="preserve"> %。</w:t>
      </w:r>
      <w:r>
        <w:rPr>
          <w:rFonts w:hint="eastAsia"/>
          <w:color w:val="auto"/>
          <w:u w:val="single"/>
        </w:rPr>
        <w:t>其余部分与进度款同期支付。安全文明施工费承包人应专款专用，在财务账目中应单独列项备查，不得挪作他用。</w:t>
      </w:r>
    </w:p>
    <w:p>
      <w:pPr>
        <w:spacing w:line="360" w:lineRule="exact"/>
        <w:ind w:firstLine="420" w:firstLineChars="200"/>
        <w:rPr>
          <w:color w:val="auto"/>
        </w:rPr>
      </w:pPr>
      <w:r>
        <w:rPr>
          <w:rFonts w:hint="eastAsia"/>
          <w:color w:val="auto"/>
          <w:u w:val="single"/>
        </w:rPr>
        <w:t>安全文明施工费包含在合同价内。承包人经发包人同意采取合同约定以外的安全措施所产生的费用，由发、承包人协商处理；未经发包人同意，发包人可不承担由此增加费用</w:t>
      </w:r>
      <w:r>
        <w:rPr>
          <w:color w:val="auto"/>
        </w:rPr>
        <w:t>。</w:t>
      </w:r>
    </w:p>
    <w:bookmarkEnd w:id="340"/>
    <w:bookmarkEnd w:id="341"/>
    <w:bookmarkEnd w:id="342"/>
    <w:bookmarkEnd w:id="343"/>
    <w:bookmarkEnd w:id="344"/>
    <w:bookmarkEnd w:id="345"/>
    <w:bookmarkEnd w:id="346"/>
    <w:p>
      <w:pPr>
        <w:pStyle w:val="7"/>
        <w:spacing w:before="0" w:after="0" w:line="360" w:lineRule="exact"/>
        <w:ind w:firstLine="422" w:firstLineChars="200"/>
        <w:rPr>
          <w:rFonts w:ascii="Times New Roman" w:hAnsi="Times New Roman"/>
          <w:color w:val="auto"/>
          <w:sz w:val="21"/>
          <w:szCs w:val="21"/>
        </w:rPr>
      </w:pPr>
      <w:bookmarkStart w:id="348" w:name="_Toc351203639"/>
      <w:r>
        <w:rPr>
          <w:rFonts w:ascii="Times New Roman" w:hAnsi="Times New Roman"/>
          <w:color w:val="auto"/>
          <w:sz w:val="21"/>
          <w:szCs w:val="21"/>
        </w:rPr>
        <w:t>7. 工期和进度</w:t>
      </w:r>
      <w:bookmarkEnd w:id="348"/>
    </w:p>
    <w:p>
      <w:pPr>
        <w:spacing w:line="360" w:lineRule="exact"/>
        <w:ind w:firstLine="420" w:firstLineChars="200"/>
        <w:rPr>
          <w:color w:val="auto"/>
        </w:rPr>
      </w:pPr>
      <w:r>
        <w:rPr>
          <w:color w:val="auto"/>
        </w:rPr>
        <w:t>7.1 施工组织设计</w:t>
      </w:r>
    </w:p>
    <w:p>
      <w:pPr>
        <w:spacing w:line="360" w:lineRule="exact"/>
        <w:ind w:firstLine="420" w:firstLineChars="200"/>
        <w:rPr>
          <w:color w:val="auto"/>
          <w:u w:val="single"/>
        </w:rPr>
      </w:pPr>
      <w:r>
        <w:rPr>
          <w:color w:val="auto"/>
        </w:rPr>
        <w:t>7.1.1 合同当事人约定的施工组织设计应包括的其他内容：</w:t>
      </w:r>
      <w:r>
        <w:rPr>
          <w:color w:val="auto"/>
          <w:u w:val="single"/>
        </w:rPr>
        <w:t xml:space="preserve"> </w:t>
      </w:r>
      <w:r>
        <w:rPr>
          <w:rFonts w:hint="eastAsia"/>
          <w:color w:val="auto"/>
          <w:u w:val="single"/>
        </w:rPr>
        <w:t>对特殊工艺施工、危险性较大分部分项工程施工</w:t>
      </w:r>
      <w:r>
        <w:rPr>
          <w:rFonts w:hint="eastAsia" w:ascii="宋体" w:hAnsi="宋体" w:cs="宋体"/>
          <w:u w:val="single"/>
        </w:rPr>
        <w:t>（如基坑支护方案、高大支模架方案等专项施工方案）</w:t>
      </w:r>
      <w:r>
        <w:rPr>
          <w:rFonts w:hint="eastAsia"/>
          <w:color w:val="auto"/>
          <w:u w:val="single"/>
        </w:rPr>
        <w:t>，应按规定办理审批手续和按当地建设行政主管部门要求组织专家论证。</w:t>
      </w:r>
    </w:p>
    <w:p>
      <w:pPr>
        <w:spacing w:line="360" w:lineRule="exact"/>
        <w:ind w:firstLine="420" w:firstLineChars="200"/>
        <w:rPr>
          <w:rFonts w:eastAsia="宋体"/>
          <w:color w:val="auto"/>
        </w:rPr>
      </w:pPr>
      <w:r>
        <w:rPr>
          <w:rFonts w:hint="eastAsia"/>
          <w:color w:val="auto"/>
          <w:u w:val="single"/>
        </w:rPr>
        <w:t>监理人、发包人对施工组织设计、专项施工方案的批准，仅表示对施工技术方案的认可；如构成工程变更或者涉及工程价款调整的，承包人应在提交的审批表中载明，并同时提交工程造价文件，经监理人、发包人审批后作为结算依据。</w:t>
      </w:r>
    </w:p>
    <w:p>
      <w:pPr>
        <w:spacing w:line="360" w:lineRule="exact"/>
        <w:ind w:firstLine="420" w:firstLineChars="200"/>
        <w:rPr>
          <w:color w:val="auto"/>
        </w:rPr>
      </w:pPr>
      <w:r>
        <w:rPr>
          <w:color w:val="auto"/>
        </w:rPr>
        <w:t>7.1.2 施工组织设计的提交和修改</w:t>
      </w:r>
    </w:p>
    <w:p>
      <w:pPr>
        <w:spacing w:line="360" w:lineRule="exact"/>
        <w:ind w:firstLine="420" w:firstLineChars="200"/>
        <w:rPr>
          <w:color w:val="auto"/>
        </w:rPr>
      </w:pPr>
      <w:r>
        <w:rPr>
          <w:color w:val="auto"/>
        </w:rPr>
        <w:t>承包人提交详细施工组织设计的期限的约定：</w:t>
      </w:r>
      <w:r>
        <w:rPr>
          <w:color w:val="auto"/>
          <w:u w:val="single"/>
        </w:rPr>
        <w:t>接到开工通知（或确定开工日期）后7天内，专项施工方案在相应部位施工前7天。发包人对承包人的施工组织设计（或方案）提出质疑和合理修正时，承包人应7天内提供修正完成并重新提交；每月20日前向发包方提交下一月进度计划和施工方案</w:t>
      </w:r>
      <w:r>
        <w:rPr>
          <w:color w:val="auto"/>
        </w:rPr>
        <w:t>；</w:t>
      </w:r>
    </w:p>
    <w:p>
      <w:pPr>
        <w:spacing w:line="360" w:lineRule="exact"/>
        <w:ind w:firstLine="420" w:firstLineChars="200"/>
        <w:rPr>
          <w:color w:val="auto"/>
        </w:rPr>
      </w:pPr>
      <w:r>
        <w:rPr>
          <w:color w:val="auto"/>
        </w:rPr>
        <w:t>发包人和监理人在收到详细的施工组织设计后确认或提出修改意见的期限：</w:t>
      </w:r>
      <w:r>
        <w:rPr>
          <w:color w:val="auto"/>
          <w:u w:val="single"/>
        </w:rPr>
        <w:t>收到相应文件后7天内</w:t>
      </w:r>
      <w:r>
        <w:rPr>
          <w:color w:val="auto"/>
        </w:rPr>
        <w:t>。</w:t>
      </w:r>
    </w:p>
    <w:p>
      <w:pPr>
        <w:spacing w:line="360" w:lineRule="exact"/>
        <w:ind w:firstLine="420" w:firstLineChars="200"/>
        <w:rPr>
          <w:color w:val="auto"/>
        </w:rPr>
      </w:pPr>
      <w:r>
        <w:rPr>
          <w:color w:val="auto"/>
        </w:rPr>
        <w:t>7</w:t>
      </w:r>
      <w:bookmarkStart w:id="349" w:name="_Toc297216173"/>
      <w:bookmarkStart w:id="350" w:name="_Toc303539123"/>
      <w:bookmarkStart w:id="351" w:name="_Toc304295541"/>
      <w:bookmarkStart w:id="352" w:name="_Toc297123514"/>
      <w:bookmarkStart w:id="353" w:name="_Toc312678005"/>
      <w:bookmarkStart w:id="354" w:name="_Toc312677479"/>
      <w:bookmarkStart w:id="355" w:name="_Toc300934966"/>
      <w:r>
        <w:rPr>
          <w:color w:val="auto"/>
        </w:rPr>
        <w:t>.2 施工进度计划</w:t>
      </w:r>
    </w:p>
    <w:p>
      <w:pPr>
        <w:spacing w:line="360" w:lineRule="exact"/>
        <w:ind w:firstLine="420" w:firstLineChars="200"/>
        <w:rPr>
          <w:color w:val="auto"/>
        </w:rPr>
      </w:pPr>
      <w:r>
        <w:rPr>
          <w:color w:val="auto"/>
        </w:rPr>
        <w:t>7.2.2 施工进度计划的修订</w:t>
      </w:r>
    </w:p>
    <w:p>
      <w:pPr>
        <w:spacing w:line="360" w:lineRule="exact"/>
        <w:ind w:firstLine="420" w:firstLineChars="200"/>
        <w:rPr>
          <w:color w:val="auto"/>
        </w:rPr>
      </w:pPr>
      <w:r>
        <w:rPr>
          <w:color w:val="auto"/>
        </w:rPr>
        <w:t>发包人和监理人在收到修订的施工进度计划后确认或提出修改意见的期限：</w:t>
      </w:r>
      <w:r>
        <w:rPr>
          <w:color w:val="auto"/>
          <w:u w:val="single"/>
        </w:rPr>
        <w:t xml:space="preserve"> 收到相应文件后7天内 </w:t>
      </w:r>
      <w:r>
        <w:rPr>
          <w:color w:val="auto"/>
        </w:rPr>
        <w:t>。</w:t>
      </w:r>
    </w:p>
    <w:p>
      <w:pPr>
        <w:spacing w:line="360" w:lineRule="exact"/>
        <w:ind w:firstLine="420" w:firstLineChars="200"/>
        <w:rPr>
          <w:color w:val="auto"/>
        </w:rPr>
      </w:pPr>
      <w:r>
        <w:rPr>
          <w:color w:val="auto"/>
        </w:rPr>
        <w:t>7.3 开工</w:t>
      </w:r>
    </w:p>
    <w:bookmarkEnd w:id="349"/>
    <w:bookmarkEnd w:id="350"/>
    <w:bookmarkEnd w:id="351"/>
    <w:bookmarkEnd w:id="352"/>
    <w:bookmarkEnd w:id="353"/>
    <w:bookmarkEnd w:id="354"/>
    <w:bookmarkEnd w:id="355"/>
    <w:p>
      <w:pPr>
        <w:spacing w:line="360" w:lineRule="exact"/>
        <w:ind w:firstLine="420" w:firstLineChars="200"/>
        <w:rPr>
          <w:color w:val="auto"/>
        </w:rPr>
      </w:pPr>
      <w:r>
        <w:rPr>
          <w:color w:val="auto"/>
        </w:rPr>
        <w:t>7.3.1 开工准备</w:t>
      </w:r>
    </w:p>
    <w:p>
      <w:pPr>
        <w:spacing w:line="360" w:lineRule="exact"/>
        <w:ind w:firstLine="420" w:firstLineChars="200"/>
        <w:rPr>
          <w:color w:val="auto"/>
          <w:u w:val="single"/>
        </w:rPr>
      </w:pPr>
      <w:r>
        <w:rPr>
          <w:color w:val="auto"/>
        </w:rPr>
        <w:t>关于承包人提交工程开工报审表的期限：</w:t>
      </w:r>
      <w:r>
        <w:rPr>
          <w:color w:val="auto"/>
          <w:u w:val="single"/>
        </w:rPr>
        <w:t xml:space="preserve">接到开工通知（或确定开工日期）后7天内 </w:t>
      </w:r>
      <w:r>
        <w:rPr>
          <w:color w:val="auto"/>
        </w:rPr>
        <w:t>。</w:t>
      </w:r>
    </w:p>
    <w:p>
      <w:pPr>
        <w:spacing w:line="360" w:lineRule="exact"/>
        <w:ind w:firstLine="420" w:firstLineChars="200"/>
        <w:rPr>
          <w:color w:val="auto"/>
        </w:rPr>
      </w:pPr>
      <w:r>
        <w:rPr>
          <w:color w:val="auto"/>
        </w:rPr>
        <w:t>关于发包人应完成的其他开工准备工作及期限：</w:t>
      </w:r>
      <w:r>
        <w:rPr>
          <w:color w:val="auto"/>
          <w:u w:val="single"/>
        </w:rPr>
        <w:t>开工前7天</w:t>
      </w:r>
      <w:r>
        <w:rPr>
          <w:color w:val="auto"/>
        </w:rPr>
        <w:t>。</w:t>
      </w:r>
    </w:p>
    <w:p>
      <w:pPr>
        <w:spacing w:line="360" w:lineRule="exact"/>
        <w:ind w:firstLine="420" w:firstLineChars="200"/>
        <w:rPr>
          <w:color w:val="auto"/>
        </w:rPr>
      </w:pPr>
      <w:r>
        <w:rPr>
          <w:color w:val="auto"/>
        </w:rPr>
        <w:t>关于承包人应完成的其他开工准备工作及期限：</w:t>
      </w:r>
      <w:r>
        <w:rPr>
          <w:color w:val="auto"/>
          <w:u w:val="single"/>
        </w:rPr>
        <w:t>开工前。</w:t>
      </w:r>
    </w:p>
    <w:p>
      <w:pPr>
        <w:spacing w:line="360" w:lineRule="exact"/>
        <w:ind w:firstLine="420" w:firstLineChars="200"/>
        <w:rPr>
          <w:color w:val="auto"/>
        </w:rPr>
      </w:pPr>
      <w:r>
        <w:rPr>
          <w:color w:val="auto"/>
        </w:rPr>
        <w:t>7.3.2开工通知</w:t>
      </w:r>
    </w:p>
    <w:p>
      <w:pPr>
        <w:spacing w:line="360" w:lineRule="exact"/>
        <w:ind w:firstLine="420" w:firstLineChars="200"/>
        <w:rPr>
          <w:color w:val="auto"/>
        </w:rPr>
      </w:pPr>
      <w:r>
        <w:rPr>
          <w:color w:val="auto"/>
        </w:rPr>
        <w:t>发包人（或监理人）在计划开工日期前7天向承包人发出开工通知，工期自开工通知中载明的开工日期起算。</w:t>
      </w:r>
    </w:p>
    <w:p>
      <w:pPr>
        <w:spacing w:line="360" w:lineRule="exact"/>
        <w:ind w:firstLine="420" w:firstLineChars="200"/>
        <w:rPr>
          <w:color w:val="auto"/>
        </w:rPr>
      </w:pPr>
      <w:r>
        <w:rPr>
          <w:color w:val="auto"/>
        </w:rPr>
        <w:t xml:space="preserve">因发包人原因造成监理人未能在计划开工日期之日起 </w:t>
      </w:r>
      <w:r>
        <w:rPr>
          <w:color w:val="auto"/>
          <w:u w:val="single"/>
        </w:rPr>
        <w:t xml:space="preserve">90 </w:t>
      </w:r>
      <w:r>
        <w:rPr>
          <w:color w:val="auto"/>
        </w:rPr>
        <w:t>天内发出开工通知的，承包人有权提出价格调整要求，或者解除合同。发包人应当承担由此增加的费用或赔偿承包人的损失。</w:t>
      </w:r>
    </w:p>
    <w:p>
      <w:pPr>
        <w:spacing w:line="360" w:lineRule="exact"/>
        <w:ind w:firstLine="420" w:firstLineChars="200"/>
        <w:rPr>
          <w:color w:val="auto"/>
        </w:rPr>
      </w:pPr>
      <w:r>
        <w:rPr>
          <w:color w:val="auto"/>
        </w:rPr>
        <w:t>7.4 测量放线</w:t>
      </w:r>
    </w:p>
    <w:p>
      <w:pPr>
        <w:spacing w:line="360" w:lineRule="exact"/>
        <w:ind w:firstLine="420" w:firstLineChars="200"/>
        <w:rPr>
          <w:color w:val="auto"/>
        </w:rPr>
      </w:pPr>
      <w:r>
        <w:rPr>
          <w:color w:val="auto"/>
        </w:rPr>
        <w:t>7.4.1发包人通过监理人向承包人提供测量基准点、基准线和水准点及其书面资料的期限：</w:t>
      </w:r>
      <w:r>
        <w:rPr>
          <w:color w:val="auto"/>
          <w:u w:val="single"/>
        </w:rPr>
        <w:t xml:space="preserve"> 按合同通用条款执行 </w:t>
      </w:r>
      <w:r>
        <w:rPr>
          <w:color w:val="auto"/>
        </w:rPr>
        <w:t>。</w:t>
      </w:r>
    </w:p>
    <w:p>
      <w:pPr>
        <w:spacing w:line="360" w:lineRule="exact"/>
        <w:ind w:firstLine="420" w:firstLineChars="200"/>
        <w:rPr>
          <w:color w:val="auto"/>
        </w:rPr>
      </w:pPr>
      <w:r>
        <w:rPr>
          <w:color w:val="auto"/>
        </w:rPr>
        <w:t>7</w:t>
      </w:r>
      <w:bookmarkStart w:id="356" w:name="_Toc297216175"/>
      <w:bookmarkStart w:id="357" w:name="_Toc304295546"/>
      <w:bookmarkStart w:id="358" w:name="_Toc312678010"/>
      <w:bookmarkStart w:id="359" w:name="_Toc303539125"/>
      <w:bookmarkStart w:id="360" w:name="_Toc297123516"/>
      <w:bookmarkStart w:id="361" w:name="_Toc312677484"/>
      <w:bookmarkStart w:id="362" w:name="_Toc300934968"/>
      <w:r>
        <w:rPr>
          <w:color w:val="auto"/>
        </w:rPr>
        <w:t>.5 工期延误</w:t>
      </w:r>
    </w:p>
    <w:bookmarkEnd w:id="356"/>
    <w:bookmarkEnd w:id="357"/>
    <w:bookmarkEnd w:id="358"/>
    <w:bookmarkEnd w:id="359"/>
    <w:bookmarkEnd w:id="360"/>
    <w:bookmarkEnd w:id="361"/>
    <w:bookmarkEnd w:id="362"/>
    <w:p>
      <w:pPr>
        <w:spacing w:line="360" w:lineRule="exact"/>
        <w:ind w:firstLine="420" w:firstLineChars="200"/>
        <w:rPr>
          <w:color w:val="auto"/>
        </w:rPr>
      </w:pPr>
      <w:bookmarkStart w:id="363" w:name="_Toc312678014"/>
      <w:bookmarkStart w:id="364" w:name="_Toc318581171"/>
      <w:r>
        <w:rPr>
          <w:color w:val="auto"/>
        </w:rPr>
        <w:t>7.5.1 因发包人原因导致工期延误</w:t>
      </w:r>
    </w:p>
    <w:p>
      <w:pPr>
        <w:spacing w:line="360" w:lineRule="exact"/>
        <w:ind w:firstLine="420" w:firstLineChars="200"/>
        <w:rPr>
          <w:color w:val="auto"/>
          <w:u w:val="single"/>
        </w:rPr>
      </w:pPr>
      <w:r>
        <w:rPr>
          <w:color w:val="auto"/>
        </w:rPr>
        <w:t>（7）因发包人原因导致工期延误的其他情形：</w:t>
      </w:r>
      <w:r>
        <w:rPr>
          <w:color w:val="auto"/>
          <w:u w:val="single"/>
        </w:rPr>
        <w:t>①重大设计变更；②因政策处理不完善导致无法施工</w:t>
      </w:r>
      <w:r>
        <w:rPr>
          <w:color w:val="auto"/>
        </w:rPr>
        <w:t>。</w:t>
      </w:r>
    </w:p>
    <w:p>
      <w:pPr>
        <w:spacing w:line="360" w:lineRule="exact"/>
        <w:ind w:firstLine="420" w:firstLineChars="200"/>
        <w:rPr>
          <w:color w:val="auto"/>
        </w:rPr>
      </w:pPr>
      <w:r>
        <w:rPr>
          <w:color w:val="auto"/>
        </w:rPr>
        <w:t>7</w:t>
      </w:r>
      <w:bookmarkStart w:id="365" w:name="_Toc318581169"/>
      <w:bookmarkStart w:id="366" w:name="_Toc312677486"/>
      <w:bookmarkStart w:id="367" w:name="_Toc312678012"/>
      <w:bookmarkStart w:id="368" w:name="_Toc300934970"/>
      <w:bookmarkStart w:id="369" w:name="_Toc304295548"/>
      <w:bookmarkStart w:id="370" w:name="_Toc297123518"/>
      <w:bookmarkStart w:id="371" w:name="_Toc297216177"/>
      <w:bookmarkStart w:id="372" w:name="_Toc303539127"/>
      <w:r>
        <w:rPr>
          <w:color w:val="auto"/>
        </w:rPr>
        <w:t>.5.2 因承包人原因导致工期延误</w:t>
      </w:r>
    </w:p>
    <w:bookmarkEnd w:id="363"/>
    <w:bookmarkEnd w:id="364"/>
    <w:bookmarkEnd w:id="365"/>
    <w:bookmarkEnd w:id="366"/>
    <w:bookmarkEnd w:id="367"/>
    <w:bookmarkEnd w:id="368"/>
    <w:bookmarkEnd w:id="369"/>
    <w:bookmarkEnd w:id="370"/>
    <w:bookmarkEnd w:id="371"/>
    <w:bookmarkEnd w:id="372"/>
    <w:p>
      <w:pPr>
        <w:adjustRightInd/>
        <w:snapToGrid/>
        <w:spacing w:line="312" w:lineRule="auto"/>
        <w:ind w:firstLine="420" w:firstLineChars="200"/>
        <w:rPr>
          <w:rFonts w:ascii="宋体" w:hAnsi="宋体" w:cs="宋体"/>
          <w:u w:val="single"/>
        </w:rPr>
      </w:pPr>
      <w:r>
        <w:rPr>
          <w:rFonts w:hint="eastAsia" w:ascii="宋体" w:hAnsi="宋体" w:cs="宋体"/>
        </w:rPr>
        <w:t>因承包人原因造成工期延误，逾期竣工违约金的计算方法为：</w:t>
      </w:r>
      <w:r>
        <w:rPr>
          <w:rFonts w:hint="eastAsia" w:ascii="宋体" w:hAnsi="宋体" w:cs="宋体"/>
          <w:u w:val="single"/>
        </w:rPr>
        <w:t>1000元/天</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因承包人原因造成工期延误，逾期竣工违约金的上限：</w:t>
      </w:r>
      <w:r>
        <w:rPr>
          <w:rFonts w:hint="eastAsia"/>
          <w:color w:val="auto"/>
          <w:u w:val="single"/>
        </w:rPr>
        <w:t>履约保证金额度，对发包人造成损失超过违约金的，除承担违约金外同时赔偿发包人损失</w:t>
      </w:r>
      <w:r>
        <w:rPr>
          <w:rFonts w:hint="eastAsia" w:ascii="宋体" w:hAnsi="宋体" w:cs="宋体"/>
        </w:rPr>
        <w:t>。</w:t>
      </w:r>
    </w:p>
    <w:p>
      <w:pPr>
        <w:spacing w:line="360" w:lineRule="exact"/>
        <w:ind w:firstLine="420" w:firstLineChars="200"/>
        <w:rPr>
          <w:color w:val="auto"/>
        </w:rPr>
      </w:pPr>
      <w:r>
        <w:rPr>
          <w:color w:val="auto"/>
        </w:rPr>
        <w:t>7</w:t>
      </w:r>
      <w:bookmarkStart w:id="373" w:name="_Toc297216178"/>
      <w:bookmarkStart w:id="374" w:name="_Toc304295549"/>
      <w:bookmarkStart w:id="375" w:name="_Toc303539128"/>
      <w:bookmarkStart w:id="376" w:name="_Toc300934971"/>
      <w:bookmarkStart w:id="377" w:name="_Toc312678015"/>
      <w:bookmarkStart w:id="378" w:name="_Toc297123519"/>
      <w:r>
        <w:rPr>
          <w:color w:val="auto"/>
        </w:rPr>
        <w:t>.6 不</w:t>
      </w:r>
      <w:bookmarkEnd w:id="373"/>
      <w:bookmarkEnd w:id="374"/>
      <w:bookmarkEnd w:id="375"/>
      <w:bookmarkEnd w:id="376"/>
      <w:bookmarkEnd w:id="377"/>
      <w:bookmarkEnd w:id="378"/>
      <w:r>
        <w:rPr>
          <w:color w:val="auto"/>
        </w:rPr>
        <w:t>利物质条件</w:t>
      </w:r>
    </w:p>
    <w:p>
      <w:pPr>
        <w:spacing w:line="360" w:lineRule="exact"/>
        <w:ind w:firstLine="420" w:firstLineChars="200"/>
        <w:rPr>
          <w:color w:val="auto"/>
        </w:rPr>
      </w:pPr>
      <w:bookmarkStart w:id="379" w:name="_Toc312678016"/>
      <w:bookmarkStart w:id="380" w:name="_Toc318581172"/>
      <w:bookmarkStart w:id="381" w:name="_Toc297216179"/>
      <w:bookmarkStart w:id="382" w:name="_Toc303539129"/>
      <w:bookmarkStart w:id="383" w:name="_Toc304295550"/>
      <w:bookmarkStart w:id="384" w:name="_Toc300934972"/>
      <w:bookmarkStart w:id="385" w:name="_Toc297123520"/>
      <w:r>
        <w:rPr>
          <w:color w:val="auto"/>
        </w:rPr>
        <w:t>不利物质条件的其他情形和有关约定：</w:t>
      </w:r>
    </w:p>
    <w:p>
      <w:pPr>
        <w:spacing w:line="360" w:lineRule="exact"/>
        <w:ind w:firstLine="420" w:firstLineChars="200"/>
        <w:rPr>
          <w:color w:val="auto"/>
        </w:rPr>
      </w:pPr>
      <w:r>
        <w:rPr>
          <w:color w:val="auto"/>
        </w:rPr>
        <w:t>（1）</w:t>
      </w:r>
      <w:r>
        <w:rPr>
          <w:color w:val="auto"/>
          <w:u w:val="single"/>
        </w:rPr>
        <w:t>每天连续停水、停电超过8小时以上。</w:t>
      </w:r>
    </w:p>
    <w:p>
      <w:pPr>
        <w:spacing w:line="360" w:lineRule="exact"/>
        <w:ind w:firstLine="420" w:firstLineChars="200"/>
        <w:rPr>
          <w:color w:val="auto"/>
          <w:u w:val="single"/>
        </w:rPr>
      </w:pPr>
      <w:r>
        <w:rPr>
          <w:color w:val="auto"/>
        </w:rPr>
        <w:t>（2）</w:t>
      </w:r>
      <w:r>
        <w:rPr>
          <w:color w:val="auto"/>
          <w:u w:val="single"/>
        </w:rPr>
        <w:t>因政府行政命令（因承包人原因的除外）。</w:t>
      </w:r>
    </w:p>
    <w:p>
      <w:pPr>
        <w:spacing w:line="360" w:lineRule="exact"/>
        <w:ind w:firstLine="420" w:firstLineChars="200"/>
        <w:rPr>
          <w:color w:val="auto"/>
          <w:u w:val="single"/>
        </w:rPr>
      </w:pPr>
      <w:r>
        <w:rPr>
          <w:color w:val="auto"/>
        </w:rPr>
        <w:t>（3）</w:t>
      </w:r>
      <w:r>
        <w:rPr>
          <w:color w:val="auto"/>
          <w:u w:val="single"/>
        </w:rPr>
        <w:t>非因双方原因而无法控制的爆炸、火灾等事件。</w:t>
      </w:r>
    </w:p>
    <w:p>
      <w:pPr>
        <w:spacing w:line="360" w:lineRule="exact"/>
        <w:ind w:firstLine="420" w:firstLineChars="200"/>
        <w:rPr>
          <w:color w:val="auto"/>
          <w:u w:val="single"/>
        </w:rPr>
      </w:pPr>
      <w:r>
        <w:rPr>
          <w:color w:val="auto"/>
        </w:rPr>
        <w:t>（4）</w:t>
      </w:r>
      <w:r>
        <w:rPr>
          <w:color w:val="auto"/>
          <w:u w:val="single"/>
        </w:rPr>
        <w:t>施工场地周围地下管线保护，地下障碍物和污染物排除，邻近建筑物、构筑物的保护要求。</w:t>
      </w:r>
    </w:p>
    <w:p>
      <w:pPr>
        <w:spacing w:line="360" w:lineRule="exact"/>
        <w:ind w:firstLine="420" w:firstLineChars="200"/>
        <w:rPr>
          <w:color w:val="auto"/>
          <w:u w:val="single"/>
        </w:rPr>
      </w:pPr>
      <w:r>
        <w:rPr>
          <w:color w:val="auto"/>
          <w:u w:val="single"/>
        </w:rPr>
        <w:t>（5）地质勘探资料未涉及的地下管道、暗沟、岩层等。</w:t>
      </w:r>
    </w:p>
    <w:p>
      <w:pPr>
        <w:spacing w:line="360" w:lineRule="exact"/>
        <w:ind w:firstLine="420" w:firstLineChars="200"/>
        <w:rPr>
          <w:color w:val="auto"/>
        </w:rPr>
      </w:pPr>
      <w:r>
        <w:rPr>
          <w:rFonts w:hint="eastAsia"/>
          <w:color w:val="auto"/>
          <w:u w:val="single"/>
        </w:rPr>
        <w:t>承包人为克服不利物质条件，所采取合理措施而增加的费用和延误的工期由发包人承担；承包人虽然采取了合理的措施，但不利物质条件发生后，仍导致了工程现场损失，则参照通用合同条款17.3条处理。</w:t>
      </w:r>
    </w:p>
    <w:bookmarkEnd w:id="379"/>
    <w:bookmarkEnd w:id="380"/>
    <w:bookmarkEnd w:id="381"/>
    <w:bookmarkEnd w:id="382"/>
    <w:bookmarkEnd w:id="383"/>
    <w:bookmarkEnd w:id="384"/>
    <w:bookmarkEnd w:id="385"/>
    <w:p>
      <w:pPr>
        <w:spacing w:line="360" w:lineRule="exact"/>
        <w:ind w:firstLine="420" w:firstLineChars="200"/>
        <w:rPr>
          <w:color w:val="auto"/>
        </w:rPr>
      </w:pPr>
      <w:r>
        <w:rPr>
          <w:color w:val="auto"/>
        </w:rPr>
        <w:t>7</w:t>
      </w:r>
      <w:bookmarkStart w:id="386" w:name="_Toc304295551"/>
      <w:bookmarkStart w:id="387" w:name="_Toc312678017"/>
      <w:bookmarkStart w:id="388" w:name="_Toc297216180"/>
      <w:bookmarkStart w:id="389" w:name="_Toc297123521"/>
      <w:bookmarkStart w:id="390" w:name="_Toc300934973"/>
      <w:bookmarkStart w:id="391" w:name="_Toc303539130"/>
      <w:r>
        <w:rPr>
          <w:color w:val="auto"/>
        </w:rPr>
        <w:t>.7异常恶劣的气候条件</w:t>
      </w:r>
    </w:p>
    <w:bookmarkEnd w:id="386"/>
    <w:bookmarkEnd w:id="387"/>
    <w:bookmarkEnd w:id="388"/>
    <w:bookmarkEnd w:id="389"/>
    <w:bookmarkEnd w:id="390"/>
    <w:bookmarkEnd w:id="391"/>
    <w:p>
      <w:pPr>
        <w:spacing w:line="360" w:lineRule="exact"/>
        <w:ind w:firstLine="420" w:firstLineChars="200"/>
        <w:rPr>
          <w:color w:val="auto"/>
        </w:rPr>
      </w:pPr>
      <w:r>
        <w:rPr>
          <w:color w:val="auto"/>
        </w:rPr>
        <w:t>发包人和承包人同意以下情形视为异常恶劣的气候条件：</w:t>
      </w:r>
    </w:p>
    <w:p>
      <w:pPr>
        <w:spacing w:line="360" w:lineRule="exact"/>
        <w:ind w:firstLine="420" w:firstLineChars="200"/>
        <w:rPr>
          <w:color w:val="auto"/>
          <w:u w:val="single"/>
        </w:rPr>
      </w:pPr>
      <w:r>
        <w:rPr>
          <w:color w:val="auto"/>
        </w:rPr>
        <w:t>（1）</w:t>
      </w:r>
      <w:r>
        <w:rPr>
          <w:rFonts w:hint="eastAsia"/>
          <w:color w:val="auto"/>
          <w:u w:val="single"/>
        </w:rPr>
        <w:t>8-10级（含10级）持续24小时的大风（台风）；</w:t>
      </w:r>
    </w:p>
    <w:p>
      <w:pPr>
        <w:spacing w:line="360" w:lineRule="exact"/>
        <w:ind w:firstLine="420" w:firstLineChars="200"/>
        <w:rPr>
          <w:color w:val="auto"/>
        </w:rPr>
      </w:pPr>
      <w:r>
        <w:rPr>
          <w:color w:val="auto"/>
        </w:rPr>
        <w:t>（2）</w:t>
      </w:r>
      <w:r>
        <w:rPr>
          <w:color w:val="auto"/>
          <w:u w:val="single"/>
        </w:rPr>
        <w:t xml:space="preserve">24小时内持续降雨且降水量为200mm以上 </w:t>
      </w:r>
      <w:r>
        <w:rPr>
          <w:color w:val="auto"/>
        </w:rPr>
        <w:t>；</w:t>
      </w:r>
    </w:p>
    <w:p>
      <w:pPr>
        <w:spacing w:line="360" w:lineRule="exact"/>
        <w:ind w:firstLine="420" w:firstLineChars="200"/>
        <w:rPr>
          <w:color w:val="auto"/>
        </w:rPr>
      </w:pPr>
      <w:r>
        <w:rPr>
          <w:color w:val="auto"/>
        </w:rPr>
        <w:t>（3）</w:t>
      </w:r>
      <w:r>
        <w:rPr>
          <w:color w:val="auto"/>
          <w:u w:val="single"/>
        </w:rPr>
        <w:t xml:space="preserve">40摄氏度及以上且持续2天以上的高温天气 </w:t>
      </w:r>
      <w:r>
        <w:rPr>
          <w:color w:val="auto"/>
        </w:rPr>
        <w:t>。</w:t>
      </w:r>
    </w:p>
    <w:p>
      <w:pPr>
        <w:spacing w:line="360" w:lineRule="exact"/>
        <w:ind w:firstLine="420" w:firstLineChars="200"/>
        <w:rPr>
          <w:color w:val="auto"/>
        </w:rPr>
      </w:pPr>
      <w:r>
        <w:rPr>
          <w:rFonts w:hint="eastAsia"/>
          <w:color w:val="auto"/>
          <w:u w:val="single"/>
        </w:rPr>
        <w:t>承包人为克服异常恶劣的气候条件，所采取合理措施而增加的费用和延误的工期由发包人承担；承包人虽然采取了合理的措施，但异常恶劣的气候条件发生后，仍导致了工程现场损失，则参照通用合同条款17.3处理。</w:t>
      </w:r>
    </w:p>
    <w:p>
      <w:pPr>
        <w:spacing w:line="360" w:lineRule="exact"/>
        <w:ind w:firstLine="420" w:firstLineChars="200"/>
        <w:rPr>
          <w:color w:val="auto"/>
        </w:rPr>
      </w:pPr>
      <w:r>
        <w:rPr>
          <w:color w:val="auto"/>
        </w:rPr>
        <w:t>7.9 提前竣工的奖励</w:t>
      </w:r>
    </w:p>
    <w:p>
      <w:pPr>
        <w:adjustRightInd/>
        <w:snapToGrid/>
        <w:spacing w:line="312" w:lineRule="auto"/>
        <w:ind w:firstLine="420" w:firstLineChars="200"/>
        <w:rPr>
          <w:rFonts w:ascii="宋体" w:hAnsi="宋体" w:cs="宋体"/>
        </w:rPr>
      </w:pPr>
      <w:r>
        <w:rPr>
          <w:color w:val="auto"/>
        </w:rPr>
        <w:t>7.9.2</w:t>
      </w:r>
      <w:r>
        <w:rPr>
          <w:rFonts w:hint="eastAsia" w:ascii="宋体" w:hAnsi="宋体" w:cs="宋体"/>
        </w:rPr>
        <w:t>提前竣工的奖励：</w:t>
      </w:r>
      <w:r>
        <w:rPr>
          <w:rFonts w:hint="eastAsia" w:ascii="宋体" w:hAnsi="宋体" w:cs="宋体"/>
          <w:u w:val="single"/>
        </w:rPr>
        <w:t>1000元/天</w:t>
      </w:r>
      <w:r>
        <w:rPr>
          <w:rFonts w:hint="eastAsia" w:ascii="宋体" w:hAnsi="宋体" w:cs="宋体"/>
        </w:rPr>
        <w:t>。</w:t>
      </w:r>
    </w:p>
    <w:p>
      <w:pPr>
        <w:adjustRightInd/>
        <w:snapToGrid/>
        <w:spacing w:line="312" w:lineRule="auto"/>
        <w:ind w:firstLine="420" w:firstLineChars="200"/>
        <w:rPr>
          <w:color w:val="auto"/>
        </w:rPr>
      </w:pPr>
      <w:r>
        <w:rPr>
          <w:rFonts w:hint="eastAsia" w:ascii="宋体" w:hAnsi="宋体" w:cs="宋体"/>
        </w:rPr>
        <w:t>奖励的上限：</w:t>
      </w:r>
      <w:r>
        <w:rPr>
          <w:rFonts w:hint="eastAsia" w:ascii="宋体" w:hAnsi="宋体" w:cs="宋体"/>
          <w:u w:val="single"/>
        </w:rPr>
        <w:t>/</w:t>
      </w:r>
      <w:r>
        <w:rPr>
          <w:rFonts w:hint="eastAsia" w:ascii="宋体" w:hAnsi="宋体" w:cs="宋体"/>
        </w:rPr>
        <w:t>。</w:t>
      </w:r>
    </w:p>
    <w:p>
      <w:pPr>
        <w:pStyle w:val="7"/>
        <w:spacing w:before="0" w:after="0" w:line="360" w:lineRule="exact"/>
        <w:ind w:firstLine="422" w:firstLineChars="200"/>
        <w:rPr>
          <w:rFonts w:ascii="Times New Roman" w:hAnsi="Times New Roman"/>
          <w:color w:val="auto"/>
          <w:sz w:val="21"/>
          <w:szCs w:val="21"/>
        </w:rPr>
      </w:pPr>
      <w:bookmarkStart w:id="392" w:name="_Toc351203640"/>
      <w:r>
        <w:rPr>
          <w:rFonts w:ascii="Times New Roman" w:hAnsi="Times New Roman"/>
          <w:color w:val="auto"/>
          <w:sz w:val="21"/>
          <w:szCs w:val="21"/>
        </w:rPr>
        <w:t>8. 材料与设备</w:t>
      </w:r>
      <w:bookmarkEnd w:id="392"/>
    </w:p>
    <w:bookmarkEnd w:id="330"/>
    <w:bookmarkEnd w:id="331"/>
    <w:bookmarkEnd w:id="332"/>
    <w:bookmarkEnd w:id="333"/>
    <w:bookmarkEnd w:id="334"/>
    <w:bookmarkEnd w:id="335"/>
    <w:bookmarkEnd w:id="336"/>
    <w:bookmarkEnd w:id="337"/>
    <w:bookmarkEnd w:id="338"/>
    <w:bookmarkEnd w:id="339"/>
    <w:p>
      <w:pPr>
        <w:spacing w:line="360" w:lineRule="exact"/>
        <w:ind w:firstLine="420" w:firstLineChars="200"/>
        <w:rPr>
          <w:b/>
          <w:bCs/>
          <w:color w:val="auto"/>
        </w:rPr>
      </w:pPr>
      <w:bookmarkStart w:id="393" w:name="_Toc296890996"/>
      <w:bookmarkStart w:id="394" w:name="_Toc304295557"/>
      <w:bookmarkStart w:id="395" w:name="_Toc296346669"/>
      <w:bookmarkStart w:id="396" w:name="_Toc296503168"/>
      <w:bookmarkStart w:id="397" w:name="_Toc312677494"/>
      <w:bookmarkStart w:id="398" w:name="_Toc297120468"/>
      <w:bookmarkStart w:id="399" w:name="_Toc297048354"/>
      <w:bookmarkStart w:id="400" w:name="_Toc318581173"/>
      <w:bookmarkStart w:id="401" w:name="_Toc312678020"/>
      <w:bookmarkStart w:id="402" w:name="_Toc300934980"/>
      <w:bookmarkStart w:id="403" w:name="_Toc296891208"/>
      <w:bookmarkStart w:id="404" w:name="_Toc297216187"/>
      <w:bookmarkStart w:id="405" w:name="_Toc296944507"/>
      <w:bookmarkStart w:id="406" w:name="_Toc297123528"/>
      <w:bookmarkStart w:id="407" w:name="_Toc303539137"/>
      <w:bookmarkStart w:id="408" w:name="_Toc296347167"/>
      <w:bookmarkStart w:id="409" w:name="_Toc280868655"/>
      <w:bookmarkStart w:id="410" w:name="_Toc280868656"/>
      <w:bookmarkStart w:id="411" w:name="_Toc267251424"/>
      <w:r>
        <w:rPr>
          <w:b/>
          <w:bCs/>
          <w:color w:val="auto"/>
        </w:rPr>
        <w:t>8.1 发包人供应材料与工程设备</w:t>
      </w:r>
    </w:p>
    <w:p>
      <w:pPr>
        <w:spacing w:line="360" w:lineRule="exact"/>
        <w:ind w:firstLine="615"/>
        <w:rPr>
          <w:color w:val="auto"/>
        </w:rPr>
      </w:pPr>
      <w:r>
        <w:rPr>
          <w:rFonts w:hint="eastAsia"/>
          <w:color w:val="auto"/>
        </w:rPr>
        <w:t>本工程中</w:t>
      </w:r>
      <w:r>
        <w:rPr>
          <w:rFonts w:hint="eastAsia"/>
          <w:color w:val="auto"/>
          <w:u w:val="single"/>
        </w:rPr>
        <w:t xml:space="preserve">       /    </w:t>
      </w:r>
      <w:r>
        <w:rPr>
          <w:rFonts w:hint="eastAsia"/>
          <w:color w:val="auto"/>
        </w:rPr>
        <w:t>材料由发包人提供，详见</w:t>
      </w:r>
      <w:r>
        <w:rPr>
          <w:color w:val="auto"/>
        </w:rPr>
        <w:t>附件2：发包人供应材料设备一览表</w:t>
      </w:r>
      <w:r>
        <w:rPr>
          <w:rFonts w:hint="eastAsia"/>
          <w:color w:val="auto"/>
        </w:rPr>
        <w:t>。</w:t>
      </w:r>
    </w:p>
    <w:p>
      <w:pPr>
        <w:spacing w:line="360" w:lineRule="exact"/>
        <w:ind w:firstLine="615"/>
        <w:rPr>
          <w:color w:val="auto"/>
        </w:rPr>
      </w:pPr>
      <w:r>
        <w:rPr>
          <w:rFonts w:hint="eastAsia"/>
          <w:color w:val="auto"/>
        </w:rPr>
        <w:t>发包人提供的</w:t>
      </w:r>
      <w:r>
        <w:rPr>
          <w:rFonts w:hint="eastAsia"/>
          <w:color w:val="auto"/>
          <w:u w:val="single"/>
        </w:rPr>
        <w:t xml:space="preserve">      /      </w:t>
      </w:r>
      <w:r>
        <w:rPr>
          <w:rFonts w:hint="eastAsia"/>
          <w:color w:val="auto"/>
        </w:rPr>
        <w:t>材料费用（除税价款）在每期应付工程款（或竣工结算）的税前工程造价中扣回。（适用一般计税方法）</w:t>
      </w:r>
    </w:p>
    <w:p>
      <w:pPr>
        <w:spacing w:line="360" w:lineRule="exact"/>
        <w:ind w:firstLine="420" w:firstLineChars="200"/>
        <w:rPr>
          <w:b/>
          <w:bCs/>
          <w:color w:val="auto"/>
        </w:rPr>
      </w:pPr>
      <w:r>
        <w:rPr>
          <w:b/>
          <w:bCs/>
          <w:color w:val="auto"/>
        </w:rPr>
        <w:t>8.2 承包人采购材料与工程设备</w:t>
      </w:r>
    </w:p>
    <w:p>
      <w:pPr>
        <w:spacing w:line="360" w:lineRule="exact"/>
        <w:ind w:firstLine="420" w:firstLineChars="200"/>
        <w:rPr>
          <w:color w:val="auto"/>
          <w:u w:val="single"/>
        </w:rPr>
      </w:pPr>
      <w:r>
        <w:rPr>
          <w:color w:val="auto"/>
          <w:u w:val="single"/>
        </w:rPr>
        <w:t>（1）材料品牌、规格和使用要求：按招标文件（相应）技术标准和要求执行。</w:t>
      </w:r>
      <w:r>
        <w:rPr>
          <w:rFonts w:hint="eastAsia"/>
          <w:color w:val="auto"/>
          <w:u w:val="single"/>
        </w:rPr>
        <w:t>凡是招标文件注明规格、型号或品牌、产地的材料，承包人必须按照招标文件要求采购和施工；如需调整，必须经得发包人认可（详见附表）。</w:t>
      </w:r>
    </w:p>
    <w:p>
      <w:pPr>
        <w:spacing w:line="380" w:lineRule="exact"/>
        <w:ind w:firstLine="420" w:firstLineChars="200"/>
        <w:rPr>
          <w:rFonts w:ascii="仿宋_GB2312" w:hAnsi="宋体"/>
          <w:color w:val="auto"/>
          <w:u w:val="single"/>
        </w:rPr>
      </w:pPr>
      <w:r>
        <w:rPr>
          <w:color w:val="auto"/>
          <w:u w:val="single"/>
        </w:rPr>
        <w:t>（2）本工程已确定承包价的建筑材料均由承包人自行询价、采购、运输和保管。</w:t>
      </w:r>
      <w:r>
        <w:rPr>
          <w:rFonts w:hint="eastAsia" w:ascii="仿宋_GB2312" w:hAnsi="宋体"/>
          <w:color w:val="auto"/>
          <w:u w:val="single"/>
        </w:rPr>
        <w:t>商品混凝土材料的使用须符合相关规定，否则相关押金由承包人承担。</w:t>
      </w:r>
    </w:p>
    <w:p>
      <w:pPr>
        <w:spacing w:line="360" w:lineRule="exact"/>
        <w:ind w:firstLine="420" w:firstLineChars="200"/>
        <w:rPr>
          <w:color w:val="auto"/>
          <w:u w:val="single"/>
        </w:rPr>
      </w:pPr>
      <w:r>
        <w:rPr>
          <w:color w:val="auto"/>
          <w:u w:val="single"/>
        </w:rPr>
        <w:t>（3）本工程要求使用材料要求</w:t>
      </w:r>
      <w:r>
        <w:rPr>
          <w:rFonts w:hint="eastAsia"/>
          <w:color w:val="auto"/>
          <w:u w:val="single"/>
        </w:rPr>
        <w:t>：商品</w:t>
      </w:r>
      <w:r>
        <w:rPr>
          <w:b/>
          <w:color w:val="auto"/>
          <w:u w:val="single"/>
        </w:rPr>
        <w:t>砼</w:t>
      </w:r>
      <w:r>
        <w:rPr>
          <w:color w:val="auto"/>
          <w:u w:val="single"/>
        </w:rPr>
        <w:t>。</w:t>
      </w:r>
    </w:p>
    <w:p>
      <w:pPr>
        <w:spacing w:line="360" w:lineRule="exact"/>
        <w:ind w:firstLine="420" w:firstLineChars="200"/>
        <w:rPr>
          <w:color w:val="auto"/>
          <w:u w:val="single"/>
        </w:rPr>
      </w:pPr>
      <w:r>
        <w:rPr>
          <w:color w:val="auto"/>
          <w:u w:val="single"/>
        </w:rPr>
        <w:t>（4）所有材料必须有质保书或合格证，符合施工图纸和规范要求，且品牌、产地需报发包人备案，否则，因此产生的后果均由承包人负责。</w:t>
      </w:r>
    </w:p>
    <w:p>
      <w:pPr>
        <w:spacing w:line="360" w:lineRule="exact"/>
        <w:ind w:firstLine="420" w:firstLineChars="200"/>
        <w:rPr>
          <w:color w:val="auto"/>
          <w:u w:val="single"/>
        </w:rPr>
      </w:pPr>
      <w:r>
        <w:rPr>
          <w:color w:val="auto"/>
          <w:u w:val="single"/>
        </w:rPr>
        <w:t>（5）凡是招标文件注明规格、型号或相当于的厂家（品牌、产地）的材料，承包人必须按照招标文件要求采购和施工，优先使用相当于的厂家（品牌、产地），如需调整，必须经得发包人认可，否则由此引起的后果由承包人承担。</w:t>
      </w:r>
    </w:p>
    <w:p>
      <w:pPr>
        <w:spacing w:line="360" w:lineRule="exact"/>
        <w:ind w:firstLine="420" w:firstLineChars="200"/>
        <w:rPr>
          <w:color w:val="auto"/>
          <w:u w:val="single"/>
        </w:rPr>
      </w:pPr>
      <w:r>
        <w:rPr>
          <w:color w:val="auto"/>
          <w:u w:val="single"/>
        </w:rPr>
        <w:t>（6）所有设备、材料和预制构件等均需有产品合格证和质保书、试验（试车）报告等必要资料，符合国家规定的技术标准和设计图纸要求的标准，并且须经发包人及监理单位验收合格后方可使用。</w:t>
      </w:r>
    </w:p>
    <w:p>
      <w:pPr>
        <w:spacing w:line="360" w:lineRule="exact"/>
        <w:ind w:firstLine="420" w:firstLineChars="200"/>
        <w:rPr>
          <w:color w:val="auto"/>
          <w:u w:val="single"/>
        </w:rPr>
      </w:pPr>
      <w:r>
        <w:rPr>
          <w:color w:val="auto"/>
          <w:u w:val="single"/>
        </w:rPr>
        <w:t>（7）根据工程需要，发包人有权对承包人投标时确认的品牌进行更换，更换后的材料价格由发包人签证进行结算。</w:t>
      </w:r>
    </w:p>
    <w:p>
      <w:pPr>
        <w:spacing w:line="360" w:lineRule="exact"/>
        <w:ind w:firstLine="420" w:firstLineChars="200"/>
        <w:rPr>
          <w:color w:val="auto"/>
          <w:u w:val="single"/>
        </w:rPr>
      </w:pPr>
      <w:r>
        <w:rPr>
          <w:color w:val="auto"/>
          <w:u w:val="single"/>
        </w:rPr>
        <w:t>（8）</w:t>
      </w:r>
      <w:r>
        <w:rPr>
          <w:rFonts w:hint="eastAsia"/>
          <w:color w:val="auto"/>
          <w:u w:val="single"/>
        </w:rPr>
        <w:t>合同中原暂定价材料或由工程变更产生的无价材料（按有关规定可不组织招标采购的）由承包人采购时，应由发包人签证确定价格后采购，发包人收到承包人价格确定申请后，7日内审批完毕。</w:t>
      </w:r>
    </w:p>
    <w:p>
      <w:pPr>
        <w:spacing w:line="360" w:lineRule="exact"/>
        <w:ind w:firstLine="420" w:firstLineChars="200"/>
        <w:rPr>
          <w:color w:val="auto"/>
        </w:rPr>
      </w:pPr>
      <w:r>
        <w:rPr>
          <w:color w:val="auto"/>
        </w:rPr>
        <w:t>8</w:t>
      </w:r>
      <w:bookmarkStart w:id="412" w:name="_Toc297123527"/>
      <w:bookmarkStart w:id="413" w:name="_Toc297048353"/>
      <w:bookmarkStart w:id="414" w:name="_Toc303539136"/>
      <w:bookmarkStart w:id="415" w:name="_Toc292559372"/>
      <w:bookmarkStart w:id="416" w:name="_Toc292559877"/>
      <w:bookmarkStart w:id="417" w:name="_Toc312678019"/>
      <w:bookmarkStart w:id="418" w:name="_Toc280868654"/>
      <w:bookmarkStart w:id="419" w:name="_Toc296944506"/>
      <w:bookmarkStart w:id="420" w:name="_Toc297216186"/>
      <w:bookmarkStart w:id="421" w:name="_Toc296347166"/>
      <w:bookmarkStart w:id="422" w:name="_Toc296346668"/>
      <w:bookmarkStart w:id="423" w:name="_Toc312677493"/>
      <w:bookmarkStart w:id="424" w:name="_Toc296891207"/>
      <w:bookmarkStart w:id="425" w:name="_Toc304295556"/>
      <w:bookmarkStart w:id="426" w:name="_Toc300934979"/>
      <w:bookmarkStart w:id="427" w:name="_Toc297120467"/>
      <w:bookmarkStart w:id="428" w:name="_Toc296503167"/>
      <w:bookmarkStart w:id="429" w:name="_Toc296890995"/>
      <w:r>
        <w:rPr>
          <w:color w:val="auto"/>
        </w:rPr>
        <w:t>.4材料与工程设备的保管与使用</w:t>
      </w:r>
    </w:p>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Pr>
        <w:spacing w:line="360" w:lineRule="exact"/>
        <w:ind w:firstLine="420" w:firstLineChars="200"/>
        <w:rPr>
          <w:color w:val="auto"/>
        </w:rPr>
      </w:pPr>
      <w:r>
        <w:rPr>
          <w:color w:val="auto"/>
        </w:rPr>
        <w:t>8</w:t>
      </w:r>
      <w:bookmarkStart w:id="430" w:name="_Toc292559373"/>
      <w:bookmarkStart w:id="431" w:name="_Toc292559878"/>
      <w:r>
        <w:rPr>
          <w:color w:val="auto"/>
        </w:rPr>
        <w:t>.4.1发包人供应的材料设备的保管费用的承担：</w:t>
      </w:r>
      <w:bookmarkEnd w:id="430"/>
      <w:bookmarkEnd w:id="431"/>
    </w:p>
    <w:p>
      <w:pPr>
        <w:spacing w:line="360" w:lineRule="exact"/>
        <w:ind w:firstLine="420" w:firstLineChars="200"/>
        <w:rPr>
          <w:rFonts w:ascii="宋体" w:hAnsi="宋体"/>
          <w:color w:val="auto"/>
          <w:u w:val="single"/>
        </w:rPr>
      </w:pPr>
      <w:r>
        <w:rPr>
          <w:rFonts w:hint="eastAsia" w:ascii="宋体" w:hAnsi="宋体"/>
          <w:color w:val="auto"/>
        </w:rPr>
        <w:t>（1）</w:t>
      </w:r>
      <w:r>
        <w:rPr>
          <w:rFonts w:hint="eastAsia" w:ascii="宋体" w:hAnsi="宋体"/>
          <w:color w:val="auto"/>
          <w:u w:val="single"/>
        </w:rPr>
        <w:t>发包人支付承包人保管费（或称总承包服务费），以提供材料金额（含进项税）为基数，乘以费率（  /  ）%计算。</w:t>
      </w:r>
    </w:p>
    <w:p>
      <w:pPr>
        <w:spacing w:line="360" w:lineRule="exact"/>
        <w:ind w:firstLine="420" w:firstLineChars="200"/>
        <w:rPr>
          <w:color w:val="auto"/>
        </w:rPr>
      </w:pPr>
      <w:r>
        <w:rPr>
          <w:rFonts w:hint="eastAsia" w:ascii="宋体" w:hAnsi="宋体"/>
          <w:color w:val="auto"/>
        </w:rPr>
        <w:t>（2）</w:t>
      </w:r>
      <w:r>
        <w:rPr>
          <w:rFonts w:hint="eastAsia" w:ascii="宋体" w:hAnsi="宋体"/>
          <w:color w:val="auto"/>
          <w:u w:val="single"/>
        </w:rPr>
        <w:t>发包人支付承包人保管费（或称总承包服务费），以提供设备金额（含进项税）为基数，乘以费率（  /   ）%计算。</w:t>
      </w:r>
    </w:p>
    <w:p>
      <w:pPr>
        <w:spacing w:line="360" w:lineRule="exact"/>
        <w:ind w:firstLine="420" w:firstLineChars="200"/>
        <w:rPr>
          <w:color w:val="auto"/>
        </w:rPr>
      </w:pPr>
      <w:r>
        <w:rPr>
          <w:color w:val="auto"/>
        </w:rPr>
        <w:t>8.6 样品</w:t>
      </w:r>
    </w:p>
    <w:p>
      <w:pPr>
        <w:spacing w:line="360" w:lineRule="exact"/>
        <w:ind w:firstLine="420" w:firstLineChars="200"/>
        <w:rPr>
          <w:color w:val="auto"/>
        </w:rPr>
      </w:pPr>
      <w:r>
        <w:rPr>
          <w:color w:val="auto"/>
        </w:rPr>
        <w:t>8.6.1 样品的报送与封存</w:t>
      </w:r>
    </w:p>
    <w:p>
      <w:pPr>
        <w:spacing w:line="360" w:lineRule="exact"/>
        <w:ind w:firstLine="420" w:firstLineChars="200"/>
        <w:rPr>
          <w:color w:val="auto"/>
        </w:rPr>
      </w:pPr>
      <w:r>
        <w:rPr>
          <w:color w:val="auto"/>
        </w:rPr>
        <w:t>需要承包人报送样品的材料或工程设备，样品的种类、名称、规格、数量要求：</w:t>
      </w:r>
      <w:r>
        <w:rPr>
          <w:rFonts w:hint="eastAsia" w:ascii="宋体" w:hAnsi="宋体"/>
          <w:color w:val="auto"/>
          <w:u w:val="single"/>
        </w:rPr>
        <w:t>按发包人要求提供</w:t>
      </w:r>
      <w:r>
        <w:rPr>
          <w:color w:val="auto"/>
        </w:rPr>
        <w:t>。</w:t>
      </w:r>
    </w:p>
    <w:p>
      <w:pPr>
        <w:spacing w:line="360" w:lineRule="exact"/>
        <w:ind w:firstLine="420" w:firstLineChars="200"/>
        <w:rPr>
          <w:color w:val="auto"/>
        </w:rPr>
      </w:pPr>
      <w:r>
        <w:rPr>
          <w:color w:val="auto"/>
        </w:rPr>
        <w:t>8.8 施工设备和临时设施</w:t>
      </w:r>
    </w:p>
    <w:p>
      <w:pPr>
        <w:spacing w:line="360" w:lineRule="exact"/>
        <w:ind w:firstLine="420" w:firstLineChars="200"/>
        <w:rPr>
          <w:color w:val="auto"/>
        </w:rPr>
      </w:pPr>
      <w:r>
        <w:rPr>
          <w:color w:val="auto"/>
        </w:rPr>
        <w:t>8.8.1 承包人提供的施工设备和临时设施</w:t>
      </w:r>
    </w:p>
    <w:p>
      <w:pPr>
        <w:spacing w:line="360" w:lineRule="exact"/>
        <w:ind w:firstLine="420" w:firstLineChars="200"/>
        <w:rPr>
          <w:color w:val="auto"/>
        </w:rPr>
      </w:pPr>
      <w:r>
        <w:rPr>
          <w:color w:val="auto"/>
        </w:rPr>
        <w:t>关于修建临时设施费用承担的约定：</w:t>
      </w:r>
      <w:r>
        <w:rPr>
          <w:color w:val="auto"/>
          <w:u w:val="single"/>
        </w:rPr>
        <w:t xml:space="preserve"> 由承包人承担  </w:t>
      </w:r>
      <w:r>
        <w:rPr>
          <w:color w:val="auto"/>
        </w:rPr>
        <w:t>。</w:t>
      </w:r>
    </w:p>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Pr>
        <w:pStyle w:val="7"/>
        <w:spacing w:before="0" w:after="0" w:line="360" w:lineRule="exact"/>
        <w:ind w:firstLine="422" w:firstLineChars="200"/>
        <w:rPr>
          <w:rFonts w:ascii="Times New Roman" w:hAnsi="Times New Roman"/>
          <w:color w:val="auto"/>
          <w:sz w:val="21"/>
          <w:szCs w:val="21"/>
        </w:rPr>
      </w:pPr>
      <w:bookmarkStart w:id="432" w:name="_Toc351203641"/>
      <w:r>
        <w:rPr>
          <w:rFonts w:ascii="Times New Roman" w:hAnsi="Times New Roman"/>
          <w:color w:val="auto"/>
          <w:sz w:val="21"/>
          <w:szCs w:val="21"/>
        </w:rPr>
        <w:t>9</w:t>
      </w:r>
      <w:bookmarkEnd w:id="409"/>
      <w:bookmarkEnd w:id="410"/>
      <w:bookmarkEnd w:id="411"/>
      <w:bookmarkStart w:id="433" w:name="_Toc297216192"/>
      <w:bookmarkStart w:id="434" w:name="_Toc297123533"/>
      <w:bookmarkStart w:id="435" w:name="_Toc312677495"/>
      <w:bookmarkStart w:id="436" w:name="_Toc312678021"/>
      <w:bookmarkStart w:id="437" w:name="_Toc303539139"/>
      <w:bookmarkStart w:id="438" w:name="_Toc304295559"/>
      <w:bookmarkStart w:id="439" w:name="_Toc300934982"/>
      <w:bookmarkStart w:id="440" w:name="_Toc297048359"/>
      <w:bookmarkStart w:id="441" w:name="_Toc267251427"/>
      <w:bookmarkStart w:id="442" w:name="_Toc292559378"/>
      <w:bookmarkStart w:id="443" w:name="_Toc296346674"/>
      <w:bookmarkStart w:id="444" w:name="_Toc292559883"/>
      <w:bookmarkStart w:id="445" w:name="_Toc296891001"/>
      <w:bookmarkStart w:id="446" w:name="_Toc267251428"/>
      <w:bookmarkStart w:id="447" w:name="_Toc296891213"/>
      <w:bookmarkStart w:id="448" w:name="_Toc296347172"/>
      <w:bookmarkStart w:id="449" w:name="_Toc296503173"/>
      <w:bookmarkStart w:id="450" w:name="_Toc296944512"/>
      <w:bookmarkStart w:id="451" w:name="_Toc297120473"/>
      <w:r>
        <w:rPr>
          <w:rFonts w:ascii="Times New Roman" w:hAnsi="Times New Roman"/>
          <w:color w:val="auto"/>
          <w:sz w:val="21"/>
          <w:szCs w:val="21"/>
        </w:rPr>
        <w:t>. 试验与检验</w:t>
      </w:r>
      <w:bookmarkEnd w:id="432"/>
    </w:p>
    <w:bookmarkEnd w:id="433"/>
    <w:bookmarkEnd w:id="434"/>
    <w:bookmarkEnd w:id="435"/>
    <w:bookmarkEnd w:id="436"/>
    <w:bookmarkEnd w:id="437"/>
    <w:bookmarkEnd w:id="438"/>
    <w:bookmarkEnd w:id="439"/>
    <w:p>
      <w:pPr>
        <w:spacing w:line="360" w:lineRule="exact"/>
        <w:ind w:firstLine="420" w:firstLineChars="200"/>
        <w:rPr>
          <w:color w:val="auto"/>
        </w:rPr>
      </w:pPr>
      <w:bookmarkStart w:id="452" w:name="_Toc312677498"/>
      <w:bookmarkStart w:id="453" w:name="_Toc318581174"/>
      <w:bookmarkStart w:id="454" w:name="_Toc300934985"/>
      <w:bookmarkStart w:id="455" w:name="_Toc297123536"/>
      <w:bookmarkStart w:id="456" w:name="_Toc303539142"/>
      <w:bookmarkStart w:id="457" w:name="_Toc297216195"/>
      <w:bookmarkStart w:id="458" w:name="_Toc312678024"/>
      <w:bookmarkStart w:id="459" w:name="_Toc304295562"/>
      <w:r>
        <w:rPr>
          <w:color w:val="auto"/>
        </w:rPr>
        <w:t>9</w:t>
      </w:r>
      <w:bookmarkStart w:id="460" w:name="_Toc297123534"/>
      <w:bookmarkStart w:id="461" w:name="_Toc312677496"/>
      <w:bookmarkStart w:id="462" w:name="_Toc312678022"/>
      <w:bookmarkStart w:id="463" w:name="_Toc297216193"/>
      <w:bookmarkStart w:id="464" w:name="_Toc303539140"/>
      <w:bookmarkStart w:id="465" w:name="_Toc300934983"/>
      <w:bookmarkStart w:id="466" w:name="_Toc304295560"/>
      <w:r>
        <w:rPr>
          <w:color w:val="auto"/>
        </w:rPr>
        <w:t>.1试验设备与试验人员</w:t>
      </w:r>
    </w:p>
    <w:bookmarkEnd w:id="460"/>
    <w:bookmarkEnd w:id="461"/>
    <w:bookmarkEnd w:id="462"/>
    <w:bookmarkEnd w:id="463"/>
    <w:bookmarkEnd w:id="464"/>
    <w:bookmarkEnd w:id="465"/>
    <w:bookmarkEnd w:id="466"/>
    <w:p>
      <w:pPr>
        <w:spacing w:line="360" w:lineRule="exact"/>
        <w:ind w:firstLine="420" w:firstLineChars="200"/>
        <w:rPr>
          <w:color w:val="auto"/>
        </w:rPr>
      </w:pPr>
      <w:r>
        <w:rPr>
          <w:color w:val="auto"/>
        </w:rPr>
        <w:t>9</w:t>
      </w:r>
      <w:bookmarkStart w:id="467" w:name="_Toc304295561"/>
      <w:bookmarkStart w:id="468" w:name="_Toc312677497"/>
      <w:bookmarkStart w:id="469" w:name="_Toc297123535"/>
      <w:bookmarkStart w:id="470" w:name="_Toc303539141"/>
      <w:bookmarkStart w:id="471" w:name="_Toc300934984"/>
      <w:bookmarkStart w:id="472" w:name="_Toc297216194"/>
      <w:bookmarkStart w:id="473" w:name="_Toc312678023"/>
      <w:r>
        <w:rPr>
          <w:color w:val="auto"/>
        </w:rPr>
        <w:t>.1.2 试验设备</w:t>
      </w:r>
    </w:p>
    <w:p>
      <w:pPr>
        <w:spacing w:line="360" w:lineRule="exact"/>
        <w:ind w:firstLine="420" w:firstLineChars="200"/>
        <w:rPr>
          <w:color w:val="auto"/>
        </w:rPr>
      </w:pPr>
      <w:r>
        <w:rPr>
          <w:color w:val="auto"/>
        </w:rPr>
        <w:t>施工现场需要配置的试验场所：</w:t>
      </w:r>
      <w:bookmarkEnd w:id="467"/>
      <w:bookmarkEnd w:id="468"/>
      <w:bookmarkEnd w:id="469"/>
      <w:bookmarkEnd w:id="470"/>
      <w:bookmarkEnd w:id="471"/>
      <w:bookmarkEnd w:id="472"/>
      <w:bookmarkEnd w:id="473"/>
      <w:r>
        <w:rPr>
          <w:rFonts w:hint="eastAsia"/>
          <w:color w:val="auto"/>
          <w:u w:val="single"/>
        </w:rPr>
        <w:t>按规范及（当地）建设行政主管部门要求配置</w:t>
      </w:r>
      <w:r>
        <w:rPr>
          <w:color w:val="auto"/>
          <w:u w:val="single"/>
        </w:rPr>
        <w:t xml:space="preserve">   </w:t>
      </w:r>
      <w:r>
        <w:rPr>
          <w:color w:val="auto"/>
        </w:rPr>
        <w:t>。</w:t>
      </w:r>
    </w:p>
    <w:p>
      <w:pPr>
        <w:spacing w:line="360" w:lineRule="exact"/>
        <w:ind w:firstLine="420" w:firstLineChars="200"/>
        <w:rPr>
          <w:color w:val="auto"/>
        </w:rPr>
      </w:pPr>
      <w:r>
        <w:rPr>
          <w:color w:val="auto"/>
        </w:rPr>
        <w:t>施工现场需要配备的试验设备：</w:t>
      </w:r>
      <w:r>
        <w:rPr>
          <w:color w:val="auto"/>
          <w:u w:val="single"/>
        </w:rPr>
        <w:t xml:space="preserve"> </w:t>
      </w:r>
      <w:r>
        <w:rPr>
          <w:rFonts w:hint="eastAsia"/>
          <w:color w:val="auto"/>
          <w:u w:val="single"/>
        </w:rPr>
        <w:t>按规范及（当地）建设行政主管部门要求配置</w:t>
      </w:r>
      <w:r>
        <w:rPr>
          <w:color w:val="auto"/>
          <w:u w:val="single"/>
        </w:rPr>
        <w:t xml:space="preserve">  </w:t>
      </w:r>
      <w:r>
        <w:rPr>
          <w:color w:val="auto"/>
        </w:rPr>
        <w:t>。</w:t>
      </w:r>
    </w:p>
    <w:p>
      <w:pPr>
        <w:spacing w:line="360" w:lineRule="exact"/>
        <w:ind w:firstLine="420" w:firstLineChars="200"/>
        <w:rPr>
          <w:color w:val="auto"/>
        </w:rPr>
      </w:pPr>
      <w:r>
        <w:rPr>
          <w:color w:val="auto"/>
        </w:rPr>
        <w:t>施工现场需要具备的其他试验条件：</w:t>
      </w:r>
      <w:r>
        <w:rPr>
          <w:color w:val="auto"/>
          <w:u w:val="single"/>
        </w:rPr>
        <w:t xml:space="preserve">  </w:t>
      </w:r>
      <w:r>
        <w:rPr>
          <w:rFonts w:hint="eastAsia"/>
          <w:color w:val="auto"/>
          <w:u w:val="single"/>
        </w:rPr>
        <w:t>按规范及（当地）建设行政主管部门要求配置</w:t>
      </w:r>
      <w:r>
        <w:rPr>
          <w:color w:val="auto"/>
          <w:u w:val="single"/>
        </w:rPr>
        <w:t xml:space="preserve"> </w:t>
      </w:r>
      <w:r>
        <w:rPr>
          <w:color w:val="auto"/>
        </w:rPr>
        <w:t>。</w:t>
      </w:r>
    </w:p>
    <w:p>
      <w:pPr>
        <w:spacing w:line="360" w:lineRule="exact"/>
        <w:ind w:firstLine="420" w:firstLineChars="200"/>
        <w:rPr>
          <w:color w:val="auto"/>
        </w:rPr>
      </w:pPr>
      <w:r>
        <w:rPr>
          <w:color w:val="auto"/>
        </w:rPr>
        <w:t>9.3 材料、工程设备和工程的试验和检验</w:t>
      </w:r>
    </w:p>
    <w:p>
      <w:pPr>
        <w:spacing w:line="360" w:lineRule="exact"/>
        <w:ind w:firstLine="420" w:firstLineChars="200"/>
        <w:rPr>
          <w:color w:val="auto"/>
          <w:u w:val="single"/>
        </w:rPr>
      </w:pPr>
      <w:r>
        <w:rPr>
          <w:rFonts w:hint="eastAsia"/>
          <w:color w:val="auto"/>
        </w:rPr>
        <w:t>9.3.4材料、设备和工程的试验和检验的费用：</w:t>
      </w:r>
      <w:r>
        <w:rPr>
          <w:rFonts w:hint="eastAsia"/>
          <w:color w:val="auto"/>
          <w:u w:val="single"/>
        </w:rPr>
        <w:t>（1）材料、设备和工程的试验按《建设工程质量管理条例》、《房屋建筑工程和市政基础设施工程实行见证取样和送检的规定》、《浙江省房屋建筑和市政基础设施工程质量检测管理实施办法》等及工程所在地有关工程质量检测的规定实施。</w:t>
      </w:r>
    </w:p>
    <w:p>
      <w:pPr>
        <w:spacing w:line="360" w:lineRule="exact"/>
        <w:ind w:firstLine="420" w:firstLineChars="200"/>
        <w:rPr>
          <w:color w:val="auto"/>
        </w:rPr>
      </w:pPr>
      <w:r>
        <w:rPr>
          <w:rFonts w:hint="eastAsia"/>
          <w:color w:val="auto"/>
          <w:u w:val="single"/>
        </w:rPr>
        <w:t>（2）对建筑材料、构件和建筑安装物进行一般鉴定、检查所发生的费用，包括建设工程质量见证取样检测费、建筑施工企业配合检测及自设试验室进行试验所耗用的材料和化学药品等费用由承包人承担；专项检测试验费、新结构、新材料、构件破坏性试验及其他特殊要求检测试验等检测试验费由发包人承担。</w:t>
      </w:r>
    </w:p>
    <w:p>
      <w:pPr>
        <w:spacing w:line="360" w:lineRule="exact"/>
        <w:ind w:firstLine="420" w:firstLineChars="200"/>
        <w:rPr>
          <w:color w:val="auto"/>
          <w:u w:val="single"/>
        </w:rPr>
      </w:pPr>
      <w:r>
        <w:rPr>
          <w:rFonts w:hint="eastAsia"/>
          <w:color w:val="auto"/>
          <w:u w:val="single"/>
        </w:rPr>
        <w:t>（3）当发包人或监理人指示承包人为核实本工程某一部分或某种材料设备是否有缺陷时，承包人应按要求进行检（试）验。如果该检（试）验表明确有缺陷存在，则检（试）验和试样的费用，发包人供应材料设备的，由发包人承担；承包人采购材料设备的，由承包人承担。如果该检（试）验表明没有缺陷，则由发包人承担检（试）验和试样的费用。</w:t>
      </w:r>
    </w:p>
    <w:p>
      <w:pPr>
        <w:spacing w:line="360" w:lineRule="exact"/>
        <w:ind w:firstLine="420" w:firstLineChars="200"/>
        <w:rPr>
          <w:color w:val="auto"/>
        </w:rPr>
      </w:pPr>
      <w:r>
        <w:rPr>
          <w:rFonts w:hint="eastAsia"/>
          <w:color w:val="auto"/>
          <w:u w:val="single"/>
        </w:rPr>
        <w:t>（4）当质量安全管理机构根据规范，要求发包人与承包人开展本工程某一部分质量实体或某项材料设备质量抽检，如地基基础工程检测、主体结构工程现场实体检测、建筑节能检验、空气检测等专项检测需要时，发包人与承包人应配合，按要求进行检（试）验，检测、恢复费用由发包人承担。如检测不合格，则由承包人承担本次及重新检测、恢复费用。</w:t>
      </w:r>
    </w:p>
    <w:p>
      <w:pPr>
        <w:spacing w:line="360" w:lineRule="exact"/>
        <w:ind w:firstLine="420" w:firstLineChars="200"/>
        <w:rPr>
          <w:color w:val="auto"/>
        </w:rPr>
      </w:pPr>
      <w:r>
        <w:rPr>
          <w:color w:val="auto"/>
        </w:rPr>
        <w:t>9.4 现场工艺试验</w:t>
      </w:r>
    </w:p>
    <w:p>
      <w:pPr>
        <w:spacing w:line="360" w:lineRule="exact"/>
        <w:ind w:firstLine="420" w:firstLineChars="200"/>
        <w:rPr>
          <w:color w:val="auto"/>
        </w:rPr>
      </w:pPr>
      <w:r>
        <w:rPr>
          <w:color w:val="auto"/>
        </w:rPr>
        <w:t>现场工艺试验的有关约定：</w:t>
      </w:r>
      <w:r>
        <w:rPr>
          <w:color w:val="auto"/>
          <w:u w:val="single"/>
        </w:rPr>
        <w:t xml:space="preserve">              </w:t>
      </w:r>
      <w:r>
        <w:rPr>
          <w:rFonts w:hint="eastAsia"/>
          <w:color w:val="auto"/>
          <w:u w:val="single"/>
        </w:rPr>
        <w:t>/</w:t>
      </w:r>
      <w:r>
        <w:rPr>
          <w:color w:val="auto"/>
          <w:u w:val="single"/>
        </w:rPr>
        <w:t xml:space="preserve">                </w:t>
      </w:r>
      <w:r>
        <w:rPr>
          <w:color w:val="auto"/>
        </w:rPr>
        <w:t>。</w:t>
      </w:r>
    </w:p>
    <w:bookmarkEnd w:id="452"/>
    <w:bookmarkEnd w:id="453"/>
    <w:bookmarkEnd w:id="454"/>
    <w:bookmarkEnd w:id="455"/>
    <w:bookmarkEnd w:id="456"/>
    <w:bookmarkEnd w:id="457"/>
    <w:bookmarkEnd w:id="458"/>
    <w:bookmarkEnd w:id="459"/>
    <w:p>
      <w:pPr>
        <w:pStyle w:val="7"/>
        <w:spacing w:before="0" w:after="0" w:line="360" w:lineRule="exact"/>
        <w:ind w:firstLine="422" w:firstLineChars="200"/>
        <w:rPr>
          <w:rFonts w:ascii="Times New Roman" w:hAnsi="Times New Roman"/>
          <w:color w:val="auto"/>
          <w:sz w:val="21"/>
          <w:szCs w:val="21"/>
        </w:rPr>
      </w:pPr>
      <w:bookmarkStart w:id="474" w:name="_Toc351203642"/>
      <w:r>
        <w:rPr>
          <w:rFonts w:ascii="Times New Roman" w:hAnsi="Times New Roman"/>
          <w:color w:val="auto"/>
          <w:sz w:val="21"/>
          <w:szCs w:val="21"/>
        </w:rPr>
        <w:t>1</w:t>
      </w:r>
      <w:bookmarkEnd w:id="440"/>
      <w:bookmarkEnd w:id="441"/>
      <w:bookmarkEnd w:id="442"/>
      <w:bookmarkEnd w:id="443"/>
      <w:bookmarkEnd w:id="444"/>
      <w:bookmarkEnd w:id="445"/>
      <w:bookmarkEnd w:id="446"/>
      <w:bookmarkEnd w:id="447"/>
      <w:bookmarkEnd w:id="448"/>
      <w:bookmarkEnd w:id="449"/>
      <w:bookmarkEnd w:id="450"/>
      <w:bookmarkEnd w:id="451"/>
      <w:bookmarkStart w:id="475" w:name="_Toc297048379"/>
      <w:bookmarkStart w:id="476" w:name="_Toc297216199"/>
      <w:bookmarkStart w:id="477" w:name="_Toc296891021"/>
      <w:bookmarkStart w:id="478" w:name="_Toc292559903"/>
      <w:bookmarkStart w:id="479" w:name="_Toc303539146"/>
      <w:bookmarkStart w:id="480" w:name="_Toc296944532"/>
      <w:bookmarkStart w:id="481" w:name="_Toc296891233"/>
      <w:bookmarkStart w:id="482" w:name="_Toc296347192"/>
      <w:bookmarkStart w:id="483" w:name="_Toc304295566"/>
      <w:bookmarkStart w:id="484" w:name="_Toc297120493"/>
      <w:bookmarkStart w:id="485" w:name="_Toc297123540"/>
      <w:bookmarkStart w:id="486" w:name="_Toc300934989"/>
      <w:bookmarkStart w:id="487" w:name="_Toc292559398"/>
      <w:bookmarkStart w:id="488" w:name="_Toc296346694"/>
      <w:bookmarkStart w:id="489" w:name="_Toc296503193"/>
      <w:bookmarkStart w:id="490" w:name="_Toc312677499"/>
      <w:bookmarkStart w:id="491" w:name="_Toc312678025"/>
      <w:bookmarkStart w:id="492" w:name="_Toc267251441"/>
      <w:bookmarkStart w:id="493" w:name="_Toc267251440"/>
      <w:bookmarkStart w:id="494" w:name="_Toc267251433"/>
      <w:bookmarkStart w:id="495" w:name="_Toc267251437"/>
      <w:bookmarkStart w:id="496" w:name="_Toc267251435"/>
      <w:bookmarkStart w:id="497" w:name="_Toc267251439"/>
      <w:bookmarkStart w:id="498" w:name="_Toc267251442"/>
      <w:r>
        <w:rPr>
          <w:rFonts w:ascii="Times New Roman" w:hAnsi="Times New Roman"/>
          <w:color w:val="auto"/>
          <w:sz w:val="21"/>
          <w:szCs w:val="21"/>
        </w:rPr>
        <w:t>0. 变更</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bookmarkEnd w:id="490"/>
    <w:bookmarkEnd w:id="491"/>
    <w:p>
      <w:pPr>
        <w:spacing w:line="360" w:lineRule="exact"/>
        <w:ind w:firstLine="420" w:firstLineChars="200"/>
        <w:rPr>
          <w:color w:val="auto"/>
        </w:rPr>
      </w:pPr>
      <w:r>
        <w:rPr>
          <w:color w:val="auto"/>
        </w:rPr>
        <w:t>1</w:t>
      </w:r>
      <w:bookmarkStart w:id="499" w:name="_Toc296891022"/>
      <w:bookmarkStart w:id="500" w:name="_Toc300934990"/>
      <w:bookmarkStart w:id="501" w:name="_Toc296891234"/>
      <w:bookmarkStart w:id="502" w:name="_Toc312678026"/>
      <w:bookmarkStart w:id="503" w:name="_Toc292559399"/>
      <w:bookmarkStart w:id="504" w:name="_Toc296347193"/>
      <w:bookmarkStart w:id="505" w:name="_Toc297123541"/>
      <w:bookmarkStart w:id="506" w:name="_Toc296346695"/>
      <w:bookmarkStart w:id="507" w:name="_Toc312677500"/>
      <w:bookmarkStart w:id="508" w:name="_Toc292559904"/>
      <w:bookmarkStart w:id="509" w:name="_Toc304295567"/>
      <w:bookmarkStart w:id="510" w:name="_Toc296503194"/>
      <w:bookmarkStart w:id="511" w:name="_Toc297120494"/>
      <w:bookmarkStart w:id="512" w:name="_Toc296944533"/>
      <w:bookmarkStart w:id="513" w:name="_Toc297048380"/>
      <w:bookmarkStart w:id="514" w:name="_Toc303539147"/>
      <w:bookmarkStart w:id="515" w:name="_Toc297216200"/>
      <w:r>
        <w:rPr>
          <w:color w:val="auto"/>
        </w:rPr>
        <w:t>0.1变更的范围</w:t>
      </w:r>
    </w:p>
    <w:p>
      <w:pPr>
        <w:spacing w:line="360" w:lineRule="exact"/>
        <w:ind w:firstLine="420" w:firstLineChars="200"/>
        <w:rPr>
          <w:color w:val="auto"/>
          <w:u w:val="single"/>
        </w:rPr>
      </w:pPr>
      <w:r>
        <w:rPr>
          <w:color w:val="auto"/>
        </w:rPr>
        <w:t>关于变更的范围的约定：</w:t>
      </w:r>
      <w:r>
        <w:rPr>
          <w:rFonts w:hint="eastAsia"/>
          <w:color w:val="auto"/>
          <w:u w:val="single"/>
        </w:rPr>
        <w:t>按合同通用条款。工程变更引起工程量的减少或增加，承包人不得因此拒绝施工。</w:t>
      </w:r>
    </w:p>
    <w:p>
      <w:pPr>
        <w:spacing w:line="360" w:lineRule="exact"/>
        <w:ind w:firstLine="420" w:firstLineChars="200"/>
        <w:rPr>
          <w:color w:val="auto"/>
        </w:rPr>
      </w:pPr>
      <w:r>
        <w:rPr>
          <w:color w:val="auto"/>
        </w:rPr>
        <w:t>10.4 变更估价</w:t>
      </w:r>
    </w:p>
    <w:p>
      <w:pPr>
        <w:spacing w:line="360" w:lineRule="exact"/>
        <w:ind w:firstLine="420" w:firstLineChars="200"/>
        <w:rPr>
          <w:color w:val="auto"/>
        </w:rPr>
      </w:pPr>
      <w:r>
        <w:rPr>
          <w:color w:val="auto"/>
        </w:rPr>
        <w:t>10.4.1 变更估价原则</w:t>
      </w:r>
    </w:p>
    <w:p>
      <w:pPr>
        <w:spacing w:line="360" w:lineRule="exact"/>
        <w:ind w:firstLine="420" w:firstLineChars="200"/>
        <w:rPr>
          <w:color w:val="auto"/>
        </w:rPr>
      </w:pPr>
      <w:r>
        <w:rPr>
          <w:color w:val="auto"/>
        </w:rPr>
        <w:t xml:space="preserve">关于变更估价的约定: </w:t>
      </w:r>
    </w:p>
    <w:p>
      <w:pPr>
        <w:spacing w:line="360" w:lineRule="exact"/>
        <w:ind w:firstLine="420" w:firstLineChars="200"/>
        <w:rPr>
          <w:rFonts w:ascii="宋体" w:hAnsi="宋体" w:cs="宋体"/>
          <w:color w:val="auto"/>
          <w:u w:val="single"/>
        </w:rPr>
      </w:pPr>
      <w:r>
        <w:rPr>
          <w:rFonts w:hint="eastAsia" w:ascii="宋体" w:hAnsi="宋体" w:cs="宋体"/>
          <w:color w:val="auto"/>
          <w:u w:val="single"/>
        </w:rPr>
        <w:t>（1）变更后项目与投标人已标价工程量清单有相同项目的，按照相同项目综合单价确定。如该综合单价异常，则投标清单中合价金额占合同总价2%及以上的分部分项清单项目，其工程量增加超过本项目工程数量15%以上；或投标清单中合价金额占合同总价不到2%的分部分项清单项目，工程量增加超过本项目工程数量25%以上，该分部分项清单超过约定幅度外部分工程量的综合单价按专用条款10.4.1（2）（3）（4）条约定调整，工程量减少按投标综合单价计算，不调整综合单价。</w:t>
      </w:r>
    </w:p>
    <w:p>
      <w:pPr>
        <w:spacing w:line="360" w:lineRule="exact"/>
        <w:ind w:firstLine="420" w:firstLineChars="200"/>
        <w:rPr>
          <w:color w:val="auto"/>
        </w:rPr>
      </w:pPr>
      <w:r>
        <w:rPr>
          <w:rFonts w:hint="eastAsia"/>
          <w:color w:val="auto"/>
          <w:u w:val="single"/>
        </w:rPr>
        <w:t>综合单价异常：是指投标综合单价与按本项目招标控制价（或预算审核价）编制依据计算的综合单价偏差±30%以上。</w:t>
      </w:r>
    </w:p>
    <w:p>
      <w:pPr>
        <w:spacing w:line="360" w:lineRule="exact"/>
        <w:ind w:firstLine="420" w:firstLineChars="200"/>
        <w:rPr>
          <w:rFonts w:ascii="宋体" w:hAnsi="宋体" w:cs="宋体"/>
          <w:color w:val="auto"/>
          <w:u w:val="single"/>
        </w:rPr>
      </w:pPr>
      <w:r>
        <w:rPr>
          <w:rFonts w:hint="eastAsia" w:ascii="宋体" w:hAnsi="宋体" w:cs="宋体"/>
          <w:color w:val="auto"/>
          <w:u w:val="single"/>
        </w:rPr>
        <w:t>（2）变更后项目与投标人已标价工程量清单中没有适用的综合单价，但有类似的工程项目综合单价，承包人可参照类似工程项目综合单价计算，并报发包人确定。</w:t>
      </w:r>
    </w:p>
    <w:p>
      <w:pPr>
        <w:spacing w:line="360" w:lineRule="exact"/>
        <w:ind w:firstLine="420" w:firstLineChars="200"/>
        <w:rPr>
          <w:rFonts w:ascii="宋体" w:hAnsi="宋体" w:cs="宋体"/>
          <w:color w:val="auto"/>
          <w:u w:val="single"/>
        </w:rPr>
      </w:pPr>
      <w:r>
        <w:rPr>
          <w:rFonts w:hint="eastAsia" w:ascii="宋体" w:hAnsi="宋体" w:cs="宋体"/>
          <w:color w:val="auto"/>
        </w:rPr>
        <w:t>a、</w:t>
      </w:r>
      <w:r>
        <w:rPr>
          <w:rFonts w:hint="eastAsia" w:ascii="宋体" w:hAnsi="宋体" w:cs="宋体"/>
          <w:color w:val="auto"/>
          <w:u w:val="single"/>
        </w:rPr>
        <w:t>某种材料（或半成品及成品）等级、标准变化的，清单组合子目不变，仅调整不同的材料市场价格之差；</w:t>
      </w:r>
    </w:p>
    <w:p>
      <w:pPr>
        <w:spacing w:line="360" w:lineRule="exact"/>
        <w:ind w:firstLine="420" w:firstLineChars="200"/>
        <w:rPr>
          <w:rFonts w:ascii="宋体" w:hAnsi="宋体" w:cs="宋体"/>
          <w:color w:val="auto"/>
          <w:u w:val="single"/>
        </w:rPr>
      </w:pPr>
      <w:r>
        <w:rPr>
          <w:rFonts w:hint="eastAsia" w:ascii="宋体" w:hAnsi="宋体" w:cs="宋体"/>
          <w:color w:val="auto"/>
        </w:rPr>
        <w:t>b、</w:t>
      </w:r>
      <w:r>
        <w:rPr>
          <w:rFonts w:hint="eastAsia" w:ascii="宋体" w:hAnsi="宋体" w:cs="宋体"/>
          <w:color w:val="auto"/>
          <w:u w:val="single"/>
        </w:rPr>
        <w:t>清单项目组合内容中某一个（或多个）定额子目发生变化，不影响其他特征及工程内容价格的，仅调整发生变化的定额子目价格。</w:t>
      </w:r>
    </w:p>
    <w:p>
      <w:pPr>
        <w:spacing w:line="360" w:lineRule="exact"/>
        <w:ind w:firstLine="420" w:firstLineChars="200"/>
        <w:rPr>
          <w:rFonts w:ascii="宋体" w:hAnsi="宋体" w:cs="宋体"/>
          <w:color w:val="auto"/>
          <w:u w:val="single"/>
        </w:rPr>
      </w:pPr>
      <w:r>
        <w:rPr>
          <w:rFonts w:hint="eastAsia" w:ascii="宋体" w:hAnsi="宋体" w:cs="宋体"/>
          <w:color w:val="auto"/>
        </w:rPr>
        <w:t>c、</w:t>
      </w:r>
      <w:r>
        <w:rPr>
          <w:rFonts w:hint="eastAsia" w:ascii="宋体" w:hAnsi="宋体" w:cs="宋体"/>
          <w:color w:val="auto"/>
          <w:u w:val="single"/>
        </w:rPr>
        <w:t>如该类似工程项目的综合单价异常，则不宜参照，按专用条款10.4.1（3）（4）款重新计算综合单价。</w:t>
      </w:r>
    </w:p>
    <w:p>
      <w:pPr>
        <w:spacing w:line="360" w:lineRule="exact"/>
        <w:ind w:firstLine="420" w:firstLineChars="200"/>
        <w:rPr>
          <w:rFonts w:ascii="宋体" w:hAnsi="宋体" w:cs="宋体"/>
          <w:color w:val="auto"/>
          <w:u w:val="single"/>
        </w:rPr>
      </w:pPr>
      <w:r>
        <w:rPr>
          <w:rFonts w:hint="eastAsia" w:ascii="宋体" w:hAnsi="宋体" w:cs="宋体"/>
          <w:color w:val="auto"/>
          <w:u w:val="single"/>
        </w:rPr>
        <w:t>（3）变更后项目与已标价工程量清单没有适用的综合单价，由承包人按招标控制价（或预算审核价）编制依据计算综合单价，乘以投标总报价与招标控制价下降幅度（即结算综合单价=按招标控制价（或预算审核价）编制依据计算的综合单价×投标总报价/招标控制价（或预算审核价））编制变更项目的综合单价，报发包人审核后确定。但确定综合单价时，合同中约定的人工、材料、机械可调整的内容，仍按合同约定调整;合同中未约定的，按施工期信息价（或签证价）确定。</w:t>
      </w:r>
    </w:p>
    <w:p>
      <w:pPr>
        <w:spacing w:line="360" w:lineRule="exact"/>
        <w:ind w:firstLine="420" w:firstLineChars="200"/>
        <w:rPr>
          <w:rFonts w:ascii="宋体" w:hAnsi="宋体" w:cs="宋体"/>
          <w:color w:val="auto"/>
          <w:u w:val="single"/>
        </w:rPr>
      </w:pPr>
      <w:r>
        <w:rPr>
          <w:rFonts w:hint="eastAsia" w:ascii="宋体" w:hAnsi="宋体" w:cs="宋体"/>
          <w:color w:val="auto"/>
          <w:u w:val="single"/>
        </w:rPr>
        <w:t>（4）如按以上编制依据缺项的内容，承包人应通过市场调查等手段提出单价，并报发包人确定后执行。</w:t>
      </w:r>
    </w:p>
    <w:p>
      <w:pPr>
        <w:spacing w:line="360" w:lineRule="exact"/>
        <w:ind w:firstLine="420" w:firstLineChars="200"/>
        <w:rPr>
          <w:rFonts w:ascii="宋体" w:hAnsi="宋体" w:cs="宋体"/>
          <w:bCs/>
          <w:color w:val="auto"/>
          <w:u w:val="single"/>
        </w:rPr>
      </w:pPr>
      <w:r>
        <w:rPr>
          <w:rFonts w:hint="eastAsia" w:ascii="宋体" w:hAnsi="宋体" w:cs="宋体"/>
          <w:bCs/>
          <w:color w:val="auto"/>
          <w:u w:val="single"/>
        </w:rPr>
        <w:t>（5）清单项目组合内容项目特征描述中，局部工程内容对应的工程数量变化，可仅调整计算变化部分的差价。</w:t>
      </w:r>
    </w:p>
    <w:p>
      <w:pPr>
        <w:spacing w:line="360" w:lineRule="exact"/>
        <w:ind w:firstLine="420" w:firstLineChars="200"/>
        <w:rPr>
          <w:color w:val="auto"/>
        </w:rPr>
      </w:pPr>
      <w:r>
        <w:rPr>
          <w:color w:val="auto"/>
        </w:rPr>
        <w:t>10.4.2 变更估价程序</w:t>
      </w:r>
    </w:p>
    <w:p>
      <w:pPr>
        <w:spacing w:line="360" w:lineRule="exact"/>
        <w:ind w:firstLine="420" w:firstLineChars="200"/>
        <w:rPr>
          <w:rFonts w:eastAsia="宋体"/>
          <w:color w:val="auto"/>
          <w:u w:val="single"/>
        </w:rPr>
      </w:pPr>
      <w:r>
        <w:rPr>
          <w:rFonts w:hint="eastAsia"/>
          <w:color w:val="auto"/>
          <w:u w:val="single"/>
        </w:rPr>
        <w:t>承包人收到发包人、监理人、设计单位的变更指示后14天内向发包人提交变更估价申请。</w:t>
      </w:r>
    </w:p>
    <w:p>
      <w:pPr>
        <w:spacing w:line="360" w:lineRule="exact"/>
        <w:ind w:firstLine="420" w:firstLineChars="200"/>
        <w:rPr>
          <w:rFonts w:eastAsia="宋体" w:cs="Times New Roman"/>
          <w:color w:val="auto"/>
          <w:u w:val="single"/>
        </w:rPr>
      </w:pPr>
      <w:r>
        <w:rPr>
          <w:rFonts w:hint="eastAsia" w:eastAsia="宋体" w:cs="Times New Roman"/>
          <w:color w:val="auto"/>
          <w:u w:val="single"/>
        </w:rPr>
        <w:t>承包人提出工程变更、专项施工方案等变更应同时提交变更估价申请。</w:t>
      </w:r>
    </w:p>
    <w:p>
      <w:pPr>
        <w:spacing w:line="360" w:lineRule="exact"/>
        <w:ind w:firstLine="420" w:firstLineChars="200"/>
        <w:rPr>
          <w:rFonts w:eastAsia="宋体" w:cs="Times New Roman"/>
          <w:color w:val="auto"/>
          <w:u w:val="single"/>
        </w:rPr>
      </w:pPr>
      <w:r>
        <w:rPr>
          <w:rFonts w:hint="eastAsia" w:eastAsia="宋体" w:cs="Times New Roman"/>
          <w:color w:val="auto"/>
          <w:u w:val="single"/>
        </w:rPr>
        <w:t>承包人提交的变更估价申请，发包人和监理人应予以签收，并在14天内审批完毕。</w:t>
      </w:r>
    </w:p>
    <w:p>
      <w:pPr>
        <w:spacing w:line="360" w:lineRule="exact"/>
        <w:ind w:firstLine="420" w:firstLineChars="200"/>
        <w:rPr>
          <w:b/>
          <w:color w:val="auto"/>
          <w:u w:val="single"/>
        </w:rPr>
      </w:pPr>
      <w:r>
        <w:rPr>
          <w:rFonts w:hint="eastAsia"/>
          <w:b/>
          <w:color w:val="auto"/>
          <w:u w:val="single"/>
        </w:rPr>
        <w:t>工程中凡涉及工程项目变更管理均严格按</w:t>
      </w:r>
      <w:r>
        <w:rPr>
          <w:rFonts w:hint="eastAsia" w:ascii="仿宋" w:hAnsi="仿宋" w:eastAsia="仿宋" w:cs="仿宋"/>
          <w:u w:val="single"/>
        </w:rPr>
        <w:t>《</w:t>
      </w:r>
      <w:r>
        <w:rPr>
          <w:rFonts w:hint="eastAsia"/>
          <w:b/>
          <w:u w:val="single"/>
        </w:rPr>
        <w:t>三门县政府投资项目变更管理（试行）办法》（三政办规〔2023〕4 号）、《关于进一步规范报送工程变更资料的通知》（三发改【2021】42号）执行，具体详见三门县政府性投资项目工程变更操作手册</w:t>
      </w:r>
      <w:r>
        <w:rPr>
          <w:rFonts w:hint="eastAsia"/>
          <w:b/>
          <w:color w:val="auto"/>
          <w:u w:val="single"/>
        </w:rPr>
        <w:t>。</w:t>
      </w:r>
    </w:p>
    <w:p>
      <w:pPr>
        <w:spacing w:line="360" w:lineRule="exact"/>
        <w:ind w:firstLine="420" w:firstLineChars="200"/>
        <w:rPr>
          <w:color w:val="auto"/>
        </w:rPr>
      </w:pPr>
      <w:r>
        <w:rPr>
          <w:color w:val="auto"/>
        </w:rPr>
        <w:t>1</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Start w:id="516" w:name="_Toc297048383"/>
      <w:bookmarkStart w:id="517" w:name="_Toc296346698"/>
      <w:bookmarkStart w:id="518" w:name="_Toc300934993"/>
      <w:bookmarkStart w:id="519" w:name="_Toc297123544"/>
      <w:bookmarkStart w:id="520" w:name="_Toc296347196"/>
      <w:bookmarkStart w:id="521" w:name="_Toc297216203"/>
      <w:bookmarkStart w:id="522" w:name="_Toc292559907"/>
      <w:bookmarkStart w:id="523" w:name="_Toc296503197"/>
      <w:bookmarkStart w:id="524" w:name="_Toc297120497"/>
      <w:bookmarkStart w:id="525" w:name="_Toc296944536"/>
      <w:bookmarkStart w:id="526" w:name="_Toc303539150"/>
      <w:bookmarkStart w:id="527" w:name="_Toc296891237"/>
      <w:bookmarkStart w:id="528" w:name="_Toc296891025"/>
      <w:bookmarkStart w:id="529" w:name="_Toc292559402"/>
      <w:bookmarkStart w:id="530" w:name="_Toc304295570"/>
      <w:bookmarkStart w:id="531" w:name="_Toc312678029"/>
      <w:bookmarkStart w:id="532" w:name="_Toc312677503"/>
      <w:r>
        <w:rPr>
          <w:color w:val="auto"/>
        </w:rPr>
        <w:t>0.5承</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Start w:id="533" w:name="_Toc297120503"/>
      <w:bookmarkStart w:id="534" w:name="_Toc296347202"/>
      <w:bookmarkStart w:id="535" w:name="_Toc297123545"/>
      <w:bookmarkStart w:id="536" w:name="_Toc296346704"/>
      <w:bookmarkStart w:id="537" w:name="_Toc297048389"/>
      <w:bookmarkStart w:id="538" w:name="_Toc296503203"/>
      <w:bookmarkStart w:id="539" w:name="_Toc292559408"/>
      <w:bookmarkStart w:id="540" w:name="_Toc296891031"/>
      <w:bookmarkStart w:id="541" w:name="_Toc296891243"/>
      <w:bookmarkStart w:id="542" w:name="_Toc292559913"/>
      <w:bookmarkStart w:id="543" w:name="_Toc296944542"/>
      <w:bookmarkStart w:id="544" w:name="_Toc300934994"/>
      <w:bookmarkStart w:id="545" w:name="_Toc303539151"/>
      <w:bookmarkStart w:id="546" w:name="_Toc297216204"/>
      <w:r>
        <w:rPr>
          <w:color w:val="auto"/>
        </w:rPr>
        <w:t>包人的合理化建议</w:t>
      </w:r>
    </w:p>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Pr>
        <w:spacing w:line="360" w:lineRule="exact"/>
        <w:ind w:firstLine="420" w:firstLineChars="200"/>
        <w:rPr>
          <w:color w:val="auto"/>
        </w:rPr>
      </w:pPr>
      <w:r>
        <w:rPr>
          <w:color w:val="auto"/>
        </w:rPr>
        <w:t>监理人审查承包人合理化建议的期限：</w:t>
      </w:r>
      <w:r>
        <w:rPr>
          <w:color w:val="auto"/>
          <w:u w:val="single"/>
        </w:rPr>
        <w:t xml:space="preserve"> 按通用条款执行  </w:t>
      </w:r>
      <w:r>
        <w:rPr>
          <w:color w:val="auto"/>
        </w:rPr>
        <w:t>。</w:t>
      </w:r>
    </w:p>
    <w:p>
      <w:pPr>
        <w:spacing w:line="360" w:lineRule="exact"/>
        <w:ind w:firstLine="420" w:firstLineChars="200"/>
        <w:rPr>
          <w:color w:val="auto"/>
        </w:rPr>
      </w:pPr>
      <w:r>
        <w:rPr>
          <w:color w:val="auto"/>
        </w:rPr>
        <w:t>发包人审批承包人合理化建议的期限：</w:t>
      </w:r>
      <w:r>
        <w:rPr>
          <w:color w:val="auto"/>
          <w:u w:val="single"/>
        </w:rPr>
        <w:t xml:space="preserve">按通用条款执行   </w:t>
      </w:r>
      <w:r>
        <w:rPr>
          <w:color w:val="auto"/>
        </w:rPr>
        <w:t>。</w:t>
      </w:r>
    </w:p>
    <w:p>
      <w:pPr>
        <w:spacing w:line="360" w:lineRule="exact"/>
        <w:ind w:firstLine="420" w:firstLineChars="200"/>
        <w:rPr>
          <w:color w:val="auto"/>
          <w:u w:val="single"/>
        </w:rPr>
      </w:pPr>
      <w:r>
        <w:rPr>
          <w:color w:val="auto"/>
        </w:rPr>
        <w:t>承</w:t>
      </w:r>
      <w:bookmarkStart w:id="547" w:name="_Toc296346705"/>
      <w:bookmarkStart w:id="548" w:name="_Toc296944543"/>
      <w:bookmarkStart w:id="549" w:name="_Toc296347203"/>
      <w:bookmarkStart w:id="550" w:name="_Toc296503204"/>
      <w:bookmarkStart w:id="551" w:name="_Toc296891244"/>
      <w:bookmarkStart w:id="552" w:name="_Toc292559409"/>
      <w:bookmarkStart w:id="553" w:name="_Toc304295571"/>
      <w:bookmarkStart w:id="554" w:name="_Toc292559914"/>
      <w:bookmarkStart w:id="555" w:name="_Toc318581175"/>
      <w:bookmarkStart w:id="556" w:name="_Toc297048390"/>
      <w:bookmarkStart w:id="557" w:name="_Toc297120504"/>
      <w:bookmarkStart w:id="558" w:name="_Toc312677504"/>
      <w:bookmarkStart w:id="559" w:name="_Toc300934995"/>
      <w:bookmarkStart w:id="560" w:name="_Toc297123546"/>
      <w:bookmarkStart w:id="561" w:name="_Toc297216205"/>
      <w:bookmarkStart w:id="562" w:name="_Toc312678030"/>
      <w:bookmarkStart w:id="563" w:name="_Toc303539152"/>
      <w:bookmarkStart w:id="564" w:name="_Toc296891032"/>
      <w:r>
        <w:rPr>
          <w:color w:val="auto"/>
        </w:rPr>
        <w:t>包人提出的合理化建议降低了合同价格或者提高了工程经济效益的奖励的方法和金额为：</w:t>
      </w:r>
      <w:r>
        <w:rPr>
          <w:color w:val="auto"/>
          <w:u w:val="single"/>
        </w:rPr>
        <w:t xml:space="preserve">                </w:t>
      </w:r>
      <w:r>
        <w:rPr>
          <w:color w:val="auto"/>
        </w:rPr>
        <w:t>。</w:t>
      </w:r>
    </w:p>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Pr>
        <w:spacing w:line="360" w:lineRule="exact"/>
        <w:ind w:firstLine="420" w:firstLineChars="200"/>
        <w:rPr>
          <w:color w:val="auto"/>
        </w:rPr>
      </w:pPr>
      <w:r>
        <w:rPr>
          <w:color w:val="auto"/>
        </w:rPr>
        <w:t>1</w:t>
      </w:r>
      <w:bookmarkStart w:id="565" w:name="_Toc297216207"/>
      <w:bookmarkStart w:id="566" w:name="_Toc296347198"/>
      <w:bookmarkStart w:id="567" w:name="_Toc297123548"/>
      <w:bookmarkStart w:id="568" w:name="_Toc312677507"/>
      <w:bookmarkStart w:id="569" w:name="_Toc304295574"/>
      <w:bookmarkStart w:id="570" w:name="_Toc296891239"/>
      <w:bookmarkStart w:id="571" w:name="_Toc300934997"/>
      <w:bookmarkStart w:id="572" w:name="_Toc296503199"/>
      <w:bookmarkStart w:id="573" w:name="_Toc296944538"/>
      <w:bookmarkStart w:id="574" w:name="_Toc292559404"/>
      <w:bookmarkStart w:id="575" w:name="_Toc297120499"/>
      <w:bookmarkStart w:id="576" w:name="_Toc296346700"/>
      <w:bookmarkStart w:id="577" w:name="_Toc292559909"/>
      <w:bookmarkStart w:id="578" w:name="_Toc297048385"/>
      <w:bookmarkStart w:id="579" w:name="_Toc303539154"/>
      <w:bookmarkStart w:id="580" w:name="_Toc296891027"/>
      <w:bookmarkStart w:id="581" w:name="_Toc312678033"/>
      <w:r>
        <w:rPr>
          <w:color w:val="auto"/>
        </w:rPr>
        <w:t>0.7 暂估价</w:t>
      </w:r>
    </w:p>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Pr>
        <w:spacing w:line="360" w:lineRule="exact"/>
        <w:ind w:firstLine="420" w:firstLineChars="200"/>
        <w:rPr>
          <w:color w:val="auto"/>
        </w:rPr>
      </w:pPr>
      <w:r>
        <w:rPr>
          <w:color w:val="auto"/>
        </w:rPr>
        <w:t>暂</w:t>
      </w:r>
      <w:bookmarkStart w:id="582" w:name="_Toc312677508"/>
      <w:bookmarkStart w:id="583" w:name="_Toc318581176"/>
      <w:bookmarkStart w:id="584" w:name="_Toc312678034"/>
      <w:r>
        <w:rPr>
          <w:color w:val="auto"/>
        </w:rPr>
        <w:t>估价材料和工程设备的明细详见附件11：《暂估价一览表》。</w:t>
      </w:r>
    </w:p>
    <w:bookmarkEnd w:id="582"/>
    <w:bookmarkEnd w:id="583"/>
    <w:bookmarkEnd w:id="584"/>
    <w:p>
      <w:pPr>
        <w:spacing w:line="360" w:lineRule="exact"/>
        <w:ind w:firstLine="420" w:firstLineChars="200"/>
        <w:rPr>
          <w:color w:val="auto"/>
        </w:rPr>
      </w:pPr>
      <w:r>
        <w:rPr>
          <w:color w:val="auto"/>
        </w:rPr>
        <w:t>1</w:t>
      </w:r>
      <w:bookmarkStart w:id="585" w:name="_Toc318581177"/>
      <w:bookmarkStart w:id="586" w:name="_Toc312678035"/>
      <w:bookmarkStart w:id="587" w:name="_Toc312677509"/>
      <w:r>
        <w:rPr>
          <w:color w:val="auto"/>
        </w:rPr>
        <w:t>0.7.1 依法必须招标的暂估价项目</w:t>
      </w:r>
    </w:p>
    <w:bookmarkEnd w:id="585"/>
    <w:bookmarkEnd w:id="586"/>
    <w:bookmarkEnd w:id="587"/>
    <w:p>
      <w:pPr>
        <w:spacing w:line="360" w:lineRule="exact"/>
        <w:ind w:firstLine="420" w:firstLineChars="200"/>
        <w:rPr>
          <w:color w:val="auto"/>
          <w:u w:val="single"/>
        </w:rPr>
      </w:pPr>
      <w:r>
        <w:rPr>
          <w:color w:val="auto"/>
          <w:u w:val="single"/>
        </w:rPr>
        <w:t>无承包价（暂定价）的单项材料、设备、专业分包工程估算价在</w:t>
      </w:r>
      <w:r>
        <w:rPr>
          <w:rFonts w:hint="eastAsia"/>
          <w:color w:val="auto"/>
          <w:u w:val="single"/>
        </w:rPr>
        <w:t>30</w:t>
      </w:r>
      <w:r>
        <w:rPr>
          <w:color w:val="auto"/>
          <w:u w:val="single"/>
        </w:rPr>
        <w:t>万元以上的（指可以向同一家供应商采购的同类材料总价），须由发、承包双方通过公开招标确定价格、供应商或分包人。承包人应按照施工进度计划，在招标工作启动前28天通知发包人，并提交暂估价招标方案和工作分工，招标工作接受有管辖权的建设工程招投标监督部门的监督。与组织招标工作有关的费用由发包人承担。</w:t>
      </w:r>
    </w:p>
    <w:p>
      <w:pPr>
        <w:spacing w:line="360" w:lineRule="exact"/>
        <w:ind w:firstLine="420" w:firstLineChars="200"/>
        <w:rPr>
          <w:color w:val="auto"/>
        </w:rPr>
      </w:pPr>
      <w:r>
        <w:rPr>
          <w:color w:val="auto"/>
        </w:rPr>
        <w:t>10.7.2 不属于依法必须招标的暂估价项目：</w:t>
      </w:r>
      <w:r>
        <w:rPr>
          <w:rFonts w:hint="eastAsia"/>
          <w:color w:val="auto"/>
          <w:u w:val="single"/>
        </w:rPr>
        <w:t>按合同通用条款执行</w:t>
      </w:r>
      <w:r>
        <w:rPr>
          <w:color w:val="auto"/>
          <w:u w:val="single"/>
        </w:rPr>
        <w:t>。</w:t>
      </w:r>
    </w:p>
    <w:p>
      <w:pPr>
        <w:spacing w:line="360" w:lineRule="exact"/>
        <w:ind w:firstLine="420" w:firstLineChars="200"/>
        <w:rPr>
          <w:color w:val="auto"/>
        </w:rPr>
      </w:pPr>
      <w:r>
        <w:rPr>
          <w:color w:val="auto"/>
        </w:rPr>
        <w:t>第3种方式：承包人直接实施的暂估价项目</w:t>
      </w:r>
    </w:p>
    <w:p>
      <w:pPr>
        <w:spacing w:line="360" w:lineRule="exact"/>
        <w:ind w:firstLine="420" w:firstLineChars="200"/>
        <w:rPr>
          <w:color w:val="auto"/>
        </w:rPr>
      </w:pPr>
      <w:r>
        <w:rPr>
          <w:color w:val="auto"/>
        </w:rPr>
        <w:t>承包人直接实施的暂估价项目的约定：</w:t>
      </w:r>
      <w:r>
        <w:rPr>
          <w:color w:val="auto"/>
          <w:u w:val="single"/>
        </w:rPr>
        <w:t xml:space="preserve">    </w:t>
      </w:r>
      <w:r>
        <w:rPr>
          <w:rFonts w:hint="eastAsia" w:ascii="宋体" w:hAnsi="宋体"/>
          <w:b/>
          <w:color w:val="auto"/>
          <w:u w:val="single"/>
        </w:rPr>
        <w:t>/</w:t>
      </w:r>
      <w:r>
        <w:rPr>
          <w:color w:val="auto"/>
          <w:u w:val="single"/>
        </w:rPr>
        <w:t xml:space="preserve">    </w:t>
      </w:r>
      <w:r>
        <w:rPr>
          <w:color w:val="auto"/>
        </w:rPr>
        <w:t>。</w:t>
      </w:r>
    </w:p>
    <w:p>
      <w:pPr>
        <w:spacing w:line="360" w:lineRule="exact"/>
        <w:ind w:firstLine="420" w:firstLineChars="200"/>
        <w:rPr>
          <w:rFonts w:ascii="宋体" w:hAnsi="宋体"/>
          <w:color w:val="auto"/>
        </w:rPr>
      </w:pPr>
      <w:r>
        <w:rPr>
          <w:rFonts w:hint="eastAsia" w:ascii="宋体" w:hAnsi="宋体"/>
          <w:color w:val="auto"/>
        </w:rPr>
        <w:t>10.7.4专业发包工程管理费</w:t>
      </w:r>
    </w:p>
    <w:p>
      <w:pPr>
        <w:spacing w:line="380" w:lineRule="exact"/>
        <w:ind w:firstLine="420" w:firstLineChars="200"/>
        <w:rPr>
          <w:rFonts w:ascii="宋体" w:hAnsi="宋体" w:cs="宋体"/>
          <w:color w:val="auto"/>
        </w:rPr>
      </w:pPr>
      <w:r>
        <w:rPr>
          <w:rFonts w:hint="eastAsia" w:ascii="宋体" w:hAnsi="宋体" w:cs="宋体"/>
          <w:color w:val="auto"/>
        </w:rPr>
        <w:t>发包人另行发包的专业工程，向承包人支付专业发包工程管理费（或称总承包服务费），以另行发包的专业工程税前金额（指不含销项税）为基数，乘以费率</w:t>
      </w:r>
      <w:r>
        <w:rPr>
          <w:rFonts w:hint="eastAsia" w:ascii="宋体" w:hAnsi="宋体" w:cs="宋体"/>
          <w:color w:val="auto"/>
          <w:u w:val="single"/>
        </w:rPr>
        <w:t xml:space="preserve">   </w:t>
      </w:r>
      <w:r>
        <w:rPr>
          <w:rFonts w:hint="eastAsia" w:ascii="宋体" w:hAnsi="宋体" w:cs="宋体"/>
          <w:color w:val="auto"/>
        </w:rPr>
        <w:t>%计算。</w:t>
      </w:r>
    </w:p>
    <w:p>
      <w:pPr>
        <w:spacing w:line="380" w:lineRule="exact"/>
        <w:ind w:firstLine="420" w:firstLineChars="200"/>
        <w:rPr>
          <w:rFonts w:ascii="宋体" w:hAnsi="宋体" w:cs="宋体"/>
          <w:color w:val="auto"/>
        </w:rPr>
      </w:pPr>
      <w:r>
        <w:rPr>
          <w:rFonts w:hint="eastAsia" w:ascii="宋体" w:hAnsi="宋体" w:cs="宋体"/>
          <w:color w:val="auto"/>
        </w:rPr>
        <w:t>需总承包人配合的具体事项：</w:t>
      </w:r>
      <w:r>
        <w:rPr>
          <w:rFonts w:hint="eastAsia" w:ascii="宋体" w:hAnsi="宋体" w:cs="宋体"/>
          <w:color w:val="auto"/>
          <w:u w:val="single"/>
        </w:rPr>
        <w:t xml:space="preserve">                                  </w:t>
      </w:r>
      <w:r>
        <w:rPr>
          <w:rFonts w:hint="eastAsia" w:ascii="宋体" w:hAnsi="宋体" w:cs="宋体"/>
          <w:color w:val="auto"/>
        </w:rPr>
        <w:t>。</w:t>
      </w:r>
    </w:p>
    <w:p>
      <w:pPr>
        <w:spacing w:line="380" w:lineRule="exact"/>
        <w:ind w:firstLine="420" w:firstLineChars="200"/>
        <w:rPr>
          <w:color w:val="auto"/>
        </w:rPr>
      </w:pPr>
      <w:r>
        <w:rPr>
          <w:rFonts w:hint="eastAsia" w:ascii="宋体" w:hAnsi="宋体" w:cs="宋体"/>
          <w:color w:val="auto"/>
        </w:rPr>
        <w:t>发包人另行发包的专业工程：</w:t>
      </w:r>
      <w:r>
        <w:rPr>
          <w:rFonts w:hint="eastAsia" w:ascii="宋体" w:hAnsi="宋体" w:cs="宋体"/>
          <w:color w:val="auto"/>
          <w:u w:val="single"/>
        </w:rPr>
        <w:t xml:space="preserve">                                  </w:t>
      </w:r>
      <w:r>
        <w:rPr>
          <w:rFonts w:hint="eastAsia" w:ascii="宋体" w:hAnsi="宋体" w:cs="宋体"/>
          <w:color w:val="auto"/>
        </w:rPr>
        <w:t>。</w:t>
      </w:r>
    </w:p>
    <w:p>
      <w:pPr>
        <w:spacing w:line="360" w:lineRule="exact"/>
        <w:ind w:firstLine="420" w:firstLineChars="200"/>
        <w:rPr>
          <w:rFonts w:eastAsia="宋体"/>
          <w:color w:val="auto"/>
        </w:rPr>
      </w:pPr>
      <w:r>
        <w:rPr>
          <w:color w:val="auto"/>
        </w:rPr>
        <w:t>10.8 暂列金额</w:t>
      </w:r>
      <w:r>
        <w:rPr>
          <w:rFonts w:hint="eastAsia"/>
          <w:color w:val="auto"/>
        </w:rPr>
        <w:t xml:space="preserve"> </w:t>
      </w:r>
    </w:p>
    <w:p>
      <w:pPr>
        <w:spacing w:line="380" w:lineRule="exact"/>
        <w:ind w:firstLine="420" w:firstLineChars="200"/>
        <w:rPr>
          <w:rFonts w:ascii="宋体" w:hAnsi="宋体" w:cs="宋体"/>
          <w:color w:val="auto"/>
        </w:rPr>
      </w:pPr>
      <w:bookmarkStart w:id="588" w:name="_Toc351203643"/>
      <w:r>
        <w:rPr>
          <w:rFonts w:hint="eastAsia" w:ascii="宋体" w:hAnsi="宋体" w:cs="宋体"/>
          <w:color w:val="auto"/>
        </w:rPr>
        <w:t>合同当事人关于暂列金额使用的约定：</w:t>
      </w:r>
      <w:r>
        <w:rPr>
          <w:rFonts w:hint="eastAsia" w:ascii="宋体" w:hAnsi="宋体" w:cs="宋体"/>
          <w:color w:val="auto"/>
          <w:u w:val="single"/>
        </w:rPr>
        <w:t xml:space="preserve">                  </w:t>
      </w:r>
      <w:r>
        <w:rPr>
          <w:rFonts w:hint="eastAsia" w:ascii="宋体" w:hAnsi="宋体" w:cs="宋体"/>
          <w:color w:val="auto"/>
        </w:rPr>
        <w:t>。</w:t>
      </w:r>
    </w:p>
    <w:p>
      <w:pPr>
        <w:adjustRightInd/>
        <w:snapToGrid/>
        <w:spacing w:line="312" w:lineRule="auto"/>
        <w:ind w:firstLine="420" w:firstLineChars="200"/>
        <w:rPr>
          <w:rFonts w:ascii="宋体" w:hAnsi="宋体" w:cs="宋体"/>
          <w:u w:val="single"/>
        </w:rPr>
      </w:pPr>
      <w:r>
        <w:rPr>
          <w:rFonts w:hint="eastAsia" w:ascii="宋体" w:hAnsi="宋体" w:cs="宋体"/>
        </w:rPr>
        <w:t>创标化工地增加费计算方法</w:t>
      </w:r>
      <w:r>
        <w:rPr>
          <w:rFonts w:hint="eastAsia" w:ascii="宋体" w:hAnsi="宋体" w:cs="宋体"/>
          <w:u w:val="single"/>
        </w:rPr>
        <w:t>：本工程无创标化工地目标。</w:t>
      </w:r>
    </w:p>
    <w:p>
      <w:pPr>
        <w:adjustRightInd/>
        <w:snapToGrid/>
        <w:spacing w:line="312" w:lineRule="auto"/>
        <w:ind w:firstLine="420" w:firstLineChars="200"/>
        <w:rPr>
          <w:rFonts w:ascii="宋体" w:hAnsi="宋体" w:cs="宋体"/>
        </w:rPr>
      </w:pPr>
      <w:r>
        <w:rPr>
          <w:rFonts w:hint="eastAsia" w:ascii="宋体" w:hAnsi="宋体" w:cs="宋体"/>
        </w:rPr>
        <w:t>创优质工程增加费计算方法</w:t>
      </w:r>
      <w:r>
        <w:rPr>
          <w:rFonts w:hint="eastAsia" w:ascii="宋体" w:hAnsi="宋体" w:cs="宋体"/>
          <w:u w:val="single"/>
        </w:rPr>
        <w:t>：本工程无创优质工程目标。</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11. 价格调整</w:t>
      </w:r>
      <w:bookmarkEnd w:id="588"/>
    </w:p>
    <w:bookmarkEnd w:id="492"/>
    <w:bookmarkEnd w:id="493"/>
    <w:bookmarkEnd w:id="494"/>
    <w:bookmarkEnd w:id="495"/>
    <w:bookmarkEnd w:id="496"/>
    <w:bookmarkEnd w:id="497"/>
    <w:p>
      <w:pPr>
        <w:adjustRightInd/>
        <w:snapToGrid/>
        <w:spacing w:line="312" w:lineRule="auto"/>
        <w:ind w:firstLine="420" w:firstLineChars="200"/>
        <w:rPr>
          <w:rFonts w:ascii="宋体" w:hAnsi="宋体" w:cs="宋体"/>
          <w:b/>
        </w:rPr>
      </w:pPr>
      <w:bookmarkStart w:id="589" w:name="_Toc296891245"/>
      <w:bookmarkStart w:id="590" w:name="_Toc292559915"/>
      <w:bookmarkStart w:id="591" w:name="_Toc297048391"/>
      <w:bookmarkStart w:id="592" w:name="_Toc292559410"/>
      <w:bookmarkStart w:id="593" w:name="_Toc296891033"/>
      <w:bookmarkStart w:id="594" w:name="_Toc296347204"/>
      <w:bookmarkStart w:id="595" w:name="_Toc296346706"/>
      <w:bookmarkStart w:id="596" w:name="_Toc296944544"/>
      <w:bookmarkStart w:id="597" w:name="_Toc297120505"/>
      <w:bookmarkStart w:id="598" w:name="_Toc296503205"/>
      <w:bookmarkStart w:id="599" w:name="_Toc351203644"/>
      <w:bookmarkStart w:id="600" w:name="_Toc304295579"/>
      <w:bookmarkStart w:id="601" w:name="_Toc297216211"/>
      <w:bookmarkStart w:id="602" w:name="_Toc300935002"/>
      <w:bookmarkStart w:id="603" w:name="_Toc303539159"/>
      <w:bookmarkStart w:id="604" w:name="_Toc297123552"/>
      <w:bookmarkStart w:id="605" w:name="_Toc312678040"/>
      <w:r>
        <w:rPr>
          <w:rFonts w:hint="eastAsia" w:ascii="宋体" w:hAnsi="宋体" w:cs="宋体"/>
          <w:b/>
        </w:rPr>
        <w:t>11.1 市场价格波动引起的调整</w:t>
      </w:r>
    </w:p>
    <w:p>
      <w:pPr>
        <w:adjustRightInd/>
        <w:snapToGrid/>
        <w:spacing w:line="312" w:lineRule="auto"/>
        <w:ind w:firstLine="420" w:firstLineChars="200"/>
        <w:rPr>
          <w:rFonts w:ascii="宋体" w:hAnsi="宋体" w:cs="宋体"/>
          <w:color w:val="FF0000"/>
          <w:u w:val="single"/>
        </w:rPr>
      </w:pPr>
      <w:r>
        <w:rPr>
          <w:rFonts w:hint="eastAsia" w:ascii="宋体" w:hAnsi="宋体" w:cs="宋体"/>
        </w:rPr>
        <w:t>市场价格波动是否调整合同价格的约定：</w:t>
      </w:r>
      <w:r>
        <w:rPr>
          <w:u w:val="single"/>
        </w:rPr>
        <w:t>：</w:t>
      </w:r>
      <w:r>
        <w:rPr>
          <w:rFonts w:hint="eastAsia"/>
          <w:u w:val="single"/>
        </w:rPr>
        <w:t xml:space="preserve">调整  </w:t>
      </w:r>
      <w:r>
        <w:rPr>
          <w:rFonts w:hint="eastAsia" w:ascii="仿宋_GB2312" w:hAnsi="宋体"/>
          <w:u w:val="single"/>
        </w:rPr>
        <w:t>。</w:t>
      </w:r>
    </w:p>
    <w:p>
      <w:pPr>
        <w:adjustRightInd/>
        <w:snapToGrid/>
        <w:spacing w:line="312" w:lineRule="auto"/>
        <w:ind w:firstLine="420" w:firstLineChars="200"/>
        <w:rPr>
          <w:rFonts w:ascii="宋体" w:hAnsi="宋体" w:cs="宋体"/>
        </w:rPr>
      </w:pPr>
      <w:r>
        <w:rPr>
          <w:rFonts w:hint="eastAsia" w:ascii="宋体" w:hAnsi="宋体" w:cs="宋体"/>
        </w:rPr>
        <w:t>因市场价格波动调整合同价格，采用以下第</w:t>
      </w:r>
      <w:r>
        <w:rPr>
          <w:u w:val="single"/>
        </w:rPr>
        <w:t xml:space="preserve"> </w:t>
      </w:r>
      <w:r>
        <w:rPr>
          <w:rFonts w:hint="eastAsia" w:eastAsia="宋体"/>
          <w:u w:val="single"/>
        </w:rPr>
        <w:t>2</w:t>
      </w:r>
      <w:r>
        <w:rPr>
          <w:u w:val="single"/>
        </w:rPr>
        <w:t xml:space="preserve"> </w:t>
      </w:r>
      <w:r>
        <w:rPr>
          <w:rFonts w:hint="eastAsia" w:ascii="宋体" w:hAnsi="宋体" w:cs="宋体"/>
        </w:rPr>
        <w:t>种方式对合同价格进行调整：</w:t>
      </w:r>
    </w:p>
    <w:p>
      <w:pPr>
        <w:adjustRightInd/>
        <w:snapToGrid/>
        <w:spacing w:line="312" w:lineRule="auto"/>
        <w:ind w:firstLine="420" w:firstLineChars="200"/>
        <w:rPr>
          <w:rFonts w:ascii="宋体" w:hAnsi="宋体" w:cs="宋体"/>
        </w:rPr>
      </w:pPr>
      <w:r>
        <w:rPr>
          <w:rFonts w:hint="eastAsia" w:ascii="宋体" w:hAnsi="宋体" w:cs="宋体"/>
        </w:rPr>
        <w:t>第1种方式：采用价格指数进行价格调整。</w:t>
      </w:r>
    </w:p>
    <w:p>
      <w:pPr>
        <w:adjustRightInd/>
        <w:snapToGrid/>
        <w:spacing w:line="312" w:lineRule="auto"/>
        <w:ind w:firstLine="420" w:firstLineChars="200"/>
        <w:rPr>
          <w:rFonts w:ascii="宋体" w:hAnsi="宋体" w:cs="宋体"/>
          <w:u w:val="single"/>
        </w:rPr>
      </w:pPr>
      <w:r>
        <w:rPr>
          <w:rFonts w:hint="eastAsia" w:ascii="宋体" w:hAnsi="宋体" w:cs="宋体"/>
        </w:rPr>
        <w:t>关于各可调因子、定值和变值权重，以及基本价格指数及其来源的约定：</w:t>
      </w:r>
      <w:r>
        <w:rPr>
          <w:rFonts w:hint="eastAsia" w:ascii="宋体" w:hAnsi="宋体" w:cs="宋体"/>
          <w:u w:val="single"/>
        </w:rPr>
        <w:t xml:space="preserve">         </w:t>
      </w:r>
      <w:r>
        <w:rPr>
          <w:rFonts w:hint="eastAsia" w:ascii="宋体" w:hAnsi="宋体" w:cs="宋体"/>
        </w:rPr>
        <w:t xml:space="preserve">；  </w:t>
      </w:r>
    </w:p>
    <w:p>
      <w:pPr>
        <w:adjustRightInd/>
        <w:snapToGrid/>
        <w:spacing w:line="312" w:lineRule="auto"/>
        <w:ind w:firstLine="420" w:firstLineChars="200"/>
        <w:rPr>
          <w:rFonts w:ascii="宋体" w:hAnsi="宋体" w:cs="宋体"/>
        </w:rPr>
      </w:pPr>
      <w:r>
        <w:rPr>
          <w:rFonts w:hint="eastAsia" w:ascii="宋体" w:hAnsi="宋体" w:cs="宋体"/>
        </w:rPr>
        <w:t>第2种方式：采用造价信息进行价格调整。</w:t>
      </w:r>
    </w:p>
    <w:p>
      <w:pPr>
        <w:adjustRightInd/>
        <w:snapToGrid/>
        <w:spacing w:line="312" w:lineRule="auto"/>
        <w:ind w:firstLine="420" w:firstLineChars="200"/>
        <w:rPr>
          <w:rFonts w:ascii="宋体" w:hAnsi="宋体" w:cs="宋体"/>
        </w:rPr>
      </w:pPr>
      <w:r>
        <w:rPr>
          <w:rFonts w:hint="eastAsia" w:ascii="宋体" w:hAnsi="宋体" w:cs="宋体"/>
        </w:rPr>
        <w:t>（1）关于基准价格的约定：</w:t>
      </w:r>
      <w:r>
        <w:rPr>
          <w:rFonts w:hint="eastAsia" w:ascii="宋体" w:hAnsi="宋体" w:cs="宋体"/>
          <w:u w:val="single"/>
        </w:rPr>
        <w:t>A1=编制招标控制价（预算审核书）时所采用《台州造价（正刊）（工程所在地）》对应月份的人工、材料价格</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（2）市场价格约定：</w:t>
      </w:r>
      <w:r>
        <w:rPr>
          <w:rFonts w:hint="eastAsia" w:ascii="宋体" w:hAnsi="宋体" w:cs="宋体"/>
          <w:u w:val="single"/>
        </w:rPr>
        <w:t>A2＝施工期对应《台州造价》（正刊）三门信息家所对应的材料（人工）信息价算术平均价。</w:t>
      </w:r>
    </w:p>
    <w:p>
      <w:pPr>
        <w:adjustRightInd/>
        <w:snapToGrid/>
        <w:spacing w:line="312" w:lineRule="auto"/>
        <w:ind w:firstLine="420" w:firstLineChars="200"/>
        <w:rPr>
          <w:rFonts w:ascii="宋体" w:hAnsi="宋体" w:cs="宋体"/>
        </w:rPr>
      </w:pPr>
      <w:r>
        <w:rPr>
          <w:rFonts w:hint="eastAsia" w:ascii="宋体" w:hAnsi="宋体" w:cs="宋体"/>
        </w:rPr>
        <w:t>（3）调整方法</w:t>
      </w:r>
    </w:p>
    <w:p>
      <w:pPr>
        <w:adjustRightInd/>
        <w:snapToGrid/>
        <w:spacing w:line="312" w:lineRule="auto"/>
        <w:ind w:firstLine="420" w:firstLineChars="200"/>
        <w:rPr>
          <w:rFonts w:ascii="宋体" w:hAnsi="宋体" w:cs="宋体"/>
        </w:rPr>
      </w:pPr>
      <w:r>
        <w:rPr>
          <w:rFonts w:hint="eastAsia" w:ascii="宋体" w:hAnsi="宋体" w:cs="宋体"/>
        </w:rPr>
        <w:t>a.当A2＞A1时，该材料（人工）结算单价按超出的金额调增，即该材料（人工）结算单价=承包人的投标单价+（A2－A1）；</w:t>
      </w:r>
    </w:p>
    <w:p>
      <w:pPr>
        <w:adjustRightInd/>
        <w:snapToGrid/>
        <w:spacing w:line="312" w:lineRule="auto"/>
        <w:ind w:firstLine="420" w:firstLineChars="200"/>
        <w:rPr>
          <w:rFonts w:ascii="宋体" w:hAnsi="宋体" w:cs="宋体"/>
        </w:rPr>
      </w:pPr>
      <w:r>
        <w:rPr>
          <w:rFonts w:hint="eastAsia" w:ascii="宋体" w:hAnsi="宋体" w:cs="宋体"/>
        </w:rPr>
        <w:t>b.当A2＜A1时，该材料（人工）结算单价按低于的金额调减，即该材料（人工）结算单价=承包人的投标单价－（A1－A2）；</w:t>
      </w:r>
    </w:p>
    <w:p>
      <w:pPr>
        <w:adjustRightInd/>
        <w:snapToGrid/>
        <w:spacing w:line="312" w:lineRule="auto"/>
        <w:ind w:firstLine="420" w:firstLineChars="200"/>
        <w:rPr>
          <w:rFonts w:ascii="宋体" w:hAnsi="宋体" w:cs="宋体"/>
          <w:u w:val="single"/>
        </w:rPr>
      </w:pPr>
      <w:r>
        <w:rPr>
          <w:rFonts w:hint="eastAsia" w:ascii="宋体" w:hAnsi="宋体" w:cs="宋体"/>
          <w:u w:val="single"/>
        </w:rPr>
        <w:t>c.当A2＝A1时，该材料（人工）结算单价不作调整。</w:t>
      </w:r>
    </w:p>
    <w:p>
      <w:pPr>
        <w:adjustRightInd/>
        <w:snapToGrid/>
        <w:spacing w:line="312" w:lineRule="auto"/>
        <w:ind w:firstLine="420" w:firstLineChars="200"/>
        <w:rPr>
          <w:rFonts w:ascii="宋体" w:hAnsi="宋体" w:cs="宋体"/>
        </w:rPr>
      </w:pPr>
      <w:r>
        <w:rPr>
          <w:rFonts w:hint="eastAsia" w:ascii="宋体" w:hAnsi="宋体" w:cs="宋体"/>
        </w:rPr>
        <w:t>第3种方式：其他价格调整方式：</w:t>
      </w:r>
      <w:r>
        <w:rPr>
          <w:rFonts w:hint="eastAsia" w:ascii="宋体" w:hAnsi="宋体" w:cs="宋体"/>
          <w:u w:val="single"/>
        </w:rPr>
        <w:t xml:space="preserve">          /          </w:t>
      </w:r>
      <w:r>
        <w:rPr>
          <w:rFonts w:hint="eastAsia" w:ascii="宋体" w:hAnsi="宋体" w:cs="宋体"/>
        </w:rPr>
        <w:t>。</w:t>
      </w:r>
    </w:p>
    <w:p>
      <w:pPr>
        <w:adjustRightInd/>
        <w:snapToGrid/>
        <w:spacing w:line="312" w:lineRule="auto"/>
        <w:ind w:firstLine="420" w:firstLineChars="200"/>
        <w:rPr>
          <w:rFonts w:ascii="宋体" w:hAnsi="宋体" w:cs="宋体"/>
        </w:rPr>
      </w:pPr>
      <w:r>
        <w:rPr>
          <w:rFonts w:hint="eastAsia" w:ascii="宋体" w:hAnsi="宋体" w:cs="宋体"/>
        </w:rPr>
        <w:t>11.2  法律变化引起的调整 ：</w:t>
      </w:r>
      <w:r>
        <w:rPr>
          <w:rFonts w:hint="eastAsia" w:ascii="宋体" w:hAnsi="宋体" w:cs="宋体"/>
          <w:u w:val="single"/>
        </w:rPr>
        <w:t xml:space="preserve">  基准日期以后变化由发包人承担，但由承包人原因导致工期延误时的法律变化引起合同价增加的由承包人承担，合同价下降的由发包人受益。</w:t>
      </w:r>
      <w:r>
        <w:rPr>
          <w:rFonts w:hint="eastAsia" w:ascii="宋体" w:hAnsi="宋体" w:cs="宋体"/>
        </w:rPr>
        <w:t xml:space="preserve"> </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 xml:space="preserve">12. </w:t>
      </w:r>
      <w:bookmarkEnd w:id="589"/>
      <w:bookmarkEnd w:id="590"/>
      <w:bookmarkEnd w:id="591"/>
      <w:bookmarkEnd w:id="592"/>
      <w:bookmarkEnd w:id="593"/>
      <w:bookmarkEnd w:id="594"/>
      <w:bookmarkEnd w:id="595"/>
      <w:bookmarkEnd w:id="596"/>
      <w:bookmarkEnd w:id="597"/>
      <w:bookmarkEnd w:id="598"/>
      <w:r>
        <w:rPr>
          <w:rFonts w:ascii="Times New Roman" w:hAnsi="Times New Roman"/>
          <w:color w:val="auto"/>
          <w:sz w:val="21"/>
          <w:szCs w:val="21"/>
        </w:rPr>
        <w:t>合同价格、计量与支付</w:t>
      </w:r>
      <w:bookmarkEnd w:id="599"/>
    </w:p>
    <w:bookmarkEnd w:id="600"/>
    <w:bookmarkEnd w:id="601"/>
    <w:bookmarkEnd w:id="602"/>
    <w:bookmarkEnd w:id="603"/>
    <w:bookmarkEnd w:id="604"/>
    <w:bookmarkEnd w:id="605"/>
    <w:p>
      <w:pPr>
        <w:spacing w:line="360" w:lineRule="exact"/>
        <w:ind w:firstLine="420" w:firstLineChars="200"/>
        <w:rPr>
          <w:color w:val="auto"/>
        </w:rPr>
      </w:pPr>
      <w:bookmarkStart w:id="606" w:name="_Toc292559916"/>
      <w:bookmarkStart w:id="607" w:name="_Toc267251461"/>
      <w:bookmarkStart w:id="608" w:name="_Toc292559411"/>
      <w:bookmarkStart w:id="609" w:name="_Toc296944545"/>
      <w:bookmarkStart w:id="610" w:name="_Toc296891034"/>
      <w:bookmarkStart w:id="611" w:name="_Toc296346707"/>
      <w:bookmarkStart w:id="612" w:name="_Toc297120506"/>
      <w:bookmarkStart w:id="613" w:name="_Toc297048392"/>
      <w:bookmarkStart w:id="614" w:name="_Toc296347205"/>
      <w:bookmarkStart w:id="615" w:name="_Toc296503206"/>
      <w:bookmarkStart w:id="616" w:name="_Toc296891246"/>
      <w:bookmarkStart w:id="617" w:name="_Toc312678041"/>
      <w:bookmarkStart w:id="618" w:name="_Toc297123553"/>
      <w:bookmarkStart w:id="619" w:name="_Toc300935003"/>
      <w:bookmarkStart w:id="620" w:name="_Toc303539160"/>
      <w:bookmarkStart w:id="621" w:name="_Toc297216212"/>
      <w:bookmarkStart w:id="622" w:name="_Toc304295580"/>
      <w:r>
        <w:rPr>
          <w:color w:val="auto"/>
        </w:rPr>
        <w:t>12.1 合</w:t>
      </w:r>
      <w:bookmarkEnd w:id="606"/>
      <w:bookmarkEnd w:id="607"/>
      <w:bookmarkEnd w:id="608"/>
      <w:r>
        <w:rPr>
          <w:color w:val="auto"/>
        </w:rPr>
        <w:t>同价</w:t>
      </w:r>
      <w:bookmarkEnd w:id="609"/>
      <w:bookmarkEnd w:id="610"/>
      <w:bookmarkEnd w:id="611"/>
      <w:bookmarkEnd w:id="612"/>
      <w:bookmarkEnd w:id="613"/>
      <w:bookmarkEnd w:id="614"/>
      <w:bookmarkEnd w:id="615"/>
      <w:bookmarkEnd w:id="616"/>
      <w:r>
        <w:rPr>
          <w:color w:val="auto"/>
        </w:rPr>
        <w:t>格形式</w:t>
      </w:r>
    </w:p>
    <w:p>
      <w:pPr>
        <w:spacing w:line="360" w:lineRule="exact"/>
        <w:ind w:firstLine="420" w:firstLineChars="200"/>
        <w:rPr>
          <w:color w:val="auto"/>
        </w:rPr>
      </w:pPr>
      <w:r>
        <w:rPr>
          <w:color w:val="auto"/>
        </w:rPr>
        <w:t>本合同价款采用第</w:t>
      </w:r>
      <w:r>
        <w:rPr>
          <w:color w:val="auto"/>
          <w:u w:val="single"/>
        </w:rPr>
        <w:t xml:space="preserve">  1  </w:t>
      </w:r>
      <w:r>
        <w:rPr>
          <w:color w:val="auto"/>
        </w:rPr>
        <w:t>种方式</w:t>
      </w:r>
      <w:r>
        <w:rPr>
          <w:color w:val="auto"/>
          <w:u w:val="single"/>
        </w:rPr>
        <w:t xml:space="preserve">  单价合同   </w:t>
      </w:r>
      <w:r>
        <w:rPr>
          <w:color w:val="auto"/>
        </w:rPr>
        <w:t>确定。</w:t>
      </w:r>
    </w:p>
    <w:bookmarkEnd w:id="617"/>
    <w:bookmarkEnd w:id="618"/>
    <w:bookmarkEnd w:id="619"/>
    <w:bookmarkEnd w:id="620"/>
    <w:bookmarkEnd w:id="621"/>
    <w:bookmarkEnd w:id="622"/>
    <w:p>
      <w:pPr>
        <w:spacing w:line="360" w:lineRule="exact"/>
        <w:ind w:firstLine="420" w:firstLineChars="200"/>
        <w:rPr>
          <w:color w:val="auto"/>
        </w:rPr>
      </w:pPr>
      <w:r>
        <w:rPr>
          <w:color w:val="auto"/>
        </w:rPr>
        <w:t>1．单价合同。</w:t>
      </w:r>
    </w:p>
    <w:p>
      <w:pPr>
        <w:spacing w:line="360" w:lineRule="exact"/>
        <w:ind w:firstLine="420" w:firstLineChars="200"/>
        <w:rPr>
          <w:color w:val="auto"/>
        </w:rPr>
      </w:pPr>
      <w:r>
        <w:rPr>
          <w:color w:val="auto"/>
        </w:rPr>
        <w:t>综合单价包含的风险范围：</w:t>
      </w:r>
    </w:p>
    <w:p>
      <w:pPr>
        <w:spacing w:line="360" w:lineRule="exact"/>
        <w:ind w:firstLine="420" w:firstLineChars="200"/>
        <w:rPr>
          <w:color w:val="auto"/>
          <w:u w:val="single"/>
        </w:rPr>
      </w:pPr>
      <w:r>
        <w:rPr>
          <w:rFonts w:hint="eastAsia"/>
          <w:color w:val="auto"/>
          <w:u w:val="single"/>
        </w:rPr>
        <w:t>本工程结算价的计算方式同投标价。除风险范围以外约定的调整外，以下内容按承包人的投标承诺不作调整</w:t>
      </w:r>
      <w:r>
        <w:rPr>
          <w:color w:val="auto"/>
          <w:u w:val="single"/>
        </w:rPr>
        <w:t>：</w:t>
      </w:r>
    </w:p>
    <w:p>
      <w:pPr>
        <w:spacing w:line="360" w:lineRule="exact"/>
        <w:ind w:firstLine="420" w:firstLineChars="200"/>
        <w:rPr>
          <w:color w:val="auto"/>
          <w:u w:val="single"/>
        </w:rPr>
      </w:pPr>
      <w:r>
        <w:rPr>
          <w:color w:val="auto"/>
          <w:u w:val="single"/>
        </w:rPr>
        <w:t>（1）综合单价；</w:t>
      </w:r>
    </w:p>
    <w:p>
      <w:pPr>
        <w:spacing w:line="380" w:lineRule="exact"/>
        <w:ind w:firstLine="420" w:firstLineChars="200"/>
        <w:rPr>
          <w:rFonts w:ascii="宋体" w:hAnsi="宋体" w:cs="宋体"/>
          <w:color w:val="auto"/>
          <w:u w:val="single"/>
        </w:rPr>
      </w:pPr>
      <w:r>
        <w:rPr>
          <w:rFonts w:hint="eastAsia" w:ascii="宋体" w:hAnsi="宋体" w:cs="宋体"/>
          <w:color w:val="auto"/>
          <w:u w:val="single"/>
        </w:rPr>
        <w:t>（2）施工组织措施费的费项及费率；</w:t>
      </w:r>
    </w:p>
    <w:p>
      <w:pPr>
        <w:spacing w:line="360" w:lineRule="exact"/>
        <w:ind w:firstLine="420" w:firstLineChars="200"/>
        <w:rPr>
          <w:color w:val="auto"/>
          <w:u w:val="single"/>
        </w:rPr>
      </w:pPr>
      <w:r>
        <w:rPr>
          <w:color w:val="auto"/>
          <w:u w:val="single"/>
        </w:rPr>
        <w:t>（3）规费费率、税金税率；</w:t>
      </w:r>
    </w:p>
    <w:p>
      <w:pPr>
        <w:spacing w:line="360" w:lineRule="exact"/>
        <w:ind w:firstLine="420" w:firstLineChars="200"/>
        <w:rPr>
          <w:rFonts w:eastAsia="宋体" w:cs="Times New Roman"/>
          <w:color w:val="auto"/>
          <w:u w:val="single"/>
        </w:rPr>
      </w:pPr>
      <w:r>
        <w:rPr>
          <w:rFonts w:eastAsia="宋体" w:cs="Times New Roman"/>
          <w:color w:val="auto"/>
          <w:u w:val="single"/>
        </w:rPr>
        <w:t>（4）计日工综合单价（工数经发包人签证，综合单价按技术工</w:t>
      </w:r>
      <w:r>
        <w:rPr>
          <w:rFonts w:hint="eastAsia" w:eastAsia="宋体" w:cs="Times New Roman"/>
          <w:color w:val="auto"/>
          <w:u w:val="single"/>
        </w:rPr>
        <w:t>200</w:t>
      </w:r>
      <w:r>
        <w:rPr>
          <w:rFonts w:eastAsia="宋体" w:cs="Times New Roman"/>
          <w:color w:val="auto"/>
          <w:u w:val="single"/>
        </w:rPr>
        <w:t>元/工日、普工</w:t>
      </w:r>
      <w:r>
        <w:rPr>
          <w:rFonts w:hint="eastAsia" w:eastAsia="宋体" w:cs="Times New Roman"/>
          <w:color w:val="auto"/>
          <w:u w:val="single"/>
        </w:rPr>
        <w:t>150</w:t>
      </w:r>
      <w:r>
        <w:rPr>
          <w:rFonts w:eastAsia="宋体" w:cs="Times New Roman"/>
          <w:color w:val="auto"/>
          <w:u w:val="single"/>
        </w:rPr>
        <w:t>元/工日计取）；</w:t>
      </w:r>
    </w:p>
    <w:p>
      <w:pPr>
        <w:spacing w:line="360" w:lineRule="exact"/>
        <w:ind w:firstLine="420" w:firstLineChars="200"/>
        <w:rPr>
          <w:color w:val="auto"/>
          <w:u w:val="single"/>
        </w:rPr>
      </w:pPr>
      <w:r>
        <w:rPr>
          <w:color w:val="auto"/>
          <w:u w:val="single"/>
        </w:rPr>
        <w:t>（5）</w:t>
      </w:r>
      <w:r>
        <w:rPr>
          <w:rFonts w:hint="eastAsia"/>
          <w:color w:val="auto"/>
          <w:u w:val="single"/>
        </w:rPr>
        <w:t>其他可能发生的费用：</w:t>
      </w:r>
    </w:p>
    <w:p>
      <w:pPr>
        <w:widowControl w:val="0"/>
        <w:numPr>
          <w:ilvl w:val="0"/>
          <w:numId w:val="10"/>
        </w:numPr>
        <w:kinsoku/>
        <w:adjustRightInd/>
        <w:snapToGrid/>
        <w:spacing w:line="360" w:lineRule="exact"/>
        <w:ind w:left="0" w:firstLine="420" w:firstLineChars="200"/>
        <w:textAlignment w:val="auto"/>
        <w:rPr>
          <w:color w:val="auto"/>
          <w:u w:val="single"/>
        </w:rPr>
      </w:pPr>
      <w:r>
        <w:rPr>
          <w:color w:val="auto"/>
          <w:u w:val="single"/>
        </w:rPr>
        <w:t>因施工噪音、物体坠落、材料抛散而扰民及影响环境卫生、交通城管、现场文明和施工安全等问题而产生的费用，由承包人自行解决。因此而造成的工期延长由承包人负责。如给发包人另行造成额外的经济损失，发包人可从承包人的工程款中扣回。</w:t>
      </w:r>
    </w:p>
    <w:p>
      <w:pPr>
        <w:widowControl w:val="0"/>
        <w:numPr>
          <w:ilvl w:val="0"/>
          <w:numId w:val="10"/>
        </w:numPr>
        <w:kinsoku/>
        <w:adjustRightInd/>
        <w:snapToGrid/>
        <w:spacing w:line="360" w:lineRule="exact"/>
        <w:ind w:left="0" w:firstLine="420" w:firstLineChars="200"/>
        <w:textAlignment w:val="auto"/>
        <w:rPr>
          <w:color w:val="auto"/>
          <w:u w:val="single"/>
        </w:rPr>
      </w:pPr>
      <w:r>
        <w:rPr>
          <w:color w:val="auto"/>
          <w:u w:val="single"/>
        </w:rPr>
        <w:t>实际施工中可能发生街道管理费、干扰费、环保费、占道押金等其它管理费。</w:t>
      </w:r>
    </w:p>
    <w:p>
      <w:pPr>
        <w:widowControl w:val="0"/>
        <w:numPr>
          <w:ilvl w:val="0"/>
          <w:numId w:val="10"/>
        </w:numPr>
        <w:kinsoku/>
        <w:adjustRightInd/>
        <w:snapToGrid/>
        <w:spacing w:line="360" w:lineRule="exact"/>
        <w:ind w:left="0" w:firstLine="420" w:firstLineChars="200"/>
        <w:textAlignment w:val="auto"/>
        <w:rPr>
          <w:color w:val="auto"/>
          <w:u w:val="single"/>
        </w:rPr>
      </w:pPr>
      <w:r>
        <w:rPr>
          <w:color w:val="auto"/>
          <w:u w:val="single"/>
        </w:rPr>
        <w:t>土方开挖及外运、处置及泥浆外运、处置按当地有关要求办理，费用包含在合同价内。</w:t>
      </w:r>
    </w:p>
    <w:p>
      <w:pPr>
        <w:widowControl w:val="0"/>
        <w:numPr>
          <w:ilvl w:val="0"/>
          <w:numId w:val="10"/>
        </w:numPr>
        <w:kinsoku/>
        <w:adjustRightInd/>
        <w:snapToGrid/>
        <w:spacing w:line="360" w:lineRule="exact"/>
        <w:ind w:left="0" w:firstLine="420" w:firstLineChars="200"/>
        <w:textAlignment w:val="auto"/>
        <w:rPr>
          <w:color w:val="auto"/>
          <w:u w:val="single"/>
        </w:rPr>
      </w:pPr>
      <w:r>
        <w:rPr>
          <w:rFonts w:hint="eastAsia" w:ascii="宋体" w:hAnsi="宋体"/>
          <w:color w:val="auto"/>
          <w:u w:val="single"/>
        </w:rPr>
        <w:t>自备发电机、储水设施费用：包括由于停电、停水及施工用水加压而增加的费用。</w:t>
      </w:r>
    </w:p>
    <w:p>
      <w:pPr>
        <w:widowControl w:val="0"/>
        <w:numPr>
          <w:ilvl w:val="0"/>
          <w:numId w:val="10"/>
        </w:numPr>
        <w:kinsoku/>
        <w:adjustRightInd/>
        <w:snapToGrid/>
        <w:spacing w:line="400" w:lineRule="exact"/>
        <w:ind w:left="0" w:firstLine="420" w:firstLineChars="200"/>
        <w:textAlignment w:val="auto"/>
        <w:rPr>
          <w:rFonts w:ascii="宋体" w:hAnsi="宋体"/>
          <w:color w:val="auto"/>
          <w:u w:val="single"/>
        </w:rPr>
      </w:pPr>
      <w:r>
        <w:rPr>
          <w:rFonts w:ascii="宋体" w:hAnsi="宋体"/>
          <w:color w:val="auto"/>
          <w:u w:val="single"/>
        </w:rPr>
        <w:t>除合同另有规定外，承包人应在工程完工后竣工验收前，无条件清除施工区和生活区及其附近的施工废弃物，并按监理人批准的环境保护措施计划完成环境恢复。</w:t>
      </w:r>
    </w:p>
    <w:p>
      <w:pPr>
        <w:widowControl w:val="0"/>
        <w:numPr>
          <w:ilvl w:val="0"/>
          <w:numId w:val="10"/>
        </w:numPr>
        <w:kinsoku/>
        <w:adjustRightInd/>
        <w:snapToGrid/>
        <w:spacing w:line="400" w:lineRule="exact"/>
        <w:ind w:left="0" w:firstLine="420" w:firstLineChars="200"/>
        <w:textAlignment w:val="auto"/>
        <w:rPr>
          <w:rFonts w:ascii="宋体" w:hAnsi="宋体"/>
          <w:color w:val="auto"/>
          <w:u w:val="single"/>
        </w:rPr>
      </w:pPr>
      <w:r>
        <w:rPr>
          <w:rFonts w:ascii="宋体" w:hAnsi="宋体"/>
          <w:color w:val="auto"/>
          <w:u w:val="single"/>
        </w:rPr>
        <w:t>建筑垃圾外运应按当地有关要求办理，如垃圾运至指定地点集中处理等。建筑垃圾外运及场地清理发生的费用已包含在合同价内，不再另行计取。</w:t>
      </w:r>
    </w:p>
    <w:p>
      <w:pPr>
        <w:widowControl w:val="0"/>
        <w:numPr>
          <w:ilvl w:val="0"/>
          <w:numId w:val="10"/>
        </w:numPr>
        <w:kinsoku/>
        <w:adjustRightInd/>
        <w:snapToGrid/>
        <w:spacing w:line="400" w:lineRule="exact"/>
        <w:ind w:left="0" w:firstLine="420" w:firstLineChars="200"/>
        <w:textAlignment w:val="auto"/>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商品砼、土方运输运距由承包人报价时综合考虑，施工过程中不管运距是否有变化，综合单价都不予调整。</w:t>
      </w:r>
    </w:p>
    <w:p>
      <w:pPr>
        <w:widowControl w:val="0"/>
        <w:numPr>
          <w:ilvl w:val="0"/>
          <w:numId w:val="10"/>
        </w:numPr>
        <w:kinsoku/>
        <w:adjustRightInd/>
        <w:snapToGrid/>
        <w:spacing w:line="400" w:lineRule="exact"/>
        <w:ind w:left="0" w:firstLine="420" w:firstLineChars="200"/>
        <w:textAlignment w:val="auto"/>
        <w:rPr>
          <w:rFonts w:eastAsia="宋体" w:cs="Times New Roman"/>
          <w:color w:val="000000" w:themeColor="text1"/>
          <w:u w:val="single"/>
          <w14:textFill>
            <w14:solidFill>
              <w14:schemeClr w14:val="tx1"/>
            </w14:solidFill>
          </w14:textFill>
        </w:rPr>
      </w:pPr>
      <w:r>
        <w:rPr>
          <w:rFonts w:hint="eastAsia" w:eastAsia="宋体" w:cs="Times New Roman"/>
          <w:color w:val="000000" w:themeColor="text1"/>
          <w:u w:val="single"/>
          <w14:textFill>
            <w14:solidFill>
              <w14:schemeClr w14:val="tx1"/>
            </w14:solidFill>
          </w14:textFill>
        </w:rPr>
        <w:t>石材面层磨边、倒角费用均已包含在合同价内，不再另行计取。</w:t>
      </w:r>
    </w:p>
    <w:p>
      <w:pPr>
        <w:widowControl w:val="0"/>
        <w:numPr>
          <w:ilvl w:val="0"/>
          <w:numId w:val="10"/>
        </w:numPr>
        <w:kinsoku/>
        <w:adjustRightInd/>
        <w:snapToGrid/>
        <w:spacing w:line="400" w:lineRule="exact"/>
        <w:ind w:left="0" w:firstLine="420" w:firstLineChars="200"/>
        <w:textAlignment w:val="auto"/>
        <w:rPr>
          <w:rFonts w:eastAsia="宋体" w:cs="Times New Roman"/>
          <w:color w:val="000000" w:themeColor="text1"/>
          <w:u w:val="single"/>
          <w14:textFill>
            <w14:solidFill>
              <w14:schemeClr w14:val="tx1"/>
            </w14:solidFill>
          </w14:textFill>
        </w:rPr>
      </w:pPr>
      <w:r>
        <w:rPr>
          <w:rFonts w:hint="eastAsia" w:eastAsia="宋体" w:cs="Times New Roman"/>
          <w:color w:val="000000" w:themeColor="text1"/>
          <w:u w:val="single"/>
          <w14:textFill>
            <w14:solidFill>
              <w14:schemeClr w14:val="tx1"/>
            </w14:solidFill>
          </w14:textFill>
        </w:rPr>
        <w:t>机械运杂费：承包人不论实际用于本工程的机械设备是否增加或变动，均不予调整。</w:t>
      </w:r>
    </w:p>
    <w:p>
      <w:pPr>
        <w:widowControl w:val="0"/>
        <w:numPr>
          <w:ilvl w:val="0"/>
          <w:numId w:val="10"/>
        </w:numPr>
        <w:kinsoku/>
        <w:adjustRightInd/>
        <w:snapToGrid/>
        <w:spacing w:line="400" w:lineRule="exact"/>
        <w:ind w:left="0" w:firstLine="420" w:firstLineChars="200"/>
        <w:textAlignment w:val="auto"/>
        <w:rPr>
          <w:rFonts w:eastAsia="宋体" w:cs="Times New Roman"/>
          <w:color w:val="000000" w:themeColor="text1"/>
          <w:u w:val="single"/>
          <w14:textFill>
            <w14:solidFill>
              <w14:schemeClr w14:val="tx1"/>
            </w14:solidFill>
          </w14:textFill>
        </w:rPr>
      </w:pPr>
      <w:r>
        <w:rPr>
          <w:rFonts w:hint="eastAsia" w:eastAsia="宋体" w:cs="Times New Roman"/>
          <w:color w:val="000000" w:themeColor="text1"/>
          <w:u w:val="single"/>
          <w14:textFill>
            <w14:solidFill>
              <w14:schemeClr w14:val="tx1"/>
            </w14:solidFill>
          </w14:textFill>
        </w:rPr>
        <w:t>承包人进行管道、配电箱、小电器敷设安装所进行的开凿、修补、封堵（包括防水封堵）、粉刷等其他一切相关费用已包含在合同价内，不再另行计取。</w:t>
      </w:r>
    </w:p>
    <w:p>
      <w:pPr>
        <w:widowControl w:val="0"/>
        <w:numPr>
          <w:ilvl w:val="0"/>
          <w:numId w:val="10"/>
        </w:numPr>
        <w:kinsoku/>
        <w:adjustRightInd/>
        <w:snapToGrid/>
        <w:spacing w:line="400" w:lineRule="exact"/>
        <w:ind w:left="0" w:firstLine="420" w:firstLineChars="200"/>
        <w:textAlignment w:val="auto"/>
        <w:rPr>
          <w:rFonts w:eastAsia="宋体" w:cs="Times New Roman"/>
          <w:color w:val="000000" w:themeColor="text1"/>
          <w:u w:val="single"/>
          <w14:textFill>
            <w14:solidFill>
              <w14:schemeClr w14:val="tx1"/>
            </w14:solidFill>
          </w14:textFill>
        </w:rPr>
      </w:pPr>
      <w:r>
        <w:rPr>
          <w:rFonts w:hint="eastAsia" w:eastAsia="宋体" w:cs="Times New Roman"/>
          <w:color w:val="000000" w:themeColor="text1"/>
          <w:u w:val="single"/>
          <w14:textFill>
            <w14:solidFill>
              <w14:schemeClr w14:val="tx1"/>
            </w14:solidFill>
          </w14:textFill>
        </w:rPr>
        <w:t>施工中有关报批手续及相关工程报批、测试、验收及检测单位所有检测费用由承包人支付。检测单位由发包人指定，由此引起的费用承包人应在报价中综合考虑。</w:t>
      </w:r>
    </w:p>
    <w:p>
      <w:pPr>
        <w:widowControl w:val="0"/>
        <w:numPr>
          <w:ilvl w:val="0"/>
          <w:numId w:val="10"/>
        </w:numPr>
        <w:kinsoku/>
        <w:adjustRightInd/>
        <w:snapToGrid/>
        <w:spacing w:line="400" w:lineRule="exact"/>
        <w:ind w:left="0" w:firstLine="420" w:firstLineChars="200"/>
        <w:textAlignment w:val="auto"/>
        <w:rPr>
          <w:rFonts w:eastAsia="宋体" w:cs="Times New Roman"/>
          <w:color w:val="000000" w:themeColor="text1"/>
          <w:u w:val="single"/>
          <w14:textFill>
            <w14:solidFill>
              <w14:schemeClr w14:val="tx1"/>
            </w14:solidFill>
          </w14:textFill>
        </w:rPr>
      </w:pPr>
      <w:r>
        <w:rPr>
          <w:rFonts w:hint="eastAsia" w:eastAsia="宋体" w:cs="Times New Roman"/>
          <w:color w:val="000000" w:themeColor="text1"/>
          <w:u w:val="single"/>
          <w14:textFill>
            <w14:solidFill>
              <w14:schemeClr w14:val="tx1"/>
            </w14:solidFill>
          </w14:textFill>
        </w:rPr>
        <w:t>电缆、电线检测费用由承包人在投标报价时综合考虑，不再另行计取。</w:t>
      </w:r>
    </w:p>
    <w:p>
      <w:pPr>
        <w:widowControl w:val="0"/>
        <w:numPr>
          <w:ilvl w:val="0"/>
          <w:numId w:val="10"/>
        </w:numPr>
        <w:kinsoku/>
        <w:adjustRightInd/>
        <w:snapToGrid/>
        <w:spacing w:line="380" w:lineRule="exact"/>
        <w:ind w:left="0" w:firstLine="420" w:firstLineChars="200"/>
        <w:textAlignment w:val="auto"/>
        <w:rPr>
          <w:rFonts w:ascii="宋体" w:hAnsi="宋体" w:cs="宋体" w:eastAsiaTheme="minorEastAsia"/>
          <w:color w:val="000000" w:themeColor="text1"/>
          <w:u w:val="single"/>
          <w14:textFill>
            <w14:solidFill>
              <w14:schemeClr w14:val="tx1"/>
            </w14:solidFill>
          </w14:textFill>
        </w:rPr>
      </w:pPr>
      <w:r>
        <w:rPr>
          <w:rFonts w:hint="eastAsia" w:ascii="宋体" w:hAnsi="宋体" w:cs="宋体"/>
          <w:color w:val="000000" w:themeColor="text1"/>
          <w:u w:val="single"/>
          <w14:textFill>
            <w14:solidFill>
              <w14:schemeClr w14:val="tx1"/>
            </w14:solidFill>
          </w14:textFill>
        </w:rPr>
        <w:t>政策性调差不予调整。</w:t>
      </w:r>
    </w:p>
    <w:p>
      <w:pPr>
        <w:spacing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风险费用的计算方法：</w:t>
      </w:r>
      <w:r>
        <w:rPr>
          <w:color w:val="000000" w:themeColor="text1"/>
          <w:u w:val="single"/>
          <w14:textFill>
            <w14:solidFill>
              <w14:schemeClr w14:val="tx1"/>
            </w14:solidFill>
          </w14:textFill>
        </w:rPr>
        <w:t>已包含在合同价内</w:t>
      </w:r>
      <w:r>
        <w:rPr>
          <w:color w:val="000000" w:themeColor="text1"/>
          <w14:textFill>
            <w14:solidFill>
              <w14:schemeClr w14:val="tx1"/>
            </w14:solidFill>
          </w14:textFill>
        </w:rPr>
        <w:t>。</w:t>
      </w:r>
    </w:p>
    <w:p>
      <w:pPr>
        <w:spacing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风险范围以外合同价格的调整方法：</w:t>
      </w:r>
    </w:p>
    <w:p>
      <w:pPr>
        <w:numPr>
          <w:ilvl w:val="0"/>
          <w:numId w:val="11"/>
        </w:numPr>
        <w:spacing w:line="360" w:lineRule="exact"/>
        <w:ind w:firstLine="420" w:firstLineChars="20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工程量按照专用条款12.3.1条规定，由承包人计量，发包人及有关部门审核。</w:t>
      </w:r>
    </w:p>
    <w:p>
      <w:pPr>
        <w:numPr>
          <w:ilvl w:val="0"/>
          <w:numId w:val="11"/>
        </w:numPr>
        <w:spacing w:line="360" w:lineRule="exact"/>
        <w:ind w:firstLine="420" w:firstLineChars="200"/>
        <w:rPr>
          <w:color w:val="000000" w:themeColor="text1"/>
          <w:u w:val="single"/>
          <w:lang w:val="zh-CN"/>
          <w14:textFill>
            <w14:solidFill>
              <w14:schemeClr w14:val="tx1"/>
            </w14:solidFill>
          </w14:textFill>
        </w:rPr>
      </w:pPr>
      <w:r>
        <w:rPr>
          <w:color w:val="000000" w:themeColor="text1"/>
          <w:u w:val="single"/>
          <w14:textFill>
            <w14:solidFill>
              <w14:schemeClr w14:val="tx1"/>
            </w14:solidFill>
          </w14:textFill>
        </w:rPr>
        <w:t>因市场价格波动引起的调整按本合同专用条款第11.1款的约定调整。</w:t>
      </w:r>
    </w:p>
    <w:p>
      <w:pPr>
        <w:spacing w:line="360" w:lineRule="exact"/>
        <w:ind w:firstLine="420" w:firstLineChars="200"/>
        <w:rPr>
          <w:color w:val="000000" w:themeColor="text1"/>
          <w:u w:val="single"/>
          <w:lang w:val="zh-CN"/>
          <w14:textFill>
            <w14:solidFill>
              <w14:schemeClr w14:val="tx1"/>
            </w14:solidFill>
          </w14:textFill>
        </w:rPr>
      </w:pPr>
      <w:r>
        <w:rPr>
          <w:color w:val="000000" w:themeColor="text1"/>
          <w:u w:val="single"/>
          <w:lang w:val="zh-CN"/>
          <w14:textFill>
            <w14:solidFill>
              <w14:schemeClr w14:val="tx1"/>
            </w14:solidFill>
          </w14:textFill>
        </w:rPr>
        <w:t>（3）</w:t>
      </w:r>
      <w:r>
        <w:rPr>
          <w:rFonts w:hint="eastAsia"/>
          <w:color w:val="000000" w:themeColor="text1"/>
          <w:u w:val="single"/>
          <w:lang w:val="zh-CN"/>
          <w14:textFill>
            <w14:solidFill>
              <w14:schemeClr w14:val="tx1"/>
            </w14:solidFill>
          </w14:textFill>
        </w:rPr>
        <w:t>因发包人提供的工程量清单项目工程数量计算偏差或工程变更引起的工程量增加，综合单价的确定按专用条款10.4.1条执行；</w:t>
      </w:r>
    </w:p>
    <w:p>
      <w:pPr>
        <w:spacing w:line="360" w:lineRule="exact"/>
        <w:ind w:firstLine="420" w:firstLineChars="200"/>
        <w:rPr>
          <w:color w:val="000000" w:themeColor="text1"/>
          <w:u w:val="single"/>
          <w:lang w:val="zh-CN"/>
          <w14:textFill>
            <w14:solidFill>
              <w14:schemeClr w14:val="tx1"/>
            </w14:solidFill>
          </w14:textFill>
        </w:rPr>
      </w:pPr>
      <w:r>
        <w:rPr>
          <w:color w:val="000000" w:themeColor="text1"/>
          <w:u w:val="single"/>
          <w:lang w:val="zh-CN"/>
          <w14:textFill>
            <w14:solidFill>
              <w14:schemeClr w14:val="tx1"/>
            </w14:solidFill>
          </w14:textFill>
        </w:rPr>
        <w:t>（4）</w:t>
      </w:r>
      <w:r>
        <w:rPr>
          <w:rFonts w:hint="eastAsia"/>
          <w:color w:val="000000" w:themeColor="text1"/>
          <w:u w:val="single"/>
          <w:lang w:val="zh-CN"/>
          <w14:textFill>
            <w14:solidFill>
              <w14:schemeClr w14:val="tx1"/>
            </w14:solidFill>
          </w14:textFill>
        </w:rPr>
        <w:t>发包人提供的工程量清单项目漏项、错项、工程变更引起的新增项目、工程量清单项目特征局部变更，与已标价工程量清单项目不同或相类似项目，其综合单价的确定方法按专用条款10.4.1条约定调整；</w:t>
      </w:r>
    </w:p>
    <w:p>
      <w:pPr>
        <w:spacing w:line="360" w:lineRule="exact"/>
        <w:ind w:firstLine="420" w:firstLineChars="200"/>
        <w:rPr>
          <w:color w:val="000000" w:themeColor="text1"/>
          <w:u w:val="single"/>
          <w14:textFill>
            <w14:solidFill>
              <w14:schemeClr w14:val="tx1"/>
            </w14:solidFill>
          </w14:textFill>
        </w:rPr>
      </w:pPr>
      <w:r>
        <w:rPr>
          <w:color w:val="000000" w:themeColor="text1"/>
          <w:u w:val="single"/>
          <w14:textFill>
            <w14:solidFill>
              <w14:schemeClr w14:val="tx1"/>
            </w14:solidFill>
          </w14:textFill>
        </w:rPr>
        <w:t>（5）</w:t>
      </w:r>
      <w:r>
        <w:rPr>
          <w:rFonts w:hint="eastAsia"/>
          <w:color w:val="000000" w:themeColor="text1"/>
          <w:u w:val="single"/>
          <w14:textFill>
            <w14:solidFill>
              <w14:schemeClr w14:val="tx1"/>
            </w14:solidFill>
          </w14:textFill>
        </w:rPr>
        <w:t>因非承包人原因的分部分项工程量清单漏项、错项、工程变更及清单工程量增减等，引起措施项目内容、工程数量发生变化，则调整措施项目费用</w:t>
      </w:r>
      <w:r>
        <w:rPr>
          <w:rFonts w:hint="eastAsia"/>
          <w:color w:val="000000" w:themeColor="text1"/>
          <w:u w:val="single"/>
          <w:lang w:val="zh-CN"/>
          <w14:textFill>
            <w14:solidFill>
              <w14:schemeClr w14:val="tx1"/>
            </w14:solidFill>
          </w14:textFill>
        </w:rPr>
        <w:t>；</w:t>
      </w:r>
    </w:p>
    <w:p>
      <w:pPr>
        <w:spacing w:line="360" w:lineRule="exact"/>
        <w:ind w:firstLine="420" w:firstLineChars="20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a.采用综合单价计价的按专用条款第10.4.1条计算综合单价。</w:t>
      </w:r>
    </w:p>
    <w:p>
      <w:pPr>
        <w:spacing w:line="360" w:lineRule="exact"/>
        <w:ind w:firstLine="420" w:firstLineChars="20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b.计量单位采用以“项”计价的措施项目，工程量清单项目及工程数量变化引起措施变动部分重新组价。</w:t>
      </w:r>
    </w:p>
    <w:p>
      <w:pPr>
        <w:spacing w:line="360" w:lineRule="exact"/>
        <w:ind w:firstLine="420" w:firstLineChars="20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c.施工组织措施项目，按合同约定费率内容，调整措施费用计算基数。</w:t>
      </w:r>
    </w:p>
    <w:p>
      <w:pPr>
        <w:spacing w:line="360" w:lineRule="exact"/>
        <w:ind w:firstLine="420" w:firstLineChars="200"/>
        <w:rPr>
          <w:rFonts w:eastAsia="宋体"/>
          <w:color w:val="000000" w:themeColor="text1"/>
          <w:u w:val="single"/>
          <w14:textFill>
            <w14:solidFill>
              <w14:schemeClr w14:val="tx1"/>
            </w14:solidFill>
          </w14:textFill>
        </w:rPr>
      </w:pPr>
      <w:r>
        <w:rPr>
          <w:color w:val="000000" w:themeColor="text1"/>
          <w:u w:val="single"/>
          <w14:textFill>
            <w14:solidFill>
              <w14:schemeClr w14:val="tx1"/>
            </w14:solidFill>
          </w14:textFill>
        </w:rPr>
        <w:t>（6）</w:t>
      </w:r>
      <w:r>
        <w:rPr>
          <w:rFonts w:hint="eastAsia"/>
          <w:color w:val="000000" w:themeColor="text1"/>
          <w:u w:val="single"/>
          <w14:textFill>
            <w14:solidFill>
              <w14:schemeClr w14:val="tx1"/>
            </w14:solidFill>
          </w14:textFill>
        </w:rPr>
        <w:t>未在投标价中包含的专项施工方案的施工及论证费用，根据施工现场实际参照合同专用条款10.4.1款约定方法确定或签证。</w:t>
      </w:r>
    </w:p>
    <w:p>
      <w:pPr>
        <w:spacing w:line="360" w:lineRule="exact"/>
        <w:ind w:firstLine="420" w:firstLineChars="200"/>
        <w:rPr>
          <w:b/>
          <w:color w:val="000000" w:themeColor="text1"/>
          <w:u w:val="single"/>
          <w14:textFill>
            <w14:solidFill>
              <w14:schemeClr w14:val="tx1"/>
            </w14:solidFill>
          </w14:textFill>
        </w:rPr>
      </w:pPr>
      <w:r>
        <w:rPr>
          <w:rFonts w:hint="eastAsia"/>
          <w:b/>
          <w:color w:val="000000" w:themeColor="text1"/>
          <w:u w:val="single"/>
          <w14:textFill>
            <w14:solidFill>
              <w14:schemeClr w14:val="tx1"/>
            </w14:solidFill>
          </w14:textFill>
        </w:rPr>
        <w:t>（7）工程中凡涉及工程项目变更管理均严格按《三门县政府性投资项目工程变更管理办法执行》。</w:t>
      </w:r>
    </w:p>
    <w:p>
      <w:pPr>
        <w:spacing w:line="360" w:lineRule="exact"/>
        <w:ind w:firstLine="422" w:firstLineChars="200"/>
        <w:rPr>
          <w:rFonts w:eastAsia="宋体" w:cs="Times New Roman"/>
          <w:b/>
          <w:color w:val="000000" w:themeColor="text1"/>
          <w:u w:val="single"/>
          <w14:textFill>
            <w14:solidFill>
              <w14:schemeClr w14:val="tx1"/>
            </w14:solidFill>
          </w14:textFill>
        </w:rPr>
      </w:pPr>
      <w:r>
        <w:rPr>
          <w:rFonts w:hint="eastAsia" w:eastAsia="宋体" w:cs="Times New Roman"/>
          <w:b/>
          <w:color w:val="000000" w:themeColor="text1"/>
          <w:u w:val="single"/>
          <w14:textFill>
            <w14:solidFill>
              <w14:schemeClr w14:val="tx1"/>
            </w14:solidFill>
          </w14:textFill>
        </w:rPr>
        <w:t>（8）投标人使用招标文件中推荐品牌材料以外的其它相当于推荐品牌产品时必须在采购前一个月内征得发包人同意，否则由投标人自行承担不计价等相应后果。</w:t>
      </w:r>
    </w:p>
    <w:p>
      <w:pPr>
        <w:spacing w:line="360" w:lineRule="auto"/>
        <w:ind w:firstLine="420" w:firstLineChars="200"/>
        <w:rPr>
          <w:rFonts w:ascii="宋体" w:hAnsi="宋体"/>
          <w:b/>
          <w:bCs/>
          <w:color w:val="000000" w:themeColor="text1"/>
          <w:u w:val="single"/>
          <w14:textFill>
            <w14:solidFill>
              <w14:schemeClr w14:val="tx1"/>
            </w14:solidFill>
          </w14:textFill>
        </w:rPr>
      </w:pPr>
      <w:bookmarkStart w:id="623" w:name="_Toc312678042"/>
      <w:bookmarkStart w:id="624" w:name="_Toc297216213"/>
      <w:bookmarkStart w:id="625" w:name="_Toc303539161"/>
      <w:bookmarkStart w:id="626" w:name="_Toc304295581"/>
      <w:bookmarkStart w:id="627" w:name="_Toc297123554"/>
      <w:bookmarkStart w:id="628" w:name="_Toc300935004"/>
      <w:r>
        <w:rPr>
          <w:rFonts w:hint="eastAsia" w:ascii="宋体" w:hAnsi="宋体"/>
          <w:b/>
          <w:bCs/>
          <w:color w:val="000000" w:themeColor="text1"/>
          <w:u w:val="single"/>
          <w14:textFill>
            <w14:solidFill>
              <w14:schemeClr w14:val="tx1"/>
            </w14:solidFill>
          </w14:textFill>
        </w:rPr>
        <w:t>12.2 预付款</w:t>
      </w:r>
    </w:p>
    <w:p>
      <w:pPr>
        <w:pStyle w:val="2"/>
        <w:ind w:firstLine="420" w:firstLineChars="200"/>
        <w:rPr>
          <w:rFonts w:ascii="宋体" w:hAnsi="宋体"/>
          <w:b/>
          <w:bCs/>
          <w:color w:val="auto"/>
          <w:u w:val="single"/>
        </w:rPr>
      </w:pPr>
      <w:r>
        <w:rPr>
          <w:rFonts w:hint="eastAsia" w:ascii="宋体" w:hAnsi="宋体"/>
          <w:b/>
          <w:bCs/>
          <w:color w:val="auto"/>
          <w:u w:val="single"/>
        </w:rPr>
        <w:t>12.2.1预付款的支付</w:t>
      </w:r>
    </w:p>
    <w:bookmarkEnd w:id="623"/>
    <w:bookmarkEnd w:id="624"/>
    <w:bookmarkEnd w:id="625"/>
    <w:bookmarkEnd w:id="626"/>
    <w:bookmarkEnd w:id="627"/>
    <w:bookmarkEnd w:id="628"/>
    <w:p>
      <w:pPr>
        <w:spacing w:line="360" w:lineRule="exact"/>
        <w:ind w:firstLine="420" w:firstLineChars="200"/>
        <w:rPr>
          <w:color w:val="auto"/>
        </w:rPr>
      </w:pPr>
      <w:r>
        <w:rPr>
          <w:rFonts w:hint="eastAsia"/>
          <w:color w:val="auto"/>
        </w:rPr>
        <w:t>预付款支付比例或金额：</w:t>
      </w:r>
      <w:r>
        <w:rPr>
          <w:rFonts w:hint="eastAsia" w:eastAsia="宋体" w:cs="Times New Roman"/>
          <w:color w:val="auto"/>
          <w:sz w:val="22"/>
          <w:szCs w:val="22"/>
          <w:u w:val="single"/>
        </w:rPr>
        <w:t>签约合同价的 10%，包含专用条款6.1.6条所列的安全文明施工费，其余作为备料款。</w:t>
      </w:r>
    </w:p>
    <w:p>
      <w:pPr>
        <w:spacing w:line="360" w:lineRule="exact"/>
        <w:ind w:firstLine="420" w:firstLineChars="200"/>
        <w:rPr>
          <w:color w:val="auto"/>
        </w:rPr>
      </w:pPr>
      <w:r>
        <w:rPr>
          <w:rFonts w:hint="eastAsia"/>
          <w:color w:val="auto"/>
        </w:rPr>
        <w:t>预付款支付期限：</w:t>
      </w:r>
      <w:r>
        <w:rPr>
          <w:rFonts w:hint="eastAsia" w:eastAsia="宋体" w:cs="Times New Roman"/>
          <w:color w:val="auto"/>
          <w:sz w:val="22"/>
          <w:szCs w:val="22"/>
          <w:u w:val="single"/>
        </w:rPr>
        <w:t>开工通知载明的开工日期 7 天前支付。</w:t>
      </w:r>
    </w:p>
    <w:p>
      <w:pPr>
        <w:kinsoku/>
        <w:autoSpaceDE/>
        <w:autoSpaceDN/>
        <w:adjustRightInd/>
        <w:snapToGrid/>
        <w:spacing w:line="360" w:lineRule="exact"/>
        <w:ind w:firstLine="420" w:firstLineChars="200"/>
        <w:textAlignment w:val="auto"/>
        <w:rPr>
          <w:color w:val="auto"/>
        </w:rPr>
      </w:pPr>
      <w:r>
        <w:rPr>
          <w:rFonts w:hint="eastAsia"/>
          <w:color w:val="auto"/>
        </w:rPr>
        <w:t>预付款扣回的方式：</w:t>
      </w:r>
      <w:r>
        <w:rPr>
          <w:rFonts w:hint="eastAsia" w:eastAsia="宋体" w:cs="Times New Roman"/>
          <w:color w:val="auto"/>
          <w:sz w:val="22"/>
          <w:szCs w:val="22"/>
          <w:u w:val="single"/>
        </w:rPr>
        <w:t>不抵扣每期应付进度款，待完工验收合格，计量价款付至合同价的90%时，转为工程款。</w:t>
      </w:r>
    </w:p>
    <w:p>
      <w:pPr>
        <w:pStyle w:val="2"/>
        <w:ind w:firstLine="422" w:firstLineChars="200"/>
        <w:rPr>
          <w:rFonts w:ascii="宋体" w:hAnsi="宋体" w:eastAsia="宋体" w:cs="Times New Roman"/>
          <w:b/>
          <w:bCs/>
          <w:color w:val="auto"/>
          <w:u w:val="single"/>
        </w:rPr>
      </w:pPr>
      <w:r>
        <w:rPr>
          <w:rFonts w:hint="eastAsia" w:ascii="宋体" w:hAnsi="宋体" w:eastAsia="宋体" w:cs="Times New Roman"/>
          <w:b/>
          <w:bCs/>
          <w:color w:val="auto"/>
          <w:u w:val="single"/>
        </w:rPr>
        <w:t>12.2.2 预付款担保</w:t>
      </w:r>
    </w:p>
    <w:p>
      <w:pPr>
        <w:pStyle w:val="2"/>
        <w:widowControl w:val="0"/>
        <w:kinsoku/>
        <w:autoSpaceDE/>
        <w:autoSpaceDN/>
        <w:adjustRightInd/>
        <w:snapToGrid/>
        <w:ind w:firstLine="420" w:firstLineChars="200"/>
        <w:textAlignment w:val="auto"/>
        <w:rPr>
          <w:color w:val="auto"/>
        </w:rPr>
      </w:pPr>
      <w:r>
        <w:rPr>
          <w:rFonts w:hint="eastAsia"/>
          <w:color w:val="auto"/>
        </w:rPr>
        <w:t>承包人提交预付款担保的期限：</w:t>
      </w:r>
      <w:r>
        <w:rPr>
          <w:rFonts w:hint="eastAsia" w:ascii="Calibri" w:hAnsi="Calibri" w:eastAsia="宋体" w:cs="Times New Roman"/>
          <w:color w:val="auto"/>
          <w:kern w:val="2"/>
          <w:sz w:val="22"/>
          <w:szCs w:val="22"/>
          <w:u w:val="single"/>
        </w:rPr>
        <w:t xml:space="preserve"> / 。</w:t>
      </w:r>
    </w:p>
    <w:p>
      <w:pPr>
        <w:pStyle w:val="2"/>
        <w:widowControl w:val="0"/>
        <w:kinsoku/>
        <w:autoSpaceDE/>
        <w:autoSpaceDN/>
        <w:adjustRightInd/>
        <w:snapToGrid/>
        <w:ind w:firstLine="420" w:firstLineChars="200"/>
        <w:textAlignment w:val="auto"/>
        <w:rPr>
          <w:color w:val="auto"/>
        </w:rPr>
      </w:pPr>
      <w:r>
        <w:rPr>
          <w:rFonts w:hint="eastAsia"/>
          <w:color w:val="auto"/>
        </w:rPr>
        <w:t>预付款担保的形式为：</w:t>
      </w:r>
      <w:r>
        <w:rPr>
          <w:rFonts w:hint="eastAsia" w:ascii="Calibri" w:hAnsi="Calibri" w:eastAsia="宋体" w:cs="Times New Roman"/>
          <w:color w:val="auto"/>
          <w:kern w:val="2"/>
          <w:sz w:val="22"/>
          <w:szCs w:val="22"/>
          <w:u w:val="single"/>
        </w:rPr>
        <w:t xml:space="preserve"> / 。</w:t>
      </w:r>
    </w:p>
    <w:p>
      <w:pPr>
        <w:spacing w:line="360" w:lineRule="exact"/>
        <w:ind w:firstLine="420" w:firstLineChars="200"/>
        <w:rPr>
          <w:color w:val="auto"/>
        </w:rPr>
      </w:pPr>
      <w:r>
        <w:rPr>
          <w:color w:val="auto"/>
        </w:rPr>
        <w:t>12.3 计量</w:t>
      </w:r>
    </w:p>
    <w:p>
      <w:pPr>
        <w:spacing w:line="360" w:lineRule="exact"/>
        <w:ind w:firstLine="420" w:firstLineChars="200"/>
        <w:rPr>
          <w:color w:val="auto"/>
        </w:rPr>
      </w:pPr>
      <w:r>
        <w:rPr>
          <w:color w:val="auto"/>
        </w:rPr>
        <w:t>12.3.1 计量原则</w:t>
      </w:r>
    </w:p>
    <w:p>
      <w:pPr>
        <w:spacing w:line="360" w:lineRule="auto"/>
        <w:ind w:firstLine="420" w:firstLineChars="200"/>
        <w:rPr>
          <w:color w:val="auto"/>
          <w:u w:val="single"/>
        </w:rPr>
      </w:pPr>
      <w:r>
        <w:rPr>
          <w:rFonts w:hint="eastAsia" w:ascii="宋体" w:hAnsi="宋体"/>
          <w:color w:val="auto"/>
          <w:u w:val="single"/>
        </w:rPr>
        <w:t>工程量计算按照实际完成施工图纸范围内和经发包人同意增加的施工内容按实计算，工程量计算规则按照</w:t>
      </w:r>
      <w:r>
        <w:rPr>
          <w:rFonts w:hint="eastAsia" w:ascii="宋体" w:hAnsi="宋体" w:eastAsia="宋体" w:cs="宋体"/>
          <w:color w:val="0000FF"/>
          <w:u w:val="single"/>
        </w:rPr>
        <w:t>《建设工程工程量清单计价规范》（GB50500-2013）, 建设工程工程量清单计算规范（2013）浙江省补充规定（一）、（二），《浙江省建设工程费用定额》（2018版）、《浙江省通用安装工程预算定额》（2018版）、《浙江省市政工程预算定额》（2018版）、《浙江省园林绿化及仿古建筑工程预算定额》（2018版），《浙江省建设工程计价规则》（2018版）、人工、材料、机械信息价根据《台州造价》2023/6期台州市价格、《台州造价》2023/6期三门地区价格、《浙江造价信息》2023/6期及市场调查价，</w:t>
      </w:r>
      <w:r>
        <w:rPr>
          <w:rFonts w:hint="eastAsia"/>
          <w:color w:val="0000FF"/>
          <w:u w:val="single"/>
        </w:rPr>
        <w:t>浙江省补充规定</w:t>
      </w:r>
      <w:r>
        <w:rPr>
          <w:color w:val="auto"/>
          <w:u w:val="single"/>
        </w:rPr>
        <w:t>等工程所在地现行的有关工程造价方面规定</w:t>
      </w:r>
      <w:r>
        <w:rPr>
          <w:rFonts w:hint="eastAsia"/>
          <w:color w:val="auto"/>
          <w:u w:val="single"/>
        </w:rPr>
        <w:t>以</w:t>
      </w:r>
      <w:r>
        <w:rPr>
          <w:color w:val="auto"/>
          <w:u w:val="single"/>
        </w:rPr>
        <w:t>及发包人提供的工程量清单中说明的工程量计算规则计算，由承包人计量、发包人及有关部门审核。</w:t>
      </w:r>
    </w:p>
    <w:p>
      <w:pPr>
        <w:spacing w:line="360" w:lineRule="exact"/>
        <w:ind w:firstLine="420" w:firstLineChars="200"/>
        <w:rPr>
          <w:color w:val="auto"/>
        </w:rPr>
      </w:pPr>
      <w:r>
        <w:rPr>
          <w:color w:val="auto"/>
        </w:rPr>
        <w:t>12.3.2 计量周期：</w:t>
      </w:r>
    </w:p>
    <w:p>
      <w:pPr>
        <w:spacing w:line="360" w:lineRule="exact"/>
        <w:ind w:firstLine="420" w:firstLineChars="200"/>
        <w:rPr>
          <w:color w:val="auto"/>
        </w:rPr>
      </w:pPr>
      <w:r>
        <w:rPr>
          <w:color w:val="auto"/>
        </w:rPr>
        <w:t>关于计量周期的约定：</w:t>
      </w:r>
      <w:r>
        <w:rPr>
          <w:color w:val="auto"/>
          <w:u w:val="single"/>
        </w:rPr>
        <w:t>按月计量</w:t>
      </w:r>
      <w:r>
        <w:rPr>
          <w:color w:val="auto"/>
        </w:rPr>
        <w:t>。</w:t>
      </w:r>
    </w:p>
    <w:p>
      <w:pPr>
        <w:spacing w:line="360" w:lineRule="exact"/>
        <w:ind w:firstLine="420" w:firstLineChars="200"/>
        <w:rPr>
          <w:color w:val="auto"/>
        </w:rPr>
      </w:pPr>
      <w:r>
        <w:rPr>
          <w:color w:val="auto"/>
        </w:rPr>
        <w:t>12.3.3 单价合同的计量</w:t>
      </w:r>
    </w:p>
    <w:p>
      <w:pPr>
        <w:spacing w:line="360" w:lineRule="exact"/>
        <w:ind w:firstLine="420" w:firstLineChars="200"/>
        <w:rPr>
          <w:color w:val="auto"/>
        </w:rPr>
      </w:pPr>
      <w:r>
        <w:rPr>
          <w:color w:val="auto"/>
        </w:rPr>
        <w:t>关于单价合同计量的约定：</w:t>
      </w:r>
      <w:r>
        <w:rPr>
          <w:color w:val="auto"/>
          <w:u w:val="single"/>
        </w:rPr>
        <w:t>按合同通用条款执行，但确认的工程量和单价仅作为本期工程款支付的依据</w:t>
      </w:r>
      <w:r>
        <w:rPr>
          <w:color w:val="auto"/>
        </w:rPr>
        <w:t>。</w:t>
      </w:r>
    </w:p>
    <w:p>
      <w:pPr>
        <w:spacing w:line="360" w:lineRule="exact"/>
        <w:ind w:firstLine="420" w:firstLineChars="200"/>
        <w:rPr>
          <w:color w:val="auto"/>
        </w:rPr>
      </w:pPr>
      <w:r>
        <w:rPr>
          <w:color w:val="auto"/>
        </w:rPr>
        <w:t>12.3.6 其他价格形式合同的计量</w:t>
      </w:r>
    </w:p>
    <w:p>
      <w:pPr>
        <w:spacing w:line="360" w:lineRule="exact"/>
        <w:ind w:firstLine="420" w:firstLineChars="200"/>
        <w:rPr>
          <w:color w:val="auto"/>
        </w:rPr>
      </w:pPr>
      <w:r>
        <w:rPr>
          <w:color w:val="auto"/>
        </w:rPr>
        <w:t>其他价格形式的计量方式和程序：</w:t>
      </w:r>
      <w:r>
        <w:rPr>
          <w:rFonts w:hint="eastAsia"/>
          <w:color w:val="auto"/>
          <w:u w:val="single"/>
        </w:rPr>
        <w:t xml:space="preserve">   /   </w:t>
      </w:r>
      <w:r>
        <w:rPr>
          <w:color w:val="auto"/>
          <w:u w:val="single"/>
        </w:rPr>
        <w:t>。</w:t>
      </w:r>
    </w:p>
    <w:p>
      <w:pPr>
        <w:spacing w:line="360" w:lineRule="exact"/>
        <w:ind w:firstLine="420" w:firstLineChars="200"/>
        <w:rPr>
          <w:color w:val="auto"/>
        </w:rPr>
      </w:pPr>
      <w:r>
        <w:rPr>
          <w:color w:val="auto"/>
        </w:rPr>
        <w:t>12.4 工程进度款支付</w:t>
      </w:r>
    </w:p>
    <w:p>
      <w:pPr>
        <w:spacing w:line="360" w:lineRule="exact"/>
        <w:ind w:firstLine="420" w:firstLineChars="200"/>
        <w:rPr>
          <w:color w:val="auto"/>
        </w:rPr>
      </w:pPr>
      <w:bookmarkStart w:id="629" w:name="_Toc297216215"/>
      <w:bookmarkStart w:id="630" w:name="_Toc297048397"/>
      <w:bookmarkStart w:id="631" w:name="_Toc296944550"/>
      <w:bookmarkStart w:id="632" w:name="_Toc300935006"/>
      <w:bookmarkStart w:id="633" w:name="_Toc292559416"/>
      <w:bookmarkStart w:id="634" w:name="_Toc296891039"/>
      <w:bookmarkStart w:id="635" w:name="_Toc296503211"/>
      <w:bookmarkStart w:id="636" w:name="_Toc296346712"/>
      <w:bookmarkStart w:id="637" w:name="_Toc303539163"/>
      <w:bookmarkStart w:id="638" w:name="_Toc296891251"/>
      <w:bookmarkStart w:id="639" w:name="_Toc292559921"/>
      <w:bookmarkStart w:id="640" w:name="_Toc297120511"/>
      <w:bookmarkStart w:id="641" w:name="_Toc297123556"/>
      <w:bookmarkStart w:id="642" w:name="_Toc296347210"/>
      <w:r>
        <w:rPr>
          <w:color w:val="auto"/>
        </w:rPr>
        <w:t>12.4.1 付款周期</w:t>
      </w:r>
    </w:p>
    <w:p>
      <w:pPr>
        <w:spacing w:line="360" w:lineRule="exact"/>
        <w:ind w:firstLine="420" w:firstLineChars="200"/>
        <w:rPr>
          <w:color w:val="auto"/>
        </w:rPr>
      </w:pPr>
      <w:r>
        <w:rPr>
          <w:color w:val="auto"/>
        </w:rPr>
        <w:t>关于付款周期的约定：</w:t>
      </w:r>
      <w:r>
        <w:rPr>
          <w:color w:val="auto"/>
          <w:u w:val="single"/>
        </w:rPr>
        <w:t>按月支付</w:t>
      </w:r>
      <w:r>
        <w:rPr>
          <w:color w:val="auto"/>
        </w:rPr>
        <w:t>。</w:t>
      </w:r>
    </w:p>
    <w:p>
      <w:pPr>
        <w:spacing w:line="360" w:lineRule="exact"/>
        <w:ind w:firstLine="420" w:firstLineChars="200"/>
        <w:rPr>
          <w:color w:val="auto"/>
        </w:rPr>
      </w:pPr>
      <w:r>
        <w:rPr>
          <w:color w:val="auto"/>
        </w:rPr>
        <w:t>12.4.2 进度付款申请单的编制</w:t>
      </w:r>
    </w:p>
    <w:p>
      <w:pPr>
        <w:spacing w:line="360" w:lineRule="exact"/>
        <w:ind w:firstLine="420" w:firstLineChars="200"/>
        <w:rPr>
          <w:color w:val="auto"/>
        </w:rPr>
      </w:pPr>
      <w:r>
        <w:rPr>
          <w:color w:val="auto"/>
        </w:rPr>
        <w:t>关于进度付款申请单编制的约定：</w:t>
      </w:r>
    </w:p>
    <w:p>
      <w:pPr>
        <w:spacing w:line="360" w:lineRule="exact"/>
        <w:ind w:firstLine="420" w:firstLineChars="200"/>
        <w:rPr>
          <w:rFonts w:eastAsia="宋体" w:cs="Times New Roman"/>
          <w:color w:val="auto"/>
          <w:u w:val="single"/>
        </w:rPr>
      </w:pPr>
      <w:r>
        <w:rPr>
          <w:rFonts w:hint="eastAsia" w:eastAsia="宋体" w:cs="Times New Roman"/>
          <w:color w:val="auto"/>
          <w:u w:val="single"/>
        </w:rPr>
        <w:t>（1）发包人向承包人支付当期按 12.1、12.3 款计量工</w:t>
      </w:r>
      <w:r>
        <w:rPr>
          <w:rFonts w:hint="eastAsia" w:eastAsia="宋体" w:cs="Times New Roman"/>
          <w:color w:val="000000" w:themeColor="text1"/>
          <w:u w:val="single"/>
          <w14:textFill>
            <w14:solidFill>
              <w14:schemeClr w14:val="tx1"/>
            </w14:solidFill>
          </w14:textFill>
        </w:rPr>
        <w:t>程量价款的75%工程价款（</w:t>
      </w:r>
      <w:r>
        <w:rPr>
          <w:rFonts w:hint="eastAsia" w:eastAsia="宋体" w:cs="Times New Roman"/>
          <w:color w:val="auto"/>
          <w:u w:val="single"/>
        </w:rPr>
        <w:t>不含预付款）人工、材料市场价格调整引起合同价款调整，在完成专用条款第 11.1 条约定的调整节点后，计入该节点所在当期工程进度款；工程变更、索赔、现场签证等办理完毕的，计入当期工程进度款。</w:t>
      </w:r>
    </w:p>
    <w:p>
      <w:pPr>
        <w:spacing w:line="360" w:lineRule="exact"/>
        <w:ind w:firstLine="420" w:firstLineChars="200"/>
        <w:rPr>
          <w:rFonts w:eastAsia="宋体" w:cs="Times New Roman"/>
          <w:color w:val="auto"/>
          <w:u w:val="single"/>
        </w:rPr>
      </w:pPr>
      <w:r>
        <w:rPr>
          <w:rFonts w:hint="eastAsia" w:eastAsia="宋体" w:cs="Times New Roman"/>
          <w:color w:val="auto"/>
          <w:u w:val="single"/>
        </w:rPr>
        <w:t>（2）合同范围内的施工内容施工完成，参建各方（建设、监理、施工、勘察、设计单位等）</w:t>
      </w:r>
    </w:p>
    <w:p>
      <w:pPr>
        <w:spacing w:line="360" w:lineRule="exact"/>
        <w:rPr>
          <w:rFonts w:eastAsia="宋体" w:cs="Times New Roman"/>
          <w:color w:val="auto"/>
          <w:u w:val="single"/>
        </w:rPr>
      </w:pPr>
      <w:r>
        <w:rPr>
          <w:rFonts w:hint="eastAsia" w:eastAsia="宋体" w:cs="Times New Roman"/>
          <w:color w:val="auto"/>
          <w:u w:val="single"/>
        </w:rPr>
        <w:t>对工程验收并签署工程质量合格文件后，支付至进度款审核汇总的合同价格的 90%（含预付款）；</w:t>
      </w:r>
    </w:p>
    <w:p>
      <w:pPr>
        <w:spacing w:line="360" w:lineRule="exact"/>
        <w:ind w:firstLine="420" w:firstLineChars="200"/>
        <w:rPr>
          <w:rFonts w:eastAsia="宋体" w:cs="Times New Roman"/>
          <w:color w:val="auto"/>
          <w:u w:val="single"/>
        </w:rPr>
      </w:pPr>
      <w:r>
        <w:rPr>
          <w:rFonts w:hint="eastAsia" w:eastAsia="宋体" w:cs="Times New Roman"/>
          <w:color w:val="auto"/>
          <w:u w:val="single"/>
        </w:rPr>
        <w:t xml:space="preserve"> （3）工程结算款经审定后付至结算价 100%。发包人支付最后工程结算付款前，承包人向发包人提供质量保证金保函（金额为工程结算价的 1.5%）。</w:t>
      </w:r>
    </w:p>
    <w:p>
      <w:pPr>
        <w:spacing w:line="360" w:lineRule="exact"/>
        <w:ind w:firstLine="420" w:firstLineChars="200"/>
        <w:rPr>
          <w:rFonts w:eastAsia="宋体" w:cs="Times New Roman"/>
          <w:color w:val="auto"/>
          <w:u w:val="single"/>
        </w:rPr>
      </w:pPr>
      <w:r>
        <w:rPr>
          <w:rFonts w:hint="eastAsia" w:eastAsia="宋体" w:cs="Times New Roman"/>
          <w:color w:val="auto"/>
          <w:u w:val="single"/>
        </w:rPr>
        <w:t xml:space="preserve">（4）发包人将当期应付工程进度款（含预付款）的[20]%单独拨付到承包人开设的农民工工资（劳务费）专用账户，承包人应确保专款专用。 </w:t>
      </w:r>
    </w:p>
    <w:p>
      <w:pPr>
        <w:spacing w:line="360" w:lineRule="exact"/>
        <w:ind w:firstLine="420" w:firstLineChars="200"/>
        <w:rPr>
          <w:color w:val="auto"/>
        </w:rPr>
      </w:pPr>
      <w:r>
        <w:rPr>
          <w:rFonts w:hint="eastAsia" w:eastAsia="宋体" w:cs="Times New Roman"/>
          <w:color w:val="auto"/>
          <w:u w:val="single"/>
        </w:rPr>
        <w:t>（</w:t>
      </w:r>
      <w:r>
        <w:rPr>
          <w:rFonts w:eastAsia="宋体" w:cs="Times New Roman"/>
          <w:color w:val="auto"/>
          <w:u w:val="single"/>
        </w:rPr>
        <w:t>5</w:t>
      </w:r>
      <w:r>
        <w:rPr>
          <w:rFonts w:hint="eastAsia" w:eastAsia="宋体" w:cs="Times New Roman"/>
          <w:color w:val="auto"/>
          <w:u w:val="single"/>
        </w:rPr>
        <w:t>）承包人收取每期工程款时应开具正式发票其余按通用合同条款。承包人收取备料款及每期工程款时应开具正式发票。</w:t>
      </w:r>
    </w:p>
    <w:p>
      <w:pPr>
        <w:spacing w:line="360" w:lineRule="exact"/>
        <w:ind w:left="420" w:leftChars="200"/>
        <w:rPr>
          <w:color w:val="auto"/>
        </w:rPr>
      </w:pPr>
      <w:r>
        <w:rPr>
          <w:color w:val="auto"/>
        </w:rPr>
        <w:t>1</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Pr>
          <w:color w:val="auto"/>
        </w:rPr>
        <w:t>2.4.3 进度付款申请单的提交</w:t>
      </w:r>
    </w:p>
    <w:p>
      <w:pPr>
        <w:spacing w:line="360" w:lineRule="exact"/>
        <w:ind w:firstLine="420" w:firstLineChars="200"/>
        <w:rPr>
          <w:color w:val="auto"/>
        </w:rPr>
      </w:pPr>
      <w:r>
        <w:rPr>
          <w:color w:val="auto"/>
        </w:rPr>
        <w:t>（1）单价合同进度付款申请单提交的约定：</w:t>
      </w:r>
      <w:r>
        <w:rPr>
          <w:color w:val="auto"/>
          <w:u w:val="single"/>
        </w:rPr>
        <w:t>按合同通用条款</w:t>
      </w:r>
      <w:r>
        <w:rPr>
          <w:color w:val="auto"/>
        </w:rPr>
        <w:t>。</w:t>
      </w:r>
    </w:p>
    <w:p>
      <w:pPr>
        <w:spacing w:line="360" w:lineRule="exact"/>
        <w:ind w:firstLine="420" w:firstLineChars="200"/>
        <w:rPr>
          <w:color w:val="auto"/>
        </w:rPr>
      </w:pPr>
      <w:r>
        <w:rPr>
          <w:color w:val="auto"/>
        </w:rPr>
        <w:t>（2）总价合同进度付款申请单提交的约定：</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（3）其他价格形式合同进度付款申请单提交的约定：</w:t>
      </w:r>
      <w:r>
        <w:rPr>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r>
        <w:rPr>
          <w:color w:val="auto"/>
          <w:u w:val="single"/>
        </w:rPr>
        <w:t xml:space="preserve"> </w:t>
      </w:r>
      <w:r>
        <w:rPr>
          <w:color w:val="auto"/>
        </w:rPr>
        <w:t>。</w:t>
      </w:r>
    </w:p>
    <w:p>
      <w:pPr>
        <w:spacing w:line="360" w:lineRule="exact"/>
        <w:ind w:firstLine="420" w:firstLineChars="200"/>
        <w:rPr>
          <w:color w:val="auto"/>
        </w:rPr>
      </w:pPr>
      <w:r>
        <w:rPr>
          <w:color w:val="auto"/>
        </w:rPr>
        <w:t>12.4.4 进度款审核和支付</w:t>
      </w:r>
    </w:p>
    <w:p>
      <w:pPr>
        <w:spacing w:line="360" w:lineRule="exact"/>
        <w:ind w:firstLine="420" w:firstLineChars="200"/>
        <w:rPr>
          <w:color w:val="auto"/>
          <w:u w:val="single"/>
        </w:rPr>
      </w:pPr>
      <w:r>
        <w:rPr>
          <w:color w:val="auto"/>
        </w:rPr>
        <w:t>（1）监理人审查并报送发包人的期限：</w:t>
      </w:r>
      <w:r>
        <w:rPr>
          <w:color w:val="auto"/>
          <w:u w:val="single"/>
        </w:rPr>
        <w:t xml:space="preserve">按合同通用条款 </w:t>
      </w:r>
      <w:r>
        <w:rPr>
          <w:color w:val="auto"/>
        </w:rPr>
        <w:t>。</w:t>
      </w:r>
    </w:p>
    <w:p>
      <w:pPr>
        <w:spacing w:line="360" w:lineRule="exact"/>
        <w:ind w:firstLine="420" w:firstLineChars="200"/>
        <w:rPr>
          <w:color w:val="auto"/>
        </w:rPr>
      </w:pPr>
      <w:r>
        <w:rPr>
          <w:color w:val="auto"/>
        </w:rPr>
        <w:t>发包人完成审批并签发进度款支付证书的期限：</w:t>
      </w:r>
      <w:r>
        <w:rPr>
          <w:color w:val="auto"/>
          <w:u w:val="single"/>
        </w:rPr>
        <w:t>按合同通用条款</w:t>
      </w:r>
      <w:r>
        <w:rPr>
          <w:color w:val="auto"/>
        </w:rPr>
        <w:t>。</w:t>
      </w:r>
    </w:p>
    <w:p>
      <w:pPr>
        <w:spacing w:line="360" w:lineRule="exact"/>
        <w:ind w:firstLine="420" w:firstLineChars="200"/>
        <w:rPr>
          <w:color w:val="auto"/>
          <w:u w:val="single"/>
        </w:rPr>
      </w:pPr>
      <w:r>
        <w:rPr>
          <w:color w:val="auto"/>
        </w:rPr>
        <w:t>（2）发包人支付进度款的期限：</w:t>
      </w:r>
      <w:r>
        <w:rPr>
          <w:color w:val="auto"/>
          <w:u w:val="single"/>
        </w:rPr>
        <w:t>在发包人确认计量结果后14天内完成支付。</w:t>
      </w:r>
    </w:p>
    <w:p>
      <w:pPr>
        <w:spacing w:line="360" w:lineRule="exact"/>
        <w:ind w:firstLine="420" w:firstLineChars="200"/>
        <w:rPr>
          <w:rFonts w:ascii="宋体" w:hAnsi="宋体" w:cs="宋体"/>
          <w:u w:val="single"/>
        </w:rPr>
      </w:pPr>
      <w:r>
        <w:rPr>
          <w:rFonts w:hint="eastAsia" w:ascii="宋体" w:hAnsi="宋体" w:cs="宋体"/>
          <w:u w:val="single"/>
        </w:rPr>
        <w:t>发包人将当期应付工程进度款</w:t>
      </w:r>
      <w:r>
        <w:rPr>
          <w:rFonts w:hint="eastAsia" w:cs="Times New Roman"/>
          <w:color w:val="auto"/>
          <w:u w:val="single"/>
        </w:rPr>
        <w:t>（含预付款）</w:t>
      </w:r>
      <w:r>
        <w:rPr>
          <w:rFonts w:hint="eastAsia" w:ascii="宋体" w:hAnsi="宋体" w:cs="宋体"/>
          <w:u w:val="single"/>
        </w:rPr>
        <w:t>的[20]%单独拨付到承包人开设的农民工工资（劳务费）专用账户，承包人应确保专款专用。</w:t>
      </w:r>
    </w:p>
    <w:p>
      <w:pPr>
        <w:spacing w:line="360" w:lineRule="exact"/>
        <w:ind w:firstLine="420" w:firstLineChars="200"/>
        <w:rPr>
          <w:color w:val="auto"/>
        </w:rPr>
      </w:pPr>
      <w:r>
        <w:rPr>
          <w:color w:val="auto"/>
        </w:rPr>
        <w:t>发包人逾期支付进度款的违约金的计算方式：</w:t>
      </w:r>
      <w:r>
        <w:rPr>
          <w:color w:val="auto"/>
          <w:u w:val="single"/>
        </w:rPr>
        <w:t>支付应付工程进度（备料）款的利息，利率</w:t>
      </w:r>
      <w:r>
        <w:rPr>
          <w:rFonts w:hint="eastAsia"/>
          <w:b/>
          <w:bCs/>
          <w:color w:val="auto"/>
          <w:u w:val="single"/>
        </w:rPr>
        <w:t>按同期全国银行间同业拆借中心公布的贷款市场报价利率</w:t>
      </w:r>
      <w:r>
        <w:rPr>
          <w:color w:val="auto"/>
          <w:u w:val="single"/>
        </w:rPr>
        <w:t>，时间为从约定应付之日起至支付之日止计算利息</w:t>
      </w:r>
      <w:r>
        <w:rPr>
          <w:color w:val="auto"/>
        </w:rPr>
        <w:t>。</w:t>
      </w:r>
    </w:p>
    <w:p>
      <w:pPr>
        <w:spacing w:line="360" w:lineRule="exact"/>
        <w:ind w:firstLine="420" w:firstLineChars="200"/>
        <w:rPr>
          <w:color w:val="auto"/>
        </w:rPr>
      </w:pPr>
      <w:r>
        <w:rPr>
          <w:color w:val="auto"/>
        </w:rPr>
        <w:t>（3）</w:t>
      </w:r>
      <w:r>
        <w:rPr>
          <w:color w:val="auto"/>
          <w:u w:val="single"/>
        </w:rPr>
        <w:t>发包人每月签发的工程量审核报告、进度款支付证书或临时进度款支付证书，不表明发包人已同意、批准或接受了承包人完成的相应部分工作或已确认计量结果，仅为本期工程款支付依据。</w:t>
      </w:r>
    </w:p>
    <w:p>
      <w:pPr>
        <w:spacing w:line="360" w:lineRule="exact"/>
        <w:ind w:firstLine="420" w:firstLineChars="200"/>
        <w:rPr>
          <w:b/>
          <w:color w:val="auto"/>
        </w:rPr>
      </w:pPr>
      <w:r>
        <w:rPr>
          <w:b/>
          <w:color w:val="auto"/>
        </w:rPr>
        <w:t>12.4.6 支付分解表的编制</w:t>
      </w:r>
    </w:p>
    <w:p>
      <w:pPr>
        <w:spacing w:line="360" w:lineRule="exact"/>
        <w:ind w:firstLine="420" w:firstLineChars="200"/>
        <w:rPr>
          <w:color w:val="auto"/>
        </w:rPr>
      </w:pPr>
      <w:r>
        <w:rPr>
          <w:color w:val="auto"/>
        </w:rPr>
        <w:t>2、总价合同支付分解表的编制与审批：</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3、单价合同的总价项目支付分解表的编制与审批：</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b/>
          <w:color w:val="auto"/>
        </w:rPr>
      </w:pPr>
      <w:r>
        <w:rPr>
          <w:b/>
          <w:color w:val="auto"/>
        </w:rPr>
        <w:t>12.5 支付账户：</w:t>
      </w:r>
    </w:p>
    <w:bookmarkEnd w:id="498"/>
    <w:p>
      <w:pPr>
        <w:spacing w:line="586" w:lineRule="exact"/>
        <w:ind w:firstLine="420" w:firstLineChars="200"/>
        <w:rPr>
          <w:color w:val="auto"/>
          <w:u w:val="single"/>
        </w:rPr>
      </w:pPr>
      <w:bookmarkStart w:id="643" w:name="_Toc351203645"/>
      <w:bookmarkStart w:id="644" w:name="_Toc297123564"/>
      <w:bookmarkStart w:id="645" w:name="_Toc296891259"/>
      <w:bookmarkStart w:id="646" w:name="_Toc296346720"/>
      <w:bookmarkStart w:id="647" w:name="_Toc297120519"/>
      <w:bookmarkStart w:id="648" w:name="_Toc304295593"/>
      <w:bookmarkStart w:id="649" w:name="_Toc312678053"/>
      <w:bookmarkStart w:id="650" w:name="_Toc303539172"/>
      <w:bookmarkStart w:id="651" w:name="_Toc296891047"/>
      <w:bookmarkStart w:id="652" w:name="_Toc292559929"/>
      <w:bookmarkStart w:id="653" w:name="_Toc296347218"/>
      <w:bookmarkStart w:id="654" w:name="_Toc296944558"/>
      <w:bookmarkStart w:id="655" w:name="_Toc297048405"/>
      <w:bookmarkStart w:id="656" w:name="_Toc296503219"/>
      <w:bookmarkStart w:id="657" w:name="_Toc297216223"/>
      <w:bookmarkStart w:id="658" w:name="_Toc292559424"/>
      <w:bookmarkStart w:id="659" w:name="_Toc300935015"/>
      <w:r>
        <w:rPr>
          <w:rFonts w:hint="eastAsia"/>
          <w:color w:val="auto"/>
          <w:u w:val="single"/>
        </w:rPr>
        <w:t>发包人将当期应付工程进度款</w:t>
      </w:r>
      <w:r>
        <w:rPr>
          <w:rFonts w:hint="eastAsia" w:eastAsia="宋体" w:cs="Times New Roman"/>
          <w:color w:val="auto"/>
          <w:u w:val="single"/>
        </w:rPr>
        <w:t>（含预付款）</w:t>
      </w:r>
      <w:r>
        <w:rPr>
          <w:rFonts w:hint="eastAsia"/>
          <w:color w:val="auto"/>
          <w:u w:val="single"/>
        </w:rPr>
        <w:t>的（20）%拨付到承包人的农民工工资专用账户：          ；</w:t>
      </w:r>
    </w:p>
    <w:p>
      <w:pPr>
        <w:spacing w:line="586" w:lineRule="exact"/>
        <w:ind w:firstLine="420" w:firstLineChars="200"/>
        <w:rPr>
          <w:rFonts w:hAnsi="仿宋"/>
          <w:color w:val="auto"/>
        </w:rPr>
      </w:pPr>
      <w:r>
        <w:rPr>
          <w:rFonts w:hint="eastAsia"/>
          <w:color w:val="auto"/>
        </w:rPr>
        <w:t>其余合</w:t>
      </w:r>
      <w:r>
        <w:rPr>
          <w:rFonts w:hint="eastAsia" w:hAnsi="仿宋"/>
          <w:color w:val="auto"/>
        </w:rPr>
        <w:t>同价款支付至合同协议书中约定的承包人帐户。</w:t>
      </w:r>
    </w:p>
    <w:p>
      <w:pPr>
        <w:spacing w:line="360" w:lineRule="exact"/>
        <w:ind w:firstLine="420" w:firstLineChars="200"/>
        <w:rPr>
          <w:color w:val="auto"/>
        </w:rPr>
      </w:pPr>
      <w:r>
        <w:rPr>
          <w:rFonts w:hint="eastAsia" w:hAnsi="仿宋"/>
          <w:color w:val="auto"/>
        </w:rPr>
        <w:t>如承包人因经营需要将工程款支付至其他指定帐户时，应向发包人书面申请，并由承包人法定代表人或授权代表签字、盖章。</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13. 验收和工程试车</w:t>
      </w:r>
      <w:bookmarkEnd w:id="643"/>
    </w:p>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Pr>
        <w:spacing w:line="360" w:lineRule="exact"/>
        <w:ind w:firstLine="420" w:firstLineChars="200"/>
        <w:rPr>
          <w:color w:val="auto"/>
        </w:rPr>
      </w:pPr>
      <w:bookmarkStart w:id="660" w:name="_Toc267251475"/>
      <w:bookmarkStart w:id="661" w:name="_Toc280868709"/>
      <w:bookmarkStart w:id="662" w:name="_Toc267251474"/>
      <w:bookmarkStart w:id="663" w:name="_Toc267251473"/>
      <w:bookmarkStart w:id="664" w:name="_Toc267251472"/>
      <w:bookmarkStart w:id="665" w:name="_Toc267251471"/>
      <w:bookmarkStart w:id="666" w:name="_Toc267251476"/>
      <w:bookmarkStart w:id="667" w:name="_Toc267251470"/>
      <w:r>
        <w:rPr>
          <w:color w:val="auto"/>
        </w:rPr>
        <w:t>13.1 分部分项工程验收</w:t>
      </w:r>
    </w:p>
    <w:p>
      <w:pPr>
        <w:spacing w:line="360" w:lineRule="exact"/>
        <w:ind w:firstLine="420" w:firstLineChars="200"/>
        <w:rPr>
          <w:color w:val="auto"/>
        </w:rPr>
      </w:pPr>
      <w:r>
        <w:rPr>
          <w:color w:val="auto"/>
        </w:rPr>
        <w:t>13.1.2监理人不能按时进行验收时，应提前</w:t>
      </w:r>
      <w:r>
        <w:rPr>
          <w:color w:val="auto"/>
          <w:u w:val="single"/>
        </w:rPr>
        <w:t xml:space="preserve">  24  </w:t>
      </w:r>
      <w:r>
        <w:rPr>
          <w:color w:val="auto"/>
        </w:rPr>
        <w:t>小时提交书面延期要求。</w:t>
      </w:r>
    </w:p>
    <w:p>
      <w:pPr>
        <w:spacing w:line="360" w:lineRule="exact"/>
        <w:ind w:firstLine="420" w:firstLineChars="200"/>
        <w:rPr>
          <w:color w:val="auto"/>
        </w:rPr>
      </w:pPr>
      <w:r>
        <w:rPr>
          <w:color w:val="auto"/>
        </w:rPr>
        <w:t>关于延期最长不得超过：</w:t>
      </w:r>
      <w:r>
        <w:rPr>
          <w:color w:val="auto"/>
          <w:u w:val="single"/>
        </w:rPr>
        <w:t xml:space="preserve">  24 </w:t>
      </w:r>
      <w:r>
        <w:rPr>
          <w:color w:val="auto"/>
        </w:rPr>
        <w:t>小时。</w:t>
      </w:r>
    </w:p>
    <w:p>
      <w:pPr>
        <w:spacing w:line="360" w:lineRule="exact"/>
        <w:ind w:firstLine="420" w:firstLineChars="200"/>
        <w:rPr>
          <w:b/>
          <w:color w:val="auto"/>
          <w:u w:val="single"/>
        </w:rPr>
      </w:pPr>
      <w:r>
        <w:rPr>
          <w:color w:val="auto"/>
          <w:u w:val="single"/>
        </w:rPr>
        <w:t>工程验收过程、验收部位除办理纸质验收记录，还应留置验收部位、验收过程、主要验收人员相片、影像等资料。</w:t>
      </w:r>
    </w:p>
    <w:p>
      <w:pPr>
        <w:spacing w:line="360" w:lineRule="exact"/>
        <w:ind w:firstLine="420" w:firstLineChars="200"/>
        <w:rPr>
          <w:color w:val="auto"/>
        </w:rPr>
      </w:pPr>
      <w:bookmarkStart w:id="668" w:name="_Toc297120523"/>
      <w:bookmarkStart w:id="669" w:name="_Toc292559428"/>
      <w:bookmarkStart w:id="670" w:name="_Toc297123565"/>
      <w:bookmarkStart w:id="671" w:name="_Toc300935016"/>
      <w:bookmarkStart w:id="672" w:name="_Toc296891051"/>
      <w:bookmarkStart w:id="673" w:name="_Toc296503223"/>
      <w:bookmarkStart w:id="674" w:name="_Toc296944562"/>
      <w:bookmarkStart w:id="675" w:name="_Toc297048409"/>
      <w:bookmarkStart w:id="676" w:name="_Toc312678056"/>
      <w:bookmarkStart w:id="677" w:name="_Toc292559933"/>
      <w:bookmarkStart w:id="678" w:name="_Toc297216224"/>
      <w:bookmarkStart w:id="679" w:name="_Toc296346724"/>
      <w:bookmarkStart w:id="680" w:name="_Toc304295596"/>
      <w:bookmarkStart w:id="681" w:name="_Toc296891263"/>
      <w:bookmarkStart w:id="682" w:name="_Toc303539173"/>
      <w:bookmarkStart w:id="683" w:name="_Toc296347222"/>
      <w:r>
        <w:rPr>
          <w:color w:val="auto"/>
        </w:rPr>
        <w:t>13.2 竣工验收</w:t>
      </w:r>
    </w:p>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Pr>
        <w:spacing w:line="360" w:lineRule="exact"/>
        <w:ind w:firstLine="420" w:firstLineChars="200"/>
        <w:rPr>
          <w:color w:val="auto"/>
        </w:rPr>
      </w:pPr>
      <w:bookmarkStart w:id="684" w:name="_Toc280868704"/>
      <w:bookmarkStart w:id="685" w:name="_Toc280868705"/>
      <w:bookmarkStart w:id="686" w:name="_Toc280868706"/>
      <w:bookmarkStart w:id="687" w:name="_Toc280868707"/>
      <w:bookmarkStart w:id="688" w:name="_Toc280868708"/>
      <w:r>
        <w:rPr>
          <w:color w:val="auto"/>
        </w:rPr>
        <w:t>13.2.2竣工验收程序</w:t>
      </w:r>
    </w:p>
    <w:bookmarkEnd w:id="684"/>
    <w:p>
      <w:pPr>
        <w:spacing w:line="360" w:lineRule="exact"/>
        <w:ind w:firstLine="420" w:firstLineChars="200"/>
        <w:rPr>
          <w:color w:val="auto"/>
        </w:rPr>
      </w:pPr>
      <w:r>
        <w:rPr>
          <w:color w:val="auto"/>
        </w:rPr>
        <w:t>关于竣工验收程序的约定：</w:t>
      </w:r>
      <w:r>
        <w:rPr>
          <w:color w:val="auto"/>
          <w:u w:val="single"/>
        </w:rPr>
        <w:t xml:space="preserve"> 按通用条款    </w:t>
      </w:r>
      <w:r>
        <w:rPr>
          <w:color w:val="auto"/>
        </w:rPr>
        <w:t>。</w:t>
      </w:r>
    </w:p>
    <w:p>
      <w:pPr>
        <w:spacing w:line="360" w:lineRule="exact"/>
        <w:ind w:firstLine="420" w:firstLineChars="200"/>
        <w:rPr>
          <w:color w:val="auto"/>
          <w:u w:val="single"/>
        </w:rPr>
      </w:pPr>
      <w:r>
        <w:rPr>
          <w:rFonts w:hint="eastAsia"/>
          <w:color w:val="auto"/>
          <w:u w:val="single"/>
        </w:rPr>
        <w:t>承包人完成合同范围内的工程内容，向发包人或监理人提出验收申请，发包人应在监理人收到承包人提交的验收申请报告42天内组织监理人、承包人、设计勘察人等相关单位完成验收，并签署工程质量合格文件。承包人须配合发包人进行工程竣工验收。</w:t>
      </w:r>
    </w:p>
    <w:p>
      <w:pPr>
        <w:spacing w:line="360" w:lineRule="exact"/>
        <w:ind w:firstLine="420" w:firstLineChars="200"/>
        <w:rPr>
          <w:color w:val="auto"/>
          <w:u w:val="single"/>
        </w:rPr>
      </w:pPr>
      <w:r>
        <w:rPr>
          <w:rFonts w:hint="eastAsia"/>
          <w:color w:val="auto"/>
        </w:rPr>
        <w:t>发包人不按照本项约定组织竣工验收、颁发工程接收证书的违约金的计算方法</w:t>
      </w:r>
      <w:r>
        <w:rPr>
          <w:rFonts w:hint="eastAsia"/>
          <w:color w:val="auto"/>
          <w:u w:val="single"/>
        </w:rPr>
        <w:t>：不计违约金。</w:t>
      </w:r>
    </w:p>
    <w:p>
      <w:pPr>
        <w:spacing w:line="360" w:lineRule="exact"/>
        <w:ind w:firstLine="420" w:firstLineChars="200"/>
        <w:rPr>
          <w:color w:val="auto"/>
          <w:u w:val="single"/>
        </w:rPr>
      </w:pPr>
      <w:r>
        <w:rPr>
          <w:rFonts w:hint="eastAsia"/>
          <w:color w:val="auto"/>
          <w:u w:val="single"/>
        </w:rPr>
        <w:t>因发包人原因，未在监理人接收到承包人提交的验收申请报告42天内完成验收，或完成验收不予签发工程接收证书的，以提交验收申请报告的日期为实际竣工日期。</w:t>
      </w:r>
    </w:p>
    <w:p>
      <w:pPr>
        <w:spacing w:line="360" w:lineRule="exact"/>
        <w:ind w:firstLine="420" w:firstLineChars="200"/>
        <w:rPr>
          <w:color w:val="auto"/>
        </w:rPr>
      </w:pPr>
      <w:r>
        <w:rPr>
          <w:rFonts w:hint="eastAsia"/>
          <w:color w:val="auto"/>
        </w:rPr>
        <w:t>13.2.3竣工日期</w:t>
      </w:r>
    </w:p>
    <w:p>
      <w:pPr>
        <w:spacing w:line="360" w:lineRule="exact"/>
        <w:ind w:firstLine="420" w:firstLineChars="200"/>
        <w:rPr>
          <w:color w:val="auto"/>
        </w:rPr>
      </w:pPr>
      <w:r>
        <w:rPr>
          <w:rFonts w:hint="eastAsia"/>
          <w:color w:val="auto"/>
        </w:rPr>
        <w:t>（1）承包人完成合同范围内的全部工程以及有关工作，工程经验收合格的，以承包人提交验收申请报告之日为合同工期计算终止日。</w:t>
      </w:r>
    </w:p>
    <w:p>
      <w:pPr>
        <w:spacing w:line="360" w:lineRule="exact"/>
        <w:ind w:firstLine="420" w:firstLineChars="200"/>
        <w:rPr>
          <w:color w:val="auto"/>
        </w:rPr>
      </w:pPr>
      <w:r>
        <w:rPr>
          <w:rFonts w:hint="eastAsia"/>
          <w:color w:val="auto"/>
        </w:rPr>
        <w:t>（2）其余按通用合同条款。</w:t>
      </w:r>
    </w:p>
    <w:bookmarkEnd w:id="685"/>
    <w:p>
      <w:pPr>
        <w:spacing w:line="360" w:lineRule="exact"/>
        <w:ind w:firstLine="420" w:firstLineChars="200"/>
        <w:rPr>
          <w:color w:val="auto"/>
        </w:rPr>
      </w:pPr>
      <w:r>
        <w:rPr>
          <w:color w:val="auto"/>
        </w:rPr>
        <w:t>13.2.5移交、接收全部与部分工程</w:t>
      </w:r>
    </w:p>
    <w:bookmarkEnd w:id="686"/>
    <w:p>
      <w:pPr>
        <w:spacing w:line="360" w:lineRule="exact"/>
        <w:ind w:firstLine="420" w:firstLineChars="200"/>
        <w:rPr>
          <w:color w:val="auto"/>
        </w:rPr>
      </w:pPr>
      <w:r>
        <w:rPr>
          <w:color w:val="auto"/>
        </w:rPr>
        <w:t>承包人向发包人移交工程的期限：</w:t>
      </w:r>
      <w:r>
        <w:rPr>
          <w:color w:val="auto"/>
          <w:u w:val="single"/>
        </w:rPr>
        <w:t xml:space="preserve">  按通用条款执行  </w:t>
      </w:r>
      <w:r>
        <w:rPr>
          <w:color w:val="auto"/>
        </w:rPr>
        <w:t>。</w:t>
      </w:r>
    </w:p>
    <w:p>
      <w:pPr>
        <w:spacing w:line="360" w:lineRule="exact"/>
        <w:ind w:firstLine="420" w:firstLineChars="200"/>
        <w:rPr>
          <w:color w:val="auto"/>
          <w:u w:val="single"/>
        </w:rPr>
      </w:pPr>
      <w:r>
        <w:rPr>
          <w:color w:val="auto"/>
        </w:rPr>
        <w:t>发包人未按本合同约定接收全部或部分工程的，违约金的计算方法为：</w:t>
      </w:r>
      <w:r>
        <w:rPr>
          <w:color w:val="auto"/>
          <w:u w:val="single"/>
        </w:rPr>
        <w:t xml:space="preserve">     </w:t>
      </w:r>
      <w:r>
        <w:rPr>
          <w:rFonts w:hint="eastAsia"/>
          <w:color w:val="auto"/>
          <w:u w:val="single"/>
        </w:rPr>
        <w:t>/</w:t>
      </w:r>
      <w:r>
        <w:rPr>
          <w:color w:val="auto"/>
          <w:u w:val="single"/>
        </w:rPr>
        <w:t xml:space="preserve">     </w:t>
      </w:r>
      <w:r>
        <w:rPr>
          <w:color w:val="auto"/>
        </w:rPr>
        <w:t>。</w:t>
      </w:r>
    </w:p>
    <w:bookmarkEnd w:id="687"/>
    <w:p>
      <w:pPr>
        <w:spacing w:line="360" w:lineRule="exact"/>
        <w:ind w:firstLine="420" w:firstLineChars="200"/>
        <w:rPr>
          <w:color w:val="auto"/>
        </w:rPr>
      </w:pPr>
      <w:r>
        <w:rPr>
          <w:color w:val="auto"/>
        </w:rPr>
        <w:t>承包人未按时移交工程的，违约金的计算方法为：</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13.3 工程试车</w:t>
      </w:r>
    </w:p>
    <w:bookmarkEnd w:id="688"/>
    <w:p>
      <w:pPr>
        <w:spacing w:line="360" w:lineRule="exact"/>
        <w:ind w:firstLine="420" w:firstLineChars="200"/>
        <w:rPr>
          <w:color w:val="auto"/>
        </w:rPr>
      </w:pPr>
      <w:r>
        <w:rPr>
          <w:color w:val="auto"/>
        </w:rPr>
        <w:t>13.3.1 试车程序</w:t>
      </w:r>
    </w:p>
    <w:p>
      <w:pPr>
        <w:spacing w:line="360" w:lineRule="exact"/>
        <w:ind w:firstLine="420" w:firstLineChars="200"/>
        <w:rPr>
          <w:color w:val="auto"/>
        </w:rPr>
      </w:pPr>
      <w:r>
        <w:rPr>
          <w:color w:val="auto"/>
        </w:rPr>
        <w:t>工程试车内容：</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（1）单机无负荷试车费用由</w:t>
      </w:r>
      <w:r>
        <w:rPr>
          <w:color w:val="auto"/>
          <w:u w:val="single"/>
        </w:rPr>
        <w:t xml:space="preserve">       </w:t>
      </w:r>
      <w:r>
        <w:rPr>
          <w:rFonts w:hint="eastAsia"/>
          <w:color w:val="auto"/>
          <w:u w:val="single"/>
        </w:rPr>
        <w:t>承包人</w:t>
      </w:r>
      <w:r>
        <w:rPr>
          <w:color w:val="auto"/>
          <w:u w:val="single"/>
        </w:rPr>
        <w:t xml:space="preserve">      </w:t>
      </w:r>
      <w:r>
        <w:rPr>
          <w:color w:val="auto"/>
        </w:rPr>
        <w:t>承担；</w:t>
      </w:r>
    </w:p>
    <w:p>
      <w:pPr>
        <w:spacing w:line="360" w:lineRule="exact"/>
        <w:ind w:firstLine="420" w:firstLineChars="200"/>
        <w:rPr>
          <w:color w:val="auto"/>
        </w:rPr>
      </w:pPr>
      <w:r>
        <w:rPr>
          <w:color w:val="auto"/>
        </w:rPr>
        <w:t>（2）无负荷联动试车费用由</w:t>
      </w:r>
      <w:r>
        <w:rPr>
          <w:color w:val="auto"/>
          <w:u w:val="single"/>
        </w:rPr>
        <w:t xml:space="preserve">       </w:t>
      </w:r>
      <w:r>
        <w:rPr>
          <w:rFonts w:hint="eastAsia"/>
          <w:color w:val="auto"/>
          <w:u w:val="single"/>
        </w:rPr>
        <w:t>承包人</w:t>
      </w:r>
      <w:r>
        <w:rPr>
          <w:color w:val="auto"/>
          <w:u w:val="single"/>
        </w:rPr>
        <w:t xml:space="preserve">       </w:t>
      </w:r>
      <w:r>
        <w:rPr>
          <w:color w:val="auto"/>
        </w:rPr>
        <w:t>承担。</w:t>
      </w:r>
    </w:p>
    <w:p>
      <w:pPr>
        <w:spacing w:line="360" w:lineRule="exact"/>
        <w:ind w:firstLine="420" w:firstLineChars="200"/>
        <w:rPr>
          <w:color w:val="auto"/>
        </w:rPr>
      </w:pPr>
      <w:r>
        <w:rPr>
          <w:color w:val="auto"/>
        </w:rPr>
        <w:t>13.3.3 投料试车</w:t>
      </w:r>
    </w:p>
    <w:p>
      <w:pPr>
        <w:spacing w:line="360" w:lineRule="exact"/>
        <w:ind w:firstLine="420" w:firstLineChars="200"/>
        <w:rPr>
          <w:color w:val="auto"/>
        </w:rPr>
      </w:pPr>
      <w:r>
        <w:rPr>
          <w:color w:val="auto"/>
        </w:rPr>
        <w:t>关于投料试车相关事项的约定：</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13.6 竣工退场</w:t>
      </w:r>
    </w:p>
    <w:p>
      <w:pPr>
        <w:spacing w:line="360" w:lineRule="exact"/>
        <w:ind w:firstLine="420" w:firstLineChars="200"/>
        <w:rPr>
          <w:color w:val="auto"/>
        </w:rPr>
      </w:pPr>
      <w:r>
        <w:rPr>
          <w:color w:val="auto"/>
        </w:rPr>
        <w:t>13.6.1 竣工退场</w:t>
      </w:r>
    </w:p>
    <w:p>
      <w:pPr>
        <w:spacing w:line="360" w:lineRule="exact"/>
        <w:ind w:firstLine="420" w:firstLineChars="200"/>
        <w:rPr>
          <w:color w:val="auto"/>
        </w:rPr>
      </w:pPr>
      <w:r>
        <w:rPr>
          <w:color w:val="auto"/>
        </w:rPr>
        <w:t>承包人完成竣工退场的期限：</w:t>
      </w:r>
      <w:r>
        <w:rPr>
          <w:color w:val="auto"/>
          <w:u w:val="single"/>
        </w:rPr>
        <w:t xml:space="preserve"> 颁发工程接收证书后7天内</w:t>
      </w:r>
      <w:r>
        <w:rPr>
          <w:color w:val="auto"/>
        </w:rPr>
        <w:t>。</w:t>
      </w:r>
    </w:p>
    <w:p>
      <w:pPr>
        <w:spacing w:line="360" w:lineRule="exact"/>
        <w:ind w:firstLine="420" w:firstLineChars="200"/>
        <w:rPr>
          <w:color w:val="auto"/>
        </w:rPr>
      </w:pPr>
      <w:r>
        <w:rPr>
          <w:rFonts w:hint="eastAsia"/>
          <w:color w:val="auto"/>
        </w:rPr>
        <w:t>13.6.2地表还原</w:t>
      </w:r>
    </w:p>
    <w:p>
      <w:pPr>
        <w:spacing w:line="360" w:lineRule="exact"/>
        <w:ind w:firstLine="420" w:firstLineChars="200"/>
        <w:rPr>
          <w:color w:val="auto"/>
        </w:rPr>
      </w:pPr>
      <w:r>
        <w:rPr>
          <w:rFonts w:hint="eastAsia"/>
          <w:color w:val="auto"/>
        </w:rPr>
        <w:t>承包人应按发包人要求恢复临时占地及清理场地，承包人未按发包人的要求恢复临时占地，或者场地清理未达到合同约定要求的，发包人有权委托其他人恢复或清理，所发生的费用由承包人承担。</w:t>
      </w:r>
    </w:p>
    <w:p>
      <w:pPr>
        <w:spacing w:line="360" w:lineRule="exact"/>
        <w:ind w:firstLine="420" w:firstLineChars="200"/>
        <w:rPr>
          <w:color w:val="auto"/>
        </w:rPr>
      </w:pPr>
      <w:r>
        <w:rPr>
          <w:rFonts w:hint="eastAsia"/>
          <w:color w:val="auto"/>
        </w:rPr>
        <w:t>本工程场地恢复的要求：</w:t>
      </w:r>
    </w:p>
    <w:p>
      <w:pPr>
        <w:spacing w:line="360" w:lineRule="exact"/>
        <w:ind w:firstLine="420" w:firstLineChars="200"/>
        <w:rPr>
          <w:color w:val="auto"/>
        </w:rPr>
      </w:pPr>
      <w:r>
        <w:rPr>
          <w:rFonts w:hint="eastAsia"/>
          <w:color w:val="auto"/>
        </w:rPr>
        <w:t>（1）清理完成施工现场垃圾，临建的拆除与场地复原；</w:t>
      </w:r>
    </w:p>
    <w:p>
      <w:pPr>
        <w:spacing w:line="360" w:lineRule="exact"/>
        <w:ind w:firstLine="420" w:firstLineChars="200"/>
        <w:rPr>
          <w:color w:val="auto"/>
        </w:rPr>
      </w:pPr>
      <w:r>
        <w:rPr>
          <w:rFonts w:hint="eastAsia"/>
          <w:color w:val="auto"/>
        </w:rPr>
        <w:t>（2）施工后废弃材料、设备清理撤离；</w:t>
      </w:r>
    </w:p>
    <w:p>
      <w:pPr>
        <w:spacing w:line="360" w:lineRule="exact"/>
        <w:ind w:firstLine="420" w:firstLineChars="200"/>
        <w:rPr>
          <w:color w:val="auto"/>
        </w:rPr>
      </w:pPr>
      <w:r>
        <w:rPr>
          <w:rFonts w:hint="eastAsia"/>
          <w:color w:val="auto"/>
        </w:rPr>
        <w:t>（3）承包人造成的施工现场周边施工堆积物及场地清理。</w:t>
      </w:r>
    </w:p>
    <w:p>
      <w:pPr>
        <w:spacing w:line="360" w:lineRule="exact"/>
        <w:ind w:firstLine="420" w:firstLineChars="200"/>
        <w:rPr>
          <w:color w:val="auto"/>
        </w:rPr>
      </w:pPr>
      <w:r>
        <w:rPr>
          <w:rFonts w:hint="eastAsia"/>
          <w:color w:val="auto"/>
        </w:rPr>
        <w:t>（4）其它要求：</w:t>
      </w:r>
      <w:r>
        <w:rPr>
          <w:rFonts w:hint="eastAsia"/>
          <w:color w:val="auto"/>
          <w:u w:val="single"/>
        </w:rPr>
        <w:t xml:space="preserve">                                  </w:t>
      </w:r>
      <w:r>
        <w:rPr>
          <w:rFonts w:hint="eastAsia"/>
          <w:color w:val="auto"/>
        </w:rPr>
        <w:t>。</w:t>
      </w:r>
    </w:p>
    <w:p>
      <w:pPr>
        <w:spacing w:after="120" w:line="360" w:lineRule="exact"/>
        <w:ind w:firstLine="420" w:firstLineChars="200"/>
        <w:rPr>
          <w:color w:val="auto"/>
        </w:rPr>
      </w:pPr>
      <w:bookmarkStart w:id="689" w:name="_Toc351203646"/>
      <w:r>
        <w:rPr>
          <w:color w:val="auto"/>
        </w:rPr>
        <w:t>14. 竣工结算</w:t>
      </w:r>
      <w:bookmarkEnd w:id="689"/>
    </w:p>
    <w:p>
      <w:pPr>
        <w:spacing w:after="120" w:line="360" w:lineRule="exact"/>
        <w:ind w:firstLine="420" w:firstLineChars="200"/>
        <w:rPr>
          <w:color w:val="auto"/>
        </w:rPr>
      </w:pPr>
      <w:r>
        <w:rPr>
          <w:color w:val="auto"/>
        </w:rPr>
        <w:t>14.1竣工付款申请</w:t>
      </w:r>
    </w:p>
    <w:p>
      <w:pPr>
        <w:spacing w:line="360" w:lineRule="exact"/>
        <w:ind w:firstLine="420" w:firstLineChars="200"/>
        <w:rPr>
          <w:color w:val="auto"/>
          <w:u w:val="single"/>
        </w:rPr>
      </w:pPr>
      <w:r>
        <w:rPr>
          <w:rFonts w:hint="eastAsia"/>
          <w:color w:val="auto"/>
          <w:u w:val="single"/>
        </w:rPr>
        <w:t>1.承包人提交竣工结算申请的期限：</w:t>
      </w:r>
    </w:p>
    <w:p>
      <w:pPr>
        <w:spacing w:line="360" w:lineRule="exact"/>
        <w:ind w:firstLine="420" w:firstLineChars="20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承包人完成合同范围内施工内容，参建各方（建设、监理、施工、勘察、设计单位等）对工程验收并签署工程质量合格文件后可在28天内，向发包人或监理人、发包人委托的中介机构提交最终工程结算申请，并提交完整的工程结算资料一套。</w:t>
      </w:r>
    </w:p>
    <w:p>
      <w:pPr>
        <w:spacing w:line="360" w:lineRule="exact"/>
        <w:ind w:firstLine="420" w:firstLineChars="200"/>
        <w:rPr>
          <w:color w:val="000000" w:themeColor="text1"/>
          <w:u w:val="single"/>
          <w14:textFill>
            <w14:solidFill>
              <w14:schemeClr w14:val="tx1"/>
            </w14:solidFill>
          </w14:textFill>
        </w:rPr>
      </w:pPr>
      <w:r>
        <w:rPr>
          <w:rFonts w:hint="eastAsia"/>
          <w:color w:val="000000" w:themeColor="text1"/>
          <w:u w:val="single"/>
          <w14:textFill>
            <w14:solidFill>
              <w14:schemeClr w14:val="tx1"/>
            </w14:solidFill>
          </w14:textFill>
        </w:rPr>
        <w:t>工程验收后，承包人超过90天未提交最终工程结算资料，经发包人催告后28天，承包人还不提交工程结算资料的，发包人可根据自己资料办理工程结算，且视为承包人认可工程结算结果。</w:t>
      </w:r>
    </w:p>
    <w:p>
      <w:pPr>
        <w:spacing w:line="360" w:lineRule="exact"/>
        <w:ind w:firstLine="420" w:firstLineChars="200"/>
        <w:rPr>
          <w:color w:val="auto"/>
          <w:u w:val="single"/>
        </w:rPr>
      </w:pPr>
      <w:r>
        <w:rPr>
          <w:rFonts w:hint="eastAsia"/>
          <w:color w:val="000000" w:themeColor="text1"/>
          <w:u w:val="single"/>
          <w14:textFill>
            <w14:solidFill>
              <w14:schemeClr w14:val="tx1"/>
            </w14:solidFill>
          </w14:textFill>
        </w:rPr>
        <w:t>2.竣工结算申请单应包括的内容：包括但不限于施工合同、补充协议、招标文件、投标文件、竣工图纸、施工方案以及经确认的工程变更、工程索赔、现场签证，相关施工记录，</w:t>
      </w:r>
      <w:r>
        <w:rPr>
          <w:rFonts w:hint="eastAsia"/>
          <w:color w:val="auto"/>
          <w:u w:val="single"/>
        </w:rPr>
        <w:t>〔各分段节点工程结算审核报告〕工程款收款证明、逾期付款利息计算书等相关资料。</w:t>
      </w:r>
    </w:p>
    <w:p>
      <w:pPr>
        <w:spacing w:line="360" w:lineRule="exact"/>
        <w:ind w:firstLine="420" w:firstLineChars="200"/>
        <w:rPr>
          <w:color w:val="auto"/>
        </w:rPr>
      </w:pPr>
      <w:r>
        <w:rPr>
          <w:color w:val="auto"/>
        </w:rPr>
        <w:t>14.2 竣工结算审核</w:t>
      </w:r>
    </w:p>
    <w:p>
      <w:pPr>
        <w:spacing w:line="360" w:lineRule="exact"/>
        <w:ind w:firstLine="420" w:firstLineChars="200"/>
        <w:rPr>
          <w:color w:val="auto"/>
          <w:u w:val="single"/>
        </w:rPr>
      </w:pPr>
      <w:r>
        <w:rPr>
          <w:color w:val="auto"/>
          <w:u w:val="single"/>
        </w:rPr>
        <w:t>（1）</w:t>
      </w:r>
      <w:r>
        <w:rPr>
          <w:rFonts w:hint="eastAsia"/>
          <w:color w:val="auto"/>
          <w:u w:val="single"/>
        </w:rPr>
        <w:t>发包人结算审核时间：发包人收到承包人递交的竣工结算报告及结算资料后，在二个月内送三门县财政审核中心审计。待审计结束后，并签发竣工结算证书。</w:t>
      </w:r>
    </w:p>
    <w:p>
      <w:pPr>
        <w:spacing w:line="360" w:lineRule="exact"/>
        <w:ind w:firstLine="420" w:firstLineChars="200"/>
        <w:rPr>
          <w:rFonts w:eastAsia="宋体" w:cs="Times New Roman"/>
          <w:color w:val="auto"/>
          <w:u w:val="single"/>
        </w:rPr>
      </w:pPr>
      <w:r>
        <w:rPr>
          <w:rFonts w:hint="eastAsia" w:eastAsia="宋体" w:cs="Times New Roman"/>
          <w:color w:val="auto"/>
          <w:u w:val="single"/>
        </w:rPr>
        <w:t>因非承包人原因逾期审核责任：发包人（或其委托监理、造价审核单位）收到承包人递交的最终工程结算申请后，由非承包人原因导致的未在约定时间内完成审核。发包人向承包人支付违约金，违约金为工程结算后应付工程款的利息，逾期审核时间60天内，利率按</w:t>
      </w:r>
      <w:r>
        <w:rPr>
          <w:rFonts w:hint="eastAsia" w:eastAsia="宋体" w:cs="Times New Roman"/>
          <w:b/>
          <w:bCs/>
          <w:color w:val="auto"/>
          <w:u w:val="single"/>
        </w:rPr>
        <w:t>同期全国银行间同业拆借中心公布的贷款市场报价利率</w:t>
      </w:r>
      <w:r>
        <w:rPr>
          <w:rFonts w:hint="eastAsia" w:eastAsia="宋体" w:cs="Times New Roman"/>
          <w:color w:val="auto"/>
          <w:u w:val="single"/>
        </w:rPr>
        <w:t>，利息计算时间为应付工程款日至支付工程款日止；逾期审核时间超过60天，超过时间的利率按</w:t>
      </w:r>
      <w:r>
        <w:rPr>
          <w:rFonts w:hint="eastAsia" w:eastAsia="宋体" w:cs="Times New Roman"/>
          <w:b/>
          <w:bCs/>
          <w:color w:val="auto"/>
          <w:u w:val="single"/>
        </w:rPr>
        <w:t>同期全国银行间同业拆借中心公布的贷款市场报价利率</w:t>
      </w:r>
      <w:r>
        <w:rPr>
          <w:rFonts w:hint="eastAsia" w:eastAsia="宋体" w:cs="Times New Roman"/>
          <w:color w:val="auto"/>
          <w:u w:val="single"/>
        </w:rPr>
        <w:t>的2倍计算；</w:t>
      </w:r>
    </w:p>
    <w:p>
      <w:pPr>
        <w:spacing w:line="360" w:lineRule="exact"/>
        <w:ind w:firstLine="420" w:firstLineChars="200"/>
        <w:rPr>
          <w:b/>
          <w:bCs/>
          <w:color w:val="auto"/>
          <w:u w:val="single"/>
        </w:rPr>
      </w:pPr>
      <w:r>
        <w:rPr>
          <w:color w:val="auto"/>
          <w:u w:val="single"/>
        </w:rPr>
        <w:t>（2）发包人在签署最终工程结算证书后14天内，按专用条款15.3条办理工程质量保证金留置手续后完成对承包人的付款。逾期支付按</w:t>
      </w:r>
      <w:r>
        <w:rPr>
          <w:b/>
          <w:bCs/>
          <w:color w:val="auto"/>
          <w:u w:val="single"/>
        </w:rPr>
        <w:t>同期全国银行间同业拆借中心公布的贷款市场报价利率</w:t>
      </w:r>
      <w:r>
        <w:rPr>
          <w:color w:val="auto"/>
          <w:u w:val="single"/>
        </w:rPr>
        <w:t>支付违约金；逾期超过56天，按</w:t>
      </w:r>
      <w:r>
        <w:rPr>
          <w:b/>
          <w:bCs/>
          <w:color w:val="auto"/>
          <w:u w:val="single"/>
        </w:rPr>
        <w:t>同期全国银行间同业拆借中心公布的贷款市场报价利率</w:t>
      </w:r>
      <w:r>
        <w:rPr>
          <w:color w:val="auto"/>
          <w:u w:val="single"/>
        </w:rPr>
        <w:t>的2倍支付违约金</w:t>
      </w:r>
      <w:r>
        <w:rPr>
          <w:u w:val="single"/>
        </w:rPr>
        <w:t>。</w:t>
      </w:r>
    </w:p>
    <w:p>
      <w:pPr>
        <w:spacing w:line="360" w:lineRule="exact"/>
        <w:ind w:firstLine="420" w:firstLineChars="200"/>
        <w:rPr>
          <w:u w:val="single"/>
        </w:rPr>
      </w:pPr>
      <w:r>
        <w:rPr>
          <w:u w:val="single"/>
        </w:rPr>
        <w:t>（3）承包人对发包人签认的结算价有异议的，</w:t>
      </w:r>
      <w:r>
        <w:rPr>
          <w:spacing w:val="-6"/>
          <w:u w:val="single"/>
        </w:rPr>
        <w:t>可对无异议部分签署确认意见</w:t>
      </w:r>
      <w:r>
        <w:rPr>
          <w:rFonts w:hint="eastAsia"/>
          <w:spacing w:val="-6"/>
          <w:u w:val="single"/>
        </w:rPr>
        <w:t>，</w:t>
      </w:r>
      <w:r>
        <w:rPr>
          <w:u w:val="single"/>
        </w:rPr>
        <w:t>发包人可先支付承包人无异议部分</w:t>
      </w:r>
      <w:r>
        <w:rPr>
          <w:rFonts w:hint="eastAsia"/>
          <w:u w:val="single"/>
        </w:rPr>
        <w:t>工程</w:t>
      </w:r>
      <w:r>
        <w:rPr>
          <w:u w:val="single"/>
        </w:rPr>
        <w:t>结算款。</w:t>
      </w:r>
      <w:r>
        <w:rPr>
          <w:rFonts w:hint="eastAsia"/>
          <w:u w:val="single"/>
        </w:rPr>
        <w:t>同时对</w:t>
      </w:r>
      <w:r>
        <w:rPr>
          <w:spacing w:val="-3"/>
          <w:u w:val="single"/>
        </w:rPr>
        <w:t>有异议部分</w:t>
      </w:r>
      <w:r>
        <w:rPr>
          <w:rFonts w:hint="eastAsia"/>
          <w:spacing w:val="-3"/>
          <w:u w:val="single"/>
        </w:rPr>
        <w:t>重新进行复核或</w:t>
      </w:r>
      <w:r>
        <w:rPr>
          <w:u w:val="single"/>
        </w:rPr>
        <w:t>按照第20条〔争议解决约定〕处理。</w:t>
      </w:r>
    </w:p>
    <w:p>
      <w:pPr>
        <w:spacing w:line="360" w:lineRule="exact"/>
        <w:ind w:firstLine="420" w:firstLineChars="200"/>
        <w:rPr>
          <w:color w:val="auto"/>
        </w:rPr>
      </w:pPr>
      <w:r>
        <w:rPr>
          <w:color w:val="auto"/>
        </w:rPr>
        <w:t>（4）</w:t>
      </w:r>
      <w:r>
        <w:rPr>
          <w:rFonts w:hint="eastAsia"/>
          <w:color w:val="auto"/>
          <w:u w:val="single"/>
        </w:rPr>
        <w:t>结算特殊要求：工程结算由发包人委托具有审计能力的第三方审核确定，工程款以审计单位审定的结论为依据。审核费参照三门县财政审核中心对工程造价服务相关收费标准。其中结算超过5%核减率（超过送审造价5%以外的核减额）和核增造价引起的追加收费（核增、核减不相互抵扣），由承包人承担，并可由发包人在应付工程款中扣除直接支付给中介审核机构</w:t>
      </w:r>
      <w:r>
        <w:rPr>
          <w:color w:val="auto"/>
          <w:u w:val="single"/>
        </w:rPr>
        <w:t>。</w:t>
      </w:r>
    </w:p>
    <w:p>
      <w:pPr>
        <w:spacing w:line="360" w:lineRule="exact"/>
        <w:ind w:firstLine="420" w:firstLineChars="200"/>
        <w:rPr>
          <w:color w:val="auto"/>
        </w:rPr>
      </w:pPr>
      <w:r>
        <w:rPr>
          <w:rFonts w:hint="eastAsia"/>
          <w:color w:val="auto"/>
        </w:rPr>
        <w:t>1</w:t>
      </w:r>
      <w:r>
        <w:rPr>
          <w:color w:val="auto"/>
        </w:rPr>
        <w:t>4.4 最终结清</w:t>
      </w:r>
    </w:p>
    <w:p>
      <w:pPr>
        <w:spacing w:line="360" w:lineRule="exact"/>
        <w:ind w:firstLine="420" w:firstLineChars="200"/>
        <w:rPr>
          <w:color w:val="auto"/>
        </w:rPr>
      </w:pPr>
      <w:r>
        <w:rPr>
          <w:color w:val="auto"/>
        </w:rPr>
        <w:t>14.4.1 最终结清申请单</w:t>
      </w:r>
    </w:p>
    <w:p>
      <w:pPr>
        <w:spacing w:line="360" w:lineRule="exact"/>
        <w:ind w:firstLine="420" w:firstLineChars="200"/>
        <w:rPr>
          <w:color w:val="auto"/>
          <w:u w:val="single"/>
        </w:rPr>
      </w:pPr>
      <w:r>
        <w:rPr>
          <w:color w:val="auto"/>
        </w:rPr>
        <w:t>承包人提交最终结清申请单的份数：</w:t>
      </w:r>
      <w:r>
        <w:rPr>
          <w:color w:val="auto"/>
          <w:u w:val="single"/>
        </w:rPr>
        <w:t xml:space="preserve">    </w:t>
      </w:r>
      <w:r>
        <w:rPr>
          <w:rFonts w:hint="eastAsia"/>
          <w:color w:val="auto"/>
          <w:u w:val="single"/>
        </w:rPr>
        <w:t>按发包人实际需求</w:t>
      </w:r>
      <w:r>
        <w:rPr>
          <w:color w:val="auto"/>
          <w:u w:val="single"/>
        </w:rPr>
        <w:t xml:space="preserve">     。</w:t>
      </w:r>
    </w:p>
    <w:p>
      <w:pPr>
        <w:spacing w:line="360" w:lineRule="exact"/>
        <w:ind w:firstLine="420" w:firstLineChars="200"/>
        <w:rPr>
          <w:color w:val="auto"/>
          <w:u w:val="single"/>
        </w:rPr>
      </w:pPr>
      <w:r>
        <w:rPr>
          <w:color w:val="auto"/>
        </w:rPr>
        <w:t>承包人提交最终结算申请单的期限：</w:t>
      </w:r>
      <w:r>
        <w:rPr>
          <w:rFonts w:hint="eastAsia" w:ascii="宋体" w:hAnsi="宋体" w:cs="宋体"/>
          <w:u w:val="single"/>
        </w:rPr>
        <w:t xml:space="preserve">缺陷期终止后7天内  </w:t>
      </w:r>
      <w:r>
        <w:rPr>
          <w:rFonts w:hint="eastAsia" w:ascii="宋体" w:hAnsi="宋体" w:cs="宋体"/>
        </w:rPr>
        <w:t xml:space="preserve">。 </w:t>
      </w:r>
    </w:p>
    <w:p>
      <w:pPr>
        <w:spacing w:line="360" w:lineRule="exact"/>
        <w:ind w:firstLine="420" w:firstLineChars="200"/>
        <w:rPr>
          <w:color w:val="auto"/>
        </w:rPr>
      </w:pPr>
      <w:r>
        <w:rPr>
          <w:color w:val="auto"/>
        </w:rPr>
        <w:t>14.4.2 最终结清证书和支付</w:t>
      </w:r>
    </w:p>
    <w:p>
      <w:pPr>
        <w:spacing w:line="360" w:lineRule="exact"/>
        <w:ind w:firstLine="420" w:firstLineChars="200"/>
        <w:rPr>
          <w:color w:val="auto"/>
          <w:u w:val="single"/>
        </w:rPr>
      </w:pPr>
      <w:r>
        <w:rPr>
          <w:color w:val="auto"/>
        </w:rPr>
        <w:t>（1）发包人完成最终结清申请单的审批并颁发最终结清证书的期限：</w:t>
      </w:r>
      <w:r>
        <w:rPr>
          <w:color w:val="auto"/>
          <w:u w:val="single"/>
        </w:rPr>
        <w:t xml:space="preserve">  按通用条款  。</w:t>
      </w:r>
    </w:p>
    <w:p>
      <w:pPr>
        <w:spacing w:line="360" w:lineRule="exact"/>
        <w:ind w:firstLine="420" w:firstLineChars="200"/>
        <w:rPr>
          <w:color w:val="auto"/>
        </w:rPr>
      </w:pPr>
      <w:r>
        <w:rPr>
          <w:color w:val="auto"/>
        </w:rPr>
        <w:t>（2）发包人完成支付的期限：</w:t>
      </w:r>
      <w:r>
        <w:rPr>
          <w:color w:val="auto"/>
          <w:u w:val="single"/>
        </w:rPr>
        <w:t>按通用条款。</w:t>
      </w:r>
    </w:p>
    <w:bookmarkEnd w:id="660"/>
    <w:bookmarkEnd w:id="661"/>
    <w:bookmarkEnd w:id="662"/>
    <w:bookmarkEnd w:id="663"/>
    <w:bookmarkEnd w:id="664"/>
    <w:bookmarkEnd w:id="665"/>
    <w:bookmarkEnd w:id="666"/>
    <w:bookmarkEnd w:id="667"/>
    <w:p>
      <w:pPr>
        <w:pStyle w:val="7"/>
        <w:spacing w:before="0" w:after="0" w:line="360" w:lineRule="exact"/>
        <w:ind w:firstLine="422" w:firstLineChars="200"/>
        <w:rPr>
          <w:rFonts w:ascii="Times New Roman" w:hAnsi="Times New Roman" w:eastAsia="宋体"/>
          <w:b w:val="0"/>
          <w:color w:val="auto"/>
          <w:sz w:val="21"/>
          <w:szCs w:val="21"/>
        </w:rPr>
      </w:pPr>
      <w:bookmarkStart w:id="690" w:name="_Toc351203647"/>
      <w:bookmarkStart w:id="691" w:name="_Toc267251484"/>
      <w:bookmarkStart w:id="692" w:name="_Toc267251483"/>
      <w:bookmarkStart w:id="693" w:name="_Toc267251482"/>
      <w:bookmarkStart w:id="694" w:name="_Toc267251485"/>
      <w:bookmarkStart w:id="695" w:name="_Toc267251489"/>
      <w:bookmarkStart w:id="696" w:name="_Toc267251490"/>
      <w:bookmarkStart w:id="697" w:name="_Toc267251486"/>
      <w:bookmarkStart w:id="698" w:name="_Toc267251488"/>
      <w:bookmarkStart w:id="699" w:name="_Toc267251495"/>
      <w:bookmarkStart w:id="700" w:name="_Toc267251501"/>
      <w:bookmarkStart w:id="701" w:name="_Toc267251492"/>
      <w:bookmarkStart w:id="702" w:name="_Toc267251494"/>
      <w:bookmarkStart w:id="703" w:name="_Toc267251496"/>
      <w:bookmarkStart w:id="704" w:name="_Toc267251499"/>
      <w:bookmarkStart w:id="705" w:name="_Toc267251491"/>
      <w:bookmarkStart w:id="706" w:name="_Toc267251497"/>
      <w:bookmarkStart w:id="707" w:name="_Toc267251502"/>
      <w:bookmarkStart w:id="708" w:name="_Toc267251498"/>
      <w:bookmarkStart w:id="709" w:name="_Toc267251493"/>
      <w:bookmarkStart w:id="710" w:name="_Toc267251503"/>
      <w:bookmarkStart w:id="711" w:name="_Toc267251509"/>
      <w:bookmarkStart w:id="712" w:name="_Toc267251504"/>
      <w:bookmarkStart w:id="713" w:name="_Toc267251507"/>
      <w:bookmarkStart w:id="714" w:name="_Toc267251510"/>
      <w:bookmarkStart w:id="715" w:name="_Toc267251515"/>
      <w:bookmarkStart w:id="716" w:name="_Toc267251508"/>
      <w:bookmarkStart w:id="717" w:name="_Toc267251514"/>
      <w:bookmarkStart w:id="718" w:name="_Toc267251506"/>
      <w:bookmarkStart w:id="719" w:name="_Toc267251513"/>
      <w:bookmarkStart w:id="720" w:name="_Toc267251511"/>
      <w:r>
        <w:rPr>
          <w:rFonts w:ascii="Times New Roman" w:hAnsi="Times New Roman"/>
          <w:color w:val="auto"/>
          <w:sz w:val="21"/>
          <w:szCs w:val="21"/>
        </w:rPr>
        <w:t>15. 缺陷责任期与保修</w:t>
      </w:r>
      <w:bookmarkEnd w:id="690"/>
    </w:p>
    <w:bookmarkEnd w:id="691"/>
    <w:bookmarkEnd w:id="692"/>
    <w:bookmarkEnd w:id="693"/>
    <w:bookmarkEnd w:id="694"/>
    <w:p>
      <w:pPr>
        <w:spacing w:line="360" w:lineRule="exact"/>
        <w:ind w:firstLine="420" w:firstLineChars="200"/>
        <w:rPr>
          <w:color w:val="auto"/>
        </w:rPr>
      </w:pPr>
      <w:r>
        <w:rPr>
          <w:color w:val="auto"/>
        </w:rPr>
        <w:t>15.2缺陷责任期</w:t>
      </w:r>
    </w:p>
    <w:p>
      <w:pPr>
        <w:spacing w:line="360" w:lineRule="exact"/>
        <w:ind w:firstLine="420" w:firstLineChars="200"/>
        <w:rPr>
          <w:color w:val="auto"/>
        </w:rPr>
      </w:pPr>
      <w:r>
        <w:rPr>
          <w:color w:val="auto"/>
        </w:rPr>
        <w:t>缺陷责任期的具体期限：</w:t>
      </w:r>
      <w:r>
        <w:rPr>
          <w:color w:val="auto"/>
          <w:u w:val="single"/>
        </w:rPr>
        <w:t xml:space="preserve"> 缺陷责任期</w:t>
      </w:r>
      <w:r>
        <w:rPr>
          <w:rFonts w:hint="eastAsia"/>
          <w:color w:val="auto"/>
          <w:u w:val="single"/>
        </w:rPr>
        <w:t>24</w:t>
      </w:r>
      <w:r>
        <w:rPr>
          <w:color w:val="auto"/>
          <w:u w:val="single"/>
        </w:rPr>
        <w:t>个月，其余按通用条款执行</w:t>
      </w:r>
      <w:r>
        <w:rPr>
          <w:color w:val="auto"/>
        </w:rPr>
        <w:t>。</w:t>
      </w:r>
    </w:p>
    <w:p>
      <w:pPr>
        <w:spacing w:line="360" w:lineRule="exact"/>
        <w:ind w:firstLine="420" w:firstLineChars="200"/>
        <w:rPr>
          <w:color w:val="auto"/>
        </w:rPr>
      </w:pPr>
      <w:r>
        <w:rPr>
          <w:color w:val="auto"/>
        </w:rPr>
        <w:t>15.3 质量保证金</w:t>
      </w:r>
    </w:p>
    <w:p>
      <w:pPr>
        <w:spacing w:line="360" w:lineRule="exact"/>
        <w:ind w:firstLine="420" w:firstLineChars="200"/>
        <w:rPr>
          <w:color w:val="auto"/>
        </w:rPr>
      </w:pPr>
      <w:r>
        <w:rPr>
          <w:color w:val="auto"/>
        </w:rPr>
        <w:t>关于是否扣留质量保证金的约定：</w:t>
      </w:r>
      <w:r>
        <w:rPr>
          <w:color w:val="auto"/>
          <w:u w:val="single"/>
        </w:rPr>
        <w:t xml:space="preserve"> </w:t>
      </w:r>
      <w:r>
        <w:rPr>
          <w:rFonts w:hint="eastAsia"/>
          <w:color w:val="auto"/>
          <w:u w:val="single"/>
        </w:rPr>
        <w:t>留置质量保证金</w:t>
      </w:r>
      <w:r>
        <w:rPr>
          <w:color w:val="auto"/>
        </w:rPr>
        <w:t>。</w:t>
      </w:r>
    </w:p>
    <w:p>
      <w:pPr>
        <w:spacing w:line="360" w:lineRule="exact"/>
        <w:ind w:firstLine="420" w:firstLineChars="200"/>
        <w:rPr>
          <w:color w:val="auto"/>
        </w:rPr>
      </w:pPr>
      <w:r>
        <w:rPr>
          <w:color w:val="auto"/>
        </w:rPr>
        <w:t>15.3.1 承包人提供质量保证金的方式</w:t>
      </w:r>
    </w:p>
    <w:p>
      <w:pPr>
        <w:spacing w:line="340" w:lineRule="exact"/>
        <w:ind w:firstLine="420" w:firstLineChars="200"/>
        <w:rPr>
          <w:rFonts w:ascii="宋体" w:hAnsi="宋体" w:cs="宋体"/>
          <w:color w:val="auto"/>
        </w:rPr>
      </w:pPr>
      <w:r>
        <w:rPr>
          <w:rFonts w:hint="eastAsia" w:ascii="宋体" w:hAnsi="宋体" w:cs="宋体"/>
          <w:color w:val="auto"/>
        </w:rPr>
        <w:t>质量保证金采用以下第</w:t>
      </w:r>
      <w:r>
        <w:rPr>
          <w:rFonts w:hint="eastAsia" w:ascii="宋体" w:hAnsi="宋体" w:cs="宋体"/>
          <w:color w:val="auto"/>
          <w:u w:val="single"/>
        </w:rPr>
        <w:t xml:space="preserve">  （1）  </w:t>
      </w:r>
      <w:r>
        <w:rPr>
          <w:rFonts w:hint="eastAsia" w:ascii="宋体" w:hAnsi="宋体" w:cs="宋体"/>
          <w:color w:val="auto"/>
        </w:rPr>
        <w:t>种方式：</w:t>
      </w:r>
    </w:p>
    <w:p>
      <w:pPr>
        <w:spacing w:line="340" w:lineRule="exact"/>
        <w:ind w:firstLine="420" w:firstLineChars="200"/>
        <w:rPr>
          <w:rFonts w:ascii="宋体" w:hAnsi="宋体" w:cs="宋体"/>
          <w:color w:val="auto"/>
        </w:rPr>
      </w:pPr>
      <w:r>
        <w:rPr>
          <w:rFonts w:hint="eastAsia" w:ascii="宋体" w:hAnsi="宋体" w:cs="宋体"/>
          <w:color w:val="auto"/>
        </w:rPr>
        <w:t xml:space="preserve">（1）质量保证金保函，保函形式为银行保函〔保险保函〕，金额为1.5 %的工程结算价款； </w:t>
      </w:r>
    </w:p>
    <w:p>
      <w:pPr>
        <w:spacing w:line="340" w:lineRule="exact"/>
        <w:ind w:firstLine="420" w:firstLineChars="200"/>
        <w:rPr>
          <w:rFonts w:ascii="宋体" w:hAnsi="宋体" w:cs="宋体"/>
          <w:color w:val="auto"/>
        </w:rPr>
      </w:pPr>
      <w:r>
        <w:rPr>
          <w:rFonts w:hint="eastAsia" w:ascii="宋体" w:hAnsi="宋体" w:cs="宋体"/>
          <w:color w:val="auto"/>
        </w:rPr>
        <w:t>（2）</w:t>
      </w:r>
      <w:r>
        <w:rPr>
          <w:rFonts w:hint="eastAsia" w:ascii="宋体" w:hAnsi="宋体" w:cs="宋体"/>
          <w:color w:val="auto"/>
          <w:u w:val="single"/>
        </w:rPr>
        <w:t xml:space="preserve"> 1.5 %</w:t>
      </w:r>
      <w:r>
        <w:rPr>
          <w:rFonts w:hint="eastAsia" w:ascii="宋体" w:hAnsi="宋体" w:cs="宋体"/>
          <w:color w:val="auto"/>
        </w:rPr>
        <w:t>的工程结算价款；</w:t>
      </w:r>
    </w:p>
    <w:p>
      <w:pPr>
        <w:spacing w:line="340" w:lineRule="exact"/>
        <w:ind w:firstLine="420" w:firstLineChars="200"/>
        <w:rPr>
          <w:rFonts w:ascii="宋体" w:hAnsi="宋体" w:cs="宋体"/>
          <w:color w:val="auto"/>
        </w:rPr>
      </w:pPr>
      <w:r>
        <w:rPr>
          <w:rFonts w:hint="eastAsia" w:ascii="宋体" w:hAnsi="宋体" w:cs="宋体"/>
          <w:color w:val="auto"/>
        </w:rPr>
        <w:t>（3）其他方式:</w:t>
      </w:r>
      <w:r>
        <w:rPr>
          <w:rFonts w:hint="eastAsia" w:ascii="宋体" w:hAnsi="宋体" w:cs="宋体"/>
          <w:color w:val="auto"/>
          <w:u w:val="single"/>
        </w:rPr>
        <w:t xml:space="preserve">                                   </w:t>
      </w:r>
      <w:r>
        <w:rPr>
          <w:rFonts w:hint="eastAsia" w:ascii="宋体" w:hAnsi="宋体" w:cs="宋体"/>
          <w:color w:val="auto"/>
        </w:rPr>
        <w:t>。</w:t>
      </w:r>
    </w:p>
    <w:p>
      <w:pPr>
        <w:spacing w:line="360" w:lineRule="exact"/>
        <w:ind w:firstLine="420" w:firstLineChars="200"/>
        <w:rPr>
          <w:color w:val="auto"/>
        </w:rPr>
      </w:pPr>
      <w:r>
        <w:rPr>
          <w:color w:val="auto"/>
        </w:rPr>
        <w:t xml:space="preserve">15.3.2 质量保证金的扣留 </w:t>
      </w:r>
    </w:p>
    <w:p>
      <w:pPr>
        <w:spacing w:line="360" w:lineRule="exact"/>
        <w:ind w:firstLine="420" w:firstLineChars="200"/>
        <w:rPr>
          <w:color w:val="auto"/>
        </w:rPr>
      </w:pPr>
      <w:r>
        <w:rPr>
          <w:color w:val="auto"/>
        </w:rPr>
        <w:t>质量保证金的扣留采取以下第</w:t>
      </w:r>
      <w:r>
        <w:rPr>
          <w:rFonts w:hint="eastAsia"/>
          <w:color w:val="auto"/>
          <w:u w:val="single"/>
        </w:rPr>
        <w:t>（3）</w:t>
      </w:r>
      <w:r>
        <w:rPr>
          <w:color w:val="auto"/>
        </w:rPr>
        <w:t xml:space="preserve">种方式： </w:t>
      </w:r>
    </w:p>
    <w:p>
      <w:pPr>
        <w:spacing w:line="360" w:lineRule="exact"/>
        <w:ind w:firstLine="420" w:firstLineChars="200"/>
        <w:rPr>
          <w:color w:val="auto"/>
        </w:rPr>
      </w:pPr>
      <w:r>
        <w:rPr>
          <w:color w:val="auto"/>
        </w:rPr>
        <w:t>（1）在支付工程进度款时逐次扣留，在此情形下，质量保证金的计算基数不包括预付款的支付、扣回以及价格调整的金额；</w:t>
      </w:r>
    </w:p>
    <w:p>
      <w:pPr>
        <w:spacing w:line="360" w:lineRule="exact"/>
        <w:ind w:firstLine="420" w:firstLineChars="200"/>
        <w:rPr>
          <w:color w:val="auto"/>
        </w:rPr>
      </w:pPr>
      <w:r>
        <w:rPr>
          <w:color w:val="auto"/>
        </w:rPr>
        <w:t>（2）工程竣工结算时一次性扣留质量保证金；</w:t>
      </w:r>
    </w:p>
    <w:p>
      <w:pPr>
        <w:spacing w:line="360" w:lineRule="exact"/>
        <w:ind w:firstLine="420" w:firstLineChars="200"/>
        <w:rPr>
          <w:color w:val="auto"/>
        </w:rPr>
      </w:pPr>
      <w:r>
        <w:rPr>
          <w:color w:val="auto"/>
        </w:rPr>
        <w:t>（3）其他扣留方式:</w:t>
      </w:r>
      <w:r>
        <w:rPr>
          <w:color w:val="auto"/>
          <w:u w:val="single"/>
        </w:rPr>
        <w:t xml:space="preserve"> </w:t>
      </w:r>
      <w:r>
        <w:rPr>
          <w:rFonts w:hint="eastAsia"/>
          <w:color w:val="auto"/>
          <w:u w:val="single"/>
        </w:rPr>
        <w:t xml:space="preserve">发包人支付完成最后工程结算付款前，承包人提供质量保证金保函 </w:t>
      </w:r>
      <w:r>
        <w:rPr>
          <w:color w:val="auto"/>
          <w:u w:val="single"/>
        </w:rPr>
        <w:t xml:space="preserve"> </w:t>
      </w:r>
      <w:r>
        <w:rPr>
          <w:color w:val="auto"/>
        </w:rPr>
        <w:t>。</w:t>
      </w:r>
    </w:p>
    <w:p>
      <w:pPr>
        <w:spacing w:line="360" w:lineRule="exact"/>
        <w:ind w:firstLine="420" w:firstLineChars="200"/>
        <w:rPr>
          <w:color w:val="auto"/>
        </w:rPr>
      </w:pPr>
      <w:r>
        <w:rPr>
          <w:color w:val="auto"/>
        </w:rPr>
        <w:t>关于质量保证金的补充约定：</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15.3.3 质量保证金的退还</w:t>
      </w:r>
    </w:p>
    <w:p>
      <w:pPr>
        <w:spacing w:line="360" w:lineRule="exact"/>
        <w:ind w:firstLine="420" w:firstLineChars="200"/>
        <w:rPr>
          <w:color w:val="auto"/>
        </w:rPr>
      </w:pPr>
      <w:r>
        <w:rPr>
          <w:color w:val="auto"/>
        </w:rPr>
        <w:t>质量保证金按以下第</w:t>
      </w:r>
      <w:r>
        <w:rPr>
          <w:b/>
          <w:i/>
          <w:color w:val="auto"/>
          <w:u w:val="single"/>
        </w:rPr>
        <w:t xml:space="preserve"> </w:t>
      </w:r>
      <w:r>
        <w:rPr>
          <w:rFonts w:hint="eastAsia"/>
          <w:b/>
          <w:i/>
          <w:color w:val="auto"/>
          <w:u w:val="single"/>
        </w:rPr>
        <w:t>（4）</w:t>
      </w:r>
      <w:r>
        <w:rPr>
          <w:b/>
          <w:i/>
          <w:color w:val="auto"/>
          <w:u w:val="single"/>
        </w:rPr>
        <w:t xml:space="preserve"> </w:t>
      </w:r>
      <w:r>
        <w:rPr>
          <w:color w:val="auto"/>
        </w:rPr>
        <w:t>方式退回：</w:t>
      </w:r>
    </w:p>
    <w:p>
      <w:pPr>
        <w:spacing w:line="360" w:lineRule="exact"/>
        <w:ind w:firstLine="420" w:firstLineChars="200"/>
        <w:rPr>
          <w:color w:val="auto"/>
        </w:rPr>
      </w:pPr>
      <w:r>
        <w:rPr>
          <w:color w:val="auto"/>
        </w:rPr>
        <w:t>（1）缺陷责任期终止后，发包人退还剩余的质量保证金（约定是否计息）。</w:t>
      </w:r>
    </w:p>
    <w:p>
      <w:pPr>
        <w:spacing w:line="360" w:lineRule="exact"/>
        <w:ind w:firstLine="420" w:firstLineChars="200"/>
        <w:rPr>
          <w:color w:val="auto"/>
        </w:rPr>
      </w:pPr>
      <w:r>
        <w:rPr>
          <w:color w:val="auto"/>
        </w:rPr>
        <w:t>（2）建筑工程：工程实际竣工验收合格后满一年返还质量保证金的30%，满二年返还质量保证金的50%，达到除地基基础工程、主体结构工程外的最长质量缺陷保修期后返还全部预留的质量保证金。</w:t>
      </w:r>
    </w:p>
    <w:p>
      <w:pPr>
        <w:spacing w:line="360" w:lineRule="exact"/>
        <w:ind w:firstLine="420" w:firstLineChars="200"/>
        <w:rPr>
          <w:color w:val="auto"/>
        </w:rPr>
      </w:pPr>
      <w:r>
        <w:rPr>
          <w:color w:val="auto"/>
        </w:rPr>
        <w:t>（3）市政工程：工程实际竣工验收合格后满</w:t>
      </w:r>
      <w:r>
        <w:rPr>
          <w:rFonts w:hint="eastAsia"/>
          <w:color w:val="auto"/>
        </w:rPr>
        <w:t>二</w:t>
      </w:r>
      <w:r>
        <w:rPr>
          <w:color w:val="auto"/>
        </w:rPr>
        <w:t>年可返还全部质量保证金。</w:t>
      </w:r>
    </w:p>
    <w:p>
      <w:pPr>
        <w:spacing w:line="360" w:lineRule="exact"/>
        <w:ind w:firstLine="420" w:firstLineChars="200"/>
        <w:rPr>
          <w:color w:val="auto"/>
        </w:rPr>
      </w:pPr>
      <w:r>
        <w:rPr>
          <w:color w:val="auto"/>
        </w:rPr>
        <w:t>（4）其它：</w:t>
      </w:r>
      <w:r>
        <w:rPr>
          <w:rFonts w:hint="eastAsia" w:ascii="宋体" w:hAnsi="宋体" w:cs="宋体"/>
          <w:bCs/>
          <w:color w:val="auto"/>
          <w:u w:val="single"/>
        </w:rPr>
        <w:t xml:space="preserve">  </w:t>
      </w:r>
      <w:r>
        <w:rPr>
          <w:rFonts w:hint="eastAsia" w:ascii="宋体" w:hAnsi="宋体" w:cs="宋体"/>
          <w:b/>
          <w:color w:val="auto"/>
          <w:u w:val="single"/>
        </w:rPr>
        <w:t xml:space="preserve"> 缺陷责任期终止后，质量保证金保函自动失效</w:t>
      </w:r>
      <w:r>
        <w:rPr>
          <w:rFonts w:hint="eastAsia" w:ascii="宋体" w:hAnsi="宋体" w:cs="宋体"/>
          <w:bCs/>
          <w:color w:val="auto"/>
          <w:u w:val="single"/>
        </w:rPr>
        <w:t xml:space="preserve"> 。</w:t>
      </w:r>
      <w:r>
        <w:rPr>
          <w:rFonts w:hint="eastAsia"/>
          <w:bCs/>
          <w:color w:val="auto"/>
          <w:u w:val="single"/>
        </w:rPr>
        <w:t xml:space="preserve"> </w:t>
      </w:r>
      <w:r>
        <w:rPr>
          <w:bCs/>
          <w:color w:val="auto"/>
          <w:u w:val="single"/>
        </w:rPr>
        <w:t xml:space="preserve">     </w:t>
      </w:r>
    </w:p>
    <w:p>
      <w:pPr>
        <w:spacing w:line="360" w:lineRule="exact"/>
        <w:ind w:firstLine="420" w:firstLineChars="200"/>
        <w:rPr>
          <w:color w:val="auto"/>
        </w:rPr>
      </w:pPr>
      <w:r>
        <w:rPr>
          <w:color w:val="auto"/>
        </w:rPr>
        <w:t>15.4保修</w:t>
      </w:r>
    </w:p>
    <w:p>
      <w:pPr>
        <w:spacing w:line="360" w:lineRule="exact"/>
        <w:ind w:firstLine="420" w:firstLineChars="200"/>
        <w:rPr>
          <w:color w:val="auto"/>
        </w:rPr>
      </w:pPr>
      <w:r>
        <w:rPr>
          <w:color w:val="auto"/>
        </w:rPr>
        <w:t>15.4.1 保修责任</w:t>
      </w:r>
    </w:p>
    <w:p>
      <w:pPr>
        <w:spacing w:line="360" w:lineRule="exact"/>
        <w:ind w:firstLine="420" w:firstLineChars="200"/>
        <w:rPr>
          <w:color w:val="FF0000"/>
        </w:rPr>
      </w:pPr>
      <w:r>
        <w:rPr>
          <w:color w:val="auto"/>
        </w:rPr>
        <w:t>工程</w:t>
      </w:r>
      <w:r>
        <w:rPr>
          <w:color w:val="FF0000"/>
        </w:rPr>
        <w:t>保修期和保修责任为：</w:t>
      </w:r>
      <w:r>
        <w:rPr>
          <w:color w:val="FF0000"/>
          <w:u w:val="single"/>
        </w:rPr>
        <w:t xml:space="preserve"> 按本合同附件3《工程质量保修书》 </w:t>
      </w:r>
      <w:r>
        <w:rPr>
          <w:color w:val="FF0000"/>
        </w:rPr>
        <w:t>。</w:t>
      </w:r>
    </w:p>
    <w:p>
      <w:pPr>
        <w:spacing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15.4.3 修复通知</w:t>
      </w:r>
    </w:p>
    <w:p>
      <w:pPr>
        <w:spacing w:line="360" w:lineRule="exact"/>
        <w:ind w:firstLine="420" w:firstLineChars="200"/>
        <w:rPr>
          <w:color w:val="auto"/>
        </w:rPr>
      </w:pPr>
      <w:r>
        <w:rPr>
          <w:color w:val="000000" w:themeColor="text1"/>
          <w14:textFill>
            <w14:solidFill>
              <w14:schemeClr w14:val="tx1"/>
            </w14:solidFill>
          </w14:textFill>
        </w:rPr>
        <w:t>承包人收到保修通</w:t>
      </w:r>
      <w:r>
        <w:rPr>
          <w:color w:val="auto"/>
        </w:rPr>
        <w:t>知并到达工程现场的合理时间：</w:t>
      </w:r>
      <w:r>
        <w:rPr>
          <w:color w:val="auto"/>
          <w:u w:val="single"/>
        </w:rPr>
        <w:t xml:space="preserve"> </w:t>
      </w:r>
      <w:r>
        <w:rPr>
          <w:rFonts w:hint="eastAsia"/>
          <w:color w:val="auto"/>
          <w:u w:val="single"/>
        </w:rPr>
        <w:t>按通用条款</w:t>
      </w:r>
      <w:r>
        <w:rPr>
          <w:color w:val="auto"/>
          <w:u w:val="single"/>
        </w:rPr>
        <w:t xml:space="preserve">  </w:t>
      </w:r>
      <w:r>
        <w:rPr>
          <w:color w:val="auto"/>
        </w:rPr>
        <w:t>。</w:t>
      </w:r>
    </w:p>
    <w:bookmarkEnd w:id="695"/>
    <w:bookmarkEnd w:id="696"/>
    <w:bookmarkEnd w:id="697"/>
    <w:bookmarkEnd w:id="698"/>
    <w:p>
      <w:pPr>
        <w:pStyle w:val="7"/>
        <w:spacing w:before="0" w:after="0" w:line="360" w:lineRule="exact"/>
        <w:ind w:firstLine="422" w:firstLineChars="200"/>
        <w:rPr>
          <w:rFonts w:ascii="Times New Roman" w:hAnsi="Times New Roman"/>
          <w:color w:val="auto"/>
          <w:sz w:val="21"/>
          <w:szCs w:val="21"/>
        </w:rPr>
      </w:pPr>
      <w:bookmarkStart w:id="721" w:name="_Toc351203648"/>
      <w:bookmarkStart w:id="722" w:name="_Toc280868717"/>
      <w:bookmarkStart w:id="723" w:name="_Toc280868718"/>
      <w:r>
        <w:rPr>
          <w:rFonts w:ascii="Times New Roman" w:hAnsi="Times New Roman"/>
          <w:color w:val="auto"/>
          <w:sz w:val="21"/>
          <w:szCs w:val="21"/>
        </w:rPr>
        <w:t>16. 违约</w:t>
      </w:r>
      <w:bookmarkEnd w:id="721"/>
    </w:p>
    <w:p>
      <w:pPr>
        <w:spacing w:before="120" w:after="120" w:line="360" w:lineRule="exact"/>
        <w:ind w:firstLine="420" w:firstLineChars="200"/>
        <w:rPr>
          <w:color w:val="auto"/>
        </w:rPr>
      </w:pPr>
      <w:r>
        <w:rPr>
          <w:color w:val="auto"/>
        </w:rPr>
        <w:t>16.1 发包人违约</w:t>
      </w:r>
    </w:p>
    <w:p>
      <w:pPr>
        <w:spacing w:before="120" w:after="120" w:line="360" w:lineRule="exact"/>
        <w:ind w:firstLine="420" w:firstLineChars="200"/>
        <w:rPr>
          <w:color w:val="auto"/>
        </w:rPr>
      </w:pPr>
      <w:r>
        <w:rPr>
          <w:color w:val="auto"/>
        </w:rPr>
        <w:t>16.1.1发包人违约的情形</w:t>
      </w:r>
    </w:p>
    <w:p>
      <w:pPr>
        <w:spacing w:before="120" w:after="120" w:line="360" w:lineRule="exact"/>
        <w:ind w:firstLine="420" w:firstLineChars="200"/>
        <w:rPr>
          <w:color w:val="auto"/>
        </w:rPr>
      </w:pPr>
      <w:r>
        <w:rPr>
          <w:color w:val="auto"/>
        </w:rPr>
        <w:t>发包人违约的其他情形：</w:t>
      </w:r>
      <w:r>
        <w:rPr>
          <w:color w:val="auto"/>
          <w:u w:val="single"/>
        </w:rPr>
        <w:t xml:space="preserve">        </w:t>
      </w:r>
      <w:r>
        <w:rPr>
          <w:rFonts w:hint="eastAsia"/>
          <w:color w:val="auto"/>
          <w:u w:val="single"/>
        </w:rPr>
        <w:t>/</w:t>
      </w:r>
      <w:r>
        <w:rPr>
          <w:color w:val="auto"/>
          <w:u w:val="single"/>
        </w:rPr>
        <w:t xml:space="preserve">          </w:t>
      </w:r>
      <w:r>
        <w:rPr>
          <w:color w:val="auto"/>
        </w:rPr>
        <w:t>。</w:t>
      </w:r>
    </w:p>
    <w:p>
      <w:pPr>
        <w:spacing w:before="120" w:after="120" w:line="360" w:lineRule="exact"/>
        <w:ind w:firstLine="420" w:firstLineChars="200"/>
        <w:rPr>
          <w:color w:val="auto"/>
        </w:rPr>
      </w:pPr>
      <w:r>
        <w:rPr>
          <w:color w:val="auto"/>
        </w:rPr>
        <w:t>16.1.2 发包人违约的责任</w:t>
      </w:r>
    </w:p>
    <w:p>
      <w:pPr>
        <w:spacing w:before="120" w:after="120" w:line="360" w:lineRule="exact"/>
        <w:ind w:firstLine="420" w:firstLineChars="200"/>
        <w:rPr>
          <w:color w:val="auto"/>
        </w:rPr>
      </w:pPr>
      <w:r>
        <w:rPr>
          <w:color w:val="auto"/>
        </w:rPr>
        <w:t>发包人违约责任的承担方式和计算方法：</w:t>
      </w:r>
    </w:p>
    <w:p>
      <w:pPr>
        <w:spacing w:before="120" w:after="120" w:line="360" w:lineRule="exact"/>
        <w:ind w:firstLine="420" w:firstLineChars="200"/>
        <w:rPr>
          <w:color w:val="auto"/>
          <w:u w:val="single"/>
        </w:rPr>
      </w:pPr>
      <w:r>
        <w:rPr>
          <w:color w:val="auto"/>
        </w:rPr>
        <w:t>（1）因发包人原因未能在计划开工日期前7天内下达开工通知的违约责任：</w:t>
      </w:r>
      <w:r>
        <w:rPr>
          <w:color w:val="auto"/>
          <w:u w:val="single"/>
        </w:rPr>
        <w:t xml:space="preserve"> </w:t>
      </w:r>
      <w:r>
        <w:rPr>
          <w:u w:val="single"/>
        </w:rPr>
        <w:t>赔偿承包人相关损失；属于专用合同条款 7.3.2 条约定情形的，按该条款约定处理；</w:t>
      </w:r>
    </w:p>
    <w:p>
      <w:pPr>
        <w:spacing w:before="120" w:after="120" w:line="360" w:lineRule="exact"/>
        <w:ind w:firstLine="420" w:firstLineChars="200"/>
        <w:rPr>
          <w:rFonts w:eastAsia="宋体"/>
          <w:b/>
          <w:bCs/>
          <w:color w:val="auto"/>
        </w:rPr>
      </w:pPr>
      <w:r>
        <w:rPr>
          <w:color w:val="auto"/>
        </w:rPr>
        <w:t>（2）</w:t>
      </w:r>
      <w:r>
        <w:t>因发包人原因未能按合同约定支付合同价款的违约责任：</w:t>
      </w:r>
      <w:r>
        <w:rPr>
          <w:u w:val="single"/>
        </w:rPr>
        <w:t>支付违约金，违约金为应付合同价款的利息</w:t>
      </w:r>
      <w:r>
        <w:rPr>
          <w:rFonts w:hint="eastAsia"/>
          <w:u w:val="single"/>
        </w:rPr>
        <w:t>，</w:t>
      </w:r>
      <w:r>
        <w:rPr>
          <w:rFonts w:hint="eastAsia"/>
          <w:bCs/>
          <w:u w:val="single"/>
        </w:rPr>
        <w:t>利率按同期全国银行间同业拆借中心公布的贷款市场报价利率，利息计算时间为应付工程款日起至支付工程款日止；</w:t>
      </w:r>
      <w:r>
        <w:rPr>
          <w:u w:val="single"/>
        </w:rPr>
        <w:t>造成工期延误的顺延工期，并承担承包人的相应损失费用；</w:t>
      </w:r>
    </w:p>
    <w:p>
      <w:pPr>
        <w:spacing w:before="120" w:after="120" w:line="360" w:lineRule="exact"/>
        <w:ind w:firstLine="420" w:firstLineChars="200"/>
        <w:rPr>
          <w:color w:val="auto"/>
        </w:rPr>
      </w:pPr>
      <w:r>
        <w:rPr>
          <w:color w:val="auto"/>
        </w:rPr>
        <w:t>（3）发包人违反第10.1款〔变更的范围〕第（2）项约定，自行实施被取消的工作或转由他人实施的违约责任：</w:t>
      </w:r>
      <w:r>
        <w:rPr>
          <w:color w:val="auto"/>
          <w:u w:val="single"/>
        </w:rPr>
        <w:t xml:space="preserve">   </w:t>
      </w:r>
      <w:r>
        <w:rPr>
          <w:rFonts w:hint="eastAsia"/>
          <w:color w:val="auto"/>
          <w:u w:val="single"/>
        </w:rPr>
        <w:t>支付承包人该项工作合理利润，按取消工作签约合同价（    ）%计算</w:t>
      </w:r>
      <w:r>
        <w:rPr>
          <w:color w:val="auto"/>
          <w:u w:val="single"/>
        </w:rPr>
        <w:t xml:space="preserve"> </w:t>
      </w:r>
      <w:r>
        <w:rPr>
          <w:color w:val="auto"/>
        </w:rPr>
        <w:t>。</w:t>
      </w:r>
    </w:p>
    <w:p>
      <w:pPr>
        <w:spacing w:before="120" w:after="120" w:line="360" w:lineRule="exact"/>
        <w:ind w:firstLine="420" w:firstLineChars="200"/>
        <w:rPr>
          <w:color w:val="auto"/>
        </w:rPr>
      </w:pPr>
      <w:r>
        <w:rPr>
          <w:color w:val="auto"/>
        </w:rPr>
        <w:t>（4）发包人提供的材料、工程设备的规格、数量或质量不符合合同约定，或因发包人原因导致交货日期延误或交货地点变更等情况的违约责任：</w:t>
      </w:r>
      <w:r>
        <w:rPr>
          <w:color w:val="auto"/>
          <w:u w:val="single"/>
        </w:rPr>
        <w:t xml:space="preserve">  </w:t>
      </w:r>
      <w:r>
        <w:rPr>
          <w:rFonts w:hint="eastAsia"/>
          <w:color w:val="auto"/>
          <w:u w:val="single"/>
        </w:rPr>
        <w:t>造成工期延误的顺延工期，并承担增加的造价及承包人的相应损失费用等</w:t>
      </w:r>
      <w:r>
        <w:rPr>
          <w:color w:val="auto"/>
          <w:u w:val="single"/>
        </w:rPr>
        <w:t xml:space="preserve"> </w:t>
      </w:r>
      <w:r>
        <w:rPr>
          <w:color w:val="auto"/>
        </w:rPr>
        <w:t>。</w:t>
      </w:r>
    </w:p>
    <w:p>
      <w:pPr>
        <w:spacing w:before="120" w:after="120" w:line="360" w:lineRule="exact"/>
        <w:ind w:firstLine="420" w:firstLineChars="200"/>
        <w:rPr>
          <w:color w:val="auto"/>
        </w:rPr>
      </w:pPr>
      <w:r>
        <w:rPr>
          <w:color w:val="auto"/>
        </w:rPr>
        <w:t>（5）因发包人违反合同约定造成暂停施工的违约责任：</w:t>
      </w:r>
      <w:r>
        <w:rPr>
          <w:color w:val="auto"/>
          <w:u w:val="single"/>
        </w:rPr>
        <w:t xml:space="preserve"> </w:t>
      </w:r>
      <w:r>
        <w:rPr>
          <w:rFonts w:hint="eastAsia"/>
          <w:color w:val="auto"/>
          <w:u w:val="single"/>
        </w:rPr>
        <w:t>造成工期延误的顺延工期，并承担增加的造价及承包人的相应损失费用等</w:t>
      </w:r>
      <w:r>
        <w:rPr>
          <w:color w:val="auto"/>
        </w:rPr>
        <w:t>。</w:t>
      </w:r>
    </w:p>
    <w:p>
      <w:pPr>
        <w:spacing w:before="120" w:after="120" w:line="360" w:lineRule="exact"/>
        <w:ind w:firstLine="420" w:firstLineChars="200"/>
        <w:rPr>
          <w:color w:val="auto"/>
        </w:rPr>
      </w:pPr>
      <w:r>
        <w:rPr>
          <w:color w:val="auto"/>
        </w:rPr>
        <w:t>（6）发包人无正当理由没有在约定期限内发出复工指示，导致承包人无法复工的违约责任：</w:t>
      </w:r>
      <w:r>
        <w:rPr>
          <w:color w:val="auto"/>
          <w:u w:val="single"/>
        </w:rPr>
        <w:t xml:space="preserve">              </w:t>
      </w:r>
      <w:r>
        <w:rPr>
          <w:rFonts w:hint="eastAsia"/>
          <w:color w:val="auto"/>
          <w:u w:val="single"/>
        </w:rPr>
        <w:t>造成工期延误的顺延工期，并承担增加的造价及承包人的相应损失费用等</w:t>
      </w:r>
      <w:r>
        <w:rPr>
          <w:color w:val="auto"/>
        </w:rPr>
        <w:t>。</w:t>
      </w:r>
    </w:p>
    <w:p>
      <w:pPr>
        <w:spacing w:before="120" w:after="120" w:line="360" w:lineRule="exact"/>
        <w:ind w:firstLine="420" w:firstLineChars="200"/>
        <w:rPr>
          <w:color w:val="auto"/>
        </w:rPr>
      </w:pPr>
      <w:r>
        <w:rPr>
          <w:color w:val="auto"/>
        </w:rPr>
        <w:t>（7）其他：</w:t>
      </w:r>
      <w:r>
        <w:rPr>
          <w:color w:val="auto"/>
          <w:u w:val="single"/>
        </w:rPr>
        <w:t xml:space="preserve">          </w:t>
      </w:r>
      <w:r>
        <w:rPr>
          <w:rFonts w:hint="eastAsia"/>
          <w:color w:val="auto"/>
          <w:u w:val="single"/>
        </w:rPr>
        <w:t>/</w:t>
      </w:r>
      <w:r>
        <w:rPr>
          <w:color w:val="auto"/>
          <w:u w:val="single"/>
        </w:rPr>
        <w:t xml:space="preserve">                         </w:t>
      </w:r>
      <w:r>
        <w:rPr>
          <w:color w:val="auto"/>
        </w:rPr>
        <w:t>。</w:t>
      </w:r>
    </w:p>
    <w:p>
      <w:pPr>
        <w:spacing w:before="120" w:after="120" w:line="360" w:lineRule="exact"/>
        <w:ind w:firstLine="420" w:firstLineChars="200"/>
        <w:rPr>
          <w:color w:val="auto"/>
        </w:rPr>
      </w:pPr>
      <w:r>
        <w:rPr>
          <w:color w:val="auto"/>
        </w:rPr>
        <w:t>16.1.3 因发包人违约解除合同</w:t>
      </w:r>
    </w:p>
    <w:p>
      <w:pPr>
        <w:spacing w:before="120" w:after="120"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承包人按16.1.1项〔发包人违约的情形〕约定暂停施工满</w:t>
      </w:r>
      <w:r>
        <w:rPr>
          <w:color w:val="000000" w:themeColor="text1"/>
          <w:u w:val="single"/>
          <w14:textFill>
            <w14:solidFill>
              <w14:schemeClr w14:val="tx1"/>
            </w14:solidFill>
          </w14:textFill>
        </w:rPr>
        <w:t xml:space="preserve">  </w:t>
      </w:r>
      <w:r>
        <w:rPr>
          <w:rFonts w:hint="eastAsia" w:eastAsiaTheme="minorEastAsia"/>
          <w:color w:val="000000" w:themeColor="text1"/>
          <w:u w:val="single"/>
          <w14:textFill>
            <w14:solidFill>
              <w14:schemeClr w14:val="tx1"/>
            </w14:solidFill>
          </w14:textFill>
        </w:rPr>
        <w:t>3</w:t>
      </w:r>
      <w:r>
        <w:rPr>
          <w:rFonts w:hint="eastAsia"/>
          <w:color w:val="000000" w:themeColor="text1"/>
          <w:u w:val="single"/>
          <w14:textFill>
            <w14:solidFill>
              <w14:schemeClr w14:val="tx1"/>
            </w14:solidFill>
          </w14:textFill>
        </w:rPr>
        <w:t>0</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天后发包人仍不纠正其违约行为并致使合同目的不能实现的，承包人有权解除合同。</w:t>
      </w:r>
    </w:p>
    <w:p>
      <w:pPr>
        <w:spacing w:before="120" w:after="120" w:line="360" w:lineRule="exact"/>
        <w:ind w:firstLine="420" w:firstLineChars="200"/>
        <w:rPr>
          <w:color w:val="auto"/>
        </w:rPr>
      </w:pPr>
      <w:r>
        <w:rPr>
          <w:color w:val="auto"/>
        </w:rPr>
        <w:t>16.2 承包人违约</w:t>
      </w:r>
    </w:p>
    <w:p>
      <w:pPr>
        <w:spacing w:before="120" w:after="120" w:line="360" w:lineRule="exact"/>
        <w:ind w:firstLine="420" w:firstLineChars="200"/>
        <w:rPr>
          <w:color w:val="auto"/>
        </w:rPr>
      </w:pPr>
      <w:r>
        <w:rPr>
          <w:color w:val="auto"/>
        </w:rPr>
        <w:t>16.2.1 承包人违约的情形</w:t>
      </w:r>
    </w:p>
    <w:p>
      <w:pPr>
        <w:spacing w:before="120" w:after="120" w:line="360" w:lineRule="exact"/>
        <w:ind w:firstLine="420" w:firstLineChars="200"/>
        <w:rPr>
          <w:color w:val="auto"/>
          <w:u w:val="single"/>
        </w:rPr>
      </w:pPr>
      <w:r>
        <w:rPr>
          <w:color w:val="auto"/>
        </w:rPr>
        <w:t>承包人违约的其他情形：</w:t>
      </w:r>
    </w:p>
    <w:p>
      <w:pPr>
        <w:spacing w:before="120" w:after="120" w:line="360" w:lineRule="exact"/>
        <w:ind w:firstLine="420" w:firstLineChars="200"/>
        <w:rPr>
          <w:color w:val="auto"/>
          <w:u w:val="single"/>
        </w:rPr>
      </w:pPr>
      <w:r>
        <w:rPr>
          <w:color w:val="auto"/>
        </w:rPr>
        <w:t>（1</w:t>
      </w:r>
      <w:r>
        <w:rPr>
          <w:color w:val="auto"/>
          <w:u w:val="single"/>
        </w:rPr>
        <w:t>）机械设备、施工项目班子未按投标承诺及时到位；</w:t>
      </w:r>
    </w:p>
    <w:p>
      <w:pPr>
        <w:spacing w:before="120" w:after="120" w:line="360" w:lineRule="exact"/>
        <w:ind w:firstLine="420" w:firstLineChars="200"/>
        <w:rPr>
          <w:color w:val="auto"/>
          <w:u w:val="single"/>
        </w:rPr>
      </w:pPr>
      <w:r>
        <w:rPr>
          <w:color w:val="auto"/>
        </w:rPr>
        <w:t>（2</w:t>
      </w:r>
      <w:r>
        <w:rPr>
          <w:color w:val="auto"/>
          <w:u w:val="single"/>
        </w:rPr>
        <w:t>）本工程在实施过程中，如承包人的施工队伍素质、力量、现场管理班子、现场安全文明施工不符合投标书的承诺，造成现场管理混乱、工程质量和进度达不到投标所承诺的要求；</w:t>
      </w:r>
    </w:p>
    <w:p>
      <w:pPr>
        <w:spacing w:before="120" w:after="120" w:line="360" w:lineRule="exact"/>
        <w:ind w:firstLine="420" w:firstLineChars="200"/>
        <w:rPr>
          <w:color w:val="auto"/>
        </w:rPr>
      </w:pPr>
      <w:r>
        <w:rPr>
          <w:color w:val="auto"/>
        </w:rPr>
        <w:t>（3</w:t>
      </w:r>
      <w:r>
        <w:rPr>
          <w:color w:val="auto"/>
          <w:u w:val="single"/>
        </w:rPr>
        <w:t>）承包人允许其他人挂靠经营、私自转包</w:t>
      </w:r>
      <w:r>
        <w:rPr>
          <w:color w:val="auto"/>
        </w:rPr>
        <w:t>；</w:t>
      </w:r>
    </w:p>
    <w:p>
      <w:pPr>
        <w:spacing w:before="120" w:after="120" w:line="360" w:lineRule="exact"/>
        <w:ind w:firstLine="420" w:firstLineChars="200"/>
        <w:rPr>
          <w:b/>
          <w:color w:val="FF0000"/>
          <w:u w:val="single"/>
        </w:rPr>
      </w:pPr>
      <w:r>
        <w:rPr>
          <w:color w:val="auto"/>
        </w:rPr>
        <w:t>（4</w:t>
      </w:r>
      <w:r>
        <w:rPr>
          <w:color w:val="auto"/>
          <w:u w:val="single"/>
        </w:rPr>
        <w:t>）承包人未达到投标时所承诺的诚信与技术标</w:t>
      </w:r>
      <w:r>
        <w:rPr>
          <w:b/>
          <w:color w:val="FF0000"/>
          <w:u w:val="single"/>
        </w:rPr>
        <w:t>准（含灯具规格书）。</w:t>
      </w:r>
    </w:p>
    <w:p>
      <w:pPr>
        <w:spacing w:before="120" w:after="120" w:line="360" w:lineRule="exact"/>
        <w:ind w:firstLine="420" w:firstLineChars="200"/>
        <w:rPr>
          <w:color w:val="auto"/>
        </w:rPr>
      </w:pPr>
      <w:r>
        <w:rPr>
          <w:color w:val="auto"/>
        </w:rPr>
        <w:t>16.2.2承包人违约的责任</w:t>
      </w:r>
    </w:p>
    <w:p>
      <w:pPr>
        <w:spacing w:before="120" w:after="120" w:line="360" w:lineRule="exact"/>
        <w:ind w:firstLine="420" w:firstLineChars="200"/>
        <w:rPr>
          <w:color w:val="auto"/>
        </w:rPr>
      </w:pPr>
      <w:r>
        <w:rPr>
          <w:color w:val="auto"/>
        </w:rPr>
        <w:t>承包人违约责任的承担方式和计算方法：</w:t>
      </w:r>
    </w:p>
    <w:p>
      <w:pPr>
        <w:spacing w:before="120" w:after="120" w:line="360" w:lineRule="exact"/>
        <w:ind w:firstLine="420" w:firstLineChars="200"/>
        <w:rPr>
          <w:color w:val="auto"/>
          <w:u w:val="single"/>
        </w:rPr>
      </w:pPr>
      <w:r>
        <w:rPr>
          <w:color w:val="auto"/>
        </w:rPr>
        <w:t>（1）</w:t>
      </w:r>
      <w:r>
        <w:rPr>
          <w:color w:val="auto"/>
          <w:u w:val="single"/>
        </w:rPr>
        <w:t>机械设备未按投标承诺到位，每项扣除履约担保金2%；</w:t>
      </w:r>
    </w:p>
    <w:p>
      <w:pPr>
        <w:spacing w:before="120" w:after="120" w:line="360" w:lineRule="exact"/>
        <w:ind w:firstLine="420" w:firstLineChars="200"/>
        <w:rPr>
          <w:color w:val="auto"/>
          <w:u w:val="single"/>
        </w:rPr>
      </w:pPr>
      <w:r>
        <w:rPr>
          <w:color w:val="auto"/>
        </w:rPr>
        <w:t>（2）</w:t>
      </w:r>
      <w:r>
        <w:rPr>
          <w:color w:val="auto"/>
          <w:u w:val="single"/>
        </w:rPr>
        <w:t>现场安全文明施工不符合投标书承诺，扣减相应安全文明施工费用；承包人原因造成现场管理混乱、工程质量和进度达不到投标承诺的要求，发包人有权要求承包人调整充实施工力量、更换项目班子，及至解除施工合同，所有履约担保金归发包人，并赔偿发包人损失。</w:t>
      </w:r>
    </w:p>
    <w:p>
      <w:pPr>
        <w:spacing w:before="120" w:after="120" w:line="360" w:lineRule="exact"/>
        <w:ind w:firstLine="420" w:firstLineChars="200"/>
        <w:rPr>
          <w:color w:val="auto"/>
          <w:u w:val="single"/>
        </w:rPr>
      </w:pPr>
      <w:r>
        <w:rPr>
          <w:color w:val="auto"/>
        </w:rPr>
        <w:t>（3）</w:t>
      </w:r>
      <w:r>
        <w:rPr>
          <w:color w:val="auto"/>
          <w:u w:val="single"/>
        </w:rPr>
        <w:t>发现承包人允许其他人挂靠经营、私自转包，所有履约担保归发包人，同时赔偿发包人损失，并责令退出工地。</w:t>
      </w:r>
    </w:p>
    <w:p>
      <w:pPr>
        <w:spacing w:before="120" w:after="120" w:line="360" w:lineRule="exact"/>
        <w:ind w:firstLine="420" w:firstLineChars="200"/>
        <w:rPr>
          <w:color w:val="auto"/>
          <w:u w:val="single"/>
        </w:rPr>
      </w:pPr>
      <w:r>
        <w:rPr>
          <w:color w:val="auto"/>
        </w:rPr>
        <w:t>（4）</w:t>
      </w:r>
      <w:r>
        <w:rPr>
          <w:color w:val="auto"/>
          <w:u w:val="single"/>
        </w:rPr>
        <w:t>未达到投标所承诺的诚信与技术标准</w:t>
      </w:r>
      <w:r>
        <w:rPr>
          <w:b/>
          <w:color w:val="FF0000"/>
          <w:u w:val="single"/>
        </w:rPr>
        <w:t>（含灯具规格书）</w:t>
      </w:r>
      <w:r>
        <w:rPr>
          <w:color w:val="auto"/>
          <w:u w:val="single"/>
        </w:rPr>
        <w:t>，按每一项扣减履约担保金的10%。</w:t>
      </w:r>
    </w:p>
    <w:p>
      <w:pPr>
        <w:spacing w:before="120" w:after="120" w:line="360" w:lineRule="exact"/>
        <w:ind w:firstLine="420" w:firstLineChars="200"/>
        <w:rPr>
          <w:color w:val="auto"/>
          <w:u w:val="single"/>
        </w:rPr>
      </w:pPr>
      <w:r>
        <w:rPr>
          <w:color w:val="auto"/>
        </w:rPr>
        <w:t>（5）</w:t>
      </w:r>
      <w:r>
        <w:rPr>
          <w:rFonts w:hint="eastAsia"/>
          <w:color w:val="auto"/>
          <w:u w:val="single"/>
        </w:rPr>
        <w:t>承包人原因导致的工程延误，工期不予顺延，由工期延误引起人工、材料价格上涨由承包人承担，按原合同约定价格结算；价格下降归发包人受益，按下降后价格结算。工期顺延对发包人造成损失的，赔偿发包人相应损失；当施工工期超过合同工期〔50%〕以上时，可解除施工合同。</w:t>
      </w:r>
    </w:p>
    <w:p>
      <w:pPr>
        <w:spacing w:before="120" w:after="120" w:line="360" w:lineRule="exact"/>
        <w:ind w:firstLine="420" w:firstLineChars="200"/>
        <w:rPr>
          <w:color w:val="auto"/>
          <w:u w:val="single"/>
        </w:rPr>
      </w:pPr>
      <w:r>
        <w:rPr>
          <w:color w:val="auto"/>
        </w:rPr>
        <w:t>（6）</w:t>
      </w:r>
      <w:r>
        <w:rPr>
          <w:color w:val="auto"/>
          <w:u w:val="single"/>
        </w:rPr>
        <w:t>承包人无法继续履行、明确表示不履行或实质上已停止履行合同，发包人可通知承包人全部解除合同，所有履约担保归发包人，同时赔偿发包人损失。</w:t>
      </w:r>
    </w:p>
    <w:p>
      <w:pPr>
        <w:spacing w:before="120" w:after="120" w:line="360" w:lineRule="exact"/>
        <w:ind w:firstLine="420" w:firstLineChars="200"/>
        <w:rPr>
          <w:color w:val="auto"/>
        </w:rPr>
      </w:pPr>
      <w:r>
        <w:rPr>
          <w:color w:val="auto"/>
        </w:rPr>
        <w:t>16.2.3 因承包人违约解除合同</w:t>
      </w:r>
    </w:p>
    <w:p>
      <w:pPr>
        <w:spacing w:before="120" w:after="120" w:line="360" w:lineRule="exact"/>
        <w:ind w:firstLine="420" w:firstLineChars="200"/>
        <w:rPr>
          <w:b/>
          <w:color w:val="FF0000"/>
          <w:u w:val="single"/>
        </w:rPr>
      </w:pPr>
      <w:r>
        <w:rPr>
          <w:color w:val="auto"/>
        </w:rPr>
        <w:t>关于承包人违约解除合同的特别约定：</w:t>
      </w:r>
      <w:r>
        <w:rPr>
          <w:color w:val="auto"/>
          <w:u w:val="single"/>
        </w:rPr>
        <w:t xml:space="preserve"> </w:t>
      </w:r>
      <w:r>
        <w:rPr>
          <w:b/>
          <w:color w:val="FF0000"/>
          <w:u w:val="single"/>
        </w:rPr>
        <w:t>如符合</w:t>
      </w:r>
      <w:r>
        <w:rPr>
          <w:rFonts w:hint="eastAsia" w:eastAsiaTheme="minorEastAsia"/>
          <w:b/>
          <w:color w:val="FF0000"/>
          <w:u w:val="single"/>
        </w:rPr>
        <w:t>16.2.1（4）条款，在发包人要求改正期限（30）拒不改正，发包人有权解除合同</w:t>
      </w:r>
      <w:r>
        <w:rPr>
          <w:b/>
          <w:color w:val="FF0000"/>
          <w:u w:val="single"/>
        </w:rPr>
        <w:t xml:space="preserve">  。</w:t>
      </w:r>
    </w:p>
    <w:p>
      <w:pPr>
        <w:spacing w:before="120" w:after="120" w:line="360" w:lineRule="exact"/>
        <w:ind w:firstLine="420" w:firstLineChars="200"/>
        <w:rPr>
          <w:color w:val="auto"/>
        </w:rPr>
      </w:pPr>
      <w:r>
        <w:rPr>
          <w:color w:val="auto"/>
        </w:rPr>
        <w:t>发包人继续使用承包人在施工现场的材料、设备、临时工程、承包人文件和由承包人或以其名义编制的其他文件的费用承担方式：</w:t>
      </w:r>
      <w:r>
        <w:rPr>
          <w:color w:val="auto"/>
          <w:u w:val="single"/>
        </w:rPr>
        <w:t xml:space="preserve"> 使用施工现场的材料、设备按实结算，使用施工机械、器具按租赁费结算，临时工程折算成费用按完成造价比例计算，无偿使用承包人为本工程施工所编制的相应文件等 </w:t>
      </w:r>
      <w:r>
        <w:rPr>
          <w:color w:val="auto"/>
        </w:rPr>
        <w:t>。</w:t>
      </w:r>
    </w:p>
    <w:p>
      <w:pPr>
        <w:spacing w:before="120" w:after="120" w:line="360" w:lineRule="exact"/>
        <w:ind w:firstLine="420" w:firstLineChars="200"/>
        <w:rPr>
          <w:color w:val="FF0000"/>
          <w:u w:val="single"/>
        </w:rPr>
      </w:pPr>
      <w:r>
        <w:rPr>
          <w:color w:val="auto"/>
        </w:rPr>
        <w:t>16.2.4 因承包人违约解除合同后的处理：</w:t>
      </w:r>
      <w:r>
        <w:rPr>
          <w:color w:val="auto"/>
          <w:u w:val="single"/>
        </w:rPr>
        <w:t xml:space="preserve">  </w:t>
      </w:r>
      <w:r>
        <w:rPr>
          <w:rFonts w:hint="eastAsia"/>
          <w:color w:val="FF0000"/>
          <w:u w:val="single"/>
        </w:rPr>
        <w:t>根据合同约定承担违约金并赔偿发包人的实际损失</w:t>
      </w:r>
      <w:r>
        <w:rPr>
          <w:color w:val="FF0000"/>
          <w:u w:val="single"/>
        </w:rPr>
        <w:t xml:space="preserve"> 。</w:t>
      </w:r>
    </w:p>
    <w:p>
      <w:pPr>
        <w:pStyle w:val="7"/>
        <w:spacing w:before="0" w:after="0" w:line="360" w:lineRule="exact"/>
        <w:ind w:firstLine="422" w:firstLineChars="200"/>
        <w:rPr>
          <w:rFonts w:ascii="Times New Roman" w:hAnsi="Times New Roman" w:eastAsia="宋体"/>
          <w:b w:val="0"/>
          <w:color w:val="auto"/>
          <w:sz w:val="21"/>
          <w:szCs w:val="21"/>
        </w:rPr>
      </w:pPr>
      <w:bookmarkStart w:id="724" w:name="_Toc351203649"/>
      <w:r>
        <w:rPr>
          <w:rFonts w:ascii="Times New Roman" w:hAnsi="Times New Roman"/>
          <w:color w:val="auto"/>
          <w:sz w:val="21"/>
          <w:szCs w:val="21"/>
        </w:rPr>
        <w:t>17. 不可抗力</w:t>
      </w:r>
      <w:bookmarkEnd w:id="724"/>
      <w:r>
        <w:rPr>
          <w:rFonts w:ascii="Times New Roman" w:hAnsi="Times New Roman" w:eastAsia="宋体"/>
          <w:b w:val="0"/>
          <w:color w:val="auto"/>
          <w:sz w:val="21"/>
          <w:szCs w:val="21"/>
        </w:rPr>
        <w:t xml:space="preserve"> </w:t>
      </w:r>
      <w:bookmarkEnd w:id="722"/>
    </w:p>
    <w:p>
      <w:pPr>
        <w:spacing w:line="360" w:lineRule="exact"/>
        <w:ind w:firstLine="420" w:firstLineChars="200"/>
        <w:rPr>
          <w:color w:val="auto"/>
        </w:rPr>
      </w:pPr>
      <w:r>
        <w:rPr>
          <w:color w:val="auto"/>
        </w:rPr>
        <w:t>17.1 不可抗力的确认</w:t>
      </w:r>
    </w:p>
    <w:p>
      <w:pPr>
        <w:spacing w:line="360" w:lineRule="exact"/>
        <w:ind w:firstLine="420" w:firstLineChars="200"/>
        <w:rPr>
          <w:color w:val="auto"/>
        </w:rPr>
      </w:pPr>
      <w:r>
        <w:rPr>
          <w:color w:val="auto"/>
        </w:rPr>
        <w:t>除通用合同条款约定的不可抗力事件之外，视为不可抗力的其他情形：</w:t>
      </w:r>
      <w:r>
        <w:rPr>
          <w:color w:val="auto"/>
          <w:u w:val="single"/>
        </w:rPr>
        <w:t xml:space="preserve"> 10年一遇洪水、暴风雪、干旱， 罢工、政府禁令 </w:t>
      </w:r>
      <w:r>
        <w:rPr>
          <w:color w:val="auto"/>
        </w:rPr>
        <w:t>。</w:t>
      </w:r>
    </w:p>
    <w:p>
      <w:pPr>
        <w:spacing w:line="360" w:lineRule="exact"/>
        <w:ind w:firstLine="420" w:firstLineChars="200"/>
        <w:rPr>
          <w:color w:val="auto"/>
        </w:rPr>
      </w:pPr>
      <w:r>
        <w:rPr>
          <w:rFonts w:hint="eastAsia"/>
          <w:color w:val="auto"/>
        </w:rPr>
        <w:t>17.2 不可抗力的通知</w:t>
      </w:r>
    </w:p>
    <w:p>
      <w:pPr>
        <w:spacing w:line="360" w:lineRule="exact"/>
        <w:ind w:firstLine="420" w:firstLineChars="200"/>
        <w:rPr>
          <w:color w:val="auto"/>
        </w:rPr>
      </w:pPr>
      <w:r>
        <w:rPr>
          <w:rFonts w:hint="eastAsia"/>
          <w:color w:val="auto"/>
          <w:u w:val="single"/>
        </w:rPr>
        <w:t>按通用条款；另在遭遇不可抗力事件时，为避免不可抗力事件造成更大的损失，承包人采取合理的措施而增加的费用由发包人承担，在向发包人和监理人报告不可抗力事件时一并提交所采取的合理措施内容。</w:t>
      </w:r>
    </w:p>
    <w:p>
      <w:pPr>
        <w:spacing w:line="380" w:lineRule="exact"/>
        <w:ind w:firstLine="420" w:firstLineChars="200"/>
        <w:rPr>
          <w:rFonts w:ascii="宋体" w:hAnsi="宋体" w:cs="宋体"/>
        </w:rPr>
      </w:pPr>
      <w:r>
        <w:rPr>
          <w:rFonts w:hint="eastAsia" w:ascii="宋体" w:hAnsi="宋体" w:cs="宋体"/>
        </w:rPr>
        <w:t>17.3 不可抗力后果的承担</w:t>
      </w:r>
    </w:p>
    <w:p>
      <w:pPr>
        <w:spacing w:line="380" w:lineRule="exact"/>
        <w:ind w:firstLine="420" w:firstLineChars="200"/>
        <w:rPr>
          <w:rFonts w:ascii="宋体" w:hAnsi="宋体" w:cs="宋体"/>
        </w:rPr>
      </w:pPr>
      <w:r>
        <w:rPr>
          <w:rFonts w:hint="eastAsia" w:ascii="宋体" w:hAnsi="宋体" w:cs="宋体"/>
          <w:u w:val="single"/>
        </w:rPr>
        <w:t>按通用条款。</w:t>
      </w:r>
    </w:p>
    <w:p>
      <w:pPr>
        <w:spacing w:line="360" w:lineRule="exact"/>
        <w:ind w:firstLine="420" w:firstLineChars="200"/>
        <w:rPr>
          <w:color w:val="auto"/>
        </w:rPr>
      </w:pPr>
      <w:r>
        <w:rPr>
          <w:color w:val="auto"/>
        </w:rPr>
        <w:t>17.4 因不可抗力解除合同</w:t>
      </w:r>
    </w:p>
    <w:p>
      <w:pPr>
        <w:spacing w:line="360" w:lineRule="exact"/>
        <w:ind w:firstLine="420" w:firstLineChars="200"/>
        <w:rPr>
          <w:color w:val="auto"/>
        </w:rPr>
      </w:pPr>
      <w:r>
        <w:rPr>
          <w:color w:val="auto"/>
        </w:rPr>
        <w:t>合同解除后，发包人应在商定或确定发包人应支付款项后</w:t>
      </w:r>
      <w:r>
        <w:rPr>
          <w:color w:val="auto"/>
          <w:u w:val="single"/>
        </w:rPr>
        <w:t xml:space="preserve">  </w:t>
      </w:r>
      <w:r>
        <w:rPr>
          <w:rFonts w:hint="eastAsia"/>
          <w:color w:val="auto"/>
          <w:u w:val="single"/>
        </w:rPr>
        <w:t>28</w:t>
      </w:r>
      <w:r>
        <w:rPr>
          <w:color w:val="auto"/>
          <w:u w:val="single"/>
        </w:rPr>
        <w:t xml:space="preserve"> </w:t>
      </w:r>
      <w:r>
        <w:rPr>
          <w:color w:val="auto"/>
        </w:rPr>
        <w:t>天内完成款项的支付。</w:t>
      </w:r>
    </w:p>
    <w:p>
      <w:pPr>
        <w:pStyle w:val="7"/>
        <w:spacing w:before="0" w:after="0" w:line="360" w:lineRule="exact"/>
        <w:ind w:firstLine="422" w:firstLineChars="200"/>
        <w:rPr>
          <w:rFonts w:ascii="Times New Roman" w:hAnsi="Times New Roman"/>
          <w:color w:val="auto"/>
          <w:sz w:val="21"/>
          <w:szCs w:val="21"/>
        </w:rPr>
      </w:pPr>
      <w:bookmarkStart w:id="725" w:name="_Toc351203650"/>
      <w:r>
        <w:rPr>
          <w:rFonts w:ascii="Times New Roman" w:hAnsi="Times New Roman"/>
          <w:color w:val="auto"/>
          <w:sz w:val="21"/>
          <w:szCs w:val="21"/>
        </w:rPr>
        <w:t>18. 保险</w:t>
      </w:r>
      <w:bookmarkEnd w:id="725"/>
    </w:p>
    <w:bookmarkEnd w:id="699"/>
    <w:bookmarkEnd w:id="700"/>
    <w:bookmarkEnd w:id="701"/>
    <w:bookmarkEnd w:id="702"/>
    <w:bookmarkEnd w:id="703"/>
    <w:bookmarkEnd w:id="704"/>
    <w:bookmarkEnd w:id="705"/>
    <w:bookmarkEnd w:id="706"/>
    <w:bookmarkEnd w:id="707"/>
    <w:bookmarkEnd w:id="708"/>
    <w:bookmarkEnd w:id="709"/>
    <w:bookmarkEnd w:id="710"/>
    <w:bookmarkEnd w:id="723"/>
    <w:p>
      <w:pPr>
        <w:spacing w:line="380" w:lineRule="exact"/>
        <w:ind w:firstLine="420" w:firstLineChars="200"/>
        <w:rPr>
          <w:rFonts w:ascii="宋体" w:hAnsi="宋体" w:cs="宋体"/>
          <w:b/>
          <w:color w:val="000000" w:themeColor="text1"/>
          <w14:textFill>
            <w14:solidFill>
              <w14:schemeClr w14:val="tx1"/>
            </w14:solidFill>
          </w14:textFill>
        </w:rPr>
      </w:pPr>
      <w:bookmarkStart w:id="726" w:name="_Toc351203651"/>
      <w:r>
        <w:rPr>
          <w:rFonts w:hint="eastAsia" w:ascii="宋体" w:hAnsi="宋体" w:cs="宋体"/>
          <w:b/>
          <w:color w:val="000000" w:themeColor="text1"/>
          <w14:textFill>
            <w14:solidFill>
              <w14:schemeClr w14:val="tx1"/>
            </w14:solidFill>
          </w14:textFill>
        </w:rPr>
        <w:t>18.1 工程保险</w:t>
      </w:r>
    </w:p>
    <w:p>
      <w:pPr>
        <w:spacing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关于工程保险的特别约定：</w:t>
      </w:r>
      <w:r>
        <w:rPr>
          <w:rFonts w:hint="eastAsia" w:ascii="仿宋" w:hAnsi="仿宋" w:eastAsia="仿宋" w:cs="仿宋"/>
          <w:u w:val="single"/>
        </w:rPr>
        <w:t>工程一切险、第三者责任险、安全生产责任险由发包人委托承包人投保，工程一切险（按合同总额的3‰计算）、第三者责任险（投保金额为200万元）事故次数不限（不计免赔额），承包人根据保险单及发票纳入工程结算</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pPr>
        <w:spacing w:line="380" w:lineRule="exact"/>
        <w:ind w:firstLine="422" w:firstLineChars="200"/>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18.3 其他保险</w:t>
      </w:r>
    </w:p>
    <w:p>
      <w:pPr>
        <w:spacing w:line="360" w:lineRule="exact"/>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关于其他保险的约定：</w:t>
      </w:r>
      <w:r>
        <w:rPr>
          <w:color w:val="000000" w:themeColor="text1"/>
          <w:u w:val="single"/>
          <w14:textFill>
            <w14:solidFill>
              <w14:schemeClr w14:val="tx1"/>
            </w14:solidFill>
          </w14:textFill>
        </w:rPr>
        <w:t xml:space="preserve">       </w:t>
      </w:r>
      <w:r>
        <w:rPr>
          <w:rFonts w:hint="eastAsia" w:ascii="仿宋" w:hAnsi="仿宋" w:eastAsia="仿宋" w:cs="仿宋"/>
          <w:u w:val="single"/>
        </w:rPr>
        <w:t>农民工工伤保险按规定执行</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pPr>
        <w:spacing w:line="360" w:lineRule="exact"/>
        <w:ind w:firstLine="420" w:firstLineChars="200"/>
        <w:rPr>
          <w:color w:val="000000" w:themeColor="text1"/>
          <w:u w:val="single"/>
          <w14:textFill>
            <w14:solidFill>
              <w14:schemeClr w14:val="tx1"/>
            </w14:solidFill>
          </w14:textFill>
        </w:rPr>
      </w:pPr>
      <w:r>
        <w:rPr>
          <w:color w:val="000000" w:themeColor="text1"/>
          <w14:textFill>
            <w14:solidFill>
              <w14:schemeClr w14:val="tx1"/>
            </w14:solidFill>
          </w14:textFill>
        </w:rPr>
        <w:t>承包人是否应为其施工设备等办理财产保险：</w:t>
      </w:r>
      <w:r>
        <w:rPr>
          <w:color w:val="000000" w:themeColor="text1"/>
          <w:u w:val="single"/>
          <w14:textFill>
            <w14:solidFill>
              <w14:schemeClr w14:val="tx1"/>
            </w14:solidFill>
          </w14:textFill>
        </w:rPr>
        <w:t xml:space="preserve">   </w:t>
      </w:r>
      <w:r>
        <w:rPr>
          <w:rFonts w:hint="eastAsia" w:ascii="仿宋" w:hAnsi="仿宋" w:eastAsia="仿宋" w:cs="仿宋"/>
          <w:u w:val="single"/>
        </w:rPr>
        <w:t>由承包人自行确定</w:t>
      </w:r>
      <w:r>
        <w:rPr>
          <w:color w:val="000000" w:themeColor="text1"/>
          <w:u w:val="single"/>
          <w14:textFill>
            <w14:solidFill>
              <w14:schemeClr w14:val="tx1"/>
            </w14:solidFill>
          </w14:textFill>
        </w:rPr>
        <w:t xml:space="preserve">    </w:t>
      </w:r>
      <w:r>
        <w:rPr>
          <w:color w:val="000000" w:themeColor="text1"/>
          <w14:textFill>
            <w14:solidFill>
              <w14:schemeClr w14:val="tx1"/>
            </w14:solidFill>
          </w14:textFill>
        </w:rPr>
        <w:t>。</w:t>
      </w:r>
    </w:p>
    <w:p>
      <w:pPr>
        <w:spacing w:line="380" w:lineRule="exact"/>
        <w:ind w:firstLine="420" w:firstLineChars="200"/>
        <w:rPr>
          <w:rFonts w:ascii="宋体" w:hAnsi="宋体" w:cs="宋体"/>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18.7 通知义务</w:t>
      </w:r>
    </w:p>
    <w:p>
      <w:pPr>
        <w:spacing w:line="380" w:lineRule="exact"/>
        <w:ind w:firstLine="420" w:firstLineChars="200"/>
        <w:rPr>
          <w:color w:val="auto"/>
        </w:rPr>
      </w:pPr>
      <w:r>
        <w:rPr>
          <w:color w:val="auto"/>
        </w:rPr>
        <w:t>关于变更保险合同时的通知义务的约定：</w:t>
      </w:r>
      <w:r>
        <w:rPr>
          <w:color w:val="auto"/>
          <w:u w:val="single"/>
        </w:rPr>
        <w:t xml:space="preserve"> </w:t>
      </w:r>
      <w:r>
        <w:rPr>
          <w:rFonts w:hint="eastAsia"/>
          <w:color w:val="auto"/>
          <w:u w:val="single"/>
        </w:rPr>
        <w:t xml:space="preserve">按通用条款 </w:t>
      </w:r>
      <w:r>
        <w:rPr>
          <w:color w:val="auto"/>
          <w:u w:val="single"/>
        </w:rPr>
        <w:t xml:space="preserve"> </w:t>
      </w:r>
      <w:r>
        <w:rPr>
          <w:color w:val="auto"/>
        </w:rPr>
        <w:t>。</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20. 争议解决</w:t>
      </w:r>
      <w:bookmarkEnd w:id="726"/>
    </w:p>
    <w:bookmarkEnd w:id="711"/>
    <w:bookmarkEnd w:id="712"/>
    <w:bookmarkEnd w:id="713"/>
    <w:bookmarkEnd w:id="714"/>
    <w:bookmarkEnd w:id="715"/>
    <w:bookmarkEnd w:id="716"/>
    <w:bookmarkEnd w:id="717"/>
    <w:bookmarkEnd w:id="718"/>
    <w:bookmarkEnd w:id="719"/>
    <w:bookmarkEnd w:id="720"/>
    <w:p>
      <w:pPr>
        <w:spacing w:line="360" w:lineRule="exact"/>
        <w:ind w:firstLine="420" w:firstLineChars="200"/>
        <w:rPr>
          <w:color w:val="auto"/>
        </w:rPr>
      </w:pPr>
      <w:r>
        <w:rPr>
          <w:color w:val="auto"/>
        </w:rPr>
        <w:t>20.3 争议评审</w:t>
      </w:r>
    </w:p>
    <w:p>
      <w:pPr>
        <w:spacing w:line="360" w:lineRule="exact"/>
        <w:ind w:firstLine="420" w:firstLineChars="200"/>
        <w:rPr>
          <w:color w:val="auto"/>
        </w:rPr>
      </w:pPr>
      <w:r>
        <w:rPr>
          <w:color w:val="auto"/>
        </w:rPr>
        <w:t>合同当事人是否同意将工程争议提交争议评审小组决定：</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20.3.1 争议评审小组的确定</w:t>
      </w:r>
    </w:p>
    <w:p>
      <w:pPr>
        <w:spacing w:line="360" w:lineRule="exact"/>
        <w:ind w:firstLine="420" w:firstLineChars="200"/>
        <w:rPr>
          <w:color w:val="auto"/>
          <w:u w:val="single"/>
        </w:rPr>
      </w:pPr>
      <w:r>
        <w:rPr>
          <w:color w:val="auto"/>
        </w:rPr>
        <w:t>争议评审小组成员的确定：</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选定争议评审员的期限：</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争议评审小组成员的报酬承担方式：</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其他事项的约定：</w:t>
      </w:r>
      <w:r>
        <w:rPr>
          <w:color w:val="auto"/>
          <w:u w:val="single"/>
        </w:rPr>
        <w:t xml:space="preserve">                   </w:t>
      </w:r>
      <w:r>
        <w:rPr>
          <w:rFonts w:hint="eastAsia"/>
          <w:color w:val="auto"/>
          <w:u w:val="single"/>
        </w:rPr>
        <w:t>/</w:t>
      </w:r>
      <w:r>
        <w:rPr>
          <w:color w:val="auto"/>
          <w:u w:val="single"/>
        </w:rPr>
        <w:t xml:space="preserve">                  </w:t>
      </w:r>
      <w:r>
        <w:rPr>
          <w:color w:val="auto"/>
        </w:rPr>
        <w:t>。</w:t>
      </w:r>
    </w:p>
    <w:p>
      <w:pPr>
        <w:spacing w:line="360" w:lineRule="exact"/>
        <w:ind w:firstLine="420" w:firstLineChars="200"/>
        <w:rPr>
          <w:color w:val="auto"/>
        </w:rPr>
      </w:pPr>
      <w:r>
        <w:rPr>
          <w:color w:val="auto"/>
        </w:rPr>
        <w:t>20.3.2 争议评审小组的决定</w:t>
      </w:r>
    </w:p>
    <w:p>
      <w:pPr>
        <w:spacing w:line="360" w:lineRule="exact"/>
        <w:ind w:firstLine="420" w:firstLineChars="200"/>
        <w:rPr>
          <w:color w:val="auto"/>
          <w:u w:val="single"/>
        </w:rPr>
      </w:pPr>
      <w:r>
        <w:rPr>
          <w:color w:val="auto"/>
        </w:rPr>
        <w:t>合同当事人关于本项的约定：</w:t>
      </w:r>
      <w:r>
        <w:rPr>
          <w:color w:val="auto"/>
          <w:u w:val="single"/>
        </w:rPr>
        <w:t xml:space="preserve">  </w:t>
      </w:r>
      <w:r>
        <w:rPr>
          <w:rFonts w:hint="eastAsia"/>
          <w:color w:val="auto"/>
          <w:u w:val="single"/>
        </w:rPr>
        <w:t>按通用条款规定执行</w:t>
      </w:r>
      <w:r>
        <w:rPr>
          <w:color w:val="auto"/>
          <w:u w:val="single"/>
        </w:rPr>
        <w:t>。</w:t>
      </w:r>
    </w:p>
    <w:p>
      <w:pPr>
        <w:spacing w:line="360" w:lineRule="exact"/>
        <w:ind w:firstLine="420" w:firstLineChars="200"/>
        <w:rPr>
          <w:color w:val="auto"/>
          <w:u w:val="single"/>
        </w:rPr>
      </w:pPr>
      <w:r>
        <w:rPr>
          <w:color w:val="auto"/>
          <w:u w:val="single"/>
        </w:rPr>
        <w:t>20.3.3 争议评审小组决定的效力：</w:t>
      </w:r>
      <w:r>
        <w:rPr>
          <w:rFonts w:hint="eastAsia"/>
          <w:color w:val="auto"/>
          <w:u w:val="single"/>
        </w:rPr>
        <w:t>按通用条款规定执行</w:t>
      </w:r>
      <w:r>
        <w:rPr>
          <w:color w:val="auto"/>
          <w:u w:val="single"/>
        </w:rPr>
        <w:t>。</w:t>
      </w:r>
    </w:p>
    <w:p>
      <w:pPr>
        <w:spacing w:line="360" w:lineRule="exact"/>
        <w:ind w:firstLine="420" w:firstLineChars="200"/>
        <w:rPr>
          <w:color w:val="auto"/>
        </w:rPr>
      </w:pPr>
      <w:r>
        <w:rPr>
          <w:color w:val="auto"/>
        </w:rPr>
        <w:t>20.4仲裁或诉讼</w:t>
      </w:r>
    </w:p>
    <w:p>
      <w:pPr>
        <w:spacing w:line="360" w:lineRule="exact"/>
        <w:ind w:firstLine="420" w:firstLineChars="200"/>
        <w:rPr>
          <w:color w:val="auto"/>
        </w:rPr>
      </w:pPr>
      <w:r>
        <w:rPr>
          <w:color w:val="auto"/>
        </w:rPr>
        <w:t>因合同及合同有关事项发生的争议，按下列第</w:t>
      </w:r>
      <w:r>
        <w:rPr>
          <w:color w:val="auto"/>
          <w:u w:val="single"/>
        </w:rPr>
        <w:t xml:space="preserve"> </w:t>
      </w:r>
      <w:r>
        <w:rPr>
          <w:rFonts w:hint="eastAsia"/>
          <w:color w:val="auto"/>
          <w:u w:val="single"/>
        </w:rPr>
        <w:t>（2）</w:t>
      </w:r>
      <w:r>
        <w:rPr>
          <w:color w:val="auto"/>
          <w:u w:val="single"/>
        </w:rPr>
        <w:t xml:space="preserve"> </w:t>
      </w:r>
      <w:r>
        <w:rPr>
          <w:color w:val="auto"/>
        </w:rPr>
        <w:t>种方式解决：</w:t>
      </w:r>
    </w:p>
    <w:p>
      <w:pPr>
        <w:spacing w:line="360" w:lineRule="exact"/>
        <w:ind w:firstLine="420" w:firstLineChars="200"/>
        <w:rPr>
          <w:color w:val="auto"/>
        </w:rPr>
      </w:pPr>
      <w:r>
        <w:rPr>
          <w:color w:val="auto"/>
        </w:rPr>
        <w:t>（1）向</w:t>
      </w:r>
      <w:r>
        <w:rPr>
          <w:rFonts w:hint="eastAsia"/>
          <w:color w:val="auto"/>
          <w:u w:val="single"/>
        </w:rPr>
        <w:t xml:space="preserve">  </w:t>
      </w:r>
      <w:r>
        <w:rPr>
          <w:color w:val="auto"/>
          <w:u w:val="single"/>
        </w:rPr>
        <w:t>台州</w:t>
      </w:r>
      <w:r>
        <w:rPr>
          <w:rFonts w:hint="eastAsia"/>
          <w:color w:val="auto"/>
          <w:u w:val="single"/>
        </w:rPr>
        <w:t xml:space="preserve"> </w:t>
      </w:r>
      <w:r>
        <w:rPr>
          <w:color w:val="auto"/>
        </w:rPr>
        <w:t>仲裁委员会申请仲裁；</w:t>
      </w:r>
    </w:p>
    <w:p>
      <w:pPr>
        <w:spacing w:line="360" w:lineRule="exact"/>
        <w:ind w:firstLine="420" w:firstLineChars="200"/>
        <w:rPr>
          <w:color w:val="auto"/>
        </w:rPr>
      </w:pPr>
      <w:r>
        <w:rPr>
          <w:color w:val="auto"/>
        </w:rPr>
        <w:t>（2）向</w:t>
      </w:r>
      <w:r>
        <w:rPr>
          <w:rFonts w:hint="eastAsia"/>
          <w:color w:val="auto"/>
          <w:u w:val="single"/>
        </w:rPr>
        <w:t xml:space="preserve"> </w:t>
      </w:r>
      <w:r>
        <w:rPr>
          <w:rFonts w:hint="eastAsia" w:ascii="宋体" w:hAnsi="宋体"/>
          <w:color w:val="auto"/>
          <w:u w:val="single"/>
        </w:rPr>
        <w:t xml:space="preserve">三门县 </w:t>
      </w:r>
      <w:r>
        <w:rPr>
          <w:color w:val="auto"/>
        </w:rPr>
        <w:t>人民法院起诉。</w:t>
      </w:r>
    </w:p>
    <w:p>
      <w:pPr>
        <w:widowControl w:val="0"/>
        <w:kinsoku/>
        <w:autoSpaceDE/>
        <w:autoSpaceDN/>
        <w:adjustRightInd/>
        <w:snapToGrid/>
        <w:spacing w:line="360" w:lineRule="exact"/>
        <w:ind w:firstLine="456" w:firstLineChars="200"/>
        <w:textAlignment w:val="auto"/>
        <w:rPr>
          <w:rFonts w:ascii="宋体" w:hAnsi="宋体" w:eastAsia="宋体" w:cs="宋体"/>
        </w:rPr>
      </w:pPr>
      <w:r>
        <w:rPr>
          <w:rFonts w:hint="eastAsia" w:ascii="宋体" w:hAnsi="宋体" w:eastAsia="宋体" w:cs="宋体"/>
          <w:spacing w:val="9"/>
          <w:position w:val="1"/>
        </w:rPr>
        <w:t>2</w:t>
      </w:r>
      <w:r>
        <w:rPr>
          <w:rFonts w:hint="eastAsia" w:ascii="宋体" w:hAnsi="宋体" w:eastAsia="宋体" w:cs="宋体"/>
          <w:spacing w:val="7"/>
          <w:position w:val="1"/>
        </w:rPr>
        <w:t>1．补充条款</w:t>
      </w:r>
    </w:p>
    <w:p>
      <w:pPr>
        <w:spacing w:line="360" w:lineRule="exact"/>
        <w:ind w:firstLine="420" w:firstLineChars="200"/>
        <w:rPr>
          <w:rFonts w:eastAsia="宋体" w:cs="Times New Roman"/>
          <w:color w:val="auto"/>
        </w:rPr>
      </w:pPr>
      <w:r>
        <w:rPr>
          <w:rFonts w:hint="eastAsia" w:eastAsia="宋体" w:cs="Times New Roman"/>
          <w:color w:val="auto"/>
        </w:rPr>
        <w:t>21.1监理人在处理以下事项时必须经发包人审查同意、书面签认后，方可将确认结果回复予承包人，未经发包人书面签认的答复无效：</w:t>
      </w:r>
    </w:p>
    <w:p>
      <w:pPr>
        <w:spacing w:line="360" w:lineRule="exact"/>
        <w:ind w:firstLine="420" w:firstLineChars="200"/>
        <w:rPr>
          <w:rFonts w:eastAsia="宋体" w:cs="Times New Roman"/>
          <w:color w:val="auto"/>
        </w:rPr>
      </w:pPr>
      <w:r>
        <w:rPr>
          <w:rFonts w:hint="eastAsia" w:eastAsia="宋体" w:cs="Times New Roman"/>
          <w:color w:val="auto"/>
        </w:rPr>
        <w:tab/>
      </w:r>
      <w:r>
        <w:rPr>
          <w:rFonts w:hint="eastAsia" w:eastAsia="宋体" w:cs="Times New Roman"/>
          <w:color w:val="auto"/>
        </w:rPr>
        <w:t>(1) 工程计量；</w:t>
      </w:r>
    </w:p>
    <w:p>
      <w:pPr>
        <w:spacing w:line="360" w:lineRule="exact"/>
        <w:ind w:firstLine="420" w:firstLineChars="200"/>
        <w:rPr>
          <w:rFonts w:eastAsia="宋体" w:cs="Times New Roman"/>
          <w:color w:val="auto"/>
        </w:rPr>
      </w:pPr>
      <w:r>
        <w:rPr>
          <w:rFonts w:hint="eastAsia" w:eastAsia="宋体" w:cs="Times New Roman"/>
          <w:color w:val="auto"/>
        </w:rPr>
        <w:tab/>
      </w:r>
      <w:r>
        <w:rPr>
          <w:rFonts w:hint="eastAsia" w:eastAsia="宋体" w:cs="Times New Roman"/>
          <w:color w:val="auto"/>
        </w:rPr>
        <w:t>(2) 工程价款 (包括工程预付款、进度款、结算款) 的确认和支付；</w:t>
      </w:r>
    </w:p>
    <w:p>
      <w:pPr>
        <w:spacing w:line="360" w:lineRule="exact"/>
        <w:ind w:firstLine="420" w:firstLineChars="200"/>
        <w:rPr>
          <w:rFonts w:eastAsia="宋体" w:cs="Times New Roman"/>
          <w:color w:val="auto"/>
        </w:rPr>
      </w:pPr>
      <w:r>
        <w:rPr>
          <w:rFonts w:hint="eastAsia" w:eastAsia="宋体" w:cs="Times New Roman"/>
          <w:color w:val="auto"/>
        </w:rPr>
        <w:tab/>
      </w:r>
      <w:r>
        <w:rPr>
          <w:rFonts w:hint="eastAsia" w:eastAsia="宋体" w:cs="Times New Roman"/>
          <w:color w:val="auto"/>
        </w:rPr>
        <w:t>(3) 工程变更和价格调整；</w:t>
      </w:r>
    </w:p>
    <w:p>
      <w:pPr>
        <w:spacing w:line="360" w:lineRule="exact"/>
        <w:ind w:firstLine="420" w:firstLineChars="200"/>
        <w:rPr>
          <w:rFonts w:eastAsia="宋体" w:cs="Times New Roman"/>
          <w:color w:val="auto"/>
        </w:rPr>
      </w:pPr>
      <w:r>
        <w:rPr>
          <w:rFonts w:hint="eastAsia" w:eastAsia="宋体" w:cs="Times New Roman"/>
          <w:color w:val="auto"/>
        </w:rPr>
        <w:tab/>
      </w:r>
      <w:r>
        <w:rPr>
          <w:rFonts w:hint="eastAsia" w:eastAsia="宋体" w:cs="Times New Roman"/>
          <w:color w:val="auto"/>
        </w:rPr>
        <w:t>(4) 竣工结算；</w:t>
      </w:r>
    </w:p>
    <w:p>
      <w:pPr>
        <w:spacing w:line="360" w:lineRule="exact"/>
        <w:ind w:firstLine="420" w:firstLineChars="200"/>
        <w:rPr>
          <w:rFonts w:eastAsia="宋体" w:cs="Times New Roman"/>
          <w:color w:val="auto"/>
        </w:rPr>
      </w:pPr>
      <w:r>
        <w:rPr>
          <w:rFonts w:hint="eastAsia" w:eastAsia="宋体" w:cs="Times New Roman"/>
          <w:color w:val="auto"/>
        </w:rPr>
        <w:tab/>
      </w:r>
      <w:r>
        <w:rPr>
          <w:rFonts w:hint="eastAsia" w:eastAsia="宋体" w:cs="Times New Roman"/>
          <w:color w:val="auto"/>
        </w:rPr>
        <w:t>(5) 工期确认 (包括开工日期、竣工日期、工期延误的确认) ；</w:t>
      </w:r>
    </w:p>
    <w:p>
      <w:pPr>
        <w:spacing w:line="360" w:lineRule="exact"/>
        <w:ind w:firstLine="420" w:firstLineChars="200"/>
        <w:rPr>
          <w:rFonts w:eastAsia="宋体" w:cs="Times New Roman"/>
          <w:color w:val="auto"/>
        </w:rPr>
      </w:pPr>
      <w:r>
        <w:rPr>
          <w:rFonts w:hint="eastAsia" w:eastAsia="宋体" w:cs="Times New Roman"/>
          <w:color w:val="auto"/>
        </w:rPr>
        <w:tab/>
      </w:r>
      <w:r>
        <w:rPr>
          <w:rFonts w:hint="eastAsia" w:eastAsia="宋体" w:cs="Times New Roman"/>
          <w:color w:val="auto"/>
        </w:rPr>
        <w:t>(6) 索赔处理。</w:t>
      </w:r>
    </w:p>
    <w:p>
      <w:pPr>
        <w:spacing w:line="360" w:lineRule="exact"/>
        <w:ind w:firstLine="420" w:firstLineChars="200"/>
        <w:rPr>
          <w:rFonts w:eastAsia="宋体" w:cs="Times New Roman"/>
          <w:color w:val="auto"/>
        </w:rPr>
      </w:pPr>
      <w:r>
        <w:rPr>
          <w:rFonts w:hint="eastAsia" w:eastAsia="宋体" w:cs="Times New Roman"/>
          <w:color w:val="auto"/>
        </w:rPr>
        <w:t>21.2 承包人必须按期负责其劳务及职员的雇佣、工资的支付。发包人有权监督承包人对工人工资的发放，因承包人在雇佣、工资的支付等方面造成较坏社会影响 (如上访、劳动仲裁、斗殴、媒体报道等) ，发包人有权没收全部履约保证金。必要时可直接向工人支付劳工工资。并有权直接从进度款或结算款中予以扣除。</w:t>
      </w:r>
    </w:p>
    <w:p>
      <w:pPr>
        <w:spacing w:line="360" w:lineRule="exact"/>
        <w:ind w:firstLine="420" w:firstLineChars="200"/>
        <w:rPr>
          <w:rFonts w:eastAsia="宋体" w:cs="Times New Roman"/>
          <w:color w:val="auto"/>
        </w:rPr>
      </w:pPr>
      <w:r>
        <w:rPr>
          <w:rFonts w:hint="eastAsia" w:eastAsia="宋体" w:cs="Times New Roman"/>
          <w:color w:val="auto"/>
        </w:rPr>
        <w:t>21.3 如发生承包人原因造成工期延误，承包人向发包人支付误期赔偿费后，并不免除或减轻由此引发的监理延长服务时间所需的监理费，此费用由承包人承担酬金支付，相关服务收费按相关服务工作所需工日和《建设工程监理与相关服务人员人工日费用标准》 (建设工程监理与相关服务收费管理规定附表四) 收费。</w:t>
      </w:r>
    </w:p>
    <w:p>
      <w:pPr>
        <w:spacing w:line="360" w:lineRule="exact"/>
        <w:ind w:firstLine="420" w:firstLineChars="200"/>
        <w:rPr>
          <w:rFonts w:eastAsia="宋体" w:cs="Times New Roman"/>
          <w:color w:val="auto"/>
        </w:rPr>
      </w:pPr>
      <w:r>
        <w:rPr>
          <w:rFonts w:hint="eastAsia" w:eastAsia="宋体" w:cs="Times New Roman"/>
          <w:color w:val="auto"/>
        </w:rPr>
        <w:t>21.4承包须按文明施工要求施工，工完场清，清理费用承包人自行承担。</w:t>
      </w:r>
    </w:p>
    <w:p>
      <w:pPr>
        <w:spacing w:line="360" w:lineRule="exact"/>
        <w:ind w:firstLine="420" w:firstLineChars="200"/>
        <w:rPr>
          <w:rFonts w:eastAsia="宋体" w:cs="Times New Roman"/>
          <w:color w:val="auto"/>
        </w:rPr>
      </w:pPr>
      <w:r>
        <w:rPr>
          <w:rFonts w:hint="eastAsia" w:eastAsia="宋体" w:cs="Times New Roman"/>
          <w:color w:val="auto"/>
        </w:rPr>
        <w:t>21.5双方同意，若对本工程质量有争议，则由发包人指定的鉴定机构鉴定，鉴定费用由造成质量瑕疵的责任方承担。</w:t>
      </w:r>
    </w:p>
    <w:p>
      <w:pPr>
        <w:spacing w:line="360" w:lineRule="exact"/>
        <w:ind w:firstLine="420" w:firstLineChars="200"/>
        <w:rPr>
          <w:rFonts w:eastAsia="宋体" w:cs="Times New Roman"/>
          <w:color w:val="auto"/>
        </w:rPr>
      </w:pPr>
      <w:r>
        <w:rPr>
          <w:rFonts w:hint="eastAsia" w:eastAsia="宋体" w:cs="Times New Roman"/>
          <w:color w:val="auto"/>
        </w:rPr>
        <w:t>21.6本工程的施工现场执行《建筑施工安全检查标准》 (JGJ59-2011) 。承包人必须按国家有关规定，切实落实各项安全技术措施，确保施工现场的安全生产和文明施工。在施工过程中由于承包人原因而发生的人身伤亡、财产损失及其它一切事故，其责任全部由承包人承担。</w:t>
      </w:r>
    </w:p>
    <w:p>
      <w:pPr>
        <w:spacing w:line="360" w:lineRule="exact"/>
        <w:ind w:firstLine="420" w:firstLineChars="200"/>
        <w:rPr>
          <w:rFonts w:eastAsia="宋体" w:cs="Times New Roman"/>
          <w:color w:val="auto"/>
        </w:rPr>
      </w:pPr>
      <w:r>
        <w:rPr>
          <w:rFonts w:hint="eastAsia" w:eastAsia="宋体" w:cs="Times New Roman"/>
          <w:color w:val="auto"/>
        </w:rPr>
        <w:t>21.7承包人在中标后7天内，按业主方通知要求的每种灯具送样，进行现场试灯，并按业主方要求送至业主方认可的具有相应资质的第三方检测机构，进检测试验(需在业主规定的时间内完成检测，具体时间由业主书面通知为准)，检测结果达到发包人、设计要求的，灯具方可进场；若检测结果不能达到发包人、设计要求的，承包人需无条件更换，若更换后仍不能达到发包人、设计要求的，一次性扣除履约担保金的5% 。由此产生的费用已包含在合同价内，不再另行计取。由于上述非发包人原因导致工期延误，后果由承包人承担。</w:t>
      </w:r>
    </w:p>
    <w:p>
      <w:pPr>
        <w:spacing w:line="360" w:lineRule="exact"/>
        <w:ind w:firstLine="420" w:firstLineChars="200"/>
        <w:rPr>
          <w:rFonts w:eastAsia="宋体" w:cs="Times New Roman"/>
          <w:color w:val="auto"/>
        </w:rPr>
      </w:pPr>
      <w:r>
        <w:rPr>
          <w:rFonts w:hint="eastAsia" w:eastAsia="宋体" w:cs="Times New Roman"/>
          <w:color w:val="auto"/>
        </w:rPr>
        <w:t>21.8若在发包人抽检灯具产品时，送检的灯具产品检测不合格的，则承包人无条件拆除已安装的同批次灯具并重新供货，后续的批次灯具送检费用、重新制作安装涉及的一切费用由承包人自行承担，结算时不另行计取。当抽检发现灯具产品不合格时，工程款暂停支付，直至灯具检测合格时恢复工程款支付；若出现两次及以上抽检不合格时，一次性扣除履约担保金的5%。</w:t>
      </w:r>
    </w:p>
    <w:p>
      <w:pPr>
        <w:spacing w:line="360" w:lineRule="exact"/>
        <w:ind w:firstLine="420" w:firstLineChars="200"/>
        <w:rPr>
          <w:rFonts w:eastAsia="宋体" w:cs="Times New Roman"/>
          <w:color w:val="auto"/>
        </w:rPr>
      </w:pPr>
      <w:r>
        <w:rPr>
          <w:rFonts w:hint="eastAsia" w:eastAsia="宋体" w:cs="Times New Roman"/>
          <w:color w:val="auto"/>
        </w:rPr>
        <w:t>21.9承包人提供的灯具产品生产日期须为2020年1月1日之后，当抽检发现灯具产品生产日期不符合要求时，承包人需无条件更换；若出现两次及以上抽检不合格时，一次性扣除履约担保金的5%。</w:t>
      </w:r>
    </w:p>
    <w:p>
      <w:pPr>
        <w:spacing w:line="360" w:lineRule="exact"/>
        <w:ind w:firstLine="420" w:firstLineChars="200"/>
        <w:rPr>
          <w:rFonts w:ascii="宋体" w:hAnsi="宋体"/>
          <w:color w:val="auto"/>
        </w:rPr>
      </w:pPr>
    </w:p>
    <w:p>
      <w:pPr>
        <w:spacing w:line="360" w:lineRule="exact"/>
        <w:rPr>
          <w:rFonts w:eastAsiaTheme="minorEastAsia"/>
          <w:color w:val="auto"/>
        </w:rPr>
      </w:pPr>
    </w:p>
    <w:p>
      <w:pPr>
        <w:spacing w:line="360" w:lineRule="auto"/>
        <w:rPr>
          <w:color w:val="auto"/>
          <w:u w:val="single"/>
        </w:rPr>
      </w:pPr>
      <w:r>
        <w:rPr>
          <w:color w:val="auto"/>
        </w:rPr>
        <w:t>发包人(公章)：</w:t>
      </w:r>
      <w:r>
        <w:rPr>
          <w:color w:val="auto"/>
          <w:u w:val="single"/>
        </w:rPr>
        <w:t xml:space="preserve">        </w:t>
      </w:r>
      <w:r>
        <w:rPr>
          <w:rFonts w:hint="eastAsia"/>
          <w:color w:val="auto"/>
          <w:u w:val="single"/>
        </w:rPr>
        <w:t xml:space="preserve">                 </w:t>
      </w:r>
      <w:r>
        <w:rPr>
          <w:color w:val="auto"/>
        </w:rPr>
        <w:t xml:space="preserve"> 承包人(公章)：</w:t>
      </w:r>
      <w:r>
        <w:rPr>
          <w:color w:val="auto"/>
          <w:u w:val="single"/>
        </w:rPr>
        <w:t xml:space="preserve">      </w:t>
      </w:r>
      <w:r>
        <w:rPr>
          <w:rFonts w:hint="eastAsia"/>
          <w:color w:val="auto"/>
          <w:u w:val="single"/>
        </w:rPr>
        <w:t xml:space="preserve">                        </w:t>
      </w:r>
      <w:r>
        <w:rPr>
          <w:color w:val="auto"/>
          <w:u w:val="single"/>
        </w:rPr>
        <w:t>     </w:t>
      </w:r>
    </w:p>
    <w:p>
      <w:pPr>
        <w:spacing w:line="360" w:lineRule="auto"/>
        <w:rPr>
          <w:color w:val="auto"/>
        </w:rPr>
      </w:pPr>
      <w:r>
        <w:rPr>
          <w:color w:val="auto"/>
        </w:rPr>
        <w:t>地  址：</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地  址：</w:t>
      </w:r>
      <w:r>
        <w:rPr>
          <w:rFonts w:hint="eastAsia"/>
          <w:color w:val="auto"/>
          <w:u w:val="single"/>
        </w:rPr>
        <w:t xml:space="preserve">                             </w:t>
      </w:r>
      <w:r>
        <w:rPr>
          <w:color w:val="auto"/>
          <w:u w:val="single"/>
        </w:rPr>
        <w:t>     </w:t>
      </w:r>
    </w:p>
    <w:p>
      <w:pPr>
        <w:spacing w:line="360" w:lineRule="auto"/>
        <w:rPr>
          <w:color w:val="auto"/>
          <w:u w:val="single"/>
        </w:rPr>
      </w:pPr>
      <w:r>
        <w:rPr>
          <w:color w:val="auto"/>
        </w:rPr>
        <w:t>法定代表人(签字)：</w:t>
      </w:r>
      <w:r>
        <w:rPr>
          <w:color w:val="auto"/>
          <w:u w:val="single"/>
        </w:rPr>
        <w:t xml:space="preserve">        </w:t>
      </w:r>
      <w:r>
        <w:rPr>
          <w:rFonts w:hint="eastAsia"/>
          <w:color w:val="auto"/>
          <w:u w:val="single"/>
        </w:rPr>
        <w:t xml:space="preserve">              </w:t>
      </w:r>
      <w:r>
        <w:rPr>
          <w:color w:val="auto"/>
        </w:rPr>
        <w:t xml:space="preserve"> 法定代表人(签字)：</w:t>
      </w:r>
      <w:r>
        <w:rPr>
          <w:color w:val="auto"/>
          <w:u w:val="single"/>
        </w:rPr>
        <w:t xml:space="preserve"> </w:t>
      </w:r>
      <w:r>
        <w:rPr>
          <w:rFonts w:hint="eastAsia"/>
          <w:color w:val="auto"/>
          <w:u w:val="single"/>
        </w:rPr>
        <w:t xml:space="preserve">                       </w:t>
      </w:r>
      <w:r>
        <w:rPr>
          <w:color w:val="auto"/>
          <w:u w:val="single"/>
        </w:rPr>
        <w:t>     </w:t>
      </w:r>
    </w:p>
    <w:p>
      <w:pPr>
        <w:spacing w:line="360" w:lineRule="auto"/>
        <w:rPr>
          <w:color w:val="auto"/>
          <w:u w:val="single"/>
        </w:rPr>
      </w:pPr>
      <w:r>
        <w:rPr>
          <w:color w:val="auto"/>
        </w:rPr>
        <w:t>委托代理人(签字)：</w:t>
      </w:r>
      <w:r>
        <w:rPr>
          <w:color w:val="auto"/>
          <w:u w:val="single"/>
        </w:rPr>
        <w:t xml:space="preserve">       </w:t>
      </w:r>
      <w:r>
        <w:rPr>
          <w:rFonts w:hint="eastAsia"/>
          <w:color w:val="auto"/>
          <w:u w:val="single"/>
        </w:rPr>
        <w:t xml:space="preserve">                </w:t>
      </w:r>
      <w:r>
        <w:rPr>
          <w:color w:val="auto"/>
        </w:rPr>
        <w:t xml:space="preserve"> 委托代理人(签字)：</w:t>
      </w:r>
      <w:r>
        <w:rPr>
          <w:rFonts w:hint="eastAsia"/>
          <w:color w:val="auto"/>
          <w:u w:val="single"/>
        </w:rPr>
        <w:t xml:space="preserve">                       </w:t>
      </w:r>
      <w:r>
        <w:rPr>
          <w:color w:val="auto"/>
          <w:u w:val="single"/>
        </w:rPr>
        <w:t>     </w:t>
      </w:r>
    </w:p>
    <w:p>
      <w:pPr>
        <w:spacing w:line="360" w:lineRule="auto"/>
        <w:rPr>
          <w:color w:val="auto"/>
        </w:rPr>
      </w:pPr>
      <w:r>
        <w:rPr>
          <w:color w:val="auto"/>
        </w:rPr>
        <w:t>电  话：</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电  话：</w:t>
      </w:r>
      <w:r>
        <w:rPr>
          <w:color w:val="auto"/>
          <w:u w:val="single"/>
        </w:rPr>
        <w:t xml:space="preserve"> </w:t>
      </w:r>
      <w:r>
        <w:rPr>
          <w:rFonts w:hint="eastAsia"/>
          <w:color w:val="auto"/>
          <w:u w:val="single"/>
        </w:rPr>
        <w:t xml:space="preserve">                       </w:t>
      </w:r>
      <w:r>
        <w:rPr>
          <w:color w:val="auto"/>
          <w:u w:val="single"/>
        </w:rPr>
        <w:t>     </w:t>
      </w:r>
    </w:p>
    <w:p>
      <w:pPr>
        <w:spacing w:line="360" w:lineRule="exact"/>
        <w:rPr>
          <w:color w:val="auto"/>
          <w:u w:val="single"/>
        </w:rPr>
      </w:pPr>
      <w:r>
        <w:rPr>
          <w:color w:val="auto"/>
        </w:rPr>
        <w:t>传  真：</w:t>
      </w:r>
      <w:r>
        <w:rPr>
          <w:color w:val="auto"/>
          <w:u w:val="single"/>
        </w:rPr>
        <w:t xml:space="preserve">              </w:t>
      </w:r>
      <w:r>
        <w:rPr>
          <w:rFonts w:hint="eastAsia"/>
          <w:color w:val="auto"/>
          <w:u w:val="single"/>
        </w:rPr>
        <w:t xml:space="preserve">             </w:t>
      </w:r>
      <w:r>
        <w:rPr>
          <w:color w:val="auto"/>
          <w:u w:val="single"/>
        </w:rPr>
        <w:t xml:space="preserve">        </w:t>
      </w:r>
      <w:r>
        <w:rPr>
          <w:color w:val="auto"/>
        </w:rPr>
        <w:t xml:space="preserve"> 传  真：</w:t>
      </w:r>
      <w:r>
        <w:rPr>
          <w:rFonts w:hint="eastAsia"/>
          <w:color w:val="auto"/>
          <w:u w:val="single"/>
        </w:rPr>
        <w:t xml:space="preserve">                       </w:t>
      </w:r>
      <w:r>
        <w:rPr>
          <w:color w:val="auto"/>
          <w:u w:val="single"/>
        </w:rPr>
        <w:t>     </w:t>
      </w:r>
    </w:p>
    <w:p>
      <w:pPr>
        <w:pStyle w:val="7"/>
        <w:spacing w:before="0" w:after="0" w:line="560" w:lineRule="exact"/>
        <w:ind w:firstLine="525" w:firstLineChars="249"/>
        <w:rPr>
          <w:rFonts w:ascii="Times New Roman" w:hAnsi="Times New Roman"/>
          <w:b w:val="0"/>
          <w:color w:val="auto"/>
          <w:szCs w:val="21"/>
        </w:rPr>
      </w:pPr>
      <w:bookmarkStart w:id="727" w:name="_Toc351203652"/>
      <w:r>
        <w:rPr>
          <w:rFonts w:ascii="Times New Roman" w:hAnsi="Times New Roman"/>
          <w:color w:val="auto"/>
          <w:sz w:val="21"/>
          <w:szCs w:val="21"/>
        </w:rPr>
        <w:br w:type="page"/>
      </w:r>
      <w:r>
        <w:rPr>
          <w:rFonts w:ascii="Times New Roman" w:hAnsi="Times New Roman"/>
          <w:color w:val="auto"/>
          <w:sz w:val="21"/>
          <w:szCs w:val="21"/>
        </w:rPr>
        <w:t>附件</w:t>
      </w:r>
      <w:bookmarkEnd w:id="727"/>
    </w:p>
    <w:p>
      <w:pPr>
        <w:spacing w:line="560" w:lineRule="exact"/>
        <w:ind w:firstLine="420" w:firstLineChars="200"/>
        <w:rPr>
          <w:color w:val="auto"/>
        </w:rPr>
      </w:pPr>
      <w:r>
        <w:rPr>
          <w:color w:val="auto"/>
        </w:rPr>
        <w:t>专用合同条款附件：</w:t>
      </w:r>
    </w:p>
    <w:p>
      <w:pPr>
        <w:spacing w:line="560" w:lineRule="exact"/>
        <w:ind w:firstLine="420" w:firstLineChars="200"/>
        <w:rPr>
          <w:color w:val="auto"/>
        </w:rPr>
      </w:pPr>
      <w:r>
        <w:rPr>
          <w:color w:val="auto"/>
        </w:rPr>
        <w:t>附件3：工程质量保修书</w:t>
      </w:r>
    </w:p>
    <w:p>
      <w:pPr>
        <w:spacing w:line="560" w:lineRule="exact"/>
        <w:ind w:firstLine="420" w:firstLineChars="200"/>
        <w:rPr>
          <w:color w:val="auto"/>
        </w:rPr>
        <w:sectPr>
          <w:pgSz w:w="11906" w:h="16838"/>
          <w:pgMar w:top="1418" w:right="1554" w:bottom="1418" w:left="1531" w:header="851" w:footer="992" w:gutter="0"/>
          <w:cols w:space="720" w:num="1"/>
          <w:docGrid w:type="lines" w:linePitch="312" w:charSpace="0"/>
        </w:sectPr>
      </w:pPr>
      <w:r>
        <w:rPr>
          <w:rFonts w:hint="eastAsia"/>
          <w:color w:val="auto"/>
        </w:rPr>
        <w:t>附件11：暂估价一览表</w:t>
      </w:r>
    </w:p>
    <w:p>
      <w:pPr>
        <w:pStyle w:val="7"/>
        <w:spacing w:before="0" w:after="0" w:line="360" w:lineRule="exact"/>
        <w:ind w:firstLine="422" w:firstLineChars="200"/>
        <w:rPr>
          <w:rFonts w:ascii="Times New Roman" w:hAnsi="Times New Roman"/>
          <w:color w:val="auto"/>
          <w:sz w:val="21"/>
          <w:szCs w:val="21"/>
        </w:rPr>
      </w:pPr>
      <w:r>
        <w:rPr>
          <w:rFonts w:ascii="Times New Roman" w:hAnsi="Times New Roman"/>
          <w:color w:val="auto"/>
          <w:sz w:val="21"/>
          <w:szCs w:val="21"/>
        </w:rPr>
        <w:t>附</w:t>
      </w:r>
      <w:bookmarkStart w:id="728" w:name="_Toc296503226"/>
      <w:bookmarkStart w:id="729" w:name="_Toc267261693"/>
      <w:bookmarkStart w:id="730" w:name="_Toc296347225"/>
      <w:bookmarkStart w:id="731" w:name="_Toc296346727"/>
      <w:bookmarkStart w:id="732" w:name="_Toc296891266"/>
      <w:bookmarkStart w:id="733" w:name="_Toc296944565"/>
      <w:bookmarkStart w:id="734" w:name="_Toc296891054"/>
      <w:r>
        <w:rPr>
          <w:rFonts w:ascii="Times New Roman" w:hAnsi="Times New Roman"/>
          <w:color w:val="auto"/>
          <w:sz w:val="21"/>
          <w:szCs w:val="21"/>
        </w:rPr>
        <w:t>件3：</w:t>
      </w:r>
      <w:bookmarkEnd w:id="728"/>
      <w:bookmarkEnd w:id="729"/>
      <w:bookmarkEnd w:id="730"/>
      <w:bookmarkEnd w:id="731"/>
      <w:bookmarkEnd w:id="732"/>
      <w:bookmarkEnd w:id="733"/>
      <w:bookmarkEnd w:id="734"/>
      <w:r>
        <w:rPr>
          <w:rFonts w:ascii="Times New Roman" w:hAnsi="Times New Roman"/>
          <w:color w:val="auto"/>
          <w:sz w:val="21"/>
          <w:szCs w:val="21"/>
        </w:rPr>
        <w:t xml:space="preserve">    </w:t>
      </w:r>
    </w:p>
    <w:p>
      <w:pPr>
        <w:spacing w:line="360" w:lineRule="exact"/>
        <w:ind w:firstLine="480" w:firstLineChars="200"/>
        <w:jc w:val="center"/>
        <w:rPr>
          <w:rFonts w:eastAsia="黑体"/>
          <w:bCs/>
          <w:color w:val="auto"/>
          <w:sz w:val="24"/>
        </w:rPr>
      </w:pPr>
      <w:r>
        <w:rPr>
          <w:rFonts w:eastAsia="黑体"/>
          <w:bCs/>
          <w:color w:val="auto"/>
          <w:sz w:val="24"/>
        </w:rPr>
        <w:t>工程质量保修书</w:t>
      </w:r>
    </w:p>
    <w:p>
      <w:pPr>
        <w:spacing w:line="360" w:lineRule="exact"/>
        <w:ind w:firstLine="480" w:firstLineChars="200"/>
        <w:rPr>
          <w:rFonts w:eastAsia="黑体"/>
          <w:bCs/>
          <w:color w:val="auto"/>
          <w:sz w:val="24"/>
        </w:rPr>
      </w:pPr>
    </w:p>
    <w:p>
      <w:pPr>
        <w:spacing w:line="400" w:lineRule="exact"/>
        <w:ind w:firstLine="420" w:firstLineChars="200"/>
        <w:rPr>
          <w:bCs/>
          <w:color w:val="auto"/>
        </w:rPr>
      </w:pPr>
      <w:r>
        <w:rPr>
          <w:bCs/>
          <w:color w:val="auto"/>
        </w:rPr>
        <w:t>发包人（全称）：</w:t>
      </w:r>
      <w:r>
        <w:rPr>
          <w:bCs/>
          <w:color w:val="auto"/>
          <w:u w:val="single"/>
        </w:rPr>
        <w:t xml:space="preserve">     </w:t>
      </w:r>
      <w:r>
        <w:rPr>
          <w:rFonts w:hint="eastAsia" w:ascii="宋体" w:hAnsi="宋体" w:eastAsia="宋体" w:cs="宋体"/>
          <w:bCs/>
          <w:color w:val="auto"/>
          <w:u w:val="single"/>
        </w:rPr>
        <w:t>台州市北部湾区经济开发集团有限公司</w:t>
      </w:r>
      <w:r>
        <w:rPr>
          <w:bCs/>
          <w:color w:val="auto"/>
          <w:u w:val="single"/>
        </w:rPr>
        <w:t xml:space="preserve">    </w:t>
      </w:r>
      <w:r>
        <w:rPr>
          <w:bCs/>
          <w:color w:val="auto"/>
        </w:rPr>
        <w:t xml:space="preserve"> </w:t>
      </w:r>
    </w:p>
    <w:p>
      <w:pPr>
        <w:spacing w:line="400" w:lineRule="exact"/>
        <w:ind w:firstLine="420" w:firstLineChars="200"/>
        <w:rPr>
          <w:bCs/>
          <w:color w:val="auto"/>
        </w:rPr>
      </w:pPr>
      <w:r>
        <w:rPr>
          <w:bCs/>
          <w:color w:val="auto"/>
        </w:rPr>
        <w:t>承包人（全称）：</w:t>
      </w:r>
      <w:r>
        <w:rPr>
          <w:bCs/>
          <w:color w:val="auto"/>
          <w:u w:val="single"/>
        </w:rPr>
        <w:t xml:space="preserve">                                                                </w:t>
      </w:r>
      <w:r>
        <w:rPr>
          <w:bCs/>
          <w:color w:val="auto"/>
        </w:rPr>
        <w:t xml:space="preserve"> </w:t>
      </w:r>
    </w:p>
    <w:p>
      <w:pPr>
        <w:spacing w:line="400" w:lineRule="exact"/>
        <w:ind w:firstLine="420" w:firstLineChars="200"/>
        <w:rPr>
          <w:bCs/>
          <w:color w:val="auto"/>
        </w:rPr>
      </w:pPr>
    </w:p>
    <w:p>
      <w:pPr>
        <w:spacing w:line="400" w:lineRule="exact"/>
        <w:ind w:firstLine="420" w:firstLineChars="200"/>
        <w:rPr>
          <w:bCs/>
          <w:color w:val="auto"/>
        </w:rPr>
      </w:pPr>
      <w:r>
        <w:rPr>
          <w:bCs/>
          <w:color w:val="auto"/>
        </w:rPr>
        <w:t>发包人和承包人根据《中华人民共和国建筑法》和《建设工程质量管理条例》，经协商一致就</w:t>
      </w:r>
      <w:r>
        <w:rPr>
          <w:rFonts w:hint="eastAsia" w:ascii="宋体" w:hAnsi="宋体" w:eastAsia="宋体" w:cs="宋体"/>
          <w:color w:val="auto"/>
          <w:u w:val="single"/>
        </w:rPr>
        <w:t>三门县绿色智慧停车项目-道路停车位改造照明提升工程</w:t>
      </w:r>
      <w:r>
        <w:rPr>
          <w:bCs/>
          <w:color w:val="auto"/>
        </w:rPr>
        <w:t>（工程全称）签订工程质量保修书。</w:t>
      </w:r>
    </w:p>
    <w:p>
      <w:pPr>
        <w:spacing w:line="400" w:lineRule="exact"/>
        <w:ind w:firstLine="420" w:firstLineChars="200"/>
        <w:rPr>
          <w:bCs/>
          <w:color w:val="auto"/>
        </w:rPr>
      </w:pPr>
      <w:r>
        <w:rPr>
          <w:bCs/>
          <w:color w:val="auto"/>
        </w:rPr>
        <w:t>一、工程质量保修范围和内容</w:t>
      </w:r>
    </w:p>
    <w:p>
      <w:pPr>
        <w:spacing w:line="400" w:lineRule="exact"/>
        <w:ind w:firstLine="420" w:firstLineChars="200"/>
        <w:rPr>
          <w:bCs/>
          <w:color w:val="auto"/>
        </w:rPr>
      </w:pPr>
      <w:r>
        <w:rPr>
          <w:bCs/>
          <w:color w:val="auto"/>
        </w:rPr>
        <w:t>承包人在质量保修期内，按照有关法律规定和合同约定，承担工程质量保修责任。</w:t>
      </w:r>
    </w:p>
    <w:p>
      <w:pPr>
        <w:spacing w:line="400" w:lineRule="exact"/>
        <w:ind w:firstLine="420" w:firstLineChars="200"/>
        <w:rPr>
          <w:bCs/>
          <w:color w:val="auto"/>
        </w:rPr>
      </w:pPr>
      <w:r>
        <w:rPr>
          <w:bCs/>
          <w:color w:val="auto"/>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hAnsi="宋体" w:cs="宋体"/>
          <w:color w:val="auto"/>
          <w:u w:val="single"/>
        </w:rPr>
        <w:t>招标人</w:t>
      </w:r>
      <w:r>
        <w:rPr>
          <w:rFonts w:hAnsi="宋体" w:cs="宋体"/>
          <w:color w:val="auto"/>
          <w:u w:val="single"/>
        </w:rPr>
        <w:t>提供的</w:t>
      </w:r>
      <w:r>
        <w:rPr>
          <w:rFonts w:hint="eastAsia" w:hAnsi="宋体" w:cs="宋体"/>
          <w:color w:val="auto"/>
          <w:u w:val="single"/>
        </w:rPr>
        <w:t>竣工图纸范围内包含的全部内容。</w:t>
      </w:r>
      <w:r>
        <w:rPr>
          <w:rFonts w:hint="eastAsia" w:ascii="宋体" w:hAnsi="宋体"/>
          <w:color w:val="auto"/>
          <w:u w:val="single"/>
        </w:rPr>
        <w:t xml:space="preserve">  </w:t>
      </w:r>
    </w:p>
    <w:p>
      <w:pPr>
        <w:spacing w:line="400" w:lineRule="exact"/>
        <w:ind w:firstLine="420" w:firstLineChars="200"/>
        <w:rPr>
          <w:bCs/>
          <w:color w:val="auto"/>
        </w:rPr>
      </w:pPr>
      <w:r>
        <w:rPr>
          <w:bCs/>
          <w:color w:val="auto"/>
        </w:rPr>
        <w:t>二、质量保修期</w:t>
      </w:r>
    </w:p>
    <w:p>
      <w:pPr>
        <w:spacing w:line="400" w:lineRule="exact"/>
        <w:ind w:firstLine="420" w:firstLineChars="200"/>
        <w:rPr>
          <w:rFonts w:ascii="宋体" w:hAnsi="宋体"/>
          <w:color w:val="auto"/>
          <w:u w:val="single"/>
        </w:rPr>
      </w:pPr>
      <w:r>
        <w:rPr>
          <w:bCs/>
          <w:color w:val="auto"/>
        </w:rPr>
        <w:t>根据《建设工程质量管理条例》及有关规定，工程的质量保修期如下：</w:t>
      </w:r>
      <w:r>
        <w:rPr>
          <w:rFonts w:hint="eastAsia" w:ascii="宋体" w:hAnsi="宋体"/>
          <w:color w:val="auto"/>
          <w:u w:val="single"/>
        </w:rPr>
        <w:t xml:space="preserve"> 本工程合同范围内的所有工程。质量保修期自工程竣工验收合格之日起    年（按投标人投标时承诺的保修期填写）    </w:t>
      </w:r>
    </w:p>
    <w:p>
      <w:pPr>
        <w:spacing w:line="400" w:lineRule="exact"/>
        <w:ind w:firstLine="420" w:firstLineChars="200"/>
        <w:rPr>
          <w:bCs/>
          <w:color w:val="auto"/>
        </w:rPr>
      </w:pPr>
      <w:r>
        <w:rPr>
          <w:bCs/>
          <w:color w:val="auto"/>
        </w:rPr>
        <w:t>质量保修期自工程竣工验收合格之日起计算。</w:t>
      </w:r>
    </w:p>
    <w:p>
      <w:pPr>
        <w:spacing w:line="400" w:lineRule="exact"/>
        <w:ind w:firstLine="420" w:firstLineChars="200"/>
        <w:rPr>
          <w:rFonts w:eastAsiaTheme="minorEastAsia"/>
          <w:bCs/>
          <w:color w:val="auto"/>
        </w:rPr>
      </w:pPr>
      <w:r>
        <w:rPr>
          <w:bCs/>
          <w:color w:val="auto"/>
        </w:rPr>
        <w:t>三、缺陷责任期</w:t>
      </w:r>
    </w:p>
    <w:p>
      <w:pPr>
        <w:pStyle w:val="2"/>
        <w:rPr>
          <w:rFonts w:eastAsiaTheme="minorEastAsia"/>
        </w:rPr>
      </w:pPr>
    </w:p>
    <w:p>
      <w:pPr>
        <w:spacing w:line="400" w:lineRule="exact"/>
        <w:ind w:firstLine="420" w:firstLineChars="200"/>
        <w:rPr>
          <w:bCs/>
          <w:color w:val="auto"/>
        </w:rPr>
      </w:pPr>
      <w:r>
        <w:rPr>
          <w:bCs/>
          <w:color w:val="auto"/>
        </w:rPr>
        <w:t>工程缺陷责任期为</w:t>
      </w:r>
      <w:r>
        <w:rPr>
          <w:bCs/>
          <w:color w:val="auto"/>
          <w:u w:val="single"/>
        </w:rPr>
        <w:t xml:space="preserve"> </w:t>
      </w:r>
      <w:r>
        <w:rPr>
          <w:rFonts w:hint="eastAsia"/>
          <w:bCs/>
          <w:color w:val="auto"/>
          <w:u w:val="single"/>
        </w:rPr>
        <w:t>24</w:t>
      </w:r>
      <w:r>
        <w:rPr>
          <w:bCs/>
          <w:color w:val="auto"/>
        </w:rPr>
        <w:t>个月，缺陷责任期自工程竣工验收合格之日起计算。单位工程先于全部工程进行验收，单位工程缺陷责任期自单位工程验收合格之日起算。</w:t>
      </w:r>
    </w:p>
    <w:p>
      <w:pPr>
        <w:spacing w:line="400" w:lineRule="exact"/>
        <w:ind w:firstLine="420" w:firstLineChars="200"/>
        <w:rPr>
          <w:bCs/>
          <w:color w:val="auto"/>
        </w:rPr>
      </w:pPr>
      <w:r>
        <w:rPr>
          <w:bCs/>
          <w:color w:val="auto"/>
        </w:rPr>
        <w:t>四、质量保修责任</w:t>
      </w:r>
    </w:p>
    <w:p>
      <w:pPr>
        <w:spacing w:line="400" w:lineRule="exact"/>
        <w:ind w:firstLine="420" w:firstLineChars="200"/>
        <w:rPr>
          <w:bCs/>
          <w:color w:val="auto"/>
        </w:rPr>
      </w:pPr>
      <w:r>
        <w:rPr>
          <w:bCs/>
          <w:color w:val="auto"/>
        </w:rPr>
        <w:t>1．属于保修范围、内容的项目，承包人应当在接到保修通知之日起7天内派人保修。承包人不在约定期限内派人保修的，发包人可以委托他人修理。</w:t>
      </w:r>
    </w:p>
    <w:p>
      <w:pPr>
        <w:spacing w:line="400" w:lineRule="exact"/>
        <w:ind w:firstLine="420" w:firstLineChars="200"/>
        <w:rPr>
          <w:bCs/>
          <w:color w:val="auto"/>
        </w:rPr>
      </w:pPr>
      <w:r>
        <w:rPr>
          <w:bCs/>
          <w:color w:val="auto"/>
        </w:rPr>
        <w:t>2．发生紧急事故需抢修的，承包人在接到事故通知后，应当立即到达事故现场抢修。</w:t>
      </w:r>
    </w:p>
    <w:p>
      <w:pPr>
        <w:spacing w:line="400" w:lineRule="exact"/>
        <w:ind w:firstLine="420" w:firstLineChars="200"/>
        <w:rPr>
          <w:bCs/>
          <w:color w:val="auto"/>
        </w:rPr>
      </w:pPr>
      <w:r>
        <w:rPr>
          <w:bCs/>
          <w:color w:val="auto"/>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400" w:lineRule="exact"/>
        <w:ind w:firstLine="420" w:firstLineChars="200"/>
        <w:rPr>
          <w:rFonts w:eastAsiaTheme="minorEastAsia"/>
          <w:bCs/>
          <w:color w:val="auto"/>
        </w:rPr>
      </w:pPr>
      <w:r>
        <w:rPr>
          <w:bCs/>
          <w:color w:val="auto"/>
        </w:rPr>
        <w:t>4．质量保修完成后，由发包人组织验收。</w:t>
      </w:r>
    </w:p>
    <w:p>
      <w:pPr>
        <w:pStyle w:val="2"/>
        <w:spacing w:after="0" w:line="400" w:lineRule="exact"/>
        <w:rPr>
          <w:rFonts w:ascii="宋体" w:hAnsi="宋体" w:eastAsia="宋体" w:cs="宋体"/>
          <w:bCs/>
          <w:color w:val="auto"/>
          <w:sz w:val="20"/>
          <w:szCs w:val="20"/>
        </w:rPr>
      </w:pPr>
      <w:r>
        <w:rPr>
          <w:rFonts w:hint="eastAsia" w:eastAsiaTheme="minorEastAsia"/>
          <w:bCs/>
          <w:color w:val="auto"/>
        </w:rPr>
        <w:t xml:space="preserve">       5、</w:t>
      </w:r>
      <w:r>
        <w:rPr>
          <w:rFonts w:hint="eastAsia" w:ascii="宋体" w:hAnsi="宋体" w:eastAsia="宋体" w:cs="宋体"/>
          <w:bCs/>
          <w:color w:val="auto"/>
          <w:sz w:val="20"/>
          <w:szCs w:val="20"/>
        </w:rPr>
        <w:t>本项目的运维期和质保期一致，每年保证提供3个动画方案。</w:t>
      </w:r>
    </w:p>
    <w:p>
      <w:pPr>
        <w:pStyle w:val="3"/>
        <w:spacing w:after="0" w:line="400" w:lineRule="exact"/>
        <w:ind w:firstLine="210"/>
        <w:rPr>
          <w:rFonts w:eastAsiaTheme="minorEastAsia"/>
          <w:bCs/>
          <w:color w:val="auto"/>
        </w:rPr>
      </w:pPr>
      <w:r>
        <w:rPr>
          <w:rFonts w:hint="eastAsia" w:eastAsiaTheme="minorEastAsia"/>
          <w:bCs/>
          <w:color w:val="auto"/>
        </w:rPr>
        <w:t xml:space="preserve">    6、负责灯光日常运维工作。</w:t>
      </w:r>
    </w:p>
    <w:p>
      <w:pPr>
        <w:spacing w:line="400" w:lineRule="exact"/>
        <w:ind w:firstLine="420" w:firstLineChars="200"/>
        <w:rPr>
          <w:bCs/>
          <w:color w:val="auto"/>
        </w:rPr>
      </w:pPr>
      <w:r>
        <w:rPr>
          <w:bCs/>
          <w:color w:val="auto"/>
        </w:rPr>
        <w:t>五、保修费用</w:t>
      </w:r>
    </w:p>
    <w:p>
      <w:pPr>
        <w:spacing w:line="400" w:lineRule="exact"/>
        <w:ind w:firstLine="420" w:firstLineChars="200"/>
        <w:rPr>
          <w:bCs/>
          <w:color w:val="auto"/>
        </w:rPr>
      </w:pPr>
      <w:r>
        <w:rPr>
          <w:bCs/>
          <w:color w:val="auto"/>
        </w:rPr>
        <w:t>保修费用由造成质量缺陷的责任方承担。</w:t>
      </w:r>
    </w:p>
    <w:p>
      <w:pPr>
        <w:spacing w:line="400" w:lineRule="exact"/>
        <w:ind w:firstLine="420" w:firstLineChars="200"/>
        <w:rPr>
          <w:bCs/>
          <w:color w:val="auto"/>
          <w:u w:val="single"/>
        </w:rPr>
      </w:pPr>
      <w:r>
        <w:rPr>
          <w:bCs/>
          <w:color w:val="auto"/>
        </w:rPr>
        <w:t>六、双方约定的其他工程质量保修事项：</w:t>
      </w:r>
      <w:r>
        <w:rPr>
          <w:rFonts w:eastAsia="宋体" w:cs="Times New Roman"/>
          <w:bCs/>
          <w:color w:val="auto"/>
          <w:u w:val="single"/>
        </w:rPr>
        <w:t xml:space="preserve"> ①工程质量保修期间，发包人已书面文件送达至承包人，即视为承包人已收到发包人的相关通知。②如承包人未按《工程质量保修书》所规定的期限内保修的，发包人可以委托他人修理，由此造成的一切费用和责任(包括安全责任)由承包人承担，所需的保修费用由发包人确定为准，保修费用从质量保证金中扣除，不足部分由承包人承担 。</w:t>
      </w:r>
      <w:r>
        <w:rPr>
          <w:rFonts w:hint="eastAsia" w:eastAsia="宋体" w:cs="Times New Roman"/>
          <w:bCs/>
          <w:color w:val="auto"/>
          <w:u w:val="single"/>
        </w:rPr>
        <w:t xml:space="preserve">   </w:t>
      </w:r>
      <w:r>
        <w:rPr>
          <w:rFonts w:hint="eastAsia"/>
          <w:bCs/>
          <w:color w:val="auto"/>
          <w:u w:val="single"/>
        </w:rPr>
        <w:t xml:space="preserve">                 </w:t>
      </w:r>
      <w:r>
        <w:rPr>
          <w:bCs/>
          <w:color w:val="auto"/>
          <w:u w:val="single"/>
        </w:rPr>
        <w:t xml:space="preserve"> </w:t>
      </w:r>
    </w:p>
    <w:p>
      <w:pPr>
        <w:spacing w:line="400" w:lineRule="exact"/>
        <w:ind w:firstLine="420" w:firstLineChars="200"/>
        <w:rPr>
          <w:bCs/>
          <w:color w:val="auto"/>
        </w:rPr>
      </w:pPr>
      <w:r>
        <w:rPr>
          <w:bCs/>
          <w:color w:val="auto"/>
        </w:rPr>
        <w:t>工程质量保修书由发包人、承包人在工程竣工验收前共同签署，作为施工合同附件，其有效期限至保修期满。</w:t>
      </w:r>
    </w:p>
    <w:p>
      <w:pPr>
        <w:spacing w:line="360" w:lineRule="exact"/>
        <w:ind w:firstLine="420" w:firstLineChars="200"/>
        <w:rPr>
          <w:bCs/>
          <w:color w:val="auto"/>
        </w:rPr>
      </w:pPr>
    </w:p>
    <w:p>
      <w:pPr>
        <w:spacing w:line="360" w:lineRule="exact"/>
        <w:ind w:firstLine="420" w:firstLineChars="200"/>
        <w:rPr>
          <w:bCs/>
          <w:color w:val="auto"/>
        </w:rPr>
      </w:pPr>
    </w:p>
    <w:p>
      <w:pPr>
        <w:spacing w:line="400" w:lineRule="exact"/>
        <w:ind w:firstLine="420" w:firstLineChars="200"/>
        <w:rPr>
          <w:bCs/>
          <w:color w:val="auto"/>
        </w:rPr>
      </w:pPr>
      <w:r>
        <w:rPr>
          <w:bCs/>
          <w:color w:val="auto"/>
        </w:rPr>
        <w:t>发包人（公章）：</w:t>
      </w:r>
      <w:r>
        <w:rPr>
          <w:bCs/>
          <w:color w:val="auto"/>
          <w:u w:val="single"/>
        </w:rPr>
        <w:t xml:space="preserve">    </w:t>
      </w:r>
      <w:r>
        <w:rPr>
          <w:rFonts w:hint="eastAsia"/>
          <w:bCs/>
          <w:color w:val="auto"/>
          <w:u w:val="single"/>
        </w:rPr>
        <w:t xml:space="preserve">       </w:t>
      </w:r>
      <w:r>
        <w:rPr>
          <w:bCs/>
          <w:color w:val="auto"/>
          <w:u w:val="single"/>
        </w:rPr>
        <w:t xml:space="preserve">    </w:t>
      </w:r>
      <w:r>
        <w:rPr>
          <w:bCs/>
          <w:color w:val="auto"/>
        </w:rPr>
        <w:t xml:space="preserve"> 承包人（公章）：</w:t>
      </w:r>
      <w:r>
        <w:rPr>
          <w:bCs/>
          <w:color w:val="auto"/>
          <w:u w:val="single"/>
        </w:rPr>
        <w:t></w:t>
      </w:r>
      <w:r>
        <w:rPr>
          <w:rFonts w:hint="eastAsia"/>
          <w:bCs/>
          <w:color w:val="auto"/>
          <w:u w:val="single"/>
        </w:rPr>
        <w:t xml:space="preserve">        </w:t>
      </w:r>
      <w:r>
        <w:rPr>
          <w:bCs/>
          <w:color w:val="auto"/>
          <w:u w:val="single"/>
        </w:rPr>
        <w:t xml:space="preserve">    </w:t>
      </w:r>
      <w:r>
        <w:rPr>
          <w:rFonts w:hint="eastAsia"/>
          <w:bCs/>
          <w:color w:val="auto"/>
          <w:u w:val="single"/>
        </w:rPr>
        <w:t xml:space="preserve">          </w:t>
      </w:r>
      <w:r>
        <w:rPr>
          <w:bCs/>
          <w:color w:val="auto"/>
          <w:u w:val="single"/>
        </w:rPr>
        <w:t xml:space="preserve">        </w:t>
      </w:r>
    </w:p>
    <w:p>
      <w:pPr>
        <w:spacing w:line="400" w:lineRule="exact"/>
        <w:ind w:firstLine="420" w:firstLineChars="200"/>
        <w:rPr>
          <w:bCs/>
          <w:color w:val="auto"/>
        </w:rPr>
      </w:pPr>
      <w:r>
        <w:rPr>
          <w:bCs/>
          <w:color w:val="auto"/>
        </w:rPr>
        <w:t>地  址：</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地  址：</w:t>
      </w:r>
      <w:r>
        <w:rPr>
          <w:bCs/>
          <w:color w:val="auto"/>
          <w:u w:val="single"/>
        </w:rPr>
        <w:t></w:t>
      </w:r>
      <w:r>
        <w:rPr>
          <w:rFonts w:hint="eastAsia"/>
          <w:bCs/>
          <w:color w:val="auto"/>
          <w:u w:val="single"/>
        </w:rPr>
        <w:t xml:space="preserve">                    </w:t>
      </w:r>
      <w:r>
        <w:rPr>
          <w:bCs/>
          <w:color w:val="auto"/>
          <w:u w:val="single"/>
        </w:rPr>
        <w:t xml:space="preserve">        </w:t>
      </w:r>
    </w:p>
    <w:p>
      <w:pPr>
        <w:spacing w:line="400" w:lineRule="exact"/>
        <w:ind w:firstLine="420" w:firstLineChars="200"/>
        <w:rPr>
          <w:bCs/>
          <w:color w:val="auto"/>
        </w:rPr>
      </w:pPr>
      <w:r>
        <w:rPr>
          <w:bCs/>
          <w:color w:val="auto"/>
        </w:rPr>
        <w:t>法定代表人（签字）：</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法定代表人（签字）：</w:t>
      </w:r>
      <w:r>
        <w:rPr>
          <w:bCs/>
          <w:color w:val="auto"/>
          <w:u w:val="single"/>
        </w:rPr>
        <w:t></w:t>
      </w:r>
      <w:r>
        <w:rPr>
          <w:rFonts w:hint="eastAsia"/>
          <w:bCs/>
          <w:color w:val="auto"/>
          <w:u w:val="single"/>
        </w:rPr>
        <w:t xml:space="preserve">        </w:t>
      </w:r>
      <w:r>
        <w:rPr>
          <w:bCs/>
          <w:color w:val="auto"/>
          <w:u w:val="single"/>
        </w:rPr>
        <w:t xml:space="preserve">   </w:t>
      </w:r>
      <w:r>
        <w:rPr>
          <w:rFonts w:hint="eastAsia"/>
          <w:bCs/>
          <w:color w:val="auto"/>
          <w:u w:val="single"/>
        </w:rPr>
        <w:t xml:space="preserve">        </w:t>
      </w:r>
      <w:r>
        <w:rPr>
          <w:bCs/>
          <w:color w:val="auto"/>
          <w:u w:val="single"/>
        </w:rPr>
        <w:t xml:space="preserve">     </w:t>
      </w:r>
    </w:p>
    <w:p>
      <w:pPr>
        <w:spacing w:line="400" w:lineRule="exact"/>
        <w:ind w:firstLine="420" w:firstLineChars="200"/>
        <w:rPr>
          <w:bCs/>
          <w:color w:val="auto"/>
        </w:rPr>
      </w:pPr>
      <w:r>
        <w:rPr>
          <w:bCs/>
          <w:color w:val="auto"/>
        </w:rPr>
        <w:t>委托代理人（签字）：</w:t>
      </w:r>
      <w:r>
        <w:rPr>
          <w:bCs/>
          <w:color w:val="auto"/>
          <w:u w:val="single"/>
        </w:rPr>
        <w:t xml:space="preserve">   </w:t>
      </w:r>
      <w:r>
        <w:rPr>
          <w:rFonts w:hint="eastAsia"/>
          <w:bCs/>
          <w:color w:val="auto"/>
          <w:u w:val="single"/>
        </w:rPr>
        <w:t xml:space="preserve">       </w:t>
      </w:r>
      <w:r>
        <w:rPr>
          <w:bCs/>
          <w:color w:val="auto"/>
          <w:u w:val="single"/>
        </w:rPr>
        <w:t xml:space="preserve">   </w:t>
      </w:r>
      <w:r>
        <w:rPr>
          <w:bCs/>
          <w:color w:val="auto"/>
        </w:rPr>
        <w:t xml:space="preserve"> 委托代理人（签字）：</w:t>
      </w:r>
      <w:r>
        <w:rPr>
          <w:bCs/>
          <w:color w:val="auto"/>
          <w:u w:val="single"/>
        </w:rPr>
        <w:t></w:t>
      </w:r>
      <w:r>
        <w:rPr>
          <w:rFonts w:hint="eastAsia"/>
          <w:bCs/>
          <w:color w:val="auto"/>
          <w:u w:val="single"/>
        </w:rPr>
        <w:t xml:space="preserve">        </w:t>
      </w:r>
      <w:r>
        <w:rPr>
          <w:bCs/>
          <w:color w:val="auto"/>
          <w:u w:val="single"/>
        </w:rPr>
        <w:t xml:space="preserve">   </w:t>
      </w:r>
      <w:r>
        <w:rPr>
          <w:rFonts w:hint="eastAsia"/>
          <w:bCs/>
          <w:color w:val="auto"/>
          <w:u w:val="single"/>
        </w:rPr>
        <w:t xml:space="preserve">        </w:t>
      </w:r>
      <w:r>
        <w:rPr>
          <w:bCs/>
          <w:color w:val="auto"/>
          <w:u w:val="single"/>
        </w:rPr>
        <w:t xml:space="preserve">     </w:t>
      </w:r>
    </w:p>
    <w:p>
      <w:pPr>
        <w:spacing w:line="400" w:lineRule="exact"/>
        <w:ind w:firstLine="420" w:firstLineChars="200"/>
        <w:rPr>
          <w:bCs/>
          <w:color w:val="auto"/>
        </w:rPr>
      </w:pPr>
      <w:r>
        <w:rPr>
          <w:bCs/>
          <w:color w:val="auto"/>
        </w:rPr>
        <w:t>电  话：</w:t>
      </w:r>
      <w:r>
        <w:rPr>
          <w:bCs/>
          <w:color w:val="auto"/>
          <w:u w:val="single"/>
        </w:rPr>
        <w:t></w:t>
      </w:r>
      <w:r>
        <w:rPr>
          <w:rFonts w:hint="eastAsia"/>
          <w:bCs/>
          <w:color w:val="auto"/>
          <w:u w:val="single"/>
        </w:rPr>
        <w:t xml:space="preserve">         </w:t>
      </w:r>
      <w:r>
        <w:rPr>
          <w:bCs/>
          <w:color w:val="auto"/>
          <w:u w:val="single"/>
        </w:rPr>
        <w:t xml:space="preserve">   </w:t>
      </w:r>
      <w:r>
        <w:rPr>
          <w:bCs/>
          <w:color w:val="auto"/>
        </w:rPr>
        <w:t xml:space="preserve"> 电  话：</w:t>
      </w:r>
      <w:r>
        <w:rPr>
          <w:bCs/>
          <w:color w:val="auto"/>
          <w:u w:val="single"/>
        </w:rPr>
        <w:t></w:t>
      </w:r>
      <w:r>
        <w:rPr>
          <w:rFonts w:hint="eastAsia"/>
          <w:bCs/>
          <w:color w:val="auto"/>
          <w:u w:val="single"/>
        </w:rPr>
        <w:t xml:space="preserve">        </w:t>
      </w:r>
      <w:r>
        <w:rPr>
          <w:bCs/>
          <w:color w:val="auto"/>
          <w:u w:val="single"/>
        </w:rPr>
        <w:t xml:space="preserve">      </w:t>
      </w:r>
    </w:p>
    <w:p>
      <w:pPr>
        <w:spacing w:line="400" w:lineRule="exact"/>
        <w:ind w:firstLine="420" w:firstLineChars="200"/>
        <w:rPr>
          <w:bCs/>
          <w:color w:val="auto"/>
        </w:rPr>
      </w:pPr>
      <w:r>
        <w:rPr>
          <w:bCs/>
          <w:color w:val="auto"/>
        </w:rPr>
        <w:t>传  真：</w:t>
      </w:r>
      <w:r>
        <w:rPr>
          <w:bCs/>
          <w:color w:val="auto"/>
          <w:u w:val="single"/>
        </w:rPr>
        <w:t></w:t>
      </w:r>
      <w:r>
        <w:rPr>
          <w:rFonts w:hint="eastAsia"/>
          <w:bCs/>
          <w:color w:val="auto"/>
          <w:u w:val="single"/>
        </w:rPr>
        <w:t xml:space="preserve">         </w:t>
      </w:r>
      <w:r>
        <w:rPr>
          <w:bCs/>
          <w:color w:val="auto"/>
          <w:u w:val="single"/>
        </w:rPr>
        <w:t xml:space="preserve">   </w:t>
      </w:r>
      <w:r>
        <w:rPr>
          <w:bCs/>
          <w:color w:val="auto"/>
        </w:rPr>
        <w:t xml:space="preserve"> 传  真：</w:t>
      </w:r>
      <w:r>
        <w:rPr>
          <w:bCs/>
          <w:color w:val="auto"/>
          <w:u w:val="single"/>
        </w:rPr>
        <w:t></w:t>
      </w:r>
      <w:r>
        <w:rPr>
          <w:rFonts w:hint="eastAsia"/>
          <w:bCs/>
          <w:color w:val="auto"/>
          <w:u w:val="single"/>
        </w:rPr>
        <w:t xml:space="preserve">         </w:t>
      </w:r>
      <w:r>
        <w:rPr>
          <w:bCs/>
          <w:color w:val="auto"/>
          <w:u w:val="single"/>
        </w:rPr>
        <w:t xml:space="preserve">      </w:t>
      </w:r>
    </w:p>
    <w:p>
      <w:pPr>
        <w:spacing w:line="400" w:lineRule="exact"/>
        <w:ind w:firstLine="420" w:firstLineChars="200"/>
        <w:rPr>
          <w:bCs/>
          <w:color w:val="auto"/>
        </w:rPr>
      </w:pPr>
      <w:r>
        <w:rPr>
          <w:bCs/>
          <w:color w:val="auto"/>
        </w:rPr>
        <w:t>开户银行：</w:t>
      </w:r>
      <w:r>
        <w:rPr>
          <w:bCs/>
          <w:color w:val="auto"/>
          <w:u w:val="single"/>
        </w:rPr>
        <w:t></w:t>
      </w:r>
      <w:r>
        <w:rPr>
          <w:rFonts w:hint="eastAsia"/>
          <w:bCs/>
          <w:color w:val="auto"/>
          <w:u w:val="single"/>
        </w:rPr>
        <w:t xml:space="preserve">         </w:t>
      </w:r>
      <w:r>
        <w:rPr>
          <w:bCs/>
          <w:color w:val="auto"/>
          <w:u w:val="single"/>
        </w:rPr>
        <w:t xml:space="preserve">   </w:t>
      </w:r>
      <w:r>
        <w:rPr>
          <w:bCs/>
          <w:color w:val="auto"/>
        </w:rPr>
        <w:t xml:space="preserve"> 开户银行：</w:t>
      </w:r>
      <w:r>
        <w:rPr>
          <w:bCs/>
          <w:color w:val="auto"/>
          <w:u w:val="single"/>
        </w:rPr>
        <w:t></w:t>
      </w:r>
      <w:r>
        <w:rPr>
          <w:rFonts w:hint="eastAsia"/>
          <w:bCs/>
          <w:color w:val="auto"/>
          <w:u w:val="single"/>
        </w:rPr>
        <w:t xml:space="preserve">        </w:t>
      </w:r>
      <w:r>
        <w:rPr>
          <w:bCs/>
          <w:color w:val="auto"/>
          <w:u w:val="single"/>
        </w:rPr>
        <w:t xml:space="preserve">    </w:t>
      </w:r>
    </w:p>
    <w:p>
      <w:pPr>
        <w:spacing w:line="400" w:lineRule="exact"/>
        <w:ind w:firstLine="420" w:firstLineChars="200"/>
        <w:rPr>
          <w:bCs/>
          <w:color w:val="auto"/>
        </w:rPr>
      </w:pPr>
      <w:r>
        <w:rPr>
          <w:bCs/>
          <w:color w:val="auto"/>
        </w:rPr>
        <w:t>账  号：</w:t>
      </w:r>
      <w:r>
        <w:rPr>
          <w:bCs/>
          <w:color w:val="auto"/>
          <w:u w:val="single"/>
        </w:rPr>
        <w:t xml:space="preserve">     </w:t>
      </w:r>
      <w:r>
        <w:rPr>
          <w:rFonts w:hint="eastAsia"/>
          <w:bCs/>
          <w:color w:val="auto"/>
          <w:u w:val="single"/>
        </w:rPr>
        <w:t xml:space="preserve">         </w:t>
      </w:r>
      <w:r>
        <w:rPr>
          <w:bCs/>
          <w:color w:val="auto"/>
          <w:u w:val="single"/>
        </w:rPr>
        <w:t xml:space="preserve">  </w:t>
      </w:r>
      <w:r>
        <w:rPr>
          <w:bCs/>
          <w:color w:val="auto"/>
        </w:rPr>
        <w:t xml:space="preserve"> </w:t>
      </w:r>
      <w:r>
        <w:rPr>
          <w:rFonts w:hint="eastAsia"/>
          <w:bCs/>
          <w:color w:val="auto"/>
        </w:rPr>
        <w:t xml:space="preserve"> </w:t>
      </w:r>
      <w:r>
        <w:rPr>
          <w:bCs/>
          <w:color w:val="auto"/>
        </w:rPr>
        <w:t>账  号：</w:t>
      </w:r>
      <w:r>
        <w:rPr>
          <w:bCs/>
          <w:color w:val="auto"/>
          <w:u w:val="single"/>
        </w:rPr>
        <w:t></w:t>
      </w:r>
      <w:r>
        <w:rPr>
          <w:rFonts w:hint="eastAsia"/>
          <w:bCs/>
          <w:color w:val="auto"/>
          <w:u w:val="single"/>
        </w:rPr>
        <w:t xml:space="preserve">         </w:t>
      </w:r>
      <w:r>
        <w:rPr>
          <w:bCs/>
          <w:color w:val="auto"/>
          <w:u w:val="single"/>
        </w:rPr>
        <w:t xml:space="preserve">     </w:t>
      </w:r>
    </w:p>
    <w:p>
      <w:pPr>
        <w:spacing w:line="400" w:lineRule="exact"/>
        <w:ind w:firstLine="420" w:firstLineChars="200"/>
        <w:rPr>
          <w:color w:val="auto"/>
          <w:u w:val="single"/>
        </w:rPr>
      </w:pPr>
      <w:r>
        <w:rPr>
          <w:bCs/>
          <w:color w:val="auto"/>
        </w:rPr>
        <w:t>邮政编码：</w:t>
      </w:r>
      <w:r>
        <w:rPr>
          <w:bCs/>
          <w:color w:val="auto"/>
          <w:u w:val="single"/>
        </w:rPr>
        <w:t xml:space="preserve">   </w:t>
      </w:r>
      <w:r>
        <w:rPr>
          <w:rFonts w:hint="eastAsia"/>
          <w:bCs/>
          <w:color w:val="auto"/>
          <w:u w:val="single"/>
        </w:rPr>
        <w:t xml:space="preserve">         </w:t>
      </w:r>
      <w:r>
        <w:rPr>
          <w:bCs/>
          <w:color w:val="auto"/>
          <w:u w:val="single"/>
        </w:rPr>
        <w:t xml:space="preserve">  </w:t>
      </w:r>
      <w:r>
        <w:rPr>
          <w:bCs/>
          <w:color w:val="auto"/>
        </w:rPr>
        <w:t xml:space="preserve"> 邮政编码：</w:t>
      </w:r>
      <w:r>
        <w:rPr>
          <w:bCs/>
          <w:color w:val="auto"/>
          <w:u w:val="single"/>
        </w:rPr>
        <w:t></w:t>
      </w:r>
      <w:r>
        <w:rPr>
          <w:rFonts w:hint="eastAsia"/>
          <w:bCs/>
          <w:color w:val="auto"/>
          <w:u w:val="single"/>
        </w:rPr>
        <w:t xml:space="preserve">         </w:t>
      </w:r>
      <w:r>
        <w:rPr>
          <w:bCs/>
          <w:color w:val="auto"/>
          <w:u w:val="single"/>
        </w:rPr>
        <w:t xml:space="preserve">    </w:t>
      </w:r>
    </w:p>
    <w:p>
      <w:pPr>
        <w:spacing w:line="360" w:lineRule="exact"/>
        <w:ind w:firstLine="420" w:firstLineChars="200"/>
        <w:rPr>
          <w:color w:val="auto"/>
          <w:u w:val="single"/>
        </w:rPr>
      </w:pPr>
    </w:p>
    <w:p>
      <w:pPr>
        <w:spacing w:line="360" w:lineRule="auto"/>
        <w:ind w:firstLine="642"/>
        <w:rPr>
          <w:color w:val="auto"/>
        </w:rPr>
      </w:pPr>
      <w:r>
        <w:rPr>
          <w:rFonts w:ascii="Times New Roman" w:hAnsi="Times New Roman"/>
          <w:color w:val="auto"/>
        </w:rPr>
        <w:br w:type="page"/>
      </w:r>
      <w:r>
        <w:rPr>
          <w:rFonts w:hint="eastAsia"/>
          <w:color w:val="auto"/>
        </w:rPr>
        <w:t>附件11、</w:t>
      </w:r>
    </w:p>
    <w:tbl>
      <w:tblPr>
        <w:tblStyle w:val="21"/>
        <w:tblW w:w="9371" w:type="dxa"/>
        <w:tblInd w:w="93" w:type="dxa"/>
        <w:tblLayout w:type="fixed"/>
        <w:tblCellMar>
          <w:top w:w="0" w:type="dxa"/>
          <w:left w:w="108" w:type="dxa"/>
          <w:bottom w:w="0" w:type="dxa"/>
          <w:right w:w="108" w:type="dxa"/>
        </w:tblCellMar>
      </w:tblPr>
      <w:tblGrid>
        <w:gridCol w:w="896"/>
        <w:gridCol w:w="1558"/>
        <w:gridCol w:w="1576"/>
        <w:gridCol w:w="1410"/>
        <w:gridCol w:w="1619"/>
        <w:gridCol w:w="2312"/>
      </w:tblGrid>
      <w:tr>
        <w:tblPrEx>
          <w:tblCellMar>
            <w:top w:w="0" w:type="dxa"/>
            <w:left w:w="108" w:type="dxa"/>
            <w:bottom w:w="0" w:type="dxa"/>
            <w:right w:w="108" w:type="dxa"/>
          </w:tblCellMar>
        </w:tblPrEx>
        <w:trPr>
          <w:trHeight w:val="1169" w:hRule="atLeast"/>
        </w:trPr>
        <w:tc>
          <w:tcPr>
            <w:tcW w:w="9371" w:type="dxa"/>
            <w:gridSpan w:val="6"/>
            <w:tcBorders>
              <w:top w:val="nil"/>
              <w:left w:val="nil"/>
              <w:bottom w:val="nil"/>
              <w:right w:val="nil"/>
            </w:tcBorders>
            <w:shd w:val="clear" w:color="auto" w:fill="FFFFFF"/>
            <w:vAlign w:val="center"/>
          </w:tcPr>
          <w:p>
            <w:pPr>
              <w:jc w:val="center"/>
              <w:rPr>
                <w:rFonts w:ascii="宋体" w:hAnsi="宋体"/>
                <w:b/>
                <w:bCs/>
                <w:color w:val="auto"/>
                <w:sz w:val="24"/>
              </w:rPr>
            </w:pPr>
            <w:r>
              <w:rPr>
                <w:rFonts w:hint="eastAsia" w:ascii="宋体" w:hAnsi="宋体"/>
                <w:b/>
                <w:bCs/>
                <w:color w:val="auto"/>
                <w:sz w:val="36"/>
                <w:szCs w:val="36"/>
              </w:rPr>
              <w:t>暂估价一览表</w:t>
            </w:r>
          </w:p>
        </w:tc>
      </w:tr>
      <w:tr>
        <w:tblPrEx>
          <w:tblCellMar>
            <w:top w:w="0" w:type="dxa"/>
            <w:left w:w="108" w:type="dxa"/>
            <w:bottom w:w="0" w:type="dxa"/>
            <w:right w:w="108" w:type="dxa"/>
          </w:tblCellMar>
        </w:tblPrEx>
        <w:trPr>
          <w:trHeight w:val="679" w:hRule="atLeast"/>
        </w:trPr>
        <w:tc>
          <w:tcPr>
            <w:tcW w:w="4030" w:type="dxa"/>
            <w:gridSpan w:val="3"/>
            <w:tcBorders>
              <w:top w:val="nil"/>
              <w:left w:val="nil"/>
              <w:bottom w:val="nil"/>
              <w:right w:val="nil"/>
            </w:tcBorders>
            <w:shd w:val="clear" w:color="auto" w:fill="FFFFFF"/>
            <w:vAlign w:val="bottom"/>
          </w:tcPr>
          <w:p>
            <w:pPr>
              <w:rPr>
                <w:rFonts w:ascii="宋体" w:hAnsi="宋体"/>
                <w:color w:val="auto"/>
                <w:sz w:val="24"/>
              </w:rPr>
            </w:pPr>
            <w:r>
              <w:rPr>
                <w:rFonts w:hint="eastAsia" w:ascii="宋体" w:hAnsi="宋体"/>
                <w:color w:val="auto"/>
                <w:sz w:val="24"/>
              </w:rPr>
              <w:t>单位工程名称：</w:t>
            </w:r>
          </w:p>
        </w:tc>
        <w:tc>
          <w:tcPr>
            <w:tcW w:w="1410" w:type="dxa"/>
            <w:tcBorders>
              <w:top w:val="nil"/>
              <w:left w:val="nil"/>
              <w:bottom w:val="nil"/>
              <w:right w:val="nil"/>
            </w:tcBorders>
            <w:shd w:val="clear" w:color="auto" w:fill="FFFFFF"/>
            <w:vAlign w:val="bottom"/>
          </w:tcPr>
          <w:p>
            <w:pPr>
              <w:jc w:val="right"/>
              <w:rPr>
                <w:rFonts w:ascii="宋体" w:hAnsi="宋体"/>
                <w:color w:val="auto"/>
                <w:sz w:val="24"/>
              </w:rPr>
            </w:pPr>
          </w:p>
        </w:tc>
        <w:tc>
          <w:tcPr>
            <w:tcW w:w="3931" w:type="dxa"/>
            <w:gridSpan w:val="2"/>
            <w:tcBorders>
              <w:top w:val="nil"/>
              <w:left w:val="nil"/>
              <w:bottom w:val="nil"/>
              <w:right w:val="nil"/>
            </w:tcBorders>
            <w:shd w:val="clear" w:color="auto" w:fill="FFFFFF"/>
            <w:vAlign w:val="bottom"/>
          </w:tcPr>
          <w:p>
            <w:pPr>
              <w:jc w:val="right"/>
              <w:rPr>
                <w:rFonts w:ascii="宋体" w:hAnsi="宋体"/>
                <w:color w:val="auto"/>
                <w:sz w:val="24"/>
              </w:rPr>
            </w:pPr>
            <w:r>
              <w:rPr>
                <w:rFonts w:hint="eastAsia" w:ascii="宋体" w:hAnsi="宋体"/>
                <w:color w:val="auto"/>
                <w:sz w:val="24"/>
              </w:rPr>
              <w:t>第1页 共1页</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序号</w:t>
            </w:r>
          </w:p>
        </w:tc>
        <w:tc>
          <w:tcPr>
            <w:tcW w:w="1558"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材料名称、规格、型号</w:t>
            </w: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color w:val="auto"/>
                <w:sz w:val="24"/>
              </w:rPr>
              <w:t>工程量</w:t>
            </w:r>
          </w:p>
        </w:tc>
        <w:tc>
          <w:tcPr>
            <w:tcW w:w="1410"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color w:val="auto"/>
              </w:rPr>
              <w:t>单价</w:t>
            </w:r>
            <w:r>
              <w:rPr>
                <w:rFonts w:hint="eastAsia" w:ascii="宋体" w:hAnsi="宋体"/>
                <w:color w:val="auto"/>
                <w:sz w:val="24"/>
              </w:rPr>
              <w:t>(元)</w:t>
            </w:r>
          </w:p>
        </w:tc>
        <w:tc>
          <w:tcPr>
            <w:tcW w:w="1619"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合价(元)</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color w:val="auto"/>
                <w:sz w:val="24"/>
              </w:rPr>
            </w:pPr>
            <w:r>
              <w:rPr>
                <w:rFonts w:hint="eastAsia" w:ascii="宋体" w:hAnsi="宋体"/>
                <w:color w:val="auto"/>
                <w:sz w:val="24"/>
              </w:rPr>
              <w:t>备注</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1</w:t>
            </w: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r>
              <w:rPr>
                <w:rFonts w:hint="eastAsia" w:ascii="宋体" w:hAnsi="宋体"/>
                <w:color w:val="auto"/>
                <w:sz w:val="24"/>
              </w:rPr>
              <w:t xml:space="preserve"> </w:t>
            </w: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ascii="宋体" w:hAnsi="宋体"/>
                <w:color w:val="auto"/>
                <w:sz w:val="24"/>
              </w:rPr>
              <w:t xml:space="preserve"> </w:t>
            </w:r>
          </w:p>
        </w:tc>
        <w:tc>
          <w:tcPr>
            <w:tcW w:w="1410"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ascii="宋体" w:hAnsi="宋体"/>
                <w:color w:val="auto"/>
                <w:sz w:val="24"/>
              </w:rPr>
              <w:t xml:space="preserve"> </w:t>
            </w:r>
          </w:p>
        </w:tc>
        <w:tc>
          <w:tcPr>
            <w:tcW w:w="1619"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ascii="宋体" w:hAnsi="宋体"/>
                <w:color w:val="auto"/>
                <w:sz w:val="24"/>
              </w:rPr>
              <w:t xml:space="preserve"> </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2</w:t>
            </w: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410"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3</w:t>
            </w: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410"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r>
              <w:rPr>
                <w:rFonts w:hint="eastAsia" w:ascii="宋体" w:hAnsi="宋体"/>
                <w:color w:val="auto"/>
                <w:sz w:val="24"/>
              </w:rPr>
              <w:t>　</w:t>
            </w: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r>
              <w:rPr>
                <w:rFonts w:hint="eastAsia" w:ascii="宋体" w:hAnsi="宋体"/>
                <w:color w:val="auto"/>
                <w:sz w:val="24"/>
              </w:rPr>
              <w:t>　</w:t>
            </w: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558" w:type="dxa"/>
            <w:tcBorders>
              <w:top w:val="single" w:color="000000" w:sz="4" w:space="0"/>
              <w:left w:val="single" w:color="000000" w:sz="4" w:space="0"/>
              <w:bottom w:val="nil"/>
              <w:right w:val="nil"/>
            </w:tcBorders>
            <w:shd w:val="clear" w:color="auto" w:fill="FFFFFF"/>
            <w:vAlign w:val="center"/>
          </w:tcPr>
          <w:p>
            <w:pPr>
              <w:rPr>
                <w:rFonts w:ascii="宋体" w:hAnsi="宋体"/>
                <w:color w:val="auto"/>
                <w:sz w:val="24"/>
              </w:rPr>
            </w:pPr>
            <w:r>
              <w:rPr>
                <w:rFonts w:hint="eastAsia" w:ascii="宋体" w:hAnsi="宋体"/>
                <w:color w:val="auto"/>
                <w:sz w:val="24"/>
              </w:rPr>
              <w:t>　</w:t>
            </w:r>
          </w:p>
        </w:tc>
        <w:tc>
          <w:tcPr>
            <w:tcW w:w="1576" w:type="dxa"/>
            <w:tcBorders>
              <w:top w:val="single" w:color="000000" w:sz="4" w:space="0"/>
              <w:left w:val="single" w:color="000000" w:sz="4" w:space="0"/>
              <w:bottom w:val="nil"/>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p>
        </w:tc>
        <w:tc>
          <w:tcPr>
            <w:tcW w:w="1619" w:type="dxa"/>
            <w:tcBorders>
              <w:top w:val="single" w:color="000000" w:sz="4" w:space="0"/>
              <w:left w:val="single" w:color="000000" w:sz="4" w:space="0"/>
              <w:bottom w:val="nil"/>
              <w:right w:val="nil"/>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r>
        <w:tblPrEx>
          <w:tblCellMar>
            <w:top w:w="0" w:type="dxa"/>
            <w:left w:w="108" w:type="dxa"/>
            <w:bottom w:w="0" w:type="dxa"/>
            <w:right w:w="108" w:type="dxa"/>
          </w:tblCellMar>
        </w:tblPrEx>
        <w:trPr>
          <w:trHeight w:val="740" w:hRule="atLeast"/>
        </w:trPr>
        <w:tc>
          <w:tcPr>
            <w:tcW w:w="896"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558" w:type="dxa"/>
            <w:tcBorders>
              <w:top w:val="single" w:color="000000" w:sz="4" w:space="0"/>
              <w:left w:val="single" w:color="000000" w:sz="4" w:space="0"/>
              <w:bottom w:val="single" w:color="auto" w:sz="4" w:space="0"/>
              <w:right w:val="nil"/>
            </w:tcBorders>
            <w:shd w:val="clear" w:color="auto" w:fill="FFFFFF"/>
            <w:vAlign w:val="center"/>
          </w:tcPr>
          <w:p>
            <w:pPr>
              <w:rPr>
                <w:rFonts w:ascii="宋体" w:hAnsi="宋体"/>
                <w:color w:val="auto"/>
                <w:sz w:val="24"/>
              </w:rPr>
            </w:pPr>
            <w:r>
              <w:rPr>
                <w:rFonts w:hint="eastAsia" w:ascii="宋体" w:hAnsi="宋体"/>
                <w:color w:val="auto"/>
                <w:sz w:val="24"/>
              </w:rPr>
              <w:t>　</w:t>
            </w:r>
          </w:p>
        </w:tc>
        <w:tc>
          <w:tcPr>
            <w:tcW w:w="1576" w:type="dxa"/>
            <w:tcBorders>
              <w:top w:val="single" w:color="000000" w:sz="4" w:space="0"/>
              <w:left w:val="single" w:color="000000" w:sz="4" w:space="0"/>
              <w:bottom w:val="single" w:color="auto" w:sz="4" w:space="0"/>
              <w:right w:val="nil"/>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000000" w:sz="4" w:space="0"/>
              <w:left w:val="single" w:color="000000" w:sz="4" w:space="0"/>
              <w:bottom w:val="single" w:color="auto" w:sz="4" w:space="0"/>
              <w:right w:val="nil"/>
            </w:tcBorders>
            <w:shd w:val="clear" w:color="auto" w:fill="FFFFFF"/>
            <w:vAlign w:val="center"/>
          </w:tcPr>
          <w:p>
            <w:pPr>
              <w:jc w:val="right"/>
              <w:rPr>
                <w:rFonts w:ascii="宋体" w:hAnsi="宋体"/>
                <w:color w:val="auto"/>
                <w:sz w:val="24"/>
              </w:rPr>
            </w:pPr>
          </w:p>
        </w:tc>
        <w:tc>
          <w:tcPr>
            <w:tcW w:w="1619" w:type="dxa"/>
            <w:tcBorders>
              <w:top w:val="single" w:color="000000" w:sz="4" w:space="0"/>
              <w:left w:val="single" w:color="000000" w:sz="4" w:space="0"/>
              <w:bottom w:val="single" w:color="auto" w:sz="4" w:space="0"/>
              <w:right w:val="nil"/>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000000" w:sz="4" w:space="0"/>
              <w:left w:val="single" w:color="000000" w:sz="4" w:space="0"/>
              <w:bottom w:val="single" w:color="auto" w:sz="4" w:space="0"/>
              <w:right w:val="single" w:color="000000"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r>
        <w:tblPrEx>
          <w:tblCellMar>
            <w:top w:w="0" w:type="dxa"/>
            <w:left w:w="108" w:type="dxa"/>
            <w:bottom w:w="0" w:type="dxa"/>
            <w:right w:w="108" w:type="dxa"/>
          </w:tblCellMar>
        </w:tblPrEx>
        <w:trPr>
          <w:trHeight w:val="740" w:hRule="atLeast"/>
        </w:trPr>
        <w:tc>
          <w:tcPr>
            <w:tcW w:w="89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558"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color w:val="auto"/>
                <w:sz w:val="24"/>
              </w:rPr>
            </w:pPr>
            <w:r>
              <w:rPr>
                <w:rFonts w:hint="eastAsia" w:ascii="宋体" w:hAnsi="宋体"/>
                <w:color w:val="auto"/>
                <w:sz w:val="24"/>
              </w:rPr>
              <w:t>　</w:t>
            </w:r>
          </w:p>
        </w:tc>
        <w:tc>
          <w:tcPr>
            <w:tcW w:w="15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宋体" w:hAnsi="宋体"/>
                <w:color w:val="auto"/>
                <w:sz w:val="24"/>
              </w:rPr>
            </w:pPr>
            <w:r>
              <w:rPr>
                <w:rFonts w:hint="eastAsia" w:ascii="宋体" w:hAnsi="宋体"/>
                <w:color w:val="auto"/>
                <w:sz w:val="24"/>
              </w:rPr>
              <w:t>　</w:t>
            </w:r>
          </w:p>
        </w:tc>
        <w:tc>
          <w:tcPr>
            <w:tcW w:w="1410"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宋体" w:hAnsi="宋体"/>
                <w:color w:val="auto"/>
                <w:sz w:val="24"/>
              </w:rPr>
            </w:pPr>
          </w:p>
        </w:tc>
        <w:tc>
          <w:tcPr>
            <w:tcW w:w="1619" w:type="dxa"/>
            <w:tcBorders>
              <w:top w:val="single" w:color="auto" w:sz="4" w:space="0"/>
              <w:left w:val="single" w:color="auto" w:sz="4" w:space="0"/>
              <w:bottom w:val="single" w:color="auto" w:sz="4" w:space="0"/>
              <w:right w:val="single" w:color="auto" w:sz="4" w:space="0"/>
            </w:tcBorders>
            <w:shd w:val="clear" w:color="auto" w:fill="FFFFFF"/>
            <w:vAlign w:val="center"/>
          </w:tcPr>
          <w:p>
            <w:pPr>
              <w:jc w:val="right"/>
              <w:rPr>
                <w:rFonts w:ascii="宋体" w:hAnsi="宋体"/>
                <w:color w:val="auto"/>
                <w:sz w:val="24"/>
              </w:rPr>
            </w:pPr>
            <w:r>
              <w:rPr>
                <w:rFonts w:hint="eastAsia" w:ascii="宋体" w:hAnsi="宋体"/>
                <w:color w:val="auto"/>
                <w:sz w:val="24"/>
              </w:rPr>
              <w:t>　</w:t>
            </w:r>
          </w:p>
        </w:tc>
        <w:tc>
          <w:tcPr>
            <w:tcW w:w="2312" w:type="dxa"/>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color w:val="auto"/>
                <w:sz w:val="24"/>
              </w:rPr>
            </w:pPr>
            <w:r>
              <w:rPr>
                <w:rFonts w:hint="eastAsia" w:ascii="宋体" w:hAnsi="宋体"/>
                <w:color w:val="auto"/>
                <w:sz w:val="24"/>
              </w:rPr>
              <w:t>　</w:t>
            </w:r>
          </w:p>
        </w:tc>
      </w:tr>
    </w:tbl>
    <w:p>
      <w:pPr>
        <w:spacing w:line="360" w:lineRule="auto"/>
        <w:ind w:firstLine="642"/>
        <w:rPr>
          <w:color w:val="auto"/>
          <w:sz w:val="24"/>
        </w:rPr>
      </w:pPr>
    </w:p>
    <w:p>
      <w:pPr>
        <w:spacing w:line="360" w:lineRule="auto"/>
        <w:ind w:firstLine="642"/>
        <w:rPr>
          <w:color w:val="auto"/>
        </w:rPr>
      </w:pPr>
    </w:p>
    <w:p>
      <w:pPr>
        <w:pStyle w:val="35"/>
        <w:jc w:val="center"/>
        <w:rPr>
          <w:rFonts w:cs="Times New Roman"/>
          <w:color w:val="auto"/>
          <w:sz w:val="32"/>
          <w:szCs w:val="32"/>
        </w:rPr>
      </w:pPr>
      <w:r>
        <w:rPr>
          <w:color w:val="auto"/>
          <w:szCs w:val="21"/>
        </w:rPr>
        <w:br w:type="page"/>
      </w:r>
      <w:bookmarkEnd w:id="225"/>
      <w:bookmarkStart w:id="735" w:name="_Toc282596316"/>
      <w:bookmarkStart w:id="736" w:name="_Toc394573948"/>
      <w:bookmarkStart w:id="737" w:name="_Toc109826678"/>
      <w:bookmarkStart w:id="738" w:name="_Toc3978"/>
      <w:bookmarkStart w:id="739" w:name="_Toc283976552"/>
      <w:bookmarkStart w:id="740" w:name="_Toc29833"/>
      <w:bookmarkStart w:id="741" w:name="_Toc283886261"/>
      <w:r>
        <w:rPr>
          <w:rFonts w:cs="Times New Roman"/>
          <w:color w:val="auto"/>
          <w:sz w:val="32"/>
          <w:szCs w:val="32"/>
        </w:rPr>
        <w:t>第四部分    工程建设项目廉政责任书</w:t>
      </w:r>
      <w:bookmarkEnd w:id="735"/>
      <w:bookmarkEnd w:id="736"/>
      <w:bookmarkEnd w:id="737"/>
      <w:bookmarkEnd w:id="738"/>
      <w:bookmarkEnd w:id="739"/>
      <w:bookmarkEnd w:id="740"/>
      <w:bookmarkEnd w:id="741"/>
    </w:p>
    <w:p>
      <w:pPr>
        <w:spacing w:line="360" w:lineRule="exact"/>
        <w:ind w:firstLine="482"/>
        <w:rPr>
          <w:color w:val="auto"/>
        </w:rPr>
      </w:pPr>
    </w:p>
    <w:p>
      <w:pPr>
        <w:spacing w:line="360" w:lineRule="exact"/>
        <w:ind w:firstLine="482"/>
        <w:rPr>
          <w:color w:val="auto"/>
          <w:u w:val="single"/>
        </w:rPr>
      </w:pPr>
      <w:r>
        <w:rPr>
          <w:color w:val="auto"/>
        </w:rPr>
        <w:t>工程项目名称：</w:t>
      </w:r>
      <w:r>
        <w:rPr>
          <w:color w:val="auto"/>
          <w:u w:val="single"/>
        </w:rPr>
        <w:t xml:space="preserve">  </w:t>
      </w:r>
      <w:r>
        <w:rPr>
          <w:rFonts w:hint="eastAsia"/>
          <w:color w:val="auto"/>
          <w:u w:val="single"/>
        </w:rPr>
        <w:t xml:space="preserve">   </w:t>
      </w:r>
      <w:r>
        <w:rPr>
          <w:rFonts w:hint="eastAsia" w:ascii="宋体" w:hAnsi="宋体" w:eastAsia="宋体" w:cs="宋体"/>
          <w:color w:val="auto"/>
          <w:u w:val="single"/>
        </w:rPr>
        <w:t>三门县绿色智慧停车项目-道路停车位改造照明提升工程</w:t>
      </w:r>
      <w:r>
        <w:rPr>
          <w:color w:val="auto"/>
          <w:u w:val="single"/>
        </w:rPr>
        <w:t xml:space="preserve"> </w:t>
      </w:r>
      <w:r>
        <w:rPr>
          <w:rFonts w:hint="eastAsia"/>
          <w:color w:val="auto"/>
          <w:u w:val="single"/>
        </w:rPr>
        <w:t xml:space="preserve">   </w:t>
      </w:r>
      <w:r>
        <w:rPr>
          <w:color w:val="auto"/>
          <w:u w:val="single"/>
        </w:rPr>
        <w:t xml:space="preserve"> </w:t>
      </w:r>
    </w:p>
    <w:p>
      <w:pPr>
        <w:spacing w:line="360" w:lineRule="exact"/>
        <w:ind w:firstLine="482"/>
        <w:rPr>
          <w:color w:val="auto"/>
        </w:rPr>
      </w:pPr>
      <w:r>
        <w:rPr>
          <w:color w:val="auto"/>
        </w:rPr>
        <w:t>工程项目地址：</w:t>
      </w:r>
      <w:r>
        <w:rPr>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三门县大湖塘</w:t>
      </w:r>
      <w:r>
        <w:rPr>
          <w:color w:val="auto"/>
          <w:u w:val="single"/>
        </w:rPr>
        <w:t xml:space="preserve"> </w:t>
      </w:r>
      <w:r>
        <w:rPr>
          <w:rFonts w:hint="eastAsia"/>
          <w:color w:val="auto"/>
          <w:u w:val="single"/>
        </w:rPr>
        <w:t xml:space="preserve">      </w:t>
      </w:r>
      <w:r>
        <w:rPr>
          <w:color w:val="auto"/>
          <w:u w:val="single"/>
        </w:rPr>
        <w:t xml:space="preserve">   </w:t>
      </w:r>
      <w:r>
        <w:rPr>
          <w:rFonts w:hint="eastAsia"/>
          <w:color w:val="auto"/>
          <w:u w:val="single"/>
        </w:rPr>
        <w:t xml:space="preserve">     </w:t>
      </w:r>
    </w:p>
    <w:p>
      <w:pPr>
        <w:spacing w:line="360" w:lineRule="exact"/>
        <w:ind w:firstLine="482"/>
        <w:rPr>
          <w:color w:val="auto"/>
        </w:rPr>
      </w:pPr>
      <w:r>
        <w:rPr>
          <w:color w:val="auto"/>
        </w:rPr>
        <w:t>建设单位（甲方）：</w:t>
      </w:r>
      <w:r>
        <w:rPr>
          <w:color w:val="auto"/>
          <w:u w:val="single"/>
        </w:rPr>
        <w:t xml:space="preserve"> </w:t>
      </w:r>
      <w:r>
        <w:rPr>
          <w:rFonts w:hint="eastAsia"/>
          <w:color w:val="auto"/>
          <w:u w:val="single"/>
        </w:rPr>
        <w:t xml:space="preserve">    </w:t>
      </w:r>
      <w:r>
        <w:rPr>
          <w:color w:val="auto"/>
          <w:u w:val="single"/>
        </w:rPr>
        <w:t xml:space="preserve"> </w:t>
      </w:r>
      <w:r>
        <w:rPr>
          <w:rFonts w:hint="eastAsia" w:ascii="宋体" w:hAnsi="宋体" w:eastAsia="宋体" w:cs="宋体"/>
          <w:color w:val="auto"/>
          <w:u w:val="single"/>
        </w:rPr>
        <w:t>台州市北部湾区经济开发集团有限公司</w:t>
      </w:r>
      <w:r>
        <w:rPr>
          <w:rFonts w:hint="eastAsia"/>
          <w:color w:val="auto"/>
          <w:u w:val="single"/>
        </w:rPr>
        <w:t xml:space="preserve">   </w:t>
      </w:r>
      <w:r>
        <w:rPr>
          <w:color w:val="auto"/>
          <w:u w:val="single"/>
        </w:rPr>
        <w:t xml:space="preserve">   </w:t>
      </w:r>
    </w:p>
    <w:p>
      <w:pPr>
        <w:spacing w:line="360" w:lineRule="exact"/>
        <w:ind w:firstLine="482"/>
        <w:rPr>
          <w:color w:val="auto"/>
        </w:rPr>
      </w:pPr>
      <w:r>
        <w:rPr>
          <w:color w:val="auto"/>
        </w:rPr>
        <w:t>施工单位（乙方）：</w:t>
      </w:r>
      <w:r>
        <w:rPr>
          <w:color w:val="auto"/>
          <w:u w:val="single"/>
        </w:rPr>
        <w:t xml:space="preserve">                                     </w:t>
      </w:r>
      <w:r>
        <w:rPr>
          <w:color w:val="auto"/>
        </w:rPr>
        <w:t>。</w:t>
      </w:r>
    </w:p>
    <w:p>
      <w:pPr>
        <w:spacing w:line="360" w:lineRule="exact"/>
        <w:ind w:firstLine="482"/>
        <w:rPr>
          <w:color w:val="auto"/>
        </w:rPr>
      </w:pPr>
    </w:p>
    <w:p>
      <w:pPr>
        <w:spacing w:line="360" w:lineRule="exact"/>
        <w:ind w:firstLine="482"/>
        <w:rPr>
          <w:color w:val="auto"/>
        </w:rPr>
      </w:pPr>
      <w:r>
        <w:rPr>
          <w:color w:val="auto"/>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pPr>
        <w:spacing w:line="360" w:lineRule="exact"/>
        <w:rPr>
          <w:color w:val="auto"/>
        </w:rPr>
      </w:pPr>
      <w:r>
        <w:rPr>
          <w:color w:val="auto"/>
        </w:rPr>
        <w:t>　　第一条 甲乙双方的责任</w:t>
      </w:r>
    </w:p>
    <w:p>
      <w:pPr>
        <w:pStyle w:val="9"/>
        <w:spacing w:line="360" w:lineRule="exact"/>
        <w:rPr>
          <w:rFonts w:ascii="Times New Roman"/>
          <w:color w:val="auto"/>
          <w:sz w:val="21"/>
          <w:szCs w:val="21"/>
        </w:rPr>
      </w:pPr>
      <w:r>
        <w:rPr>
          <w:rFonts w:ascii="Times New Roman"/>
          <w:color w:val="auto"/>
          <w:sz w:val="21"/>
          <w:szCs w:val="21"/>
        </w:rPr>
        <w:t>　　（一）应严格遵守国家关于市场准入、项目招标投标、工程建设、施工安装和市场活动等有关法律、法规，相关政策，以及廉政建设的各项规定。</w:t>
      </w:r>
    </w:p>
    <w:p>
      <w:pPr>
        <w:spacing w:line="360" w:lineRule="exact"/>
        <w:rPr>
          <w:color w:val="auto"/>
        </w:rPr>
      </w:pPr>
      <w:r>
        <w:rPr>
          <w:color w:val="auto"/>
        </w:rPr>
        <w:t>　　（二）严格执行建设工程项目承发包合同文件，自觉按合同办事。</w:t>
      </w:r>
    </w:p>
    <w:p>
      <w:pPr>
        <w:pStyle w:val="9"/>
        <w:spacing w:line="360" w:lineRule="exact"/>
        <w:rPr>
          <w:rFonts w:ascii="Times New Roman"/>
          <w:color w:val="auto"/>
          <w:sz w:val="21"/>
          <w:szCs w:val="21"/>
        </w:rPr>
      </w:pPr>
      <w:r>
        <w:rPr>
          <w:rFonts w:ascii="Times New Roman"/>
          <w:color w:val="auto"/>
          <w:sz w:val="21"/>
          <w:szCs w:val="21"/>
        </w:rPr>
        <w:t>　　（三）业务活动必须坚持公开、公平、公正、诚信、透明的原则（除法律法规另有规定者外），不得为获取不正当的利益，损害国家、集体和对方利益，不得违反工程建设管理、施工安装的规章制度。</w:t>
      </w:r>
    </w:p>
    <w:p>
      <w:pPr>
        <w:pStyle w:val="9"/>
        <w:spacing w:line="360" w:lineRule="exact"/>
        <w:rPr>
          <w:rFonts w:ascii="Times New Roman"/>
          <w:color w:val="auto"/>
          <w:sz w:val="21"/>
          <w:szCs w:val="21"/>
        </w:rPr>
      </w:pPr>
      <w:r>
        <w:rPr>
          <w:rFonts w:ascii="Times New Roman"/>
          <w:color w:val="auto"/>
          <w:sz w:val="21"/>
          <w:szCs w:val="21"/>
        </w:rPr>
        <w:t>　　（四）发现对方在业务活动中有违规、违纪、违法行为的，应及时提醒对方，情节严重的，应向其上级主管部门或纪检监察、司法等有关机关举报。</w:t>
      </w:r>
    </w:p>
    <w:p>
      <w:pPr>
        <w:spacing w:line="360" w:lineRule="exact"/>
        <w:rPr>
          <w:color w:val="auto"/>
        </w:rPr>
      </w:pPr>
      <w:r>
        <w:rPr>
          <w:color w:val="auto"/>
        </w:rPr>
        <w:t>　　第二条 甲方的责任</w:t>
      </w:r>
    </w:p>
    <w:p>
      <w:pPr>
        <w:spacing w:line="360" w:lineRule="exact"/>
        <w:rPr>
          <w:color w:val="auto"/>
        </w:rPr>
      </w:pPr>
      <w:r>
        <w:rPr>
          <w:color w:val="auto"/>
        </w:rPr>
        <w:t>　　甲方的领导和从事该建设工程项目的工作人员，在工程建设的事前、事中、事后应遵守以下规定：</w:t>
      </w:r>
    </w:p>
    <w:p>
      <w:pPr>
        <w:spacing w:line="360" w:lineRule="exact"/>
        <w:rPr>
          <w:color w:val="auto"/>
        </w:rPr>
      </w:pPr>
      <w:r>
        <w:rPr>
          <w:color w:val="auto"/>
        </w:rPr>
        <w:t>　　（一）不准向乙方和相关单位索要或接受回扣、礼金、有价证券、贵重物品和好处费、感谢费等。</w:t>
      </w:r>
    </w:p>
    <w:p>
      <w:pPr>
        <w:spacing w:line="360" w:lineRule="exact"/>
        <w:rPr>
          <w:color w:val="auto"/>
        </w:rPr>
      </w:pPr>
      <w:r>
        <w:rPr>
          <w:color w:val="auto"/>
        </w:rPr>
        <w:t>　　（二）不准在乙方和相关单位报销任何应由甲方或个人支付的费用。</w:t>
      </w:r>
    </w:p>
    <w:p>
      <w:pPr>
        <w:pStyle w:val="9"/>
        <w:spacing w:line="360" w:lineRule="exact"/>
        <w:rPr>
          <w:rFonts w:ascii="Times New Roman"/>
          <w:color w:val="auto"/>
          <w:sz w:val="21"/>
          <w:szCs w:val="21"/>
        </w:rPr>
      </w:pPr>
      <w:r>
        <w:rPr>
          <w:rFonts w:ascii="Times New Roman"/>
          <w:color w:val="auto"/>
          <w:sz w:val="21"/>
          <w:szCs w:val="21"/>
        </w:rPr>
        <w:t>　　（三）不准要求、暗示和接受乙方和相关单位为个人装修住房、婚丧嫁娶、配偶子女的工作安排以及出国（境）、旅游等提供方便。</w:t>
      </w:r>
    </w:p>
    <w:p>
      <w:pPr>
        <w:spacing w:line="360" w:lineRule="exact"/>
        <w:rPr>
          <w:color w:val="auto"/>
        </w:rPr>
      </w:pPr>
      <w:r>
        <w:rPr>
          <w:color w:val="auto"/>
        </w:rPr>
        <w:t>　　（四）不准参加有可能影响公正执行公务的乙方和相关单位的宴请和健身、娱乐等活动。</w:t>
      </w:r>
    </w:p>
    <w:p>
      <w:pPr>
        <w:pStyle w:val="9"/>
        <w:spacing w:line="360" w:lineRule="exact"/>
        <w:rPr>
          <w:rFonts w:ascii="Times New Roman"/>
          <w:color w:val="auto"/>
          <w:sz w:val="21"/>
          <w:szCs w:val="21"/>
        </w:rPr>
      </w:pPr>
      <w:r>
        <w:rPr>
          <w:rFonts w:ascii="Times New Roman"/>
          <w:color w:val="auto"/>
          <w:sz w:val="21"/>
          <w:szCs w:val="21"/>
        </w:rPr>
        <w:t>　　（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pPr>
        <w:spacing w:line="360" w:lineRule="exact"/>
        <w:rPr>
          <w:color w:val="auto"/>
        </w:rPr>
      </w:pPr>
      <w:r>
        <w:rPr>
          <w:color w:val="auto"/>
        </w:rPr>
        <w:t>　　第三条 乙方的责任</w:t>
      </w:r>
    </w:p>
    <w:p>
      <w:pPr>
        <w:pStyle w:val="9"/>
        <w:spacing w:line="360" w:lineRule="exact"/>
        <w:rPr>
          <w:rFonts w:ascii="Times New Roman"/>
          <w:color w:val="auto"/>
          <w:sz w:val="21"/>
          <w:szCs w:val="21"/>
        </w:rPr>
      </w:pPr>
      <w:r>
        <w:rPr>
          <w:rFonts w:ascii="Times New Roman"/>
          <w:color w:val="auto"/>
          <w:sz w:val="21"/>
          <w:szCs w:val="21"/>
        </w:rPr>
        <w:t>　　应与甲方保持正常的业务交往，按照有关法律法规和程序开展业务工作，严格执行工程建设的有关方针、政策，尤其是有关建筑施工安装的强制性标准和规范，并遵守以下规定：</w:t>
      </w:r>
    </w:p>
    <w:p>
      <w:pPr>
        <w:pStyle w:val="9"/>
        <w:spacing w:line="360" w:lineRule="exact"/>
        <w:rPr>
          <w:rFonts w:ascii="Times New Roman"/>
          <w:color w:val="auto"/>
          <w:sz w:val="21"/>
          <w:szCs w:val="21"/>
        </w:rPr>
      </w:pPr>
      <w:r>
        <w:rPr>
          <w:rFonts w:ascii="Times New Roman"/>
          <w:color w:val="auto"/>
          <w:sz w:val="21"/>
          <w:szCs w:val="21"/>
        </w:rPr>
        <w:t>　　（一）不准以任何理由向甲方、相关单位及其工作人员索要、接受或赠送礼金、有价证券、贵重物品和回扣、好处费、感谢费等。</w:t>
      </w:r>
    </w:p>
    <w:p>
      <w:pPr>
        <w:spacing w:line="360" w:lineRule="exact"/>
        <w:rPr>
          <w:color w:val="auto"/>
        </w:rPr>
      </w:pPr>
      <w:r>
        <w:rPr>
          <w:color w:val="auto"/>
        </w:rPr>
        <w:t>　　（二）不准以任何理由为甲方和相关单位报销应由对方或个人支付的费用。</w:t>
      </w:r>
    </w:p>
    <w:p>
      <w:pPr>
        <w:pStyle w:val="9"/>
        <w:spacing w:line="360" w:lineRule="exact"/>
        <w:rPr>
          <w:rFonts w:ascii="Times New Roman"/>
          <w:color w:val="auto"/>
          <w:sz w:val="21"/>
          <w:szCs w:val="21"/>
        </w:rPr>
      </w:pPr>
      <w:r>
        <w:rPr>
          <w:rFonts w:ascii="Times New Roman"/>
          <w:color w:val="auto"/>
          <w:sz w:val="21"/>
          <w:szCs w:val="21"/>
        </w:rPr>
        <w:t>　　（三）不准接受或暗示为甲方、相关单位或个人装修住房、婚丧嫁娶、配偶子女的工作安排以及出国（境）、旅游等提供方便。</w:t>
      </w:r>
    </w:p>
    <w:p>
      <w:pPr>
        <w:pStyle w:val="9"/>
        <w:spacing w:line="360" w:lineRule="exact"/>
        <w:rPr>
          <w:rFonts w:ascii="Times New Roman"/>
          <w:color w:val="auto"/>
          <w:sz w:val="21"/>
          <w:szCs w:val="21"/>
        </w:rPr>
      </w:pPr>
      <w:r>
        <w:rPr>
          <w:rFonts w:ascii="Times New Roman"/>
          <w:color w:val="auto"/>
          <w:sz w:val="21"/>
          <w:szCs w:val="21"/>
        </w:rPr>
        <w:t>　　（四）不准以任何理由为甲方、相关单位或个人组织有可能影响公正执行公务的宴请、健身、娱乐等活动。</w:t>
      </w:r>
    </w:p>
    <w:p>
      <w:pPr>
        <w:spacing w:line="360" w:lineRule="exact"/>
        <w:rPr>
          <w:color w:val="auto"/>
        </w:rPr>
      </w:pPr>
      <w:r>
        <w:rPr>
          <w:color w:val="auto"/>
        </w:rPr>
        <w:t>　　第四条 违约责任</w:t>
      </w:r>
    </w:p>
    <w:p>
      <w:pPr>
        <w:pStyle w:val="9"/>
        <w:spacing w:line="360" w:lineRule="exact"/>
        <w:rPr>
          <w:rFonts w:ascii="Times New Roman"/>
          <w:color w:val="auto"/>
          <w:sz w:val="21"/>
          <w:szCs w:val="21"/>
        </w:rPr>
      </w:pPr>
      <w:r>
        <w:rPr>
          <w:rFonts w:ascii="Times New Roman"/>
          <w:color w:val="auto"/>
          <w:sz w:val="21"/>
          <w:szCs w:val="21"/>
        </w:rPr>
        <w:t>　　（一）甲方工作人员有违反本责任书第一、二条责任行为的，按照管理权限，依据有关法律法规和规定给予党纪、政纪处分或组织处理；涉嫌犯罪的，移交司法机关追究刑事责任；给乙方单位造成经济损失的，应予以赔偿。</w:t>
      </w:r>
    </w:p>
    <w:p>
      <w:pPr>
        <w:pStyle w:val="9"/>
        <w:spacing w:line="360" w:lineRule="exact"/>
        <w:rPr>
          <w:rFonts w:ascii="Times New Roman"/>
          <w:color w:val="auto"/>
          <w:sz w:val="21"/>
          <w:szCs w:val="21"/>
        </w:rPr>
      </w:pPr>
      <w:r>
        <w:rPr>
          <w:rFonts w:ascii="Times New Roman"/>
          <w:color w:val="auto"/>
          <w:sz w:val="21"/>
          <w:szCs w:val="21"/>
        </w:rPr>
        <w:t>　　（二）乙方工作人员有违反本责任书第一、三条责任行为的，按照管理权限，依据有关法律法规和规定给予党纪、政纪处分或组织处理；涉嫌犯罪的，移交司法机关追究刑事责任；给甲方单位造成经济损失的，应予以赔偿。</w:t>
      </w:r>
    </w:p>
    <w:p>
      <w:pPr>
        <w:spacing w:line="360" w:lineRule="exact"/>
        <w:rPr>
          <w:color w:val="auto"/>
        </w:rPr>
      </w:pPr>
      <w:r>
        <w:rPr>
          <w:color w:val="auto"/>
        </w:rPr>
        <w:t>　　第五条 本责任书作为工程施工合同的附件，与工程施工合同具有同等法律效力。经双方签署后立即生效。</w:t>
      </w:r>
    </w:p>
    <w:p>
      <w:pPr>
        <w:spacing w:line="360" w:lineRule="exact"/>
        <w:rPr>
          <w:color w:val="auto"/>
        </w:rPr>
      </w:pPr>
      <w:r>
        <w:rPr>
          <w:color w:val="auto"/>
        </w:rPr>
        <w:t>　　第六条 本责任书的有效期为双方签署之日起至该工程项目竣工验收合格时止。</w:t>
      </w:r>
    </w:p>
    <w:p>
      <w:pPr>
        <w:spacing w:line="360" w:lineRule="exact"/>
        <w:rPr>
          <w:color w:val="auto"/>
        </w:rPr>
      </w:pPr>
      <w:r>
        <w:rPr>
          <w:color w:val="auto"/>
        </w:rPr>
        <w:t>　　第七条 本责任书一式四份，由甲乙双方各执一份，送交甲乙双方的监督单位各一份。</w:t>
      </w:r>
    </w:p>
    <w:p>
      <w:pPr>
        <w:spacing w:line="360" w:lineRule="exact"/>
        <w:ind w:firstLine="482"/>
        <w:rPr>
          <w:color w:val="auto"/>
        </w:rPr>
      </w:pPr>
    </w:p>
    <w:p>
      <w:pPr>
        <w:spacing w:line="360" w:lineRule="exact"/>
        <w:ind w:firstLine="482"/>
        <w:rPr>
          <w:color w:val="auto"/>
        </w:rPr>
      </w:pPr>
    </w:p>
    <w:p>
      <w:pPr>
        <w:spacing w:line="360" w:lineRule="exact"/>
        <w:ind w:firstLine="482"/>
        <w:rPr>
          <w:color w:val="auto"/>
        </w:rPr>
      </w:pPr>
      <w:r>
        <w:rPr>
          <w:color w:val="auto"/>
        </w:rPr>
        <w:t>甲方单位：（盖章）　　　　　　　　           乙方单位：（盖章）</w:t>
      </w:r>
    </w:p>
    <w:p>
      <w:pPr>
        <w:spacing w:line="360" w:lineRule="exact"/>
        <w:ind w:firstLine="482"/>
        <w:rPr>
          <w:color w:val="auto"/>
        </w:rPr>
      </w:pPr>
      <w:r>
        <w:rPr>
          <w:color w:val="auto"/>
        </w:rPr>
        <w:t>法定代表人：　　　　　　　　　              法定代表人：</w:t>
      </w:r>
    </w:p>
    <w:p>
      <w:pPr>
        <w:spacing w:line="360" w:lineRule="exact"/>
        <w:ind w:firstLine="482"/>
        <w:rPr>
          <w:color w:val="auto"/>
        </w:rPr>
      </w:pPr>
      <w:r>
        <w:rPr>
          <w:color w:val="auto"/>
        </w:rPr>
        <w:t>地址：　　　　　　　　　　　　　            地址：</w:t>
      </w:r>
    </w:p>
    <w:p>
      <w:pPr>
        <w:spacing w:line="360" w:lineRule="exact"/>
        <w:ind w:firstLine="482"/>
        <w:rPr>
          <w:color w:val="auto"/>
        </w:rPr>
      </w:pPr>
      <w:r>
        <w:rPr>
          <w:color w:val="auto"/>
        </w:rPr>
        <w:t>电话：　　　　　　　　　　　　　　　        电话：</w:t>
      </w:r>
    </w:p>
    <w:p>
      <w:pPr>
        <w:spacing w:line="360" w:lineRule="exact"/>
        <w:ind w:firstLine="482"/>
        <w:rPr>
          <w:color w:val="auto"/>
        </w:rPr>
      </w:pPr>
      <w:r>
        <w:rPr>
          <w:color w:val="auto"/>
        </w:rPr>
        <w:t>年　月　日　　　　　　　　　　　　　        年　月　日</w:t>
      </w:r>
    </w:p>
    <w:p>
      <w:pPr>
        <w:spacing w:line="360" w:lineRule="exact"/>
        <w:ind w:firstLine="482"/>
        <w:rPr>
          <w:color w:val="auto"/>
        </w:rPr>
      </w:pPr>
      <w:r>
        <w:rPr>
          <w:color w:val="auto"/>
        </w:rPr>
        <w:t>甲方监督单位（盖章）　　　　　　　　　      乙方监督单位（盖章）</w:t>
      </w:r>
    </w:p>
    <w:p>
      <w:pPr>
        <w:spacing w:line="360" w:lineRule="exact"/>
        <w:ind w:firstLine="482"/>
        <w:rPr>
          <w:color w:val="auto"/>
        </w:rPr>
      </w:pPr>
      <w:r>
        <w:rPr>
          <w:color w:val="auto"/>
        </w:rPr>
        <w:t>年　月　日　　　　　　　　　　　　　　      年　月　日</w:t>
      </w:r>
    </w:p>
    <w:p>
      <w:pPr>
        <w:spacing w:line="360" w:lineRule="exact"/>
        <w:ind w:firstLine="482"/>
        <w:jc w:val="right"/>
        <w:rPr>
          <w:color w:val="auto"/>
        </w:rPr>
      </w:pPr>
    </w:p>
    <w:p>
      <w:pPr>
        <w:pStyle w:val="35"/>
        <w:jc w:val="center"/>
        <w:rPr>
          <w:rFonts w:cs="Times New Roman"/>
          <w:color w:val="auto"/>
          <w:sz w:val="32"/>
          <w:szCs w:val="32"/>
        </w:rPr>
      </w:pPr>
      <w:r>
        <w:rPr>
          <w:color w:val="auto"/>
        </w:rPr>
        <w:br w:type="page"/>
      </w:r>
      <w:bookmarkStart w:id="742" w:name="_Toc109826679"/>
      <w:bookmarkStart w:id="743" w:name="_Toc54333551"/>
      <w:bookmarkStart w:id="744" w:name="_Toc27444"/>
      <w:bookmarkStart w:id="745" w:name="_Toc531360472"/>
      <w:r>
        <w:rPr>
          <w:rFonts w:cs="Times New Roman"/>
          <w:color w:val="auto"/>
          <w:sz w:val="32"/>
          <w:szCs w:val="32"/>
        </w:rPr>
        <w:t>第</w:t>
      </w:r>
      <w:r>
        <w:rPr>
          <w:rFonts w:hint="eastAsia" w:cs="Times New Roman"/>
          <w:color w:val="auto"/>
          <w:sz w:val="32"/>
          <w:szCs w:val="32"/>
        </w:rPr>
        <w:t>五</w:t>
      </w:r>
      <w:r>
        <w:rPr>
          <w:rFonts w:cs="Times New Roman"/>
          <w:color w:val="auto"/>
          <w:sz w:val="32"/>
          <w:szCs w:val="32"/>
        </w:rPr>
        <w:t>部分    安全生产协议书</w:t>
      </w:r>
      <w:bookmarkEnd w:id="742"/>
      <w:bookmarkEnd w:id="743"/>
      <w:bookmarkEnd w:id="744"/>
      <w:bookmarkEnd w:id="745"/>
    </w:p>
    <w:p>
      <w:pPr>
        <w:pStyle w:val="43"/>
        <w:spacing w:line="360" w:lineRule="exact"/>
        <w:jc w:val="center"/>
        <w:rPr>
          <w:rFonts w:ascii="Times New Roman" w:hAnsi="Times New Roman"/>
          <w:b/>
          <w:sz w:val="32"/>
          <w:szCs w:val="32"/>
        </w:rPr>
      </w:pPr>
    </w:p>
    <w:p>
      <w:pPr>
        <w:pStyle w:val="43"/>
        <w:spacing w:line="360" w:lineRule="exact"/>
        <w:jc w:val="center"/>
        <w:rPr>
          <w:b/>
          <w:sz w:val="32"/>
          <w:szCs w:val="32"/>
        </w:rPr>
      </w:pPr>
      <w:r>
        <w:rPr>
          <w:rFonts w:ascii="Times New Roman" w:hAnsi="Times New Roman"/>
          <w:b/>
          <w:sz w:val="32"/>
          <w:szCs w:val="32"/>
        </w:rPr>
        <w:t>安全生产协议书</w:t>
      </w:r>
    </w:p>
    <w:p>
      <w:pPr>
        <w:pStyle w:val="43"/>
        <w:spacing w:line="360" w:lineRule="exact"/>
        <w:ind w:firstLine="420" w:firstLineChars="200"/>
      </w:pPr>
    </w:p>
    <w:p>
      <w:pPr>
        <w:pStyle w:val="43"/>
        <w:spacing w:line="340" w:lineRule="exact"/>
        <w:ind w:left="-420" w:leftChars="-200" w:right="-506" w:rightChars="-241" w:firstLine="420" w:firstLineChars="200"/>
        <w:jc w:val="left"/>
        <w:rPr>
          <w:szCs w:val="21"/>
          <w:u w:val="single"/>
        </w:rPr>
      </w:pPr>
      <w:r>
        <w:rPr>
          <w:rFonts w:hint="eastAsia"/>
        </w:rPr>
        <w:t>甲方：</w:t>
      </w:r>
      <w:r>
        <w:rPr>
          <w:rFonts w:hint="eastAsia"/>
          <w:szCs w:val="21"/>
          <w:u w:val="single"/>
        </w:rPr>
        <w:t>台州市北部湾区经济开发集团有限公司</w:t>
      </w:r>
    </w:p>
    <w:p>
      <w:pPr>
        <w:pStyle w:val="43"/>
        <w:spacing w:line="340" w:lineRule="exact"/>
        <w:ind w:left="-420" w:leftChars="-200" w:right="-506" w:rightChars="-241" w:firstLine="420" w:firstLineChars="200"/>
        <w:jc w:val="left"/>
        <w:rPr>
          <w:u w:val="single"/>
        </w:rPr>
      </w:pPr>
      <w:r>
        <w:rPr>
          <w:rFonts w:hint="eastAsia"/>
        </w:rPr>
        <w:t>乙方：</w:t>
      </w:r>
      <w:r>
        <w:rPr>
          <w:rFonts w:hint="eastAsia"/>
          <w:u w:val="single"/>
        </w:rPr>
        <w:t xml:space="preserve">                                                             </w:t>
      </w:r>
      <w:r>
        <w:rPr>
          <w:u w:val="single"/>
        </w:rPr>
        <w:t xml:space="preserve">   </w:t>
      </w:r>
    </w:p>
    <w:p>
      <w:pPr>
        <w:pStyle w:val="43"/>
        <w:spacing w:line="340" w:lineRule="exact"/>
        <w:ind w:firstLine="420" w:firstLineChars="200"/>
        <w:jc w:val="left"/>
      </w:pPr>
      <w:r>
        <w:rPr>
          <w:rFonts w:hint="eastAsia"/>
        </w:rPr>
        <w:t>为了进一步贯彻落实“安全第一、预防为主”的安全生产方针，严格执行劳动保护和安全生产的法令、法规，强化安全生产管理，落实安全生产责任制，依法从严治理施工现场，确保项目施工中操作人员的安全与健康，促进施工顺利进行，特签定本合约。在施工工程承包合同的执行上，本合约具有优先权。</w:t>
      </w:r>
    </w:p>
    <w:p>
      <w:pPr>
        <w:pStyle w:val="43"/>
        <w:spacing w:line="340" w:lineRule="exact"/>
        <w:ind w:firstLine="420" w:firstLineChars="200"/>
        <w:jc w:val="left"/>
      </w:pPr>
      <w:r>
        <w:rPr>
          <w:rFonts w:hint="eastAsia"/>
        </w:rPr>
        <w:t>一、管理目标：</w:t>
      </w:r>
    </w:p>
    <w:p>
      <w:pPr>
        <w:pStyle w:val="43"/>
        <w:spacing w:line="340" w:lineRule="exact"/>
        <w:ind w:firstLine="420" w:firstLineChars="200"/>
        <w:jc w:val="left"/>
      </w:pPr>
      <w:r>
        <w:rPr>
          <w:rFonts w:hint="eastAsia"/>
        </w:rPr>
        <w:t xml:space="preserve">    1. 杜绝重大安全事故，工亡事故为零；</w:t>
      </w:r>
    </w:p>
    <w:p>
      <w:pPr>
        <w:pStyle w:val="43"/>
        <w:spacing w:line="340" w:lineRule="exact"/>
        <w:ind w:firstLine="420" w:firstLineChars="200"/>
        <w:jc w:val="left"/>
      </w:pPr>
      <w:r>
        <w:rPr>
          <w:rFonts w:hint="eastAsia"/>
        </w:rPr>
        <w:t xml:space="preserve">    2. 重伤频率控制在万分之三以下，负伤频率控制在千分之四以下；</w:t>
      </w:r>
    </w:p>
    <w:p>
      <w:pPr>
        <w:pStyle w:val="43"/>
        <w:spacing w:line="340" w:lineRule="exact"/>
        <w:ind w:firstLine="420" w:firstLineChars="200"/>
        <w:jc w:val="left"/>
      </w:pPr>
      <w:r>
        <w:rPr>
          <w:rFonts w:hint="eastAsia"/>
        </w:rPr>
        <w:t xml:space="preserve">    3. 现场内的安全隐患整改率必须保证在时限内达到100%，杜绝现场重大隐患的出现；</w:t>
      </w:r>
    </w:p>
    <w:p>
      <w:pPr>
        <w:pStyle w:val="43"/>
        <w:spacing w:line="340" w:lineRule="exact"/>
        <w:ind w:firstLine="420" w:firstLineChars="200"/>
        <w:jc w:val="left"/>
      </w:pPr>
      <w:r>
        <w:rPr>
          <w:rFonts w:hint="eastAsia"/>
        </w:rPr>
        <w:t xml:space="preserve">    4. 现场内不发生火灾事故，火险隐患整改率必须保证在时限内达到100%；</w:t>
      </w:r>
    </w:p>
    <w:p>
      <w:pPr>
        <w:pStyle w:val="43"/>
        <w:spacing w:line="340" w:lineRule="exact"/>
        <w:ind w:firstLine="420" w:firstLineChars="200"/>
        <w:jc w:val="left"/>
      </w:pPr>
      <w:r>
        <w:rPr>
          <w:rFonts w:hint="eastAsia"/>
        </w:rPr>
        <w:t xml:space="preserve">    5. 不发生重大中毒事故以及群发性传染病；</w:t>
      </w:r>
    </w:p>
    <w:p>
      <w:pPr>
        <w:pStyle w:val="43"/>
        <w:spacing w:line="340" w:lineRule="exact"/>
        <w:ind w:firstLine="420" w:firstLineChars="200"/>
        <w:jc w:val="left"/>
      </w:pPr>
      <w:r>
        <w:rPr>
          <w:rFonts w:hint="eastAsia"/>
        </w:rPr>
        <w:t xml:space="preserve">    6. 必须保证施工现场创建文明安全施工工地。</w:t>
      </w:r>
    </w:p>
    <w:p>
      <w:pPr>
        <w:pStyle w:val="43"/>
        <w:spacing w:line="340" w:lineRule="exact"/>
        <w:ind w:firstLine="420" w:firstLineChars="200"/>
        <w:jc w:val="left"/>
      </w:pPr>
      <w:r>
        <w:rPr>
          <w:rFonts w:hint="eastAsia"/>
        </w:rPr>
        <w:t>二、安全生产要求</w:t>
      </w:r>
    </w:p>
    <w:p>
      <w:pPr>
        <w:pStyle w:val="43"/>
        <w:spacing w:line="340" w:lineRule="exact"/>
        <w:ind w:firstLine="420" w:firstLineChars="200"/>
        <w:jc w:val="left"/>
      </w:pPr>
      <w:r>
        <w:rPr>
          <w:rFonts w:hint="eastAsia"/>
        </w:rPr>
        <w:t>1. 乙方应按有关规定，采取严格的安全防护措施，否则由于自身安全措施不力而造成事故的责任和因此而发生的费用由乙方承担。非乙方责任的伤亡事故，由责任方承担责任和有关费用；</w:t>
      </w:r>
    </w:p>
    <w:p>
      <w:pPr>
        <w:pStyle w:val="43"/>
        <w:spacing w:line="340" w:lineRule="exact"/>
        <w:ind w:firstLine="420" w:firstLineChars="200"/>
        <w:jc w:val="left"/>
      </w:pPr>
      <w:r>
        <w:rPr>
          <w:rFonts w:hint="eastAsia"/>
        </w:rPr>
        <w:t xml:space="preserve">    2. 乙方应熟悉并能自觉遵守、执行建设部《建筑施工安全检查标准》以及相关的各项规范；自觉遵守当地政府有关安全施工的各项规定和行业主管部门颁布实施的有关安全生产的法律、法规、规范、标准及各项规定，并且积极参加各种有关促进安全生产的各项活动，切实保障施工工作人员的安全与健康。</w:t>
      </w:r>
    </w:p>
    <w:p>
      <w:pPr>
        <w:pStyle w:val="43"/>
        <w:spacing w:line="340" w:lineRule="exact"/>
        <w:ind w:firstLine="420" w:firstLineChars="200"/>
        <w:jc w:val="left"/>
      </w:pPr>
      <w:r>
        <w:rPr>
          <w:rFonts w:hint="eastAsia"/>
        </w:rPr>
        <w:t>3. 乙方必须尊重并且服从甲方现行的有关安全生产各项规章制度和管理方式，并按经济合同有关条款加强自身管理，履行乙方责任。</w:t>
      </w:r>
    </w:p>
    <w:p>
      <w:pPr>
        <w:pStyle w:val="43"/>
        <w:spacing w:line="340" w:lineRule="exact"/>
        <w:ind w:firstLine="420" w:firstLineChars="200"/>
        <w:jc w:val="left"/>
      </w:pPr>
      <w:r>
        <w:rPr>
          <w:rFonts w:hint="eastAsia"/>
        </w:rPr>
        <w:t>4. 乙方必须执行安全技术方案报批制度、安全技术交底制度、周安全例会制度与班前安全讲话制度、各级安全教育培训以及持证上岗制度、甲方的安全检查制度、检查整改消项制度、安全防护措施、设备验收制度和施工作业转换后的交接检验制度、安全防护验收表和施工变化后交接检验制度、个人劳动防护用品定期定量供应制度、预防和治理职业伤害与中毒事故、职工因工伤亡报告制度。</w:t>
      </w:r>
    </w:p>
    <w:p>
      <w:pPr>
        <w:pStyle w:val="43"/>
        <w:spacing w:line="340" w:lineRule="exact"/>
        <w:ind w:firstLine="420" w:firstLineChars="200"/>
        <w:jc w:val="left"/>
      </w:pPr>
      <w:r>
        <w:rPr>
          <w:rFonts w:hint="eastAsia"/>
        </w:rPr>
        <w:t>5、如果发生因工伤亡事故，乙方应在1小时内，以最快捷的方式通知甲方的项目主管领导，向其报告事故的详情。由甲方通过正常渠道及时逐级上报上级有关部门，同时积极组织抢救工作采取相应的措施，保护好现场，如因抢救伤员必须移动现场设备、设施者要做好记录或拍照，甲方为抢救提供必要条件。乙方要积极配合甲方上级部门、政府部门对事故的调查和现场勘查。凡因乙方隐瞒不报、做伪证或擅自拆毁事故现场，所造成的一切后果均由乙方承担；乙方须承担因为乙方的原因造成的安全事故的经济责任和法律责任；</w:t>
      </w:r>
    </w:p>
    <w:p>
      <w:pPr>
        <w:pStyle w:val="43"/>
        <w:spacing w:line="340" w:lineRule="exact"/>
        <w:ind w:firstLine="420" w:firstLineChars="200"/>
        <w:jc w:val="left"/>
      </w:pPr>
      <w:r>
        <w:rPr>
          <w:rFonts w:hint="eastAsia"/>
        </w:rPr>
        <w:t xml:space="preserve">    6、乙方必须执行安全工作奖罚制度：乙方要教育和约束自己的职工严格遵守施工现场安全管理规定，对遵章守纪者给予表扬和奖励，对违章作业、违章指挥、违反劳动纪律和规章制度者给予处罚。</w:t>
      </w:r>
    </w:p>
    <w:p>
      <w:pPr>
        <w:pStyle w:val="43"/>
        <w:spacing w:line="340" w:lineRule="exact"/>
        <w:ind w:firstLine="420" w:firstLineChars="200"/>
        <w:jc w:val="left"/>
      </w:pPr>
      <w:r>
        <w:rPr>
          <w:rFonts w:hint="eastAsia"/>
        </w:rPr>
        <w:t xml:space="preserve">    7、乙方必须执行安全防范制度，要对施工工程范围内工作人员的安全负责；乙方必须采取一切严密的、符合安全标准的预防措施，确保所有工作场所的安全，不得存在危及工人安全和健康的危险情况，并保证建筑工地所有人员或附近人员免遭工地可能发生的一切危险。</w:t>
      </w:r>
    </w:p>
    <w:p>
      <w:pPr>
        <w:pStyle w:val="43"/>
        <w:spacing w:line="340" w:lineRule="exact"/>
        <w:ind w:firstLine="420" w:firstLineChars="200"/>
        <w:jc w:val="left"/>
      </w:pPr>
      <w:r>
        <w:rPr>
          <w:rFonts w:hint="eastAsia"/>
        </w:rPr>
        <w:t>三、甲、乙双方的责任</w:t>
      </w:r>
    </w:p>
    <w:p>
      <w:pPr>
        <w:pStyle w:val="43"/>
        <w:spacing w:line="340" w:lineRule="exact"/>
        <w:ind w:firstLine="420" w:firstLineChars="200"/>
        <w:jc w:val="left"/>
      </w:pPr>
      <w:r>
        <w:rPr>
          <w:rFonts w:hint="eastAsia"/>
        </w:rPr>
        <w:t>    1、甲方对施工现场的安全生产全面负责。</w:t>
      </w:r>
    </w:p>
    <w:p>
      <w:pPr>
        <w:pStyle w:val="43"/>
        <w:spacing w:line="340" w:lineRule="exact"/>
        <w:ind w:firstLine="420" w:firstLineChars="200"/>
        <w:jc w:val="left"/>
      </w:pPr>
      <w:r>
        <w:rPr>
          <w:rFonts w:hint="eastAsia"/>
        </w:rPr>
        <w:t>    2、甲方有权对乙方进入现场所带机械设备、电气设备的安全防护设施及用品进行监督检查，对不符合安全规定的设施、用品有权禁止使用。</w:t>
      </w:r>
    </w:p>
    <w:p>
      <w:pPr>
        <w:pStyle w:val="43"/>
        <w:spacing w:line="340" w:lineRule="exact"/>
        <w:ind w:firstLine="420" w:firstLineChars="200"/>
        <w:jc w:val="left"/>
      </w:pPr>
      <w:r>
        <w:rPr>
          <w:rFonts w:hint="eastAsia"/>
        </w:rPr>
        <w:t>    3、甲方有权对乙方在施工中出现的不安全隐患签发隐患通知书，并限期整改，对情节严重又不按期整改的，甲方有权停止乙方的作业，由此产生的后果由乙方承担一切责任。</w:t>
      </w:r>
    </w:p>
    <w:p>
      <w:pPr>
        <w:pStyle w:val="43"/>
        <w:spacing w:line="340" w:lineRule="exact"/>
        <w:ind w:firstLine="420" w:firstLineChars="200"/>
        <w:jc w:val="left"/>
      </w:pPr>
      <w:r>
        <w:rPr>
          <w:rFonts w:hint="eastAsia"/>
        </w:rPr>
        <w:t>    4、由甲方提供给乙方使用的施工用电、甲供材料、设备等必须经双方验收合格，签字移交后方可使用，但在使用过程乙方不得随意拆改、更换，否则，产生的一切后果由乙方承担（包括经济赔偿在内）一切责任。</w:t>
      </w:r>
    </w:p>
    <w:p>
      <w:pPr>
        <w:pStyle w:val="43"/>
        <w:spacing w:line="340" w:lineRule="exact"/>
        <w:ind w:firstLine="420" w:firstLineChars="200"/>
        <w:jc w:val="left"/>
      </w:pPr>
      <w:r>
        <w:rPr>
          <w:rFonts w:hint="eastAsia"/>
        </w:rPr>
        <w:t>    5、乙方在施工现场内施工，必须服从甲方及监理单位、安全监督单位的安全生产管理，乙方不服从管理导致生产安全事故的，由乙方承担全部责任。</w:t>
      </w:r>
    </w:p>
    <w:p>
      <w:pPr>
        <w:pStyle w:val="43"/>
        <w:spacing w:line="340" w:lineRule="exact"/>
        <w:ind w:firstLine="420" w:firstLineChars="200"/>
        <w:jc w:val="left"/>
      </w:pPr>
      <w:r>
        <w:rPr>
          <w:rFonts w:hint="eastAsia"/>
        </w:rPr>
        <w:t>    6、施工人员进场前，必须先将现场负责人，施工人员（包括管理人员、施工人员、特殊作业人员）花名册，企业资质证书和委托书等原件或复印件送甲方备案。</w:t>
      </w:r>
    </w:p>
    <w:p>
      <w:pPr>
        <w:pStyle w:val="43"/>
        <w:spacing w:line="340" w:lineRule="exact"/>
        <w:ind w:firstLine="420" w:firstLineChars="200"/>
        <w:jc w:val="left"/>
      </w:pPr>
      <w:r>
        <w:rPr>
          <w:rFonts w:hint="eastAsia"/>
        </w:rPr>
        <w:t>    7、进入施工现场必须按要求正确佩戴合格的劳动防护用品。现场严禁垂直交叉作业；高处作业禁止将工具、配件及物件上下抛掷；危险性较大的作业项目，乙方必须设专人监护。</w:t>
      </w:r>
    </w:p>
    <w:p>
      <w:pPr>
        <w:pStyle w:val="43"/>
        <w:spacing w:line="340" w:lineRule="exact"/>
        <w:ind w:firstLine="420" w:firstLineChars="200"/>
        <w:jc w:val="left"/>
      </w:pPr>
      <w:r>
        <w:rPr>
          <w:rFonts w:hint="eastAsia"/>
        </w:rPr>
        <w:t>  　8、施工用电不得乱拉乱接，需要用电时，必须由专职电工操作；需要甲方配合的或提供帮助的必须在甲方电工的统一安排下进行。各类特殊作业人员必须持有效证件上岗。</w:t>
      </w:r>
    </w:p>
    <w:p>
      <w:pPr>
        <w:pStyle w:val="43"/>
        <w:spacing w:line="340" w:lineRule="exact"/>
        <w:ind w:firstLine="420" w:firstLineChars="200"/>
        <w:jc w:val="left"/>
      </w:pPr>
      <w:r>
        <w:rPr>
          <w:rFonts w:hint="eastAsia"/>
        </w:rPr>
        <w:t>  　9、乙方应教育本单位作业人员做到文明施工、安全生产，在平时的工作中做到活完场清，工完场冷，材料码放有序，保持施工现场的宏观整洁，防止造成环境污染。</w:t>
      </w:r>
    </w:p>
    <w:p>
      <w:pPr>
        <w:pStyle w:val="43"/>
        <w:spacing w:line="340" w:lineRule="exact"/>
        <w:ind w:firstLine="420" w:firstLineChars="200"/>
        <w:jc w:val="left"/>
      </w:pPr>
      <w:r>
        <w:rPr>
          <w:rFonts w:hint="eastAsia"/>
        </w:rPr>
        <w:t>四、事故责任与处理</w:t>
      </w:r>
    </w:p>
    <w:p>
      <w:pPr>
        <w:pStyle w:val="43"/>
        <w:spacing w:line="340" w:lineRule="exact"/>
        <w:ind w:firstLine="420" w:firstLineChars="200"/>
        <w:jc w:val="left"/>
      </w:pPr>
      <w:r>
        <w:rPr>
          <w:rFonts w:hint="eastAsia"/>
        </w:rPr>
        <w:t>  　1、由于乙方管理或乙方作业人员自身责任造成的伤、残、亡事故，要立即向甲方报告，同时由乙方参照国家现行规定负责处理，并负责事故人员及家属的全部经济补偿。</w:t>
      </w:r>
    </w:p>
    <w:p>
      <w:pPr>
        <w:pStyle w:val="43"/>
        <w:spacing w:line="340" w:lineRule="exact"/>
        <w:ind w:firstLine="420" w:firstLineChars="200"/>
        <w:jc w:val="left"/>
      </w:pPr>
      <w:r>
        <w:rPr>
          <w:rFonts w:hint="eastAsia"/>
        </w:rPr>
        <w:t>  　2、由于乙方以外的责任造成乙方作业人员伤、残、亡事故的，在执行事故处理时，参照国家现行政策，由责任方一次性给予乙方经济补偿，其善后事宜由乙方处理。</w:t>
      </w:r>
    </w:p>
    <w:p>
      <w:pPr>
        <w:pStyle w:val="43"/>
        <w:spacing w:line="340" w:lineRule="exact"/>
        <w:ind w:firstLine="420" w:firstLineChars="200"/>
        <w:jc w:val="left"/>
      </w:pPr>
      <w:r>
        <w:rPr>
          <w:rFonts w:hint="eastAsia"/>
        </w:rPr>
        <w:t>  　3、由于乙方或乙方作业人员违章指挥，违章作业或设备设施不完善造成甲方或第三者人员的伤亡事故，由乙方参照国家现行规定负责处理，并负责伤、残、亡个人及家属的全部经济补偿和善后处理。</w:t>
      </w:r>
    </w:p>
    <w:p>
      <w:pPr>
        <w:pStyle w:val="43"/>
        <w:spacing w:line="340" w:lineRule="exact"/>
        <w:ind w:firstLine="420" w:firstLineChars="200"/>
        <w:jc w:val="left"/>
      </w:pPr>
      <w:r>
        <w:rPr>
          <w:rFonts w:hint="eastAsia"/>
        </w:rPr>
        <w:t>4、乙方在施工过程中，应不妨碍甲方既有污水处理设施的正常运行，由于乙方原因造成甲方生产损失的，由乙方承担全部经济损失。</w:t>
      </w:r>
    </w:p>
    <w:p>
      <w:pPr>
        <w:pStyle w:val="43"/>
        <w:spacing w:line="340" w:lineRule="exact"/>
        <w:ind w:firstLine="420" w:firstLineChars="200"/>
        <w:jc w:val="left"/>
      </w:pPr>
      <w:r>
        <w:rPr>
          <w:rFonts w:hint="eastAsia"/>
        </w:rPr>
        <w:t>五、本协议一式四份，甲方、乙方各执一份，上报各自主管部门一份。</w:t>
      </w:r>
    </w:p>
    <w:p>
      <w:pPr>
        <w:pStyle w:val="43"/>
        <w:spacing w:line="340" w:lineRule="exact"/>
        <w:ind w:firstLine="420" w:firstLineChars="200"/>
        <w:jc w:val="left"/>
      </w:pPr>
      <w:r>
        <w:rPr>
          <w:rFonts w:hint="eastAsia"/>
        </w:rPr>
        <w:t>六、本协议有效期为：从签订之日起至乙方的工程项目竣工（完工）及所有人员全部撤出现场为止。</w:t>
      </w:r>
    </w:p>
    <w:p>
      <w:pPr>
        <w:pStyle w:val="43"/>
        <w:spacing w:line="340" w:lineRule="exact"/>
        <w:ind w:left="-420" w:leftChars="-200" w:right="-506" w:rightChars="-241" w:firstLine="420" w:firstLineChars="200"/>
      </w:pPr>
    </w:p>
    <w:p>
      <w:pPr>
        <w:pStyle w:val="43"/>
        <w:spacing w:line="340" w:lineRule="exact"/>
        <w:ind w:left="-420" w:leftChars="-200" w:right="-506" w:rightChars="-241" w:firstLine="420" w:firstLineChars="200"/>
      </w:pPr>
      <w:r>
        <w:rPr>
          <w:rFonts w:hint="eastAsia"/>
        </w:rPr>
        <w:t xml:space="preserve">甲    方： </w:t>
      </w:r>
      <w:r>
        <w:t xml:space="preserve">                             </w:t>
      </w:r>
      <w:r>
        <w:rPr>
          <w:rFonts w:hint="eastAsia"/>
        </w:rPr>
        <w:t xml:space="preserve">    乙    方： </w:t>
      </w:r>
    </w:p>
    <w:p>
      <w:pPr>
        <w:pStyle w:val="43"/>
        <w:spacing w:line="340" w:lineRule="exact"/>
        <w:ind w:left="-420" w:leftChars="-200" w:right="-506" w:rightChars="-241" w:firstLine="420" w:firstLineChars="200"/>
      </w:pPr>
      <w:r>
        <w:rPr>
          <w:rFonts w:hint="eastAsia"/>
        </w:rPr>
        <w:t>法定代表人：                                法定代表人：</w:t>
      </w:r>
    </w:p>
    <w:p>
      <w:pPr>
        <w:pStyle w:val="43"/>
        <w:spacing w:line="340" w:lineRule="exact"/>
        <w:ind w:left="-420" w:leftChars="-200" w:right="-506" w:rightChars="-241" w:firstLine="420" w:firstLineChars="200"/>
      </w:pPr>
    </w:p>
    <w:p>
      <w:pPr>
        <w:pStyle w:val="43"/>
        <w:spacing w:line="340" w:lineRule="exact"/>
        <w:ind w:left="-420" w:leftChars="-200" w:right="-506" w:rightChars="-241" w:firstLine="420" w:firstLineChars="200"/>
      </w:pPr>
      <w:r>
        <w:rPr>
          <w:rFonts w:hint="eastAsia"/>
        </w:rPr>
        <w:t>委托代理人：                                委托代理人：</w:t>
      </w:r>
    </w:p>
    <w:p>
      <w:pPr>
        <w:pStyle w:val="43"/>
        <w:spacing w:line="340" w:lineRule="exact"/>
        <w:ind w:left="-420" w:leftChars="-200" w:right="-506" w:rightChars="-241" w:firstLine="420" w:firstLineChars="200"/>
      </w:pPr>
    </w:p>
    <w:p>
      <w:pPr>
        <w:spacing w:line="360" w:lineRule="exact"/>
        <w:ind w:firstLine="420" w:firstLineChars="200"/>
        <w:rPr>
          <w:color w:val="auto"/>
        </w:rPr>
        <w:sectPr>
          <w:footerReference r:id="rId4" w:type="first"/>
          <w:footnotePr>
            <w:numRestart w:val="eachPage"/>
          </w:footnotePr>
          <w:endnotePr>
            <w:numRestart w:val="eachSect"/>
          </w:endnotePr>
          <w:pgSz w:w="11907" w:h="16840"/>
          <w:pgMar w:top="1247" w:right="1361" w:bottom="1247" w:left="1361" w:header="851" w:footer="839" w:gutter="0"/>
          <w:cols w:space="720" w:num="1"/>
          <w:docGrid w:linePitch="435" w:charSpace="-6554"/>
        </w:sectPr>
      </w:pPr>
      <w:r>
        <w:rPr>
          <w:rFonts w:hint="eastAsia"/>
          <w:color w:val="auto"/>
        </w:rPr>
        <w:t>签订时间：    年   月    日                 签订时间：    年   月    日</w:t>
      </w:r>
    </w:p>
    <w:p>
      <w:pPr>
        <w:pStyle w:val="5"/>
        <w:jc w:val="center"/>
        <w:rPr>
          <w:rFonts w:ascii="宋体" w:hAnsi="宋体" w:cs="宋体"/>
        </w:rPr>
      </w:pPr>
      <w:bookmarkStart w:id="746" w:name="_Toc109826680"/>
      <w:r>
        <w:rPr>
          <w:rFonts w:ascii="黑体" w:hAnsi="黑体" w:cs="黑体"/>
          <w:spacing w:val="10"/>
          <w:sz w:val="31"/>
          <w:szCs w:val="31"/>
        </w:rPr>
        <w:t>第</w:t>
      </w:r>
      <w:r>
        <w:rPr>
          <w:rFonts w:ascii="黑体" w:hAnsi="黑体" w:cs="黑体"/>
          <w:spacing w:val="8"/>
          <w:sz w:val="31"/>
          <w:szCs w:val="31"/>
        </w:rPr>
        <w:t>五章工程量清单</w:t>
      </w:r>
      <w:bookmarkEnd w:id="746"/>
    </w:p>
    <w:p>
      <w:pPr>
        <w:spacing w:line="457" w:lineRule="auto"/>
      </w:pPr>
    </w:p>
    <w:p>
      <w:pPr>
        <w:adjustRightInd/>
        <w:snapToGrid/>
        <w:spacing w:line="360" w:lineRule="auto"/>
        <w:jc w:val="center"/>
        <w:rPr>
          <w:rFonts w:ascii="黑体" w:hAnsi="黑体" w:eastAsia="黑体" w:cs="黑体"/>
          <w:sz w:val="28"/>
          <w:szCs w:val="28"/>
        </w:rPr>
      </w:pPr>
      <w:r>
        <w:rPr>
          <w:rFonts w:ascii="Times New Roman" w:hAnsi="Times New Roman" w:eastAsia="Times New Roman" w:cs="Times New Roman"/>
          <w:spacing w:val="-4"/>
          <w:sz w:val="28"/>
          <w:szCs w:val="28"/>
        </w:rPr>
        <w:t>1</w:t>
      </w:r>
      <w:r>
        <w:rPr>
          <w:rFonts w:ascii="Times New Roman" w:hAnsi="Times New Roman" w:eastAsia="Times New Roman" w:cs="Times New Roman"/>
          <w:spacing w:val="-3"/>
          <w:sz w:val="28"/>
          <w:szCs w:val="28"/>
        </w:rPr>
        <w:t xml:space="preserve">.  </w:t>
      </w:r>
      <w:r>
        <w:rPr>
          <w:rFonts w:ascii="黑体" w:hAnsi="黑体" w:eastAsia="黑体" w:cs="黑体"/>
          <w:spacing w:val="-3"/>
          <w:sz w:val="28"/>
          <w:szCs w:val="28"/>
        </w:rPr>
        <w:t>投标报价组成</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1.1报价方式：本工程项目报价方式为工程量清单报价法。</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1.2工程量清单采用综合单价计价[其中管理费、利润的计算基数中的人工费所涉及的人工和机械单价按投标人自报的人工和机械台班单价计取。综合单价是指完成工程量清单中一个规定计量单位项目所需人工费、材料和设备费、机械使用费、管理费（含检验试验费、城市维护建设税、教育费附加以及地方教育附加，下同）和利润（各费用项目均不包含增值税进项税额），并考虑风险因素，但不包括规费、</w:t>
      </w:r>
      <w:r>
        <w:rPr>
          <w:rFonts w:hint="eastAsia" w:ascii="仿宋" w:hAnsi="仿宋" w:eastAsia="仿宋" w:cs="仿宋"/>
          <w:u w:val="single"/>
        </w:rPr>
        <w:t>危险作业意外伤害保险费</w:t>
      </w:r>
      <w:r>
        <w:rPr>
          <w:rFonts w:hint="eastAsia" w:ascii="仿宋" w:hAnsi="仿宋" w:eastAsia="仿宋" w:cs="仿宋"/>
        </w:rPr>
        <w:t>及税金（包含增值税销项税额及地方水利建设基金，下同）。人工费、材料费、机械使用费、管理费和利润、风险的费用内容按省建设行政主管部门颁发的取费定额</w:t>
      </w:r>
      <w:r>
        <w:rPr>
          <w:rFonts w:hint="eastAsia" w:ascii="仿宋" w:hAnsi="仿宋" w:eastAsia="仿宋" w:cs="仿宋"/>
          <w:u w:val="single"/>
        </w:rPr>
        <w:t>及补充定额</w:t>
      </w:r>
      <w:r>
        <w:rPr>
          <w:rFonts w:hint="eastAsia" w:ascii="仿宋" w:hAnsi="仿宋" w:eastAsia="仿宋" w:cs="仿宋"/>
        </w:rPr>
        <w:t>确定。</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1.3投标总报价应是招标文件所确定的招标范围内全部工作内容的价格表现。其应包括完成工程量清单所列项目的全部费用，包括分部分项工程费、措施项目费、其他项目费、规费、</w:t>
      </w:r>
      <w:r>
        <w:rPr>
          <w:rFonts w:hint="eastAsia" w:ascii="仿宋" w:hAnsi="仿宋" w:eastAsia="仿宋" w:cs="仿宋"/>
          <w:u w:val="single"/>
        </w:rPr>
        <w:t>危险作业意外伤害保险费</w:t>
      </w:r>
      <w:r>
        <w:rPr>
          <w:rFonts w:hint="eastAsia" w:ascii="仿宋" w:hAnsi="仿宋" w:eastAsia="仿宋" w:cs="仿宋"/>
        </w:rPr>
        <w:t>和税金。各投标人应根据招标人提供的全套施工图纸、技术资料、工程量清单，以及本工程实际情况和自身的综合实力，竞报投标报价。</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1.4本招标文件中提供的工程量是根据完整的施工图纸及有关资料，按</w:t>
      </w:r>
      <w:r>
        <w:rPr>
          <w:rFonts w:hint="eastAsia" w:ascii="宋体" w:hAnsi="宋体" w:eastAsia="宋体" w:cs="宋体"/>
          <w:color w:val="0000FF"/>
          <w:u w:val="single"/>
        </w:rPr>
        <w:t>《</w:t>
      </w:r>
      <w:r>
        <w:rPr>
          <w:rFonts w:hint="eastAsia" w:ascii="仿宋" w:hAnsi="仿宋" w:eastAsia="仿宋" w:cs="仿宋"/>
          <w:u w:val="single"/>
        </w:rPr>
        <w:t>建设工程工程量清单计价规范》（GB50500-2013）, 建设工程工程量清单计算规范（2013）浙江省补充规定（一）、（二），《浙江省建设工程费用定额》（2018版）、《浙江省通用安装工程预算定额》（2018版）、《浙江省市政工程预算定额》（2018版）、《浙江省园林绿化及仿古建筑工程预算定额》（2018版），《浙江省建设工程计价规则》（2018版）、人工、材料、机械信息价根据《台州造价》2023/6期台州市价格、《台州造价》2023/6期三门地区价格、《浙江造价信息》2023/6期及市场调查价及</w:t>
      </w:r>
      <w:r>
        <w:rPr>
          <w:rFonts w:hint="eastAsia" w:ascii="仿宋" w:hAnsi="仿宋" w:eastAsia="仿宋" w:cs="仿宋"/>
        </w:rPr>
        <w:t>补充内容的规定计算得出的，是统一投标报价口径的主要依据。</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1.5分部分项工程费是指完成在工程量清单列出的各分部分项清单工程量实体所需的费用，包括人工费、材料费、机械使用费、管理费、利润以及风险费用（各费用项目均不包含增值税进项税额）。</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1.6措施费是指为完成工程项目施工，发生于该工程施工前和施工过程中非工程实体项目的费用，由施工技术措施费和施工组织措施费组成。</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施工技术措施费是指为完成工程项目施工而采取的各项技术措施所需的费用。包括大型机械设备进出场及安拆费、混凝土模板及支架费、脚手架费、建筑工程超高施工增加费、施工排水降水费和其他施工技术措施费等。</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（2）施工组织措施费是指为完成工程项目施工而采取的各项组织措施所需的费用。包括安全文明施工措施费，提前竣工增加费（夜间施工增加费），二次搬运费，已完工程及设备保护费，冬雨季施工增加费，</w:t>
      </w:r>
      <w:r>
        <w:rPr>
          <w:rFonts w:hint="eastAsia" w:ascii="仿宋" w:hAnsi="仿宋" w:eastAsia="仿宋" w:cs="仿宋"/>
          <w:u w:val="single"/>
        </w:rPr>
        <w:t>工程定位复测费</w:t>
      </w:r>
      <w:r>
        <w:rPr>
          <w:rFonts w:hint="eastAsia" w:ascii="仿宋" w:hAnsi="仿宋" w:eastAsia="仿宋" w:cs="仿宋"/>
        </w:rPr>
        <w:t>，行车、行人干扰增加费（限市政）等费用。施工组织措施费取费基数中的人工费和机械单价按投标人自报的人工和机械台班单价计取。</w:t>
      </w:r>
    </w:p>
    <w:p>
      <w:pPr>
        <w:pStyle w:val="2"/>
        <w:tabs>
          <w:tab w:val="left" w:pos="574"/>
        </w:tabs>
        <w:spacing w:after="0" w:line="360" w:lineRule="auto"/>
        <w:rPr>
          <w:rFonts w:ascii="仿宋" w:hAnsi="仿宋" w:eastAsia="仿宋" w:cs="仿宋"/>
        </w:rPr>
      </w:pPr>
      <w:r>
        <w:rPr>
          <w:rFonts w:hint="eastAsia" w:ascii="仿宋" w:hAnsi="仿宋" w:eastAsia="仿宋" w:cs="仿宋"/>
        </w:rPr>
        <w:t>1.8规费项目具体内容如下：</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（1）排污费、社保费、公积金；</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（2）民工工伤保险费。</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规费的计算基数中所涉及的人工费和机械单价按投标人自报的人工和机械台班单价计取。</w:t>
      </w:r>
    </w:p>
    <w:p>
      <w:pPr>
        <w:pStyle w:val="2"/>
        <w:tabs>
          <w:tab w:val="left" w:pos="574"/>
        </w:tabs>
        <w:spacing w:after="0" w:line="360" w:lineRule="auto"/>
        <w:rPr>
          <w:rFonts w:ascii="仿宋" w:hAnsi="仿宋" w:eastAsia="仿宋" w:cs="仿宋"/>
          <w:u w:val="single"/>
        </w:rPr>
      </w:pPr>
      <w:r>
        <w:rPr>
          <w:rFonts w:hint="eastAsia" w:ascii="仿宋" w:hAnsi="仿宋" w:eastAsia="仿宋" w:cs="仿宋"/>
          <w:u w:val="single"/>
        </w:rPr>
        <w:t>1.9危险作业意外伤害保险费，本项目不计取。</w:t>
      </w:r>
    </w:p>
    <w:p>
      <w:pPr>
        <w:pStyle w:val="2"/>
        <w:tabs>
          <w:tab w:val="left" w:pos="574"/>
        </w:tabs>
        <w:spacing w:after="0" w:line="360" w:lineRule="auto"/>
        <w:rPr>
          <w:rFonts w:ascii="仿宋" w:hAnsi="仿宋" w:eastAsia="仿宋" w:cs="仿宋"/>
        </w:rPr>
      </w:pPr>
      <w:r>
        <w:rPr>
          <w:rFonts w:hint="eastAsia" w:ascii="仿宋" w:hAnsi="仿宋" w:eastAsia="仿宋" w:cs="仿宋"/>
        </w:rPr>
        <w:t>2.0税金是指按《关于增值税调整后我省建设工程计价依据增值税税率及有关计价调整的通知》（浙建建发〔2019〕92号）文及最新规定应计入建筑安装工程造价内的税额。</w:t>
      </w:r>
    </w:p>
    <w:p>
      <w:pPr>
        <w:pStyle w:val="35"/>
        <w:spacing w:before="0" w:line="360" w:lineRule="auto"/>
        <w:jc w:val="center"/>
        <w:rPr>
          <w:rFonts w:ascii="仿宋" w:hAnsi="仿宋" w:eastAsia="仿宋" w:cs="仿宋"/>
        </w:rPr>
      </w:pPr>
      <w:r>
        <w:rPr>
          <w:rFonts w:hint="eastAsia" w:ascii="仿宋" w:hAnsi="仿宋" w:eastAsia="仿宋" w:cs="仿宋"/>
        </w:rPr>
        <w:t>2. 投标报价要求</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2.1招标文件规定应由投标人自行确定的费用，投标人应根据报价要求，结合工程施工的实际情况、市场行情、技术方案和企业的管理水平，综合分析后自主确定报价。</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2.2施工技术措施项目可根据施工组织设计增加项目。</w:t>
      </w:r>
    </w:p>
    <w:p>
      <w:pPr>
        <w:pStyle w:val="2"/>
        <w:tabs>
          <w:tab w:val="left" w:pos="574"/>
        </w:tabs>
        <w:spacing w:after="0" w:line="360" w:lineRule="auto"/>
        <w:ind w:firstLine="420" w:firstLineChars="200"/>
        <w:rPr>
          <w:rFonts w:ascii="仿宋" w:hAnsi="仿宋" w:eastAsia="仿宋" w:cs="仿宋"/>
        </w:rPr>
      </w:pPr>
      <w:r>
        <w:rPr>
          <w:rFonts w:hint="eastAsia" w:ascii="仿宋" w:hAnsi="仿宋" w:eastAsia="仿宋" w:cs="仿宋"/>
        </w:rPr>
        <w:t>2.3投标人在投标报价中每单项单价和合价均需填写，对没有填写单价和合价的项目，其费用视为已包含或分配到其他项目的单价或合价中。</w:t>
      </w:r>
    </w:p>
    <w:p>
      <w:pPr>
        <w:pStyle w:val="2"/>
        <w:tabs>
          <w:tab w:val="left" w:pos="574"/>
        </w:tabs>
        <w:spacing w:after="0" w:line="360" w:lineRule="auto"/>
        <w:ind w:firstLine="420" w:firstLineChars="200"/>
        <w:rPr>
          <w:rFonts w:ascii="仿宋" w:hAnsi="仿宋" w:eastAsia="仿宋" w:cs="仿宋"/>
          <w:b/>
        </w:rPr>
      </w:pPr>
      <w:r>
        <w:rPr>
          <w:rFonts w:hint="eastAsia" w:ascii="仿宋" w:hAnsi="仿宋" w:eastAsia="仿宋" w:cs="仿宋"/>
        </w:rPr>
        <w:t>2.4</w:t>
      </w:r>
      <w:r>
        <w:rPr>
          <w:rFonts w:hint="eastAsia" w:ascii="仿宋" w:hAnsi="仿宋" w:eastAsia="仿宋" w:cs="仿宋"/>
          <w:b/>
        </w:rPr>
        <w:t>投标人的报价要求详见“投标工具-招标概况-投标报价要求”，未按要求报价的，作无效标处理。</w:t>
      </w:r>
    </w:p>
    <w:p>
      <w:pPr>
        <w:pStyle w:val="3"/>
        <w:ind w:firstLine="210"/>
      </w:pPr>
      <w:r>
        <w:rPr>
          <w:rFonts w:hint="eastAsia"/>
        </w:rPr>
        <w:t xml:space="preserve">2.5投标单位报价时应根据本项目施工图纸、项目清单描述，结合清单计价规范相关内 </w:t>
      </w:r>
    </w:p>
    <w:p>
      <w:pPr>
        <w:pStyle w:val="3"/>
        <w:ind w:firstLine="210"/>
      </w:pPr>
      <w:r>
        <w:rPr>
          <w:rFonts w:hint="eastAsia"/>
        </w:rPr>
        <w:t xml:space="preserve">容，综合考虑后自主报价，结算时由于清单描述不完整原因的单价不作调整。 </w:t>
      </w:r>
    </w:p>
    <w:p>
      <w:pPr>
        <w:pStyle w:val="3"/>
        <w:ind w:firstLine="210"/>
      </w:pPr>
      <w:r>
        <w:rPr>
          <w:rFonts w:hint="eastAsia"/>
        </w:rPr>
        <w:t xml:space="preserve">2.6 投标函投标总价以“元”为单位，保留整数，否则作无效标处理。 </w:t>
      </w:r>
    </w:p>
    <w:p>
      <w:pPr>
        <w:pStyle w:val="2"/>
        <w:tabs>
          <w:tab w:val="left" w:pos="574"/>
        </w:tabs>
        <w:spacing w:after="0" w:line="360" w:lineRule="auto"/>
        <w:ind w:firstLine="210" w:firstLineChars="100"/>
        <w:rPr>
          <w:rFonts w:ascii="仿宋" w:hAnsi="仿宋" w:eastAsia="仿宋" w:cs="仿宋"/>
        </w:rPr>
      </w:pPr>
      <w:r>
        <w:rPr>
          <w:rFonts w:hint="eastAsia" w:ascii="仿宋" w:hAnsi="仿宋" w:eastAsia="仿宋" w:cs="仿宋"/>
        </w:rPr>
        <w:t>2.7本项目商品砼运距等约定见专用条款，由投标单位报价时自行考虑。</w:t>
      </w:r>
    </w:p>
    <w:p>
      <w:pPr>
        <w:pStyle w:val="2"/>
        <w:tabs>
          <w:tab w:val="left" w:pos="574"/>
        </w:tabs>
        <w:spacing w:after="0" w:line="360" w:lineRule="auto"/>
        <w:ind w:firstLine="210" w:firstLineChars="100"/>
        <w:rPr>
          <w:rFonts w:ascii="仿宋" w:hAnsi="仿宋" w:eastAsia="仿宋" w:cs="仿宋"/>
        </w:rPr>
      </w:pPr>
      <w:r>
        <w:rPr>
          <w:rFonts w:hint="eastAsia" w:ascii="仿宋" w:hAnsi="仿宋" w:eastAsia="仿宋" w:cs="仿宋"/>
        </w:rPr>
        <w:t>2.8投标单位报价时应根据本项目施工图纸、项目清单描述，结合清单计价规范相关内容，综合考虑后自主报价，结算时由于清单描述不完整原因的单价不作调整。</w:t>
      </w:r>
    </w:p>
    <w:p>
      <w:pPr>
        <w:pStyle w:val="2"/>
        <w:tabs>
          <w:tab w:val="left" w:pos="574"/>
        </w:tabs>
        <w:spacing w:after="0" w:line="360" w:lineRule="auto"/>
        <w:ind w:firstLine="210" w:firstLineChars="100"/>
        <w:rPr>
          <w:rFonts w:ascii="仿宋" w:hAnsi="仿宋" w:eastAsia="仿宋" w:cs="仿宋"/>
        </w:rPr>
      </w:pPr>
      <w:r>
        <w:rPr>
          <w:rFonts w:hint="eastAsia" w:ascii="仿宋" w:hAnsi="仿宋" w:eastAsia="仿宋" w:cs="仿宋"/>
        </w:rPr>
        <w:t>2.9税金按9%计入工程造价，结算时如遇政策性调整，按最新政策税率结算。</w:t>
      </w:r>
    </w:p>
    <w:p>
      <w:pPr>
        <w:pStyle w:val="2"/>
        <w:tabs>
          <w:tab w:val="left" w:pos="574"/>
        </w:tabs>
        <w:spacing w:after="0" w:line="360" w:lineRule="auto"/>
        <w:ind w:firstLine="210" w:firstLineChars="100"/>
        <w:rPr>
          <w:rFonts w:ascii="仿宋" w:hAnsi="仿宋" w:eastAsia="仿宋" w:cs="仿宋"/>
        </w:rPr>
      </w:pPr>
      <w:r>
        <w:rPr>
          <w:rFonts w:hint="eastAsia" w:ascii="仿宋" w:hAnsi="仿宋" w:eastAsia="仿宋" w:cs="仿宋"/>
        </w:rPr>
        <w:t>3.0安全文明施工费按《省建设厅关于调整建筑工程安全文明施工费的通知《浙建建发（2023）37号文及最新规定计入工程造价。</w:t>
      </w:r>
    </w:p>
    <w:p>
      <w:pPr>
        <w:pStyle w:val="3"/>
        <w:spacing w:after="0" w:line="360" w:lineRule="auto"/>
        <w:ind w:firstLine="210"/>
        <w:rPr>
          <w:rFonts w:ascii="仿宋" w:hAnsi="仿宋" w:eastAsia="仿宋" w:cs="仿宋"/>
        </w:rPr>
      </w:pPr>
    </w:p>
    <w:p>
      <w:pPr>
        <w:pStyle w:val="35"/>
        <w:spacing w:before="0" w:line="360" w:lineRule="auto"/>
        <w:jc w:val="center"/>
        <w:rPr>
          <w:rFonts w:ascii="仿宋" w:hAnsi="仿宋" w:eastAsia="仿宋" w:cs="仿宋"/>
        </w:rPr>
      </w:pPr>
      <w:bookmarkStart w:id="747" w:name="_Toc20658478"/>
      <w:bookmarkStart w:id="748" w:name="_Toc5620"/>
      <w:bookmarkStart w:id="749" w:name="_Toc16521981"/>
      <w:bookmarkStart w:id="750" w:name="_Toc24555298"/>
      <w:bookmarkStart w:id="751" w:name="_Toc8305385"/>
      <w:bookmarkStart w:id="752" w:name="_Toc14788"/>
      <w:r>
        <w:rPr>
          <w:rFonts w:hint="eastAsia" w:ascii="仿宋" w:hAnsi="仿宋" w:eastAsia="仿宋" w:cs="仿宋"/>
        </w:rPr>
        <w:t>3. 工程量清单与计价表</w:t>
      </w:r>
      <w:bookmarkEnd w:id="747"/>
      <w:bookmarkEnd w:id="748"/>
      <w:bookmarkEnd w:id="749"/>
      <w:bookmarkEnd w:id="750"/>
      <w:bookmarkEnd w:id="751"/>
      <w:bookmarkEnd w:id="752"/>
    </w:p>
    <w:p>
      <w:pPr>
        <w:adjustRightInd/>
        <w:snapToGrid/>
        <w:spacing w:line="360" w:lineRule="auto"/>
        <w:ind w:firstLine="420" w:firstLineChars="200"/>
        <w:rPr>
          <w:color w:val="auto"/>
        </w:rPr>
      </w:pPr>
      <w:r>
        <w:rPr>
          <w:rFonts w:hint="eastAsia" w:ascii="仿宋" w:hAnsi="仿宋" w:eastAsia="仿宋" w:cs="仿宋"/>
        </w:rPr>
        <w:t>工程量清单：</w:t>
      </w:r>
      <w:r>
        <w:rPr>
          <w:rFonts w:hint="eastAsia" w:ascii="仿宋" w:hAnsi="仿宋" w:eastAsia="仿宋" w:cs="仿宋"/>
          <w:lang w:bidi="ar"/>
        </w:rPr>
        <w:t xml:space="preserve">详见“投标工具”。 </w:t>
      </w:r>
      <w:r>
        <w:rPr>
          <w:rFonts w:hint="eastAsia" w:ascii="仿宋" w:hAnsi="仿宋" w:eastAsia="仿宋" w:cs="仿宋"/>
        </w:rPr>
        <w:t>详见后缀名为“.招标文件”的电子招标文件</w:t>
      </w:r>
      <w:r>
        <w:rPr>
          <w:rFonts w:hint="eastAsia"/>
          <w:color w:val="auto"/>
        </w:rPr>
        <w:t>。</w:t>
      </w:r>
    </w:p>
    <w:p>
      <w:pPr>
        <w:rPr>
          <w:rFonts w:ascii="宋体" w:hAnsi="宋体" w:cs="宋体" w:eastAsiaTheme="minorEastAsia"/>
        </w:rPr>
      </w:pPr>
    </w:p>
    <w:p>
      <w:pPr>
        <w:pStyle w:val="2"/>
        <w:rPr>
          <w:rFonts w:eastAsiaTheme="minorEastAsia"/>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rPr>
          <w:rFonts w:eastAsia="黑体"/>
          <w:sz w:val="32"/>
          <w:szCs w:val="32"/>
        </w:rPr>
      </w:pPr>
    </w:p>
    <w:p>
      <w:pPr>
        <w:jc w:val="center"/>
        <w:rPr>
          <w:rFonts w:eastAsia="黑体"/>
          <w:sz w:val="28"/>
          <w:szCs w:val="28"/>
        </w:rPr>
      </w:pPr>
      <w:r>
        <w:rPr>
          <w:rFonts w:hint="eastAsia" w:eastAsia="黑体"/>
          <w:sz w:val="28"/>
          <w:szCs w:val="28"/>
        </w:rPr>
        <w:t>清单编制说明</w:t>
      </w:r>
    </w:p>
    <w:p>
      <w:pPr>
        <w:spacing w:line="360" w:lineRule="auto"/>
        <w:rPr>
          <w:rFonts w:ascii="宋体" w:hAnsi="宋体"/>
        </w:rPr>
      </w:pPr>
      <w:r>
        <w:rPr>
          <w:rFonts w:hint="eastAsia" w:ascii="宋体" w:hAnsi="宋体"/>
        </w:rPr>
        <w:t>一、工程概况：</w:t>
      </w:r>
    </w:p>
    <w:p>
      <w:pPr>
        <w:spacing w:line="360" w:lineRule="auto"/>
        <w:ind w:firstLine="420" w:firstLineChars="200"/>
        <w:rPr>
          <w:rFonts w:ascii="宋体" w:hAnsi="宋体"/>
        </w:rPr>
      </w:pPr>
      <w:r>
        <w:rPr>
          <w:rFonts w:hint="eastAsia" w:ascii="宋体" w:hAnsi="宋体"/>
        </w:rPr>
        <w:t>本工程为</w:t>
      </w:r>
      <w:r>
        <w:rPr>
          <w:rFonts w:hint="eastAsia"/>
        </w:rPr>
        <w:t xml:space="preserve">三门县绿色智慧停车项目-道路停车位改造照明提升工程 </w:t>
      </w:r>
      <w:r>
        <w:rPr>
          <w:rFonts w:hint="eastAsia" w:ascii="宋体" w:hAnsi="宋体"/>
        </w:rPr>
        <w:t>，由</w:t>
      </w:r>
      <w:r>
        <w:rPr>
          <w:rFonts w:hint="eastAsia" w:hAnsi="宋体"/>
        </w:rPr>
        <w:t>台州市北部湾区经济开发集团有限公司</w:t>
      </w:r>
      <w:r>
        <w:rPr>
          <w:rFonts w:hint="eastAsia" w:ascii="宋体" w:hAnsi="宋体"/>
        </w:rPr>
        <w:t>；工程地点位于三门县海游街道。</w:t>
      </w:r>
    </w:p>
    <w:p>
      <w:pPr>
        <w:spacing w:line="360" w:lineRule="auto"/>
        <w:rPr>
          <w:rFonts w:ascii="宋体" w:hAnsi="宋体"/>
        </w:rPr>
      </w:pPr>
      <w:r>
        <w:rPr>
          <w:rFonts w:hint="eastAsia" w:ascii="宋体" w:hAnsi="宋体"/>
        </w:rPr>
        <w:t>二</w:t>
      </w:r>
      <w:r>
        <w:rPr>
          <w:rFonts w:hint="eastAsia" w:ascii="宋体" w:hAnsi="宋体" w:eastAsia="宋体" w:cs="Times New Roman"/>
        </w:rPr>
        <w:t>、工程量清单编制范围：设计图范围内的</w:t>
      </w:r>
      <w:r>
        <w:rPr>
          <w:rFonts w:hint="eastAsia" w:ascii="宋体" w:hAnsi="宋体" w:eastAsia="宋体" w:cs="Times New Roman"/>
          <w:lang w:val="zh-CN"/>
        </w:rPr>
        <w:t>水幕电影、</w:t>
      </w:r>
      <w:r>
        <w:rPr>
          <w:rFonts w:hint="eastAsia" w:ascii="宋体" w:hAnsi="宋体" w:eastAsia="宋体" w:cs="Times New Roman"/>
        </w:rPr>
        <w:t>景观亮化</w:t>
      </w:r>
      <w:r>
        <w:rPr>
          <w:rFonts w:hint="eastAsia" w:ascii="宋体" w:hAnsi="宋体" w:eastAsia="宋体" w:cs="Times New Roman"/>
          <w:lang w:val="zh-CN"/>
        </w:rPr>
        <w:t>及</w:t>
      </w:r>
      <w:r>
        <w:rPr>
          <w:rFonts w:hint="eastAsia" w:ascii="宋体" w:hAnsi="宋体" w:eastAsia="宋体" w:cs="Times New Roman"/>
        </w:rPr>
        <w:t>建筑</w:t>
      </w:r>
      <w:r>
        <w:rPr>
          <w:rFonts w:hint="eastAsia" w:ascii="宋体" w:hAnsi="宋体" w:eastAsia="宋体" w:cs="Times New Roman"/>
          <w:lang w:val="zh-CN"/>
        </w:rPr>
        <w:t>亮化工程</w:t>
      </w:r>
      <w:r>
        <w:rPr>
          <w:rFonts w:hint="eastAsia"/>
        </w:rPr>
        <w:t>。</w:t>
      </w:r>
    </w:p>
    <w:p>
      <w:pPr>
        <w:spacing w:line="360" w:lineRule="auto"/>
        <w:rPr>
          <w:rFonts w:ascii="宋体" w:hAnsi="宋体"/>
        </w:rPr>
      </w:pPr>
      <w:r>
        <w:rPr>
          <w:rFonts w:hint="eastAsia" w:ascii="宋体" w:hAnsi="宋体"/>
        </w:rPr>
        <w:t>三、工程量清单编制依据：</w:t>
      </w:r>
    </w:p>
    <w:p>
      <w:pPr>
        <w:spacing w:line="360" w:lineRule="auto"/>
        <w:ind w:firstLine="210" w:firstLineChars="100"/>
        <w:rPr>
          <w:rFonts w:ascii="宋体" w:hAnsi="宋体"/>
        </w:rPr>
      </w:pPr>
      <w:r>
        <w:rPr>
          <w:rFonts w:hint="eastAsia" w:ascii="宋体" w:hAnsi="宋体"/>
        </w:rPr>
        <w:t>1、建设单位提供的施工图纸、预算书；</w:t>
      </w:r>
    </w:p>
    <w:p>
      <w:pPr>
        <w:spacing w:line="360" w:lineRule="auto"/>
        <w:ind w:firstLine="210" w:firstLineChars="100"/>
        <w:rPr>
          <w:rFonts w:ascii="宋体" w:hAnsi="宋体"/>
        </w:rPr>
      </w:pPr>
      <w:r>
        <w:rPr>
          <w:rFonts w:hint="eastAsia" w:ascii="宋体" w:hAnsi="宋体"/>
        </w:rPr>
        <w:t>2、《建设工程工程量清单计价规范》（GB50500-2013）；</w:t>
      </w:r>
    </w:p>
    <w:p>
      <w:pPr>
        <w:spacing w:line="360" w:lineRule="auto"/>
        <w:ind w:firstLine="210" w:firstLineChars="100"/>
        <w:rPr>
          <w:rFonts w:ascii="宋体" w:hAnsi="宋体"/>
        </w:rPr>
      </w:pPr>
      <w:r>
        <w:rPr>
          <w:rFonts w:hint="eastAsia" w:ascii="宋体" w:hAnsi="宋体"/>
        </w:rPr>
        <w:t>3、建设工程工程量清单计算规范（2013）浙江省补充规定（一）、（二）</w:t>
      </w:r>
    </w:p>
    <w:p>
      <w:pPr>
        <w:spacing w:line="360" w:lineRule="auto"/>
        <w:ind w:firstLine="210" w:firstLineChars="100"/>
        <w:rPr>
          <w:rFonts w:ascii="宋体" w:hAnsi="宋体"/>
        </w:rPr>
      </w:pPr>
      <w:r>
        <w:rPr>
          <w:rFonts w:hint="eastAsia" w:ascii="宋体" w:hAnsi="宋体"/>
        </w:rPr>
        <w:t>4、《浙江省建设工程费用定额》（2018版）、《浙江省通用安装工程预算定额》（2018版）；《浙江省市政工程预算定额》（2018版）；《浙江省园林绿化及仿古建筑工程预算定额》（2018版）；</w:t>
      </w:r>
    </w:p>
    <w:p>
      <w:pPr>
        <w:spacing w:line="360" w:lineRule="auto"/>
        <w:ind w:firstLine="210" w:firstLineChars="100"/>
        <w:rPr>
          <w:rFonts w:ascii="宋体" w:hAnsi="宋体"/>
        </w:rPr>
      </w:pPr>
      <w:r>
        <w:rPr>
          <w:rFonts w:hint="eastAsia" w:ascii="宋体" w:hAnsi="宋体"/>
        </w:rPr>
        <w:t>5、《浙江省建设工程计价规则》（2018版）；</w:t>
      </w:r>
    </w:p>
    <w:p>
      <w:pPr>
        <w:spacing w:line="360" w:lineRule="auto"/>
        <w:ind w:firstLine="210" w:firstLineChars="100"/>
        <w:rPr>
          <w:rFonts w:ascii="宋体" w:hAnsi="宋体"/>
        </w:rPr>
      </w:pPr>
      <w:r>
        <w:rPr>
          <w:rFonts w:hint="eastAsia" w:ascii="宋体" w:hAnsi="宋体"/>
        </w:rPr>
        <w:t>6、其它相关文件、解释等。</w:t>
      </w:r>
    </w:p>
    <w:p>
      <w:pPr>
        <w:spacing w:line="360" w:lineRule="auto"/>
        <w:rPr>
          <w:rFonts w:ascii="宋体" w:hAnsi="宋体"/>
        </w:rPr>
      </w:pPr>
      <w:r>
        <w:rPr>
          <w:rFonts w:hint="eastAsia" w:ascii="宋体" w:hAnsi="宋体"/>
        </w:rPr>
        <w:t>四、工程质量要求：见招标文件。</w:t>
      </w:r>
    </w:p>
    <w:p>
      <w:pPr>
        <w:spacing w:line="360" w:lineRule="auto"/>
        <w:rPr>
          <w:rFonts w:ascii="宋体" w:hAnsi="宋体"/>
        </w:rPr>
      </w:pPr>
      <w:r>
        <w:rPr>
          <w:rFonts w:hint="eastAsia" w:ascii="宋体" w:hAnsi="宋体"/>
        </w:rPr>
        <w:t>五、工期要求：见招标文件。</w:t>
      </w:r>
    </w:p>
    <w:p>
      <w:pPr>
        <w:spacing w:line="360" w:lineRule="auto"/>
        <w:rPr>
          <w:rFonts w:ascii="宋体" w:hAnsi="宋体"/>
        </w:rPr>
      </w:pPr>
      <w:r>
        <w:rPr>
          <w:rFonts w:hint="eastAsia" w:ascii="宋体" w:hAnsi="宋体"/>
        </w:rPr>
        <w:t>六、相关事项说明：</w:t>
      </w:r>
    </w:p>
    <w:p>
      <w:pPr>
        <w:spacing w:line="360" w:lineRule="auto"/>
        <w:ind w:firstLine="315" w:firstLineChars="150"/>
        <w:rPr>
          <w:rFonts w:ascii="宋体" w:hAnsi="宋体"/>
        </w:rPr>
      </w:pPr>
      <w:r>
        <w:rPr>
          <w:rFonts w:hint="eastAsia"/>
        </w:rPr>
        <w:t>1、分部分项工程量清单中的工程量是按实物净量计算的，一切损耗均应在投标报价内。</w:t>
      </w:r>
    </w:p>
    <w:p>
      <w:pPr>
        <w:spacing w:line="360" w:lineRule="auto"/>
        <w:ind w:firstLine="315" w:firstLineChars="150"/>
        <w:rPr>
          <w:rFonts w:ascii="宋体" w:hAnsi="宋体"/>
        </w:rPr>
      </w:pPr>
      <w:r>
        <w:rPr>
          <w:rFonts w:hint="eastAsia" w:ascii="宋体" w:hAnsi="宋体"/>
        </w:rPr>
        <w:t>2、投标人综合单价组价时必须依据施工图、图集及施工规范，</w:t>
      </w:r>
      <w:r>
        <w:rPr>
          <w:rFonts w:hint="eastAsia"/>
        </w:rPr>
        <w:t>以</w:t>
      </w:r>
      <w:r>
        <w:rPr>
          <w:rFonts w:hint="eastAsia" w:ascii="宋体" w:hAnsi="宋体"/>
        </w:rPr>
        <w:t>综合考虑完成每项工作内容应计取的全部费用，中标后不得以清单编码及项目特征描述不全为由调整综合单价。若特征描述未全但涉及金额较大，对投标人自主报价有影响，则投标人必须以规定方式提出答疑要求，否则视同理解。</w:t>
      </w:r>
    </w:p>
    <w:p>
      <w:pPr>
        <w:spacing w:line="360" w:lineRule="auto"/>
        <w:ind w:firstLine="315" w:firstLineChars="150"/>
      </w:pPr>
      <w:r>
        <w:rPr>
          <w:rFonts w:hint="eastAsia" w:ascii="宋体" w:hAnsi="宋体"/>
          <w:bCs/>
        </w:rPr>
        <w:t>3、报价应参考图纸说明及图纸做法，图纸设计冲突处以大样为准。凡清单说明与图纸冲突处以清单说明为准。图纸中材料规格不明确的如清单有描述的按清单描述的材料考虑。</w:t>
      </w:r>
    </w:p>
    <w:p>
      <w:pPr>
        <w:spacing w:line="360" w:lineRule="auto"/>
        <w:ind w:firstLine="315" w:firstLineChars="150"/>
        <w:rPr>
          <w:rFonts w:ascii="宋体" w:hAnsi="宋体"/>
        </w:rPr>
      </w:pPr>
      <w:r>
        <w:rPr>
          <w:rFonts w:hint="eastAsia"/>
        </w:rPr>
        <w:t>4、清单中涉及到有关标准图集的以标准图集做法为准，投标时综合单价应包含标准图集做法中所有工作内容。</w:t>
      </w:r>
    </w:p>
    <w:p>
      <w:pPr>
        <w:spacing w:line="360" w:lineRule="auto"/>
        <w:ind w:firstLine="315" w:firstLineChars="150"/>
      </w:pPr>
      <w:r>
        <w:rPr>
          <w:rFonts w:hint="eastAsia"/>
        </w:rPr>
        <w:t>5、投标人在投标报价时应充分领会《浙江省建设工程量清单计价指引》中各项目所组合的工程内容。</w:t>
      </w:r>
    </w:p>
    <w:p>
      <w:pPr>
        <w:spacing w:line="360" w:lineRule="auto"/>
        <w:ind w:firstLine="210" w:firstLineChars="100"/>
      </w:pPr>
      <w:r>
        <w:rPr>
          <w:rFonts w:hint="eastAsia"/>
        </w:rPr>
        <w:t>6、“措施项目清单”所列措施项目内容及数量仅供参考，投标人应根据本工程情况、现场条件、相关的图纸、地质资料、施工组织设计及公司实力综合考虑，如需增加，投标人在相应子目报价时综合考虑，中标后不作调整。</w:t>
      </w:r>
    </w:p>
    <w:p>
      <w:pPr>
        <w:spacing w:line="360" w:lineRule="auto"/>
        <w:ind w:firstLine="210" w:firstLineChars="100"/>
      </w:pPr>
      <w:r>
        <w:rPr>
          <w:rFonts w:hint="eastAsia"/>
        </w:rPr>
        <w:t>7、风险金由投标人自行报价计入总价中，中标后不作调整。</w:t>
      </w:r>
    </w:p>
    <w:p>
      <w:pPr>
        <w:spacing w:line="360" w:lineRule="auto"/>
        <w:ind w:firstLine="210" w:firstLineChars="100"/>
        <w:rPr>
          <w:rFonts w:ascii="宋体" w:hAnsi="宋体" w:eastAsia="宋体" w:cs="Times New Roman"/>
        </w:rPr>
      </w:pPr>
      <w:r>
        <w:rPr>
          <w:rFonts w:hint="eastAsia" w:ascii="宋体" w:hAnsi="宋体" w:eastAsia="宋体" w:cs="Times New Roman"/>
        </w:rPr>
        <w:t>8、定制机房8.5m*3.3m暂按20万元/座计入。</w:t>
      </w:r>
    </w:p>
    <w:p>
      <w:pPr>
        <w:spacing w:line="360" w:lineRule="auto"/>
        <w:ind w:firstLine="210" w:firstLineChars="100"/>
        <w:rPr>
          <w:rFonts w:ascii="宋体" w:hAnsi="宋体" w:eastAsia="宋体" w:cs="Times New Roman"/>
        </w:rPr>
      </w:pPr>
      <w:r>
        <w:rPr>
          <w:rFonts w:hint="eastAsia" w:ascii="宋体" w:hAnsi="宋体" w:eastAsia="宋体" w:cs="Times New Roman"/>
        </w:rPr>
        <w:t>9、系统图电缆为WDZR，材料表电缆为YJV,本次预算按YJV型号计入（防水电缆除外）。</w:t>
      </w:r>
    </w:p>
    <w:p>
      <w:pPr>
        <w:spacing w:line="360" w:lineRule="auto"/>
        <w:ind w:firstLine="210" w:firstLineChars="100"/>
        <w:rPr>
          <w:rFonts w:ascii="宋体" w:hAnsi="宋体" w:eastAsia="宋体" w:cs="Times New Roman"/>
        </w:rPr>
      </w:pPr>
      <w:r>
        <w:rPr>
          <w:rFonts w:hint="eastAsia" w:ascii="宋体" w:hAnsi="宋体" w:eastAsia="宋体" w:cs="Times New Roman"/>
        </w:rPr>
        <w:t>10、AL-04~39配电箱进线电缆YJV5*10沿铝合金线槽MR100*50敷设，因无详细图纸工程量为暂定，</w:t>
      </w:r>
    </w:p>
    <w:p>
      <w:pPr>
        <w:spacing w:line="360" w:lineRule="auto"/>
        <w:ind w:firstLine="210" w:firstLineChars="100"/>
        <w:rPr>
          <w:rFonts w:ascii="宋体" w:hAnsi="宋体" w:eastAsia="宋体" w:cs="Times New Roman"/>
        </w:rPr>
      </w:pPr>
      <w:r>
        <w:rPr>
          <w:rFonts w:hint="eastAsia" w:ascii="宋体" w:hAnsi="宋体" w:eastAsia="宋体" w:cs="Times New Roman"/>
        </w:rPr>
        <w:t>11、建筑灯光处开关电源箱出线至洗墙灯按40*30铝合金线槽，灯具部分不考虑铝合金线槽。</w:t>
      </w:r>
    </w:p>
    <w:p>
      <w:pPr>
        <w:spacing w:line="360" w:lineRule="auto"/>
        <w:ind w:firstLine="210" w:firstLineChars="100"/>
        <w:rPr>
          <w:rFonts w:ascii="宋体" w:hAnsi="宋体" w:eastAsia="宋体" w:cs="Times New Roman"/>
        </w:rPr>
      </w:pPr>
      <w:r>
        <w:rPr>
          <w:rFonts w:hint="eastAsia" w:ascii="宋体" w:hAnsi="宋体" w:eastAsia="宋体" w:cs="Times New Roman"/>
        </w:rPr>
        <w:t>12、大理石拆除修复、铺装等按暂估价3万计入。</w:t>
      </w:r>
    </w:p>
    <w:p>
      <w:pPr>
        <w:spacing w:line="360" w:lineRule="auto"/>
        <w:ind w:firstLine="210" w:firstLineChars="100"/>
        <w:rPr>
          <w:rFonts w:ascii="宋体" w:hAnsi="宋体" w:eastAsia="宋体" w:cs="Times New Roman"/>
        </w:rPr>
      </w:pPr>
      <w:r>
        <w:rPr>
          <w:rFonts w:hint="eastAsia" w:ascii="宋体" w:hAnsi="宋体" w:eastAsia="宋体" w:cs="Times New Roman"/>
        </w:rPr>
        <w:t>13、绿化拆除修复、草坪铺装等按暂估价3万计入。</w:t>
      </w:r>
    </w:p>
    <w:p>
      <w:pPr>
        <w:spacing w:before="139" w:line="360" w:lineRule="auto"/>
        <w:ind w:firstLine="210" w:firstLineChars="100"/>
        <w:rPr>
          <w:rFonts w:ascii="宋体" w:hAnsi="宋体" w:eastAsia="宋体" w:cs="宋体"/>
          <w:spacing w:val="5"/>
          <w:sz w:val="43"/>
          <w:szCs w:val="43"/>
        </w:rPr>
        <w:sectPr>
          <w:pgSz w:w="11905" w:h="16837"/>
          <w:pgMar w:top="1440" w:right="1080" w:bottom="1440" w:left="1080" w:header="0" w:footer="850" w:gutter="0"/>
          <w:pgNumType w:chapStyle="1"/>
          <w:cols w:space="720" w:num="1"/>
          <w:docGrid w:linePitch="286" w:charSpace="0"/>
        </w:sectPr>
      </w:pPr>
      <w:r>
        <w:rPr>
          <w:rFonts w:hint="eastAsia" w:ascii="宋体" w:hAnsi="宋体"/>
        </w:rPr>
        <w:t>七、</w:t>
      </w:r>
      <w:r>
        <w:rPr>
          <w:rFonts w:hint="eastAsia"/>
        </w:rPr>
        <w:t>主要材料（设备）品牌与要求：详见招标文件。</w:t>
      </w:r>
    </w:p>
    <w:p>
      <w:pPr>
        <w:pStyle w:val="4"/>
        <w:spacing w:before="0" w:after="0" w:line="360" w:lineRule="auto"/>
        <w:jc w:val="center"/>
        <w:rPr>
          <w:rFonts w:ascii="宋体" w:hAnsi="宋体" w:eastAsia="宋体" w:cs="宋体"/>
          <w:sz w:val="52"/>
          <w:szCs w:val="52"/>
        </w:rPr>
      </w:pPr>
      <w:bookmarkStart w:id="753" w:name="_Toc109826681"/>
      <w:r>
        <w:rPr>
          <w:rFonts w:ascii="宋体" w:hAnsi="宋体" w:eastAsia="宋体" w:cs="宋体"/>
          <w:spacing w:val="5"/>
          <w:sz w:val="52"/>
          <w:szCs w:val="52"/>
        </w:rPr>
        <w:t>第二卷</w:t>
      </w:r>
      <w:bookmarkEnd w:id="753"/>
    </w:p>
    <w:p>
      <w:pPr>
        <w:pStyle w:val="5"/>
        <w:jc w:val="center"/>
        <w:rPr>
          <w:rFonts w:ascii="黑体" w:hAnsi="黑体" w:cs="黑体"/>
          <w:sz w:val="31"/>
          <w:szCs w:val="31"/>
        </w:rPr>
      </w:pPr>
      <w:bookmarkStart w:id="754" w:name="_Toc109826682"/>
      <w:r>
        <w:rPr>
          <w:rFonts w:ascii="黑体" w:hAnsi="黑体" w:cs="黑体"/>
          <w:spacing w:val="8"/>
          <w:sz w:val="31"/>
          <w:szCs w:val="31"/>
        </w:rPr>
        <w:t>第六章图纸</w:t>
      </w:r>
      <w:bookmarkEnd w:id="754"/>
    </w:p>
    <w:p>
      <w:pPr>
        <w:spacing w:before="91" w:line="213" w:lineRule="auto"/>
        <w:ind w:left="146"/>
        <w:rPr>
          <w:rFonts w:ascii="黑体" w:hAnsi="黑体" w:eastAsia="黑体" w:cs="黑体"/>
          <w:sz w:val="28"/>
          <w:szCs w:val="28"/>
        </w:rPr>
      </w:pPr>
      <w:r>
        <w:rPr>
          <w:rFonts w:hint="eastAsia" w:ascii="Times New Roman" w:hAnsi="Times New Roman" w:cs="Times New Roman" w:eastAsiaTheme="minorEastAsia"/>
          <w:spacing w:val="-18"/>
          <w:sz w:val="28"/>
          <w:szCs w:val="28"/>
        </w:rPr>
        <w:t xml:space="preserve">  </w:t>
      </w:r>
      <w:r>
        <w:rPr>
          <w:rFonts w:ascii="Times New Roman" w:hAnsi="Times New Roman" w:eastAsia="Times New Roman" w:cs="Times New Roman"/>
          <w:spacing w:val="-18"/>
          <w:sz w:val="28"/>
          <w:szCs w:val="28"/>
        </w:rPr>
        <w:t>1</w:t>
      </w:r>
      <w:r>
        <w:rPr>
          <w:rFonts w:ascii="黑体" w:hAnsi="黑体" w:eastAsia="黑体" w:cs="黑体"/>
          <w:spacing w:val="-14"/>
          <w:sz w:val="28"/>
          <w:szCs w:val="28"/>
        </w:rPr>
        <w:t>．图纸目录</w:t>
      </w:r>
    </w:p>
    <w:tbl>
      <w:tblPr>
        <w:tblStyle w:val="27"/>
        <w:tblW w:w="920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5"/>
        <w:gridCol w:w="1429"/>
        <w:gridCol w:w="1429"/>
        <w:gridCol w:w="1429"/>
        <w:gridCol w:w="1429"/>
        <w:gridCol w:w="20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435" w:type="dxa"/>
          </w:tcPr>
          <w:p>
            <w:pPr>
              <w:spacing w:before="197" w:line="230" w:lineRule="auto"/>
              <w:ind w:left="115"/>
              <w:jc w:val="center"/>
              <w:rPr>
                <w:rFonts w:ascii="宋体" w:hAnsi="宋体" w:eastAsia="宋体" w:cs="宋体"/>
                <w:sz w:val="20"/>
                <w:szCs w:val="20"/>
              </w:rPr>
            </w:pPr>
            <w:r>
              <w:rPr>
                <w:rFonts w:ascii="宋体" w:hAnsi="宋体" w:eastAsia="宋体" w:cs="宋体"/>
                <w:spacing w:val="5"/>
                <w:sz w:val="20"/>
                <w:szCs w:val="20"/>
              </w:rPr>
              <w:t>序号</w:t>
            </w:r>
          </w:p>
        </w:tc>
        <w:tc>
          <w:tcPr>
            <w:tcW w:w="1429" w:type="dxa"/>
          </w:tcPr>
          <w:p>
            <w:pPr>
              <w:spacing w:before="197" w:line="230" w:lineRule="auto"/>
              <w:ind w:left="132"/>
              <w:jc w:val="center"/>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5"/>
                <w:sz w:val="20"/>
                <w:szCs w:val="20"/>
              </w:rPr>
              <w:t>名</w:t>
            </w:r>
          </w:p>
        </w:tc>
        <w:tc>
          <w:tcPr>
            <w:tcW w:w="1429" w:type="dxa"/>
          </w:tcPr>
          <w:p>
            <w:pPr>
              <w:spacing w:before="197" w:line="230" w:lineRule="auto"/>
              <w:ind w:left="134"/>
              <w:jc w:val="center"/>
              <w:rPr>
                <w:rFonts w:ascii="宋体" w:hAnsi="宋体" w:eastAsia="宋体" w:cs="宋体"/>
                <w:sz w:val="20"/>
                <w:szCs w:val="20"/>
              </w:rPr>
            </w:pPr>
            <w:r>
              <w:rPr>
                <w:rFonts w:ascii="宋体" w:hAnsi="宋体" w:eastAsia="宋体" w:cs="宋体"/>
                <w:spacing w:val="-6"/>
                <w:sz w:val="20"/>
                <w:szCs w:val="20"/>
              </w:rPr>
              <w:t>图</w:t>
            </w:r>
            <w:r>
              <w:rPr>
                <w:rFonts w:ascii="宋体" w:hAnsi="宋体" w:eastAsia="宋体" w:cs="宋体"/>
                <w:spacing w:val="-5"/>
                <w:sz w:val="20"/>
                <w:szCs w:val="20"/>
              </w:rPr>
              <w:t>号</w:t>
            </w:r>
          </w:p>
        </w:tc>
        <w:tc>
          <w:tcPr>
            <w:tcW w:w="1429" w:type="dxa"/>
          </w:tcPr>
          <w:p>
            <w:pPr>
              <w:spacing w:before="197" w:line="228" w:lineRule="auto"/>
              <w:ind w:left="114"/>
              <w:jc w:val="center"/>
              <w:rPr>
                <w:rFonts w:ascii="宋体" w:hAnsi="宋体" w:eastAsia="宋体" w:cs="宋体"/>
                <w:sz w:val="20"/>
                <w:szCs w:val="20"/>
              </w:rPr>
            </w:pPr>
            <w:r>
              <w:rPr>
                <w:rFonts w:ascii="宋体" w:hAnsi="宋体" w:eastAsia="宋体" w:cs="宋体"/>
                <w:spacing w:val="4"/>
                <w:sz w:val="20"/>
                <w:szCs w:val="20"/>
              </w:rPr>
              <w:t>版本</w:t>
            </w:r>
          </w:p>
        </w:tc>
        <w:tc>
          <w:tcPr>
            <w:tcW w:w="1429" w:type="dxa"/>
          </w:tcPr>
          <w:p>
            <w:pPr>
              <w:spacing w:before="197" w:line="229" w:lineRule="auto"/>
              <w:ind w:left="131"/>
              <w:jc w:val="center"/>
              <w:rPr>
                <w:rFonts w:ascii="宋体" w:hAnsi="宋体" w:eastAsia="宋体" w:cs="宋体"/>
                <w:sz w:val="20"/>
                <w:szCs w:val="20"/>
              </w:rPr>
            </w:pPr>
            <w:r>
              <w:rPr>
                <w:rFonts w:ascii="宋体" w:hAnsi="宋体" w:eastAsia="宋体" w:cs="宋体"/>
                <w:spacing w:val="3"/>
                <w:sz w:val="20"/>
                <w:szCs w:val="20"/>
              </w:rPr>
              <w:t>出图日</w:t>
            </w:r>
            <w:r>
              <w:rPr>
                <w:rFonts w:ascii="宋体" w:hAnsi="宋体" w:eastAsia="宋体" w:cs="宋体"/>
                <w:spacing w:val="2"/>
                <w:sz w:val="20"/>
                <w:szCs w:val="20"/>
              </w:rPr>
              <w:t>期</w:t>
            </w:r>
          </w:p>
        </w:tc>
        <w:tc>
          <w:tcPr>
            <w:tcW w:w="2052" w:type="dxa"/>
          </w:tcPr>
          <w:p>
            <w:pPr>
              <w:spacing w:before="197" w:line="230" w:lineRule="auto"/>
              <w:ind w:left="118"/>
              <w:jc w:val="center"/>
              <w:rPr>
                <w:rFonts w:ascii="宋体" w:hAnsi="宋体" w:eastAsia="宋体" w:cs="宋体"/>
                <w:sz w:val="20"/>
                <w:szCs w:val="20"/>
              </w:rPr>
            </w:pPr>
            <w:r>
              <w:rPr>
                <w:rFonts w:ascii="宋体" w:hAnsi="宋体" w:eastAsia="宋体" w:cs="宋体"/>
                <w:spacing w:val="4"/>
                <w:sz w:val="20"/>
                <w:szCs w:val="20"/>
              </w:rPr>
              <w:t>备</w:t>
            </w:r>
            <w:r>
              <w:rPr>
                <w:rFonts w:ascii="宋体" w:hAnsi="宋体" w:eastAsia="宋体" w:cs="宋体"/>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1435" w:type="dxa"/>
          </w:tcPr>
          <w:p/>
        </w:tc>
        <w:tc>
          <w:tcPr>
            <w:tcW w:w="1429" w:type="dxa"/>
          </w:tcPr>
          <w:p/>
        </w:tc>
        <w:tc>
          <w:tcPr>
            <w:tcW w:w="1429" w:type="dxa"/>
          </w:tcPr>
          <w:p/>
        </w:tc>
        <w:tc>
          <w:tcPr>
            <w:tcW w:w="1429" w:type="dxa"/>
          </w:tcPr>
          <w:p/>
        </w:tc>
        <w:tc>
          <w:tcPr>
            <w:tcW w:w="1429" w:type="dxa"/>
          </w:tcPr>
          <w:p/>
        </w:tc>
        <w:tc>
          <w:tcPr>
            <w:tcW w:w="2052" w:type="dxa"/>
          </w:tcPr>
          <w:p/>
        </w:tc>
      </w:tr>
    </w:tbl>
    <w:p/>
    <w:p>
      <w:pPr>
        <w:spacing w:before="91" w:line="242" w:lineRule="auto"/>
        <w:ind w:left="17"/>
        <w:rPr>
          <w:rFonts w:ascii="黑体" w:hAnsi="黑体" w:eastAsia="黑体" w:cs="黑体"/>
          <w:sz w:val="28"/>
          <w:szCs w:val="28"/>
        </w:rPr>
      </w:pPr>
      <w:bookmarkStart w:id="755" w:name="_bookmark37"/>
      <w:bookmarkEnd w:id="755"/>
      <w:bookmarkStart w:id="756" w:name="_bookmark38"/>
      <w:bookmarkEnd w:id="756"/>
      <w:r>
        <w:rPr>
          <w:rFonts w:ascii="Times New Roman" w:hAnsi="Times New Roman" w:eastAsia="Times New Roman" w:cs="Times New Roman"/>
          <w:spacing w:val="-15"/>
          <w:sz w:val="28"/>
          <w:szCs w:val="28"/>
        </w:rPr>
        <w:t xml:space="preserve">2 </w:t>
      </w:r>
      <w:r>
        <w:rPr>
          <w:rFonts w:ascii="黑体" w:hAnsi="黑体" w:eastAsia="黑体" w:cs="黑体"/>
          <w:spacing w:val="-15"/>
          <w:sz w:val="28"/>
          <w:szCs w:val="28"/>
        </w:rPr>
        <w:t>．图纸</w:t>
      </w:r>
    </w:p>
    <w:p>
      <w:pPr>
        <w:spacing w:line="440" w:lineRule="exact"/>
        <w:jc w:val="center"/>
        <w:rPr>
          <w:rFonts w:ascii="宋体" w:hAnsi="宋体" w:cs="宋体"/>
          <w:sz w:val="28"/>
          <w:szCs w:val="28"/>
        </w:rPr>
      </w:pPr>
      <w:r>
        <w:rPr>
          <w:rFonts w:hint="eastAsia" w:ascii="宋体" w:hAnsi="宋体" w:cs="宋体"/>
          <w:sz w:val="28"/>
          <w:szCs w:val="28"/>
        </w:rPr>
        <w:t>详见三门县公共资源交易中心网站施工图纸</w:t>
      </w:r>
    </w:p>
    <w:p>
      <w:pPr>
        <w:spacing w:line="368" w:lineRule="exact"/>
        <w:ind w:left="2697"/>
        <w:rPr>
          <w:rFonts w:ascii="宋体" w:hAnsi="宋体" w:eastAsia="宋体" w:cs="宋体"/>
          <w:sz w:val="28"/>
          <w:szCs w:val="28"/>
        </w:rPr>
      </w:pPr>
      <w:r>
        <w:rPr>
          <w:rFonts w:hint="eastAsia" w:ascii="宋体" w:hAnsi="宋体" w:cs="宋体"/>
          <w:sz w:val="28"/>
          <w:szCs w:val="28"/>
        </w:rPr>
        <w:t>（</w:t>
      </w:r>
      <w:r>
        <w:rPr>
          <w:rFonts w:hint="eastAsia" w:ascii="宋体" w:hAnsi="宋体" w:eastAsia="宋体" w:cs="宋体"/>
          <w:sz w:val="28"/>
          <w:szCs w:val="28"/>
        </w:rPr>
        <w:t>http://www.sanmen.gov.cn/col/col1229610743/index.html</w:t>
      </w:r>
      <w:r>
        <w:rPr>
          <w:rFonts w:hint="eastAsia" w:ascii="宋体" w:hAnsi="宋体" w:cs="宋体"/>
          <w:sz w:val="28"/>
          <w:szCs w:val="28"/>
        </w:rPr>
        <w:t>）</w:t>
      </w:r>
    </w:p>
    <w:p>
      <w:pPr>
        <w:spacing w:line="244" w:lineRule="auto"/>
      </w:pPr>
    </w:p>
    <w:p>
      <w:pPr>
        <w:spacing w:line="245" w:lineRule="auto"/>
      </w:pPr>
    </w:p>
    <w:p>
      <w:pPr>
        <w:spacing w:line="245" w:lineRule="auto"/>
        <w:sectPr>
          <w:pgSz w:w="11905" w:h="16837"/>
          <w:pgMar w:top="1440" w:right="1080" w:bottom="1440" w:left="1080" w:header="0" w:footer="850" w:gutter="0"/>
          <w:pgNumType w:chapStyle="1"/>
          <w:cols w:space="720" w:num="1"/>
          <w:docGrid w:linePitch="286" w:charSpace="0"/>
        </w:sectPr>
      </w:pPr>
    </w:p>
    <w:p>
      <w:pPr>
        <w:pStyle w:val="4"/>
        <w:spacing w:before="0" w:after="0" w:line="360" w:lineRule="auto"/>
        <w:jc w:val="center"/>
        <w:rPr>
          <w:rFonts w:ascii="黑体" w:hAnsi="黑体" w:eastAsia="黑体" w:cs="黑体"/>
          <w:sz w:val="52"/>
          <w:szCs w:val="52"/>
        </w:rPr>
      </w:pPr>
      <w:bookmarkStart w:id="757" w:name="_bookmark39"/>
      <w:bookmarkEnd w:id="757"/>
      <w:bookmarkStart w:id="758" w:name="_Toc109826683"/>
      <w:r>
        <w:rPr>
          <w:rFonts w:ascii="黑体" w:hAnsi="黑体" w:eastAsia="黑体" w:cs="黑体"/>
          <w:spacing w:val="7"/>
          <w:sz w:val="52"/>
          <w:szCs w:val="52"/>
        </w:rPr>
        <w:t>第</w:t>
      </w:r>
      <w:r>
        <w:rPr>
          <w:rFonts w:ascii="黑体" w:hAnsi="黑体" w:eastAsia="黑体" w:cs="黑体"/>
          <w:spacing w:val="6"/>
          <w:sz w:val="52"/>
          <w:szCs w:val="52"/>
        </w:rPr>
        <w:t>三卷</w:t>
      </w:r>
      <w:bookmarkEnd w:id="758"/>
    </w:p>
    <w:p>
      <w:pPr>
        <w:pStyle w:val="5"/>
        <w:jc w:val="center"/>
        <w:rPr>
          <w:rFonts w:ascii="黑体" w:hAnsi="黑体" w:cs="黑体"/>
          <w:color w:val="000000" w:themeColor="text1"/>
          <w:sz w:val="31"/>
          <w:szCs w:val="31"/>
          <w14:textFill>
            <w14:solidFill>
              <w14:schemeClr w14:val="tx1"/>
            </w14:solidFill>
          </w14:textFill>
        </w:rPr>
      </w:pPr>
      <w:bookmarkStart w:id="759" w:name="_Toc109826684"/>
      <w:r>
        <w:rPr>
          <w:rFonts w:ascii="黑体" w:hAnsi="黑体" w:cs="黑体"/>
          <w:spacing w:val="8"/>
          <w:sz w:val="31"/>
          <w:szCs w:val="31"/>
        </w:rPr>
        <w:t xml:space="preserve">第七章  </w:t>
      </w:r>
      <w:r>
        <w:rPr>
          <w:rFonts w:ascii="黑体" w:hAnsi="黑体" w:cs="黑体"/>
          <w:color w:val="000000" w:themeColor="text1"/>
          <w:spacing w:val="8"/>
          <w:sz w:val="31"/>
          <w:szCs w:val="31"/>
          <w14:textFill>
            <w14:solidFill>
              <w14:schemeClr w14:val="tx1"/>
            </w14:solidFill>
          </w14:textFill>
        </w:rPr>
        <w:t>技术标准和要</w:t>
      </w:r>
      <w:r>
        <w:rPr>
          <w:rFonts w:ascii="黑体" w:hAnsi="黑体" w:cs="黑体"/>
          <w:color w:val="000000" w:themeColor="text1"/>
          <w:spacing w:val="7"/>
          <w:sz w:val="31"/>
          <w:szCs w:val="31"/>
          <w14:textFill>
            <w14:solidFill>
              <w14:schemeClr w14:val="tx1"/>
            </w14:solidFill>
          </w14:textFill>
        </w:rPr>
        <w:t>求</w:t>
      </w:r>
      <w:bookmarkEnd w:id="759"/>
    </w:p>
    <w:p>
      <w:pPr>
        <w:pStyle w:val="6"/>
        <w:rPr>
          <w:rFonts w:ascii="黑体" w:hAnsi="黑体" w:eastAsia="黑体" w:cs="黑体"/>
          <w:color w:val="000000" w:themeColor="text1"/>
          <w:sz w:val="28"/>
          <w:szCs w:val="28"/>
          <w14:textFill>
            <w14:solidFill>
              <w14:schemeClr w14:val="tx1"/>
            </w14:solidFill>
          </w14:textFill>
        </w:rPr>
      </w:pPr>
      <w:bookmarkStart w:id="760" w:name="_Toc109826685"/>
      <w:r>
        <w:rPr>
          <w:rFonts w:ascii="Times New Roman" w:hAnsi="Times New Roman" w:eastAsia="Times New Roman" w:cs="Times New Roman"/>
          <w:color w:val="000000" w:themeColor="text1"/>
          <w:spacing w:val="-4"/>
          <w:sz w:val="28"/>
          <w:szCs w:val="28"/>
          <w14:textFill>
            <w14:solidFill>
              <w14:schemeClr w14:val="tx1"/>
            </w14:solidFill>
          </w14:textFill>
        </w:rPr>
        <w:t xml:space="preserve">1.  </w:t>
      </w:r>
      <w:r>
        <w:rPr>
          <w:rFonts w:ascii="黑体" w:hAnsi="黑体" w:eastAsia="黑体" w:cs="黑体"/>
          <w:color w:val="000000" w:themeColor="text1"/>
          <w:spacing w:val="-4"/>
          <w:sz w:val="28"/>
          <w:szCs w:val="28"/>
          <w14:textFill>
            <w14:solidFill>
              <w14:schemeClr w14:val="tx1"/>
            </w14:solidFill>
          </w14:textFill>
        </w:rPr>
        <w:t>工程概况</w:t>
      </w:r>
      <w:bookmarkEnd w:id="760"/>
    </w:p>
    <w:p>
      <w:pPr>
        <w:spacing w:before="91" w:line="225" w:lineRule="auto"/>
        <w:ind w:left="456"/>
        <w:rPr>
          <w:rFonts w:ascii="宋体" w:hAnsi="宋体" w:eastAsia="宋体" w:cs="宋体"/>
          <w:color w:val="FF0000"/>
          <w:sz w:val="20"/>
          <w:szCs w:val="20"/>
        </w:rPr>
      </w:pPr>
      <w:r>
        <w:rPr>
          <w:rFonts w:ascii="Times New Roman" w:hAnsi="Times New Roman" w:eastAsia="Times New Roman" w:cs="Times New Roman"/>
          <w:color w:val="FF0000"/>
          <w:spacing w:val="10"/>
          <w:sz w:val="20"/>
          <w:szCs w:val="20"/>
        </w:rPr>
        <w:t xml:space="preserve">1. </w:t>
      </w:r>
      <w:r>
        <w:rPr>
          <w:rFonts w:ascii="Times New Roman" w:hAnsi="Times New Roman" w:eastAsia="Times New Roman" w:cs="Times New Roman"/>
          <w:color w:val="FF0000"/>
          <w:spacing w:val="8"/>
          <w:sz w:val="20"/>
          <w:szCs w:val="20"/>
        </w:rPr>
        <w:t>1</w:t>
      </w:r>
      <w:r>
        <w:rPr>
          <w:rFonts w:ascii="宋体" w:hAnsi="宋体" w:eastAsia="宋体" w:cs="宋体"/>
          <w:color w:val="FF0000"/>
          <w:spacing w:val="5"/>
          <w:sz w:val="20"/>
          <w:szCs w:val="20"/>
        </w:rPr>
        <w:t>招标工程：</w:t>
      </w:r>
      <w:r>
        <w:rPr>
          <w:rFonts w:hint="eastAsia" w:ascii="宋体" w:hAnsi="宋体" w:eastAsia="宋体" w:cs="宋体"/>
          <w:color w:val="FF0000"/>
          <w:u w:val="single"/>
        </w:rPr>
        <w:t>三门县绿色智慧停车项目-道路停车位改造照明提升工程</w:t>
      </w:r>
    </w:p>
    <w:p>
      <w:pPr>
        <w:spacing w:line="360" w:lineRule="auto"/>
        <w:rPr>
          <w:rFonts w:ascii="宋体" w:hAnsi="宋体" w:eastAsia="宋体" w:cs="Times New Roman"/>
          <w:sz w:val="24"/>
          <w:szCs w:val="24"/>
        </w:rPr>
      </w:pPr>
      <w:r>
        <w:rPr>
          <w:rFonts w:ascii="Times New Roman" w:hAnsi="Times New Roman" w:eastAsia="Times New Roman" w:cs="Times New Roman"/>
          <w:color w:val="FF0000"/>
          <w:spacing w:val="15"/>
          <w:sz w:val="20"/>
          <w:szCs w:val="20"/>
        </w:rPr>
        <w:t>1</w:t>
      </w:r>
      <w:r>
        <w:rPr>
          <w:rFonts w:ascii="Times New Roman" w:hAnsi="Times New Roman" w:eastAsia="Times New Roman" w:cs="Times New Roman"/>
          <w:color w:val="FF0000"/>
          <w:spacing w:val="9"/>
          <w:sz w:val="20"/>
          <w:szCs w:val="20"/>
        </w:rPr>
        <w:t xml:space="preserve">.2 </w:t>
      </w:r>
      <w:r>
        <w:rPr>
          <w:rFonts w:ascii="宋体" w:hAnsi="宋体" w:eastAsia="宋体" w:cs="宋体"/>
          <w:color w:val="FF0000"/>
          <w:spacing w:val="9"/>
          <w:sz w:val="20"/>
          <w:szCs w:val="20"/>
        </w:rPr>
        <w:t>建设规模：</w:t>
      </w:r>
      <w:r>
        <w:rPr>
          <w:rFonts w:ascii="宋体" w:hAnsi="宋体" w:eastAsia="宋体" w:cs="宋体"/>
          <w:color w:val="FF0000"/>
          <w:spacing w:val="7"/>
          <w:sz w:val="20"/>
          <w:szCs w:val="20"/>
          <w:u w:val="single"/>
        </w:rPr>
        <w:t>工程建设内容</w:t>
      </w:r>
      <w:r>
        <w:rPr>
          <w:rFonts w:ascii="宋体" w:hAnsi="宋体" w:eastAsia="宋体" w:cs="宋体"/>
          <w:color w:val="FF0000"/>
          <w:u w:val="single"/>
        </w:rPr>
        <w:t>为</w:t>
      </w:r>
      <w:r>
        <w:rPr>
          <w:rFonts w:hint="eastAsia" w:ascii="宋体" w:hAnsi="宋体" w:eastAsia="宋体" w:cs="宋体"/>
          <w:color w:val="FF0000"/>
          <w:u w:val="single"/>
        </w:rPr>
        <w:t>水幕电影、景观亮化及建筑亮化工程等内容。具</w:t>
      </w:r>
      <w:r>
        <w:rPr>
          <w:rFonts w:hint="eastAsia" w:ascii="Times New Roman" w:hAnsi="Times New Roman" w:cs="Times New Roman"/>
          <w:bCs/>
          <w:color w:val="FF0000"/>
          <w:u w:val="single"/>
        </w:rPr>
        <w:t>体内容见招标人提供的工程量清单</w:t>
      </w:r>
      <w:r>
        <w:rPr>
          <w:rFonts w:ascii="宋体" w:hAnsi="宋体" w:eastAsia="宋体" w:cs="宋体"/>
          <w:color w:val="FF0000"/>
          <w:spacing w:val="7"/>
          <w:sz w:val="20"/>
          <w:szCs w:val="20"/>
          <w:u w:val="single"/>
        </w:rPr>
        <w:t xml:space="preserve">  </w:t>
      </w:r>
    </w:p>
    <w:p>
      <w:pPr>
        <w:spacing w:before="1" w:line="226" w:lineRule="auto"/>
        <w:ind w:left="456"/>
        <w:rPr>
          <w:rFonts w:ascii="宋体" w:hAnsi="宋体" w:eastAsia="宋体" w:cs="宋体"/>
          <w:color w:val="FF0000"/>
          <w:sz w:val="20"/>
          <w:szCs w:val="20"/>
        </w:rPr>
      </w:pPr>
      <w:r>
        <w:rPr>
          <w:rFonts w:ascii="Times New Roman" w:hAnsi="Times New Roman" w:eastAsia="Times New Roman" w:cs="Times New Roman"/>
          <w:color w:val="FF0000"/>
          <w:spacing w:val="14"/>
          <w:sz w:val="20"/>
          <w:szCs w:val="20"/>
        </w:rPr>
        <w:t>1.</w:t>
      </w:r>
      <w:r>
        <w:rPr>
          <w:rFonts w:ascii="Times New Roman" w:hAnsi="Times New Roman" w:eastAsia="Times New Roman" w:cs="Times New Roman"/>
          <w:color w:val="FF0000"/>
          <w:spacing w:val="11"/>
          <w:sz w:val="20"/>
          <w:szCs w:val="20"/>
        </w:rPr>
        <w:t>3</w:t>
      </w:r>
      <w:r>
        <w:rPr>
          <w:rFonts w:ascii="宋体" w:hAnsi="宋体" w:eastAsia="宋体" w:cs="宋体"/>
          <w:color w:val="FF0000"/>
          <w:spacing w:val="7"/>
          <w:sz w:val="20"/>
          <w:szCs w:val="20"/>
        </w:rPr>
        <w:t>招标控制价：</w:t>
      </w:r>
      <w:r>
        <w:rPr>
          <w:rFonts w:ascii="宋体" w:hAnsi="宋体" w:eastAsia="宋体" w:cs="宋体"/>
          <w:color w:val="FF0000"/>
          <w:spacing w:val="7"/>
          <w:sz w:val="20"/>
          <w:szCs w:val="20"/>
          <w:u w:val="single"/>
        </w:rPr>
        <w:t>招标控制价电子数据详见附件 (仅供投标人参考)</w:t>
      </w:r>
    </w:p>
    <w:p>
      <w:pPr>
        <w:spacing w:before="115" w:line="228" w:lineRule="auto"/>
        <w:ind w:left="456"/>
        <w:rPr>
          <w:rFonts w:ascii="宋体" w:hAnsi="宋体" w:eastAsia="宋体" w:cs="宋体"/>
          <w:color w:val="FF0000"/>
          <w:sz w:val="20"/>
          <w:szCs w:val="20"/>
        </w:rPr>
      </w:pPr>
      <w:r>
        <w:rPr>
          <w:rFonts w:ascii="Times New Roman" w:hAnsi="Times New Roman" w:eastAsia="Times New Roman" w:cs="Times New Roman"/>
          <w:color w:val="FF0000"/>
          <w:spacing w:val="12"/>
          <w:sz w:val="20"/>
          <w:szCs w:val="20"/>
        </w:rPr>
        <w:t>1</w:t>
      </w:r>
      <w:r>
        <w:rPr>
          <w:rFonts w:ascii="Times New Roman" w:hAnsi="Times New Roman" w:eastAsia="Times New Roman" w:cs="Times New Roman"/>
          <w:color w:val="FF0000"/>
          <w:spacing w:val="11"/>
          <w:sz w:val="20"/>
          <w:szCs w:val="20"/>
        </w:rPr>
        <w:t>.</w:t>
      </w:r>
      <w:r>
        <w:rPr>
          <w:rFonts w:ascii="Times New Roman" w:hAnsi="Times New Roman" w:eastAsia="Times New Roman" w:cs="Times New Roman"/>
          <w:color w:val="FF0000"/>
          <w:spacing w:val="6"/>
          <w:sz w:val="20"/>
          <w:szCs w:val="20"/>
        </w:rPr>
        <w:t xml:space="preserve">4 </w:t>
      </w:r>
      <w:r>
        <w:rPr>
          <w:rFonts w:ascii="宋体" w:hAnsi="宋体" w:eastAsia="宋体" w:cs="宋体"/>
          <w:color w:val="FF0000"/>
          <w:spacing w:val="6"/>
          <w:sz w:val="20"/>
          <w:szCs w:val="20"/>
        </w:rPr>
        <w:t>建设地点：</w:t>
      </w:r>
      <w:r>
        <w:rPr>
          <w:rFonts w:ascii="宋体" w:hAnsi="宋体" w:eastAsia="宋体" w:cs="宋体"/>
          <w:color w:val="FF0000"/>
          <w:spacing w:val="6"/>
          <w:sz w:val="20"/>
          <w:szCs w:val="20"/>
          <w:u w:val="single"/>
        </w:rPr>
        <w:t>三门县大湖塘。</w:t>
      </w:r>
    </w:p>
    <w:p>
      <w:pPr>
        <w:pStyle w:val="6"/>
        <w:rPr>
          <w:rFonts w:ascii="黑体" w:hAnsi="黑体" w:eastAsia="黑体" w:cs="黑体"/>
          <w:sz w:val="28"/>
          <w:szCs w:val="28"/>
        </w:rPr>
      </w:pPr>
      <w:bookmarkStart w:id="761" w:name="_Toc109826686"/>
      <w:r>
        <w:rPr>
          <w:rFonts w:ascii="Times New Roman" w:hAnsi="Times New Roman" w:eastAsia="Times New Roman" w:cs="Times New Roman"/>
          <w:color w:val="000000" w:themeColor="text1"/>
          <w:spacing w:val="-1"/>
          <w:sz w:val="28"/>
          <w:szCs w:val="28"/>
          <w14:textFill>
            <w14:solidFill>
              <w14:schemeClr w14:val="tx1"/>
            </w14:solidFill>
          </w14:textFill>
        </w:rPr>
        <w:t>2.</w:t>
      </w:r>
      <w:r>
        <w:rPr>
          <w:rFonts w:ascii="Times New Roman" w:hAnsi="Times New Roman" w:eastAsia="Times New Roman" w:cs="Times New Roman"/>
          <w:color w:val="FF0000"/>
          <w:spacing w:val="-1"/>
          <w:sz w:val="28"/>
          <w:szCs w:val="28"/>
        </w:rPr>
        <w:t xml:space="preserve">  </w:t>
      </w:r>
      <w:r>
        <w:rPr>
          <w:rFonts w:ascii="黑体" w:hAnsi="黑体" w:eastAsia="黑体" w:cs="黑体"/>
          <w:color w:val="000000" w:themeColor="text1"/>
          <w:spacing w:val="-1"/>
          <w:sz w:val="28"/>
          <w:szCs w:val="28"/>
          <w14:textFill>
            <w14:solidFill>
              <w14:schemeClr w14:val="tx1"/>
            </w14:solidFill>
          </w14:textFill>
        </w:rPr>
        <w:t>技</w:t>
      </w:r>
      <w:r>
        <w:rPr>
          <w:rFonts w:ascii="黑体" w:hAnsi="黑体" w:eastAsia="黑体" w:cs="黑体"/>
          <w:color w:val="000000" w:themeColor="text1"/>
          <w:sz w:val="28"/>
          <w:szCs w:val="28"/>
          <w14:textFill>
            <w14:solidFill>
              <w14:schemeClr w14:val="tx1"/>
            </w14:solidFill>
          </w14:textFill>
        </w:rPr>
        <w:t>术规范及标准</w:t>
      </w:r>
      <w:bookmarkEnd w:id="761"/>
    </w:p>
    <w:p>
      <w:pPr>
        <w:spacing w:line="400" w:lineRule="exact"/>
        <w:ind w:firstLine="428" w:firstLineChars="200"/>
        <w:rPr>
          <w:color w:val="auto"/>
        </w:rPr>
      </w:pPr>
      <w:r>
        <w:rPr>
          <w:rFonts w:ascii="Times New Roman" w:hAnsi="Times New Roman" w:eastAsia="Times New Roman" w:cs="Times New Roman"/>
          <w:spacing w:val="7"/>
          <w:sz w:val="20"/>
          <w:szCs w:val="20"/>
        </w:rPr>
        <w:t xml:space="preserve">2. 1  </w:t>
      </w:r>
      <w:r>
        <w:rPr>
          <w:rFonts w:hint="eastAsia" w:ascii="宋体" w:hAnsi="宋体" w:eastAsia="宋体" w:cs="宋体"/>
          <w:color w:val="auto"/>
        </w:rPr>
        <w:t>依据设计施工图纸和技</w:t>
      </w:r>
      <w:r>
        <w:rPr>
          <w:color w:val="auto"/>
        </w:rPr>
        <w:t>术文件要求，本工程项目的材料、设备、施工必须达到以下现行中华人民共和国及省、市、行业的一切有关法规、规范的要求，如下述标准及规范要求有出入则以较严格者为准。</w:t>
      </w:r>
    </w:p>
    <w:p>
      <w:pPr>
        <w:spacing w:line="360" w:lineRule="auto"/>
        <w:ind w:left="540" w:leftChars="257"/>
        <w:rPr>
          <w:rFonts w:eastAsia="宋体"/>
          <w:color w:val="auto"/>
        </w:rPr>
      </w:pPr>
      <w:r>
        <w:rPr>
          <w:color w:val="auto"/>
        </w:rPr>
        <w:t>道路工程术语标准 GBJ124-88</w:t>
      </w:r>
    </w:p>
    <w:p>
      <w:pPr>
        <w:spacing w:line="360" w:lineRule="auto"/>
        <w:ind w:left="540" w:leftChars="257"/>
        <w:rPr>
          <w:rFonts w:eastAsia="宋体"/>
          <w:color w:val="auto"/>
        </w:rPr>
      </w:pPr>
      <w:r>
        <w:rPr>
          <w:color w:val="auto"/>
        </w:rPr>
        <w:t xml:space="preserve">道路工程制图标准 GB50162-92 </w:t>
      </w:r>
    </w:p>
    <w:p>
      <w:pPr>
        <w:spacing w:line="360" w:lineRule="auto"/>
        <w:ind w:left="540" w:leftChars="257"/>
        <w:rPr>
          <w:rFonts w:eastAsia="宋体"/>
          <w:color w:val="auto"/>
        </w:rPr>
      </w:pPr>
      <w:r>
        <w:rPr>
          <w:color w:val="auto"/>
        </w:rPr>
        <w:t>市政道路工程质量检验评定标准 CJJ1-</w:t>
      </w:r>
      <w:r>
        <w:rPr>
          <w:rFonts w:hint="eastAsia"/>
          <w:color w:val="auto"/>
        </w:rPr>
        <w:t>2008</w:t>
      </w:r>
    </w:p>
    <w:p>
      <w:pPr>
        <w:spacing w:line="360" w:lineRule="auto"/>
        <w:ind w:left="540" w:leftChars="257"/>
        <w:rPr>
          <w:rFonts w:eastAsia="宋体"/>
          <w:color w:val="auto"/>
        </w:rPr>
      </w:pPr>
      <w:r>
        <w:rPr>
          <w:color w:val="auto"/>
        </w:rPr>
        <w:t>市政桥梁工程质量检验评定标准 CJJ2-</w:t>
      </w:r>
      <w:r>
        <w:rPr>
          <w:rFonts w:hint="eastAsia"/>
          <w:color w:val="auto"/>
        </w:rPr>
        <w:t>2008</w:t>
      </w:r>
    </w:p>
    <w:p>
      <w:pPr>
        <w:spacing w:line="360" w:lineRule="auto"/>
        <w:ind w:left="540" w:leftChars="257"/>
        <w:rPr>
          <w:color w:val="auto"/>
        </w:rPr>
      </w:pPr>
      <w:r>
        <w:rPr>
          <w:color w:val="auto"/>
        </w:rPr>
        <w:t>粉煤灰石灰类道路基层施工及验收规程 CJJ4-97</w:t>
      </w:r>
    </w:p>
    <w:p>
      <w:pPr>
        <w:spacing w:line="360" w:lineRule="auto"/>
        <w:ind w:left="540" w:leftChars="257"/>
        <w:rPr>
          <w:color w:val="auto"/>
        </w:rPr>
      </w:pPr>
      <w:r>
        <w:rPr>
          <w:color w:val="auto"/>
        </w:rPr>
        <w:t>城市桥梁养护技术规范 CJJ99-2003</w:t>
      </w:r>
    </w:p>
    <w:p>
      <w:pPr>
        <w:spacing w:line="360" w:lineRule="auto"/>
        <w:ind w:left="540" w:leftChars="257"/>
        <w:rPr>
          <w:rFonts w:eastAsia="宋体"/>
          <w:color w:val="auto"/>
        </w:rPr>
      </w:pPr>
      <w:r>
        <w:rPr>
          <w:color w:val="auto"/>
        </w:rPr>
        <w:t>城市道路养护技术规范 CJJ36-90</w:t>
      </w:r>
    </w:p>
    <w:p>
      <w:pPr>
        <w:spacing w:line="360" w:lineRule="auto"/>
        <w:ind w:left="540" w:leftChars="257"/>
        <w:rPr>
          <w:rFonts w:eastAsia="宋体"/>
          <w:color w:val="auto"/>
        </w:rPr>
      </w:pPr>
      <w:r>
        <w:rPr>
          <w:color w:val="auto"/>
        </w:rPr>
        <w:t xml:space="preserve">城市道路设计规范 CJJ37-90 </w:t>
      </w:r>
    </w:p>
    <w:p>
      <w:pPr>
        <w:spacing w:line="360" w:lineRule="auto"/>
        <w:ind w:left="540" w:leftChars="257"/>
        <w:rPr>
          <w:rFonts w:eastAsia="宋体"/>
          <w:color w:val="auto"/>
        </w:rPr>
      </w:pPr>
      <w:r>
        <w:rPr>
          <w:color w:val="auto"/>
        </w:rPr>
        <w:t xml:space="preserve">城市道路路基工程施工及验收规范 CJJ44-91 </w:t>
      </w:r>
    </w:p>
    <w:p>
      <w:pPr>
        <w:spacing w:line="360" w:lineRule="auto"/>
        <w:ind w:left="540" w:leftChars="257"/>
        <w:rPr>
          <w:color w:val="auto"/>
        </w:rPr>
      </w:pPr>
      <w:r>
        <w:rPr>
          <w:color w:val="auto"/>
        </w:rPr>
        <w:t>城市道路照明设计标准 CJJ45-91</w:t>
      </w:r>
    </w:p>
    <w:p>
      <w:pPr>
        <w:spacing w:line="360" w:lineRule="auto"/>
        <w:ind w:left="540" w:leftChars="257"/>
        <w:rPr>
          <w:rFonts w:eastAsia="宋体"/>
          <w:color w:val="auto"/>
        </w:rPr>
      </w:pPr>
      <w:r>
        <w:rPr>
          <w:color w:val="auto"/>
        </w:rPr>
        <w:t xml:space="preserve">室外排水设计规范(1997年版) GBJ14-87 </w:t>
      </w:r>
    </w:p>
    <w:p>
      <w:pPr>
        <w:spacing w:line="360" w:lineRule="auto"/>
        <w:ind w:left="540" w:leftChars="257"/>
        <w:rPr>
          <w:rFonts w:eastAsia="宋体"/>
          <w:color w:val="auto"/>
        </w:rPr>
      </w:pPr>
      <w:r>
        <w:rPr>
          <w:color w:val="auto"/>
        </w:rPr>
        <w:t>室外给水排水和燃气热力工程抗震设计规范 GB 50035-2003</w:t>
      </w:r>
    </w:p>
    <w:p>
      <w:pPr>
        <w:spacing w:line="360" w:lineRule="auto"/>
        <w:ind w:left="540" w:leftChars="257"/>
        <w:rPr>
          <w:rFonts w:eastAsia="宋体"/>
          <w:color w:val="auto"/>
        </w:rPr>
      </w:pPr>
      <w:r>
        <w:rPr>
          <w:color w:val="auto"/>
        </w:rPr>
        <w:t>给水排水工程构筑物结构设计规范 GB50069-2002</w:t>
      </w:r>
    </w:p>
    <w:p>
      <w:pPr>
        <w:spacing w:line="360" w:lineRule="auto"/>
        <w:ind w:left="540" w:leftChars="257"/>
        <w:rPr>
          <w:rFonts w:eastAsia="宋体"/>
          <w:color w:val="auto"/>
        </w:rPr>
      </w:pPr>
      <w:r>
        <w:rPr>
          <w:color w:val="auto"/>
        </w:rPr>
        <w:t>给水排水制图标准 GB/T50106-2001</w:t>
      </w:r>
    </w:p>
    <w:p>
      <w:pPr>
        <w:spacing w:line="360" w:lineRule="auto"/>
        <w:ind w:left="540" w:leftChars="257"/>
        <w:rPr>
          <w:rFonts w:eastAsia="宋体"/>
          <w:color w:val="auto"/>
        </w:rPr>
      </w:pPr>
      <w:r>
        <w:rPr>
          <w:color w:val="auto"/>
        </w:rPr>
        <w:t xml:space="preserve">给水排水设计基本术语标准 GBJ125-89 </w:t>
      </w:r>
    </w:p>
    <w:p>
      <w:pPr>
        <w:spacing w:line="360" w:lineRule="auto"/>
        <w:ind w:left="540" w:leftChars="257"/>
        <w:rPr>
          <w:rFonts w:eastAsia="宋体"/>
          <w:color w:val="auto"/>
        </w:rPr>
      </w:pPr>
      <w:r>
        <w:rPr>
          <w:color w:val="auto"/>
        </w:rPr>
        <w:t>建筑给水排水及采暖工程施工质量验收规范 GB50242-2002</w:t>
      </w:r>
    </w:p>
    <w:p>
      <w:pPr>
        <w:spacing w:line="360" w:lineRule="auto"/>
        <w:ind w:left="540" w:leftChars="257"/>
        <w:rPr>
          <w:rFonts w:eastAsia="宋体"/>
          <w:color w:val="auto"/>
        </w:rPr>
      </w:pPr>
      <w:r>
        <w:rPr>
          <w:color w:val="auto"/>
        </w:rPr>
        <w:t xml:space="preserve">给水排水管道工程施工及验收规范 GB50268-97 </w:t>
      </w:r>
    </w:p>
    <w:p>
      <w:pPr>
        <w:spacing w:line="360" w:lineRule="auto"/>
        <w:ind w:left="540" w:leftChars="257"/>
        <w:rPr>
          <w:color w:val="auto"/>
        </w:rPr>
      </w:pPr>
      <w:r>
        <w:rPr>
          <w:color w:val="auto"/>
        </w:rPr>
        <w:t>给水排水工程管道结构设计规范 GB50332-2002</w:t>
      </w:r>
    </w:p>
    <w:p>
      <w:pPr>
        <w:pStyle w:val="44"/>
        <w:spacing w:line="360" w:lineRule="auto"/>
        <w:ind w:left="540" w:leftChars="257" w:firstLine="0" w:firstLineChars="0"/>
      </w:pPr>
      <w:r>
        <w:rPr>
          <w:rFonts w:ascii="Times New Roman" w:hAnsi="Times New Roman" w:cs="Times New Roman"/>
          <w:szCs w:val="24"/>
        </w:rPr>
        <w:t>市政排水管渠工程质量检验评定标准 CJJ3-</w:t>
      </w:r>
      <w:r>
        <w:rPr>
          <w:rFonts w:hint="eastAsia"/>
        </w:rPr>
        <w:t>2008</w:t>
      </w:r>
    </w:p>
    <w:p>
      <w:pPr>
        <w:pStyle w:val="44"/>
        <w:spacing w:line="360" w:lineRule="auto"/>
        <w:ind w:left="540" w:leftChars="257" w:firstLine="0" w:firstLineChars="0"/>
        <w:rPr>
          <w:rFonts w:ascii="Times New Roman" w:hAnsi="Times New Roman" w:cs="Times New Roman"/>
          <w:szCs w:val="24"/>
        </w:rPr>
      </w:pPr>
      <w:r>
        <w:rPr>
          <w:rFonts w:ascii="Times New Roman" w:hAnsi="Times New Roman" w:cs="Times New Roman"/>
          <w:szCs w:val="24"/>
        </w:rPr>
        <w:t xml:space="preserve">排水管道维护安全技术规程 CJJ685 </w:t>
      </w:r>
    </w:p>
    <w:p>
      <w:pPr>
        <w:pStyle w:val="44"/>
        <w:spacing w:line="360" w:lineRule="auto"/>
        <w:ind w:left="540" w:leftChars="257" w:firstLine="0" w:firstLineChars="0"/>
        <w:rPr>
          <w:rFonts w:ascii="Times New Roman" w:hAnsi="Times New Roman" w:cs="Times New Roman"/>
          <w:szCs w:val="24"/>
        </w:rPr>
      </w:pPr>
      <w:r>
        <w:rPr>
          <w:rFonts w:ascii="Times New Roman" w:hAnsi="Times New Roman" w:cs="Times New Roman"/>
          <w:szCs w:val="24"/>
        </w:rPr>
        <w:t>城镇排水管渠与泵站维护技术规程 CJJ/T68-96</w:t>
      </w:r>
    </w:p>
    <w:p>
      <w:pPr>
        <w:pStyle w:val="44"/>
        <w:ind w:firstLine="525" w:firstLineChars="250"/>
        <w:rPr>
          <w:rFonts w:ascii="宋体" w:hAnsi="宋体" w:cs="Times New Roman"/>
          <w:szCs w:val="24"/>
        </w:rPr>
      </w:pPr>
      <w:r>
        <w:fldChar w:fldCharType="begin"/>
      </w:r>
      <w:r>
        <w:instrText xml:space="preserve"> HYPERLINK "http://www.doc88.com/p-79233552921.html" \t "_blank" </w:instrText>
      </w:r>
      <w:r>
        <w:fldChar w:fldCharType="separate"/>
      </w:r>
      <w:r>
        <w:rPr>
          <w:rFonts w:ascii="宋体" w:hAnsi="宋体" w:cs="Times New Roman"/>
          <w:szCs w:val="24"/>
        </w:rPr>
        <w:t>浙江省园林绿化工程施工质量验收规范</w:t>
      </w:r>
      <w:r>
        <w:rPr>
          <w:rFonts w:ascii="宋体" w:hAnsi="宋体" w:cs="Times New Roman"/>
          <w:szCs w:val="24"/>
        </w:rPr>
        <w:fldChar w:fldCharType="end"/>
      </w:r>
    </w:p>
    <w:p>
      <w:pPr>
        <w:pStyle w:val="44"/>
        <w:ind w:firstLine="525" w:firstLineChars="250"/>
        <w:rPr>
          <w:rFonts w:ascii="宋体" w:hAnsi="宋体" w:cs="Tahoma"/>
          <w:kern w:val="0"/>
          <w:szCs w:val="21"/>
        </w:rPr>
      </w:pPr>
      <w:r>
        <w:rPr>
          <w:rFonts w:hint="eastAsia" w:ascii="宋体" w:hAnsi="宋体"/>
        </w:rPr>
        <w:t>浙江省园林绿化技术规程（试行）</w:t>
      </w:r>
      <w:r>
        <w:rPr>
          <w:rFonts w:ascii="宋体" w:hAnsi="宋体" w:cs="Tahoma"/>
          <w:kern w:val="0"/>
          <w:szCs w:val="21"/>
        </w:rPr>
        <w:t>DB33/T1009-2001</w:t>
      </w:r>
      <w:r>
        <w:rPr>
          <w:rFonts w:hint="eastAsia" w:ascii="宋体" w:hAnsi="宋体" w:cs="Tahoma"/>
          <w:kern w:val="0"/>
          <w:szCs w:val="21"/>
        </w:rPr>
        <w:t>、</w:t>
      </w:r>
      <w:r>
        <w:rPr>
          <w:rFonts w:ascii="宋体" w:hAnsi="宋体" w:cs="Tahoma"/>
          <w:kern w:val="0"/>
          <w:szCs w:val="21"/>
        </w:rPr>
        <w:t>DB33/T1009.1-2001</w:t>
      </w:r>
    </w:p>
    <w:p>
      <w:pPr>
        <w:pStyle w:val="44"/>
      </w:pPr>
      <w:r>
        <w:rPr>
          <w:rFonts w:hint="eastAsia"/>
        </w:rPr>
        <w:t>《建筑外墙涂料通用技术要求》JG/T512-2017</w:t>
      </w:r>
    </w:p>
    <w:p>
      <w:pPr>
        <w:pStyle w:val="44"/>
      </w:pPr>
      <w:r>
        <w:rPr>
          <w:rFonts w:hint="eastAsia"/>
        </w:rPr>
        <w:t>《建筑外墙防水工程技术规程》JGJ/T235-2011</w:t>
      </w:r>
    </w:p>
    <w:p>
      <w:pPr>
        <w:pStyle w:val="44"/>
      </w:pPr>
      <w:r>
        <w:rPr>
          <w:rFonts w:hint="eastAsia"/>
        </w:rPr>
        <w:t>《房屋渗漏修缮技术规程》JGJT53-2011</w:t>
      </w:r>
    </w:p>
    <w:p>
      <w:pPr>
        <w:pStyle w:val="44"/>
      </w:pPr>
      <w:r>
        <w:rPr>
          <w:rFonts w:hint="eastAsia"/>
        </w:rPr>
        <w:t>《聚合物水泥防水涂料标准》GB/T23445</w:t>
      </w:r>
    </w:p>
    <w:p>
      <w:pPr>
        <w:pStyle w:val="44"/>
      </w:pPr>
      <w:r>
        <w:rPr>
          <w:rFonts w:hint="eastAsia"/>
        </w:rPr>
        <w:t>《屋面工程技术规范》GB50345-2012</w:t>
      </w:r>
    </w:p>
    <w:p>
      <w:pPr>
        <w:pStyle w:val="44"/>
        <w:rPr>
          <w:rFonts w:ascii="Times New Roman" w:hAnsi="Times New Roman"/>
        </w:rPr>
      </w:pPr>
      <w:r>
        <w:t>……</w:t>
      </w:r>
    </w:p>
    <w:p>
      <w:pPr>
        <w:pStyle w:val="44"/>
        <w:rPr>
          <w:rFonts w:ascii="Times New Roman" w:hAnsi="Times New Roman"/>
        </w:rPr>
      </w:pPr>
      <w:r>
        <w:rPr>
          <w:rFonts w:hint="eastAsia" w:ascii="Times New Roman" w:hAnsi="Times New Roman"/>
        </w:rPr>
        <w:t>2.2</w:t>
      </w:r>
      <w:r>
        <w:rPr>
          <w:rFonts w:ascii="Times New Roman" w:hAnsi="Times New Roman"/>
        </w:rPr>
        <w:t>以上技术规范由承包人自备，如有不足之处或未能达到国家最新标准时，承包人应使施工及选用的设备和材料符合最新版本的国家标准、规范。</w:t>
      </w:r>
    </w:p>
    <w:p>
      <w:pPr>
        <w:spacing w:before="126" w:line="369" w:lineRule="auto"/>
        <w:ind w:left="20" w:right="11" w:firstLine="415"/>
        <w:rPr>
          <w:rFonts w:ascii="黑体" w:hAnsi="黑体" w:eastAsia="黑体" w:cs="黑体"/>
          <w:sz w:val="28"/>
          <w:szCs w:val="28"/>
        </w:rPr>
      </w:pPr>
      <w:r>
        <w:rPr>
          <w:rFonts w:ascii="Times New Roman" w:hAnsi="Times New Roman" w:eastAsia="Times New Roman" w:cs="Times New Roman"/>
          <w:spacing w:val="-10"/>
          <w:sz w:val="28"/>
          <w:szCs w:val="28"/>
        </w:rPr>
        <w:t>3</w:t>
      </w:r>
      <w:r>
        <w:rPr>
          <w:rFonts w:ascii="黑体" w:hAnsi="黑体" w:eastAsia="黑体" w:cs="黑体"/>
          <w:spacing w:val="-9"/>
          <w:sz w:val="28"/>
          <w:szCs w:val="28"/>
        </w:rPr>
        <w:t>．材料质量要求</w:t>
      </w:r>
    </w:p>
    <w:p>
      <w:pPr>
        <w:spacing w:before="65" w:line="228" w:lineRule="auto"/>
        <w:ind w:left="440"/>
        <w:rPr>
          <w:rFonts w:ascii="宋体" w:hAnsi="宋体" w:eastAsia="宋体" w:cs="宋体"/>
          <w:sz w:val="20"/>
          <w:szCs w:val="20"/>
        </w:rPr>
      </w:pPr>
      <w:bookmarkStart w:id="762" w:name="_bookmark41"/>
      <w:bookmarkEnd w:id="762"/>
      <w:r>
        <w:rPr>
          <w:rFonts w:ascii="Times New Roman" w:hAnsi="Times New Roman" w:eastAsia="Times New Roman" w:cs="Times New Roman"/>
          <w:spacing w:val="-1"/>
          <w:sz w:val="20"/>
          <w:szCs w:val="20"/>
        </w:rPr>
        <w:t>3. 1</w:t>
      </w:r>
      <w:r>
        <w:rPr>
          <w:rFonts w:ascii="宋体" w:hAnsi="宋体" w:eastAsia="宋体" w:cs="宋体"/>
          <w:sz w:val="20"/>
          <w:szCs w:val="20"/>
        </w:rPr>
        <w:t>材料选择</w:t>
      </w:r>
    </w:p>
    <w:p>
      <w:pPr>
        <w:spacing w:before="114" w:line="332" w:lineRule="auto"/>
        <w:ind w:left="24" w:right="69" w:firstLine="425"/>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1</w:t>
      </w:r>
      <w:r>
        <w:rPr>
          <w:rFonts w:ascii="宋体" w:hAnsi="宋体" w:eastAsia="宋体" w:cs="宋体"/>
          <w:spacing w:val="8"/>
          <w:sz w:val="20"/>
          <w:szCs w:val="20"/>
        </w:rPr>
        <w:t>) 本章节附件为“主要设备材料备选品牌一览表</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投标人在投标时必须按表中</w:t>
      </w:r>
      <w:r>
        <w:rPr>
          <w:rFonts w:ascii="宋体" w:hAnsi="宋体" w:eastAsia="宋体" w:cs="宋体"/>
          <w:spacing w:val="6"/>
          <w:sz w:val="20"/>
          <w:szCs w:val="20"/>
        </w:rPr>
        <w:t>所</w:t>
      </w:r>
      <w:r>
        <w:rPr>
          <w:rFonts w:ascii="宋体" w:hAnsi="宋体" w:eastAsia="宋体" w:cs="宋体"/>
          <w:spacing w:val="9"/>
          <w:sz w:val="20"/>
          <w:szCs w:val="20"/>
        </w:rPr>
        <w:t>列</w:t>
      </w:r>
      <w:r>
        <w:rPr>
          <w:rFonts w:ascii="宋体" w:hAnsi="宋体" w:eastAsia="宋体" w:cs="宋体"/>
          <w:spacing w:val="8"/>
          <w:sz w:val="20"/>
          <w:szCs w:val="20"/>
        </w:rPr>
        <w:t>的备选品牌之一进行报价。</w:t>
      </w:r>
    </w:p>
    <w:p>
      <w:pPr>
        <w:spacing w:before="1" w:line="332" w:lineRule="auto"/>
        <w:ind w:left="19" w:firstLine="43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本招标文件涉及的其他主要材料及零星材料，各投标人须根据设计施工图的要求</w:t>
      </w:r>
      <w:r>
        <w:rPr>
          <w:rFonts w:ascii="宋体" w:hAnsi="宋体" w:eastAsia="宋体" w:cs="宋体"/>
          <w:spacing w:val="14"/>
          <w:sz w:val="20"/>
          <w:szCs w:val="20"/>
        </w:rPr>
        <w:t>及意图</w:t>
      </w:r>
      <w:r>
        <w:rPr>
          <w:rFonts w:ascii="宋体" w:hAnsi="宋体" w:eastAsia="宋体" w:cs="宋体"/>
          <w:spacing w:val="7"/>
          <w:sz w:val="20"/>
          <w:szCs w:val="20"/>
        </w:rPr>
        <w:t>按中高档的用材标准进行选材并报价，所有建筑材料要求采用在行业内有一定知名度</w:t>
      </w:r>
      <w:r>
        <w:rPr>
          <w:rFonts w:ascii="宋体" w:hAnsi="宋体" w:eastAsia="宋体" w:cs="宋体"/>
          <w:spacing w:val="8"/>
          <w:sz w:val="20"/>
          <w:szCs w:val="20"/>
        </w:rPr>
        <w:t>的品</w:t>
      </w:r>
      <w:r>
        <w:rPr>
          <w:rFonts w:ascii="宋体" w:hAnsi="宋体" w:eastAsia="宋体" w:cs="宋体"/>
          <w:spacing w:val="5"/>
          <w:sz w:val="20"/>
          <w:szCs w:val="20"/>
        </w:rPr>
        <w:t>牌</w:t>
      </w:r>
      <w:r>
        <w:rPr>
          <w:rFonts w:ascii="宋体" w:hAnsi="宋体" w:eastAsia="宋体" w:cs="宋体"/>
          <w:spacing w:val="4"/>
          <w:sz w:val="20"/>
          <w:szCs w:val="20"/>
        </w:rPr>
        <w:t>，并符合环保要求，严禁选择不合设计要求的低档材料进行投标报价及组织施工实施。</w:t>
      </w:r>
    </w:p>
    <w:p>
      <w:pPr>
        <w:spacing w:line="227" w:lineRule="auto"/>
        <w:ind w:left="440"/>
        <w:rPr>
          <w:rFonts w:ascii="宋体" w:hAnsi="宋体" w:eastAsia="宋体" w:cs="宋体"/>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材料的质量保证</w:t>
      </w:r>
    </w:p>
    <w:p>
      <w:pPr>
        <w:spacing w:before="113" w:line="228" w:lineRule="auto"/>
        <w:ind w:left="44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在免费保修期内，承包人对有缺陷的部位必须无偿地给予修理与更换，并承担一</w:t>
      </w:r>
    </w:p>
    <w:p>
      <w:pPr>
        <w:spacing w:before="114" w:line="332" w:lineRule="auto"/>
        <w:ind w:left="19" w:right="71"/>
        <w:rPr>
          <w:rFonts w:ascii="宋体" w:hAnsi="宋体" w:eastAsia="宋体" w:cs="宋体"/>
          <w:sz w:val="20"/>
          <w:szCs w:val="20"/>
        </w:rPr>
      </w:pPr>
      <w:r>
        <w:rPr>
          <w:rFonts w:ascii="宋体" w:hAnsi="宋体" w:eastAsia="宋体" w:cs="宋体"/>
          <w:spacing w:val="14"/>
          <w:sz w:val="20"/>
          <w:szCs w:val="20"/>
        </w:rPr>
        <w:t>切由此</w:t>
      </w:r>
      <w:r>
        <w:rPr>
          <w:rFonts w:ascii="宋体" w:hAnsi="宋体" w:eastAsia="宋体" w:cs="宋体"/>
          <w:spacing w:val="7"/>
          <w:sz w:val="20"/>
          <w:szCs w:val="20"/>
        </w:rPr>
        <w:t>引起的对发包人或第三者的直接损失，除非该缺陷是由于人为破坏或合同规定的不可</w:t>
      </w:r>
      <w:r>
        <w:rPr>
          <w:rFonts w:ascii="宋体" w:hAnsi="宋体" w:eastAsia="宋体" w:cs="宋体"/>
          <w:spacing w:val="13"/>
          <w:sz w:val="20"/>
          <w:szCs w:val="20"/>
        </w:rPr>
        <w:t>抗</w:t>
      </w:r>
      <w:r>
        <w:rPr>
          <w:rFonts w:ascii="宋体" w:hAnsi="宋体" w:eastAsia="宋体" w:cs="宋体"/>
          <w:spacing w:val="7"/>
          <w:sz w:val="20"/>
          <w:szCs w:val="20"/>
        </w:rPr>
        <w:t>因素造成的损坏。</w:t>
      </w:r>
    </w:p>
    <w:p>
      <w:pPr>
        <w:spacing w:line="332" w:lineRule="auto"/>
        <w:ind w:left="36" w:right="71" w:firstLine="413"/>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承包人必须对所承包的工程的质量负全部责任，其责任不因其他材料生产商提供的</w:t>
      </w:r>
      <w:r>
        <w:rPr>
          <w:rFonts w:ascii="宋体" w:hAnsi="宋体" w:eastAsia="宋体" w:cs="宋体"/>
          <w:spacing w:val="6"/>
          <w:sz w:val="20"/>
          <w:szCs w:val="20"/>
        </w:rPr>
        <w:t>保证书而减轻或更改。</w:t>
      </w:r>
    </w:p>
    <w:p>
      <w:pPr>
        <w:spacing w:line="226" w:lineRule="auto"/>
        <w:ind w:left="44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7"/>
          <w:sz w:val="20"/>
          <w:szCs w:val="20"/>
        </w:rPr>
        <w:t>3</w:t>
      </w:r>
      <w:r>
        <w:rPr>
          <w:rFonts w:ascii="宋体" w:hAnsi="宋体" w:eastAsia="宋体" w:cs="宋体"/>
          <w:spacing w:val="11"/>
          <w:sz w:val="20"/>
          <w:szCs w:val="20"/>
        </w:rPr>
        <w:t>) 材料检验结果证明其有害物质含量指标超标的产品不得在工程上使用。</w:t>
      </w:r>
    </w:p>
    <w:p>
      <w:pPr>
        <w:spacing w:before="115" w:line="228" w:lineRule="auto"/>
        <w:ind w:left="440"/>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供应要求</w:t>
      </w:r>
    </w:p>
    <w:p>
      <w:pPr>
        <w:spacing w:before="115" w:line="332" w:lineRule="auto"/>
        <w:ind w:left="19" w:firstLine="43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本次招标承包范围内的建筑施工材料均由承包人根据本招标文件、设计图纸和国</w:t>
      </w:r>
      <w:r>
        <w:rPr>
          <w:rFonts w:ascii="宋体" w:hAnsi="宋体" w:eastAsia="宋体" w:cs="宋体"/>
          <w:spacing w:val="8"/>
          <w:sz w:val="20"/>
          <w:szCs w:val="20"/>
        </w:rPr>
        <w:t>家有</w:t>
      </w:r>
      <w:r>
        <w:rPr>
          <w:rFonts w:ascii="宋体" w:hAnsi="宋体" w:eastAsia="宋体" w:cs="宋体"/>
          <w:spacing w:val="4"/>
          <w:sz w:val="20"/>
          <w:szCs w:val="20"/>
        </w:rPr>
        <w:t>关规定的具体要求进行采购、运输、检验、保管，但发包人保留变更和指定材料的权利；</w:t>
      </w:r>
      <w:r>
        <w:rPr>
          <w:rFonts w:ascii="宋体" w:hAnsi="宋体" w:eastAsia="宋体" w:cs="宋体"/>
          <w:spacing w:val="14"/>
          <w:sz w:val="20"/>
          <w:szCs w:val="20"/>
        </w:rPr>
        <w:t>所有建</w:t>
      </w:r>
      <w:r>
        <w:rPr>
          <w:rFonts w:ascii="宋体" w:hAnsi="宋体" w:eastAsia="宋体" w:cs="宋体"/>
          <w:spacing w:val="9"/>
          <w:sz w:val="20"/>
          <w:szCs w:val="20"/>
        </w:rPr>
        <w:t>筑</w:t>
      </w:r>
      <w:r>
        <w:rPr>
          <w:rFonts w:ascii="宋体" w:hAnsi="宋体" w:eastAsia="宋体" w:cs="宋体"/>
          <w:spacing w:val="7"/>
          <w:sz w:val="20"/>
          <w:szCs w:val="20"/>
        </w:rPr>
        <w:t>材料须有产品合格证和质量保证书，应先送样品，样品经设计方、监理方、发包人</w:t>
      </w:r>
      <w:r>
        <w:rPr>
          <w:rFonts w:ascii="宋体" w:hAnsi="宋体" w:eastAsia="宋体" w:cs="宋体"/>
          <w:spacing w:val="8"/>
          <w:sz w:val="20"/>
          <w:szCs w:val="20"/>
        </w:rPr>
        <w:t>确认</w:t>
      </w:r>
      <w:r>
        <w:rPr>
          <w:rFonts w:ascii="宋体" w:hAnsi="宋体" w:eastAsia="宋体" w:cs="宋体"/>
          <w:spacing w:val="4"/>
          <w:sz w:val="20"/>
          <w:szCs w:val="20"/>
        </w:rPr>
        <w:t>与招标要求一致后封存，批量供应时应与样品一致，并经相关部门检验合格后方可使用。</w:t>
      </w:r>
    </w:p>
    <w:p>
      <w:pPr>
        <w:spacing w:line="332" w:lineRule="auto"/>
        <w:ind w:left="20" w:right="69" w:firstLine="42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由承包人采购的主要建筑材料，当承包人选定的产品质量达不到设计要求和预期</w:t>
      </w:r>
      <w:r>
        <w:rPr>
          <w:rFonts w:ascii="宋体" w:hAnsi="宋体" w:eastAsia="宋体" w:cs="宋体"/>
          <w:spacing w:val="14"/>
          <w:sz w:val="20"/>
          <w:szCs w:val="20"/>
        </w:rPr>
        <w:t>质</w:t>
      </w:r>
      <w:r>
        <w:rPr>
          <w:rFonts w:ascii="宋体" w:hAnsi="宋体" w:eastAsia="宋体" w:cs="宋体"/>
          <w:spacing w:val="9"/>
          <w:sz w:val="20"/>
          <w:szCs w:val="20"/>
        </w:rPr>
        <w:t>量目标时，发包人保留更换的权利，且中标价不予调整。</w:t>
      </w:r>
    </w:p>
    <w:p>
      <w:pPr>
        <w:spacing w:line="229" w:lineRule="auto"/>
        <w:ind w:left="435"/>
        <w:rPr>
          <w:rFonts w:ascii="宋体" w:hAnsi="宋体" w:eastAsia="宋体" w:cs="宋体"/>
          <w:sz w:val="20"/>
          <w:szCs w:val="20"/>
        </w:rPr>
      </w:pPr>
      <w:r>
        <w:rPr>
          <w:rFonts w:ascii="Times New Roman" w:hAnsi="Times New Roman" w:eastAsia="Times New Roman" w:cs="Times New Roman"/>
          <w:b/>
          <w:bCs/>
          <w:spacing w:val="11"/>
          <w:sz w:val="20"/>
          <w:szCs w:val="20"/>
        </w:rPr>
        <w:t>3</w:t>
      </w:r>
      <w:r>
        <w:rPr>
          <w:rFonts w:ascii="Times New Roman" w:hAnsi="Times New Roman" w:eastAsia="Times New Roman" w:cs="Times New Roman"/>
          <w:b/>
          <w:bCs/>
          <w:spacing w:val="6"/>
          <w:sz w:val="20"/>
          <w:szCs w:val="20"/>
        </w:rPr>
        <w:t>.4</w:t>
      </w:r>
      <w:r>
        <w:rPr>
          <w:rFonts w:ascii="宋体" w:hAnsi="宋体" w:eastAsia="宋体" w:cs="宋体"/>
          <w:spacing w:val="6"/>
          <w:sz w:val="20"/>
          <w:szCs w:val="20"/>
        </w:rPr>
        <w:t>质量保证</w:t>
      </w:r>
    </w:p>
    <w:p>
      <w:pPr>
        <w:spacing w:before="112" w:line="229" w:lineRule="auto"/>
        <w:ind w:left="440"/>
        <w:rPr>
          <w:rFonts w:ascii="宋体" w:hAnsi="宋体" w:eastAsia="宋体" w:cs="宋体"/>
          <w:sz w:val="20"/>
          <w:szCs w:val="20"/>
        </w:rPr>
      </w:pPr>
      <w:r>
        <w:rPr>
          <w:rFonts w:ascii="宋体" w:hAnsi="宋体" w:eastAsia="宋体" w:cs="宋体"/>
          <w:spacing w:val="7"/>
          <w:sz w:val="20"/>
          <w:szCs w:val="20"/>
        </w:rPr>
        <w:t>质量要求</w:t>
      </w:r>
    </w:p>
    <w:p>
      <w:pPr>
        <w:spacing w:before="113" w:line="228" w:lineRule="auto"/>
        <w:ind w:left="449"/>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3"/>
          <w:sz w:val="20"/>
          <w:szCs w:val="20"/>
        </w:rPr>
        <w:t>1</w:t>
      </w:r>
      <w:r>
        <w:rPr>
          <w:rFonts w:ascii="宋体" w:hAnsi="宋体" w:eastAsia="宋体" w:cs="宋体"/>
          <w:spacing w:val="12"/>
          <w:sz w:val="20"/>
          <w:szCs w:val="20"/>
        </w:rPr>
        <w:t>) 达到所符的设计效果图的景观效果。</w:t>
      </w:r>
    </w:p>
    <w:p>
      <w:pPr>
        <w:spacing w:before="113" w:line="228" w:lineRule="auto"/>
        <w:ind w:left="44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合格及以上，符合国家规定的质量要求。</w:t>
      </w:r>
    </w:p>
    <w:p>
      <w:pPr>
        <w:spacing w:before="113" w:line="228" w:lineRule="auto"/>
        <w:ind w:left="44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3</w:t>
      </w:r>
      <w:r>
        <w:rPr>
          <w:rFonts w:ascii="宋体" w:hAnsi="宋体" w:eastAsia="宋体" w:cs="宋体"/>
          <w:spacing w:val="14"/>
          <w:sz w:val="20"/>
          <w:szCs w:val="20"/>
        </w:rPr>
        <w:t>)</w:t>
      </w:r>
      <w:r>
        <w:rPr>
          <w:rFonts w:ascii="宋体" w:hAnsi="宋体" w:eastAsia="宋体" w:cs="宋体"/>
          <w:spacing w:val="8"/>
          <w:sz w:val="20"/>
          <w:szCs w:val="20"/>
        </w:rPr>
        <w:t xml:space="preserve"> 在验收过程中，由于质量不合格或运输等原因所造成的一切费用均由投标人负责。</w:t>
      </w:r>
    </w:p>
    <w:p>
      <w:pPr>
        <w:spacing w:before="113" w:line="279" w:lineRule="auto"/>
        <w:ind w:left="440" w:right="542" w:firstLine="9"/>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1"/>
          <w:sz w:val="20"/>
          <w:szCs w:val="20"/>
        </w:rPr>
        <w:t>4</w:t>
      </w:r>
      <w:r>
        <w:rPr>
          <w:rFonts w:ascii="宋体" w:hAnsi="宋体" w:eastAsia="宋体" w:cs="宋体"/>
          <w:spacing w:val="11"/>
          <w:sz w:val="20"/>
          <w:szCs w:val="20"/>
        </w:rPr>
        <w:t>) 中标投标人须对因投标设备材料使用期内本身的固有缺陷和瑕疵承担责任</w:t>
      </w:r>
      <w:r>
        <w:rPr>
          <w:rFonts w:ascii="宋体" w:hAnsi="宋体" w:eastAsia="宋体" w:cs="宋体"/>
          <w:spacing w:val="3"/>
          <w:sz w:val="20"/>
          <w:szCs w:val="20"/>
        </w:rPr>
        <w:t>。</w:t>
      </w:r>
      <w:r>
        <w:rPr>
          <w:rFonts w:ascii="宋体" w:hAnsi="宋体" w:eastAsia="宋体" w:cs="宋体"/>
          <w:spacing w:val="10"/>
          <w:sz w:val="20"/>
          <w:szCs w:val="20"/>
        </w:rPr>
        <w:t>质保期：</w:t>
      </w:r>
      <w:r>
        <w:rPr>
          <w:rFonts w:ascii="宋体" w:hAnsi="宋体" w:eastAsia="宋体" w:cs="宋体"/>
          <w:spacing w:val="8"/>
          <w:sz w:val="20"/>
          <w:szCs w:val="20"/>
        </w:rPr>
        <w:t>保</w:t>
      </w:r>
      <w:r>
        <w:rPr>
          <w:rFonts w:ascii="宋体" w:hAnsi="宋体" w:eastAsia="宋体" w:cs="宋体"/>
          <w:spacing w:val="5"/>
          <w:sz w:val="20"/>
          <w:szCs w:val="20"/>
        </w:rPr>
        <w:t xml:space="preserve">修期要求：整体工程保修期 </w:t>
      </w:r>
      <w:r>
        <w:rPr>
          <w:rFonts w:ascii="Times New Roman" w:hAnsi="Times New Roman" w:eastAsia="Times New Roman" w:cs="Times New Roman"/>
          <w:spacing w:val="5"/>
          <w:sz w:val="20"/>
          <w:szCs w:val="20"/>
        </w:rPr>
        <w:t xml:space="preserve">24 </w:t>
      </w:r>
      <w:r>
        <w:rPr>
          <w:rFonts w:ascii="宋体" w:hAnsi="宋体" w:eastAsia="宋体" w:cs="宋体"/>
          <w:spacing w:val="5"/>
          <w:sz w:val="20"/>
          <w:szCs w:val="20"/>
        </w:rPr>
        <w:t>个月，</w:t>
      </w:r>
      <w:r>
        <w:rPr>
          <w:rFonts w:ascii="Times New Roman" w:hAnsi="Times New Roman" w:eastAsia="Times New Roman" w:cs="Times New Roman"/>
          <w:sz w:val="20"/>
          <w:szCs w:val="20"/>
        </w:rPr>
        <w:t>LED</w:t>
      </w:r>
      <w:r>
        <w:rPr>
          <w:rFonts w:ascii="宋体" w:hAnsi="宋体" w:eastAsia="宋体" w:cs="宋体"/>
          <w:spacing w:val="5"/>
          <w:sz w:val="20"/>
          <w:szCs w:val="20"/>
        </w:rPr>
        <w:t xml:space="preserve">灯具保修期 </w:t>
      </w:r>
      <w:r>
        <w:rPr>
          <w:rFonts w:ascii="Times New Roman" w:hAnsi="Times New Roman" w:eastAsia="Times New Roman" w:cs="Times New Roman"/>
          <w:spacing w:val="5"/>
          <w:sz w:val="20"/>
          <w:szCs w:val="20"/>
        </w:rPr>
        <w:t xml:space="preserve">36 </w:t>
      </w:r>
      <w:r>
        <w:rPr>
          <w:rFonts w:ascii="宋体" w:hAnsi="宋体" w:eastAsia="宋体" w:cs="宋体"/>
          <w:spacing w:val="5"/>
          <w:sz w:val="20"/>
          <w:szCs w:val="20"/>
        </w:rPr>
        <w:t>个月。</w:t>
      </w:r>
    </w:p>
    <w:p>
      <w:pPr>
        <w:spacing w:before="116" w:line="332" w:lineRule="auto"/>
        <w:ind w:left="20" w:right="69" w:firstLine="42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质保期内，如因修理设备材料或更换部件，而非人为因素出现故障而造成短期停</w:t>
      </w:r>
      <w:r>
        <w:rPr>
          <w:rFonts w:ascii="宋体" w:hAnsi="宋体" w:eastAsia="宋体" w:cs="宋体"/>
          <w:spacing w:val="16"/>
          <w:sz w:val="20"/>
          <w:szCs w:val="20"/>
        </w:rPr>
        <w:t>用时</w:t>
      </w:r>
      <w:r>
        <w:rPr>
          <w:rFonts w:ascii="宋体" w:hAnsi="宋体" w:eastAsia="宋体" w:cs="宋体"/>
          <w:spacing w:val="8"/>
          <w:sz w:val="20"/>
          <w:szCs w:val="20"/>
        </w:rPr>
        <w:t xml:space="preserve">，则质保期和免费维修期相应顺延。如停用时间累计超过 </w:t>
      </w:r>
      <w:r>
        <w:rPr>
          <w:rFonts w:ascii="Times New Roman" w:hAnsi="Times New Roman" w:eastAsia="Times New Roman" w:cs="Times New Roman"/>
          <w:spacing w:val="8"/>
          <w:sz w:val="20"/>
          <w:szCs w:val="20"/>
        </w:rPr>
        <w:t xml:space="preserve">20 </w:t>
      </w:r>
      <w:r>
        <w:rPr>
          <w:rFonts w:ascii="宋体" w:hAnsi="宋体" w:eastAsia="宋体" w:cs="宋体"/>
          <w:spacing w:val="8"/>
          <w:sz w:val="20"/>
          <w:szCs w:val="20"/>
        </w:rPr>
        <w:t>天，则设备材料质保期重</w:t>
      </w:r>
      <w:r>
        <w:rPr>
          <w:rFonts w:ascii="宋体" w:hAnsi="宋体" w:eastAsia="宋体" w:cs="宋体"/>
          <w:spacing w:val="5"/>
          <w:sz w:val="20"/>
          <w:szCs w:val="20"/>
        </w:rPr>
        <w:t>新计算</w:t>
      </w:r>
      <w:r>
        <w:rPr>
          <w:rFonts w:ascii="宋体" w:hAnsi="宋体" w:eastAsia="宋体" w:cs="宋体"/>
          <w:spacing w:val="4"/>
          <w:sz w:val="20"/>
          <w:szCs w:val="20"/>
        </w:rPr>
        <w:t>；</w:t>
      </w:r>
    </w:p>
    <w:p>
      <w:pPr>
        <w:spacing w:line="332" w:lineRule="auto"/>
        <w:ind w:left="54" w:right="71" w:firstLine="395"/>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质保期内，招标人无须自行付费，中标投标人负责修理和替换任何由于设备材料自</w:t>
      </w:r>
      <w:r>
        <w:rPr>
          <w:rFonts w:ascii="宋体" w:hAnsi="宋体" w:eastAsia="宋体" w:cs="宋体"/>
          <w:spacing w:val="10"/>
          <w:sz w:val="20"/>
          <w:szCs w:val="20"/>
        </w:rPr>
        <w:t>身</w:t>
      </w:r>
      <w:r>
        <w:rPr>
          <w:rFonts w:ascii="宋体" w:hAnsi="宋体" w:eastAsia="宋体" w:cs="宋体"/>
          <w:spacing w:val="6"/>
          <w:sz w:val="20"/>
          <w:szCs w:val="20"/>
        </w:rPr>
        <w:t>的质量问题造成的损坏及故障；</w:t>
      </w:r>
    </w:p>
    <w:p>
      <w:pPr>
        <w:spacing w:before="1" w:line="332" w:lineRule="auto"/>
        <w:ind w:left="23" w:right="121" w:firstLine="426"/>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3</w:t>
      </w:r>
      <w:r>
        <w:rPr>
          <w:rFonts w:ascii="宋体" w:hAnsi="宋体" w:eastAsia="宋体" w:cs="宋体"/>
          <w:spacing w:val="20"/>
          <w:sz w:val="20"/>
          <w:szCs w:val="20"/>
        </w:rPr>
        <w:t>)</w:t>
      </w:r>
      <w:r>
        <w:rPr>
          <w:rFonts w:ascii="宋体" w:hAnsi="宋体" w:eastAsia="宋体" w:cs="宋体"/>
          <w:spacing w:val="10"/>
          <w:sz w:val="20"/>
          <w:szCs w:val="20"/>
        </w:rPr>
        <w:t xml:space="preserve"> 质保期内，须指定一名技术工程师专门负责本项目的售后服务工作；如有更换，须</w:t>
      </w:r>
      <w:r>
        <w:rPr>
          <w:rFonts w:ascii="宋体" w:hAnsi="宋体" w:eastAsia="宋体" w:cs="宋体"/>
          <w:spacing w:val="6"/>
          <w:sz w:val="20"/>
          <w:szCs w:val="20"/>
        </w:rPr>
        <w:t>招标人同意；</w:t>
      </w:r>
    </w:p>
    <w:p>
      <w:pPr>
        <w:spacing w:line="228" w:lineRule="auto"/>
        <w:ind w:left="44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3"/>
          <w:sz w:val="20"/>
          <w:szCs w:val="20"/>
        </w:rPr>
        <w:t>4</w:t>
      </w:r>
      <w:r>
        <w:rPr>
          <w:rFonts w:ascii="宋体" w:hAnsi="宋体" w:eastAsia="宋体" w:cs="宋体"/>
          <w:spacing w:val="11"/>
          <w:sz w:val="20"/>
          <w:szCs w:val="20"/>
        </w:rPr>
        <w:t>) 质保期内，如遇招标人软件设备材料升级、改版，应免费提供更新、升级服务。</w:t>
      </w:r>
    </w:p>
    <w:p>
      <w:pPr>
        <w:spacing w:before="113" w:line="343" w:lineRule="auto"/>
        <w:ind w:left="36" w:right="69" w:firstLine="413"/>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2"/>
          <w:sz w:val="20"/>
          <w:szCs w:val="20"/>
        </w:rPr>
        <w:t>5</w:t>
      </w:r>
      <w:r>
        <w:rPr>
          <w:rFonts w:ascii="宋体" w:hAnsi="宋体" w:eastAsia="宋体" w:cs="宋体"/>
          <w:spacing w:val="11"/>
          <w:sz w:val="20"/>
          <w:szCs w:val="20"/>
        </w:rPr>
        <w:t>) 中标投标人在质保期内安装 (更换) 的任何零配件，必须是设备材料制造商原产</w:t>
      </w:r>
      <w:r>
        <w:rPr>
          <w:rFonts w:ascii="宋体" w:hAnsi="宋体" w:eastAsia="宋体" w:cs="宋体"/>
          <w:spacing w:val="12"/>
          <w:sz w:val="20"/>
          <w:szCs w:val="20"/>
        </w:rPr>
        <w:t>的</w:t>
      </w:r>
      <w:r>
        <w:rPr>
          <w:rFonts w:ascii="宋体" w:hAnsi="宋体" w:eastAsia="宋体" w:cs="宋体"/>
          <w:spacing w:val="6"/>
          <w:sz w:val="20"/>
          <w:szCs w:val="20"/>
        </w:rPr>
        <w:t>或是经招标人认可的；</w:t>
      </w:r>
    </w:p>
    <w:p>
      <w:pPr>
        <w:spacing w:before="65" w:line="332" w:lineRule="auto"/>
        <w:ind w:left="26" w:right="44" w:firstLine="423"/>
        <w:rPr>
          <w:rFonts w:ascii="宋体" w:hAnsi="宋体" w:eastAsia="宋体" w:cs="宋体"/>
          <w:sz w:val="20"/>
          <w:szCs w:val="20"/>
        </w:rPr>
      </w:pPr>
      <w:bookmarkStart w:id="763" w:name="_bookmark42"/>
      <w:bookmarkEnd w:id="763"/>
      <w:r>
        <w:rPr>
          <w:rFonts w:ascii="宋体" w:hAnsi="宋体" w:eastAsia="宋体" w:cs="宋体"/>
          <w:spacing w:val="16"/>
          <w:sz w:val="20"/>
          <w:szCs w:val="20"/>
        </w:rPr>
        <w:t>(</w:t>
      </w:r>
      <w:r>
        <w:rPr>
          <w:rFonts w:ascii="Times New Roman" w:hAnsi="Times New Roman" w:eastAsia="Times New Roman" w:cs="Times New Roman"/>
          <w:spacing w:val="16"/>
          <w:sz w:val="20"/>
          <w:szCs w:val="20"/>
        </w:rPr>
        <w:t>6</w:t>
      </w:r>
      <w:r>
        <w:rPr>
          <w:rFonts w:ascii="宋体" w:hAnsi="宋体" w:eastAsia="宋体" w:cs="宋体"/>
          <w:spacing w:val="16"/>
          <w:sz w:val="20"/>
          <w:szCs w:val="20"/>
        </w:rPr>
        <w:t>)</w:t>
      </w:r>
      <w:r>
        <w:rPr>
          <w:rFonts w:ascii="宋体" w:hAnsi="宋体" w:eastAsia="宋体" w:cs="宋体"/>
          <w:spacing w:val="8"/>
          <w:sz w:val="20"/>
          <w:szCs w:val="20"/>
        </w:rPr>
        <w:t>所有的替代零配件必须是新的未使用和未经修复的</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除非最终用户提供书面许可，否则不可使用此范围外的其他 (非新的) 配件</w:t>
      </w:r>
      <w:r>
        <w:rPr>
          <w:rFonts w:ascii="宋体" w:hAnsi="宋体" w:eastAsia="宋体" w:cs="宋体"/>
          <w:spacing w:val="7"/>
          <w:sz w:val="20"/>
          <w:szCs w:val="20"/>
        </w:rPr>
        <w:t>；</w:t>
      </w:r>
    </w:p>
    <w:p>
      <w:pPr>
        <w:spacing w:before="1" w:line="332" w:lineRule="auto"/>
        <w:ind w:left="20" w:right="33" w:firstLine="42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质保期结束前，须由中标投标人和招标人进行一次全面检查，任何缺陷必须由中</w:t>
      </w:r>
      <w:r>
        <w:rPr>
          <w:rFonts w:ascii="宋体" w:hAnsi="宋体" w:eastAsia="宋体" w:cs="宋体"/>
          <w:spacing w:val="14"/>
          <w:sz w:val="20"/>
          <w:szCs w:val="20"/>
        </w:rPr>
        <w:t>标投</w:t>
      </w:r>
      <w:r>
        <w:rPr>
          <w:rFonts w:ascii="宋体" w:hAnsi="宋体" w:eastAsia="宋体" w:cs="宋体"/>
          <w:spacing w:val="12"/>
          <w:sz w:val="20"/>
          <w:szCs w:val="20"/>
        </w:rPr>
        <w:t>标</w:t>
      </w:r>
      <w:r>
        <w:rPr>
          <w:rFonts w:ascii="宋体" w:hAnsi="宋体" w:eastAsia="宋体" w:cs="宋体"/>
          <w:spacing w:val="7"/>
          <w:sz w:val="20"/>
          <w:szCs w:val="20"/>
        </w:rPr>
        <w:t>人负责修理，在修理之后，中标投标人应将缺陷原因、修理内容、完成修理及恢复正</w:t>
      </w:r>
      <w:r>
        <w:rPr>
          <w:rFonts w:ascii="宋体" w:hAnsi="宋体" w:eastAsia="宋体" w:cs="宋体"/>
          <w:spacing w:val="10"/>
          <w:sz w:val="20"/>
          <w:szCs w:val="20"/>
        </w:rPr>
        <w:t>常</w:t>
      </w:r>
      <w:r>
        <w:rPr>
          <w:rFonts w:ascii="宋体" w:hAnsi="宋体" w:eastAsia="宋体" w:cs="宋体"/>
          <w:spacing w:val="9"/>
          <w:sz w:val="20"/>
          <w:szCs w:val="20"/>
        </w:rPr>
        <w:t>的时间和日期等报告给招标人，报告一式两份。</w:t>
      </w:r>
    </w:p>
    <w:p>
      <w:pPr>
        <w:spacing w:line="332" w:lineRule="auto"/>
        <w:ind w:left="24" w:right="33" w:firstLine="425"/>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0"/>
          <w:sz w:val="20"/>
          <w:szCs w:val="20"/>
        </w:rPr>
        <w:t>8</w:t>
      </w:r>
      <w:r>
        <w:rPr>
          <w:rFonts w:ascii="宋体" w:hAnsi="宋体" w:eastAsia="宋体" w:cs="宋体"/>
          <w:spacing w:val="9"/>
          <w:sz w:val="20"/>
          <w:szCs w:val="20"/>
        </w:rPr>
        <w:t>) 中标投标人或原厂家的承诺的质保期不符的， 以最高标准为准，除非投标人事前正式声明，否则均视为认同，并将在合同中载明</w:t>
      </w:r>
      <w:r>
        <w:rPr>
          <w:rFonts w:ascii="宋体" w:hAnsi="宋体" w:eastAsia="宋体" w:cs="宋体"/>
          <w:spacing w:val="7"/>
          <w:sz w:val="20"/>
          <w:szCs w:val="20"/>
        </w:rPr>
        <w:t>。</w:t>
      </w:r>
    </w:p>
    <w:p>
      <w:pPr>
        <w:spacing w:line="308" w:lineRule="auto"/>
        <w:ind w:left="19" w:firstLine="430"/>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b/>
          <w:bCs/>
          <w:spacing w:val="16"/>
          <w:sz w:val="20"/>
          <w:szCs w:val="20"/>
        </w:rPr>
        <w:t>9</w:t>
      </w:r>
      <w:r>
        <w:rPr>
          <w:rFonts w:ascii="宋体" w:hAnsi="宋体" w:eastAsia="宋体" w:cs="宋体"/>
          <w:spacing w:val="13"/>
          <w:sz w:val="20"/>
          <w:szCs w:val="20"/>
        </w:rPr>
        <w:t>)</w:t>
      </w:r>
      <w:r>
        <w:rPr>
          <w:rFonts w:ascii="宋体" w:hAnsi="宋体" w:eastAsia="宋体" w:cs="宋体"/>
          <w:spacing w:val="8"/>
          <w:sz w:val="20"/>
          <w:szCs w:val="20"/>
        </w:rPr>
        <w:t>中标人提供的灯具产品生产日期须为</w:t>
      </w:r>
      <w:r>
        <w:rPr>
          <w:rFonts w:ascii="Times New Roman" w:hAnsi="Times New Roman" w:eastAsia="Times New Roman" w:cs="Times New Roman"/>
          <w:b/>
          <w:bCs/>
          <w:spacing w:val="8"/>
          <w:sz w:val="20"/>
          <w:szCs w:val="20"/>
        </w:rPr>
        <w:t>2020</w:t>
      </w:r>
      <w:r>
        <w:rPr>
          <w:rFonts w:ascii="宋体" w:hAnsi="宋体" w:eastAsia="宋体" w:cs="宋体"/>
          <w:spacing w:val="8"/>
          <w:sz w:val="20"/>
          <w:szCs w:val="20"/>
        </w:rPr>
        <w:t>年</w:t>
      </w:r>
      <w:r>
        <w:rPr>
          <w:rFonts w:ascii="Times New Roman" w:hAnsi="Times New Roman" w:eastAsia="Times New Roman" w:cs="Times New Roman"/>
          <w:b/>
          <w:bCs/>
          <w:spacing w:val="8"/>
          <w:sz w:val="20"/>
          <w:szCs w:val="20"/>
        </w:rPr>
        <w:t>1</w:t>
      </w:r>
      <w:r>
        <w:rPr>
          <w:rFonts w:ascii="宋体" w:hAnsi="宋体" w:eastAsia="宋体" w:cs="宋体"/>
          <w:spacing w:val="8"/>
          <w:sz w:val="20"/>
          <w:szCs w:val="20"/>
        </w:rPr>
        <w:t>月</w:t>
      </w:r>
      <w:r>
        <w:rPr>
          <w:rFonts w:ascii="Times New Roman" w:hAnsi="Times New Roman" w:eastAsia="Times New Roman" w:cs="Times New Roman"/>
          <w:b/>
          <w:bCs/>
          <w:spacing w:val="8"/>
          <w:sz w:val="20"/>
          <w:szCs w:val="20"/>
        </w:rPr>
        <w:t>1</w:t>
      </w:r>
      <w:r>
        <w:rPr>
          <w:rFonts w:ascii="宋体" w:hAnsi="宋体" w:eastAsia="宋体" w:cs="宋体"/>
          <w:spacing w:val="8"/>
          <w:sz w:val="20"/>
          <w:szCs w:val="20"/>
        </w:rPr>
        <w:t>日之后，当抽检发现灯具产</w:t>
      </w:r>
      <w:r>
        <w:rPr>
          <w:rFonts w:ascii="宋体" w:hAnsi="宋体" w:eastAsia="宋体" w:cs="宋体"/>
          <w:spacing w:val="26"/>
          <w:sz w:val="20"/>
          <w:szCs w:val="20"/>
        </w:rPr>
        <w:t>品生</w:t>
      </w:r>
      <w:r>
        <w:rPr>
          <w:rFonts w:ascii="宋体" w:hAnsi="宋体" w:eastAsia="宋体" w:cs="宋体"/>
          <w:spacing w:val="14"/>
          <w:sz w:val="20"/>
          <w:szCs w:val="20"/>
        </w:rPr>
        <w:t>产</w:t>
      </w:r>
      <w:r>
        <w:rPr>
          <w:rFonts w:ascii="宋体" w:hAnsi="宋体" w:eastAsia="宋体" w:cs="宋体"/>
          <w:spacing w:val="13"/>
          <w:sz w:val="20"/>
          <w:szCs w:val="20"/>
        </w:rPr>
        <w:t>日期不符合要求时，承包人需无条件更换；若出现两次及以上抽检不合格时，一次</w:t>
      </w:r>
      <w:r>
        <w:rPr>
          <w:rFonts w:ascii="宋体" w:hAnsi="宋体" w:eastAsia="宋体" w:cs="宋体"/>
          <w:spacing w:val="7"/>
          <w:sz w:val="20"/>
          <w:szCs w:val="20"/>
        </w:rPr>
        <w:t>性</w:t>
      </w:r>
      <w:r>
        <w:rPr>
          <w:rFonts w:ascii="宋体" w:hAnsi="宋体" w:eastAsia="宋体" w:cs="宋体"/>
          <w:spacing w:val="4"/>
          <w:sz w:val="20"/>
          <w:szCs w:val="20"/>
        </w:rPr>
        <w:t>扣除履约担保金的</w:t>
      </w:r>
      <w:r>
        <w:rPr>
          <w:rFonts w:ascii="Times New Roman" w:hAnsi="Times New Roman" w:eastAsia="Times New Roman" w:cs="Times New Roman"/>
          <w:b/>
          <w:bCs/>
          <w:spacing w:val="4"/>
          <w:sz w:val="20"/>
          <w:szCs w:val="20"/>
        </w:rPr>
        <w:t>5%</w:t>
      </w:r>
      <w:r>
        <w:rPr>
          <w:rFonts w:ascii="宋体" w:hAnsi="宋体" w:eastAsia="宋体" w:cs="宋体"/>
          <w:spacing w:val="4"/>
          <w:sz w:val="20"/>
          <w:szCs w:val="20"/>
        </w:rPr>
        <w:t>。</w:t>
      </w:r>
    </w:p>
    <w:p>
      <w:pPr>
        <w:spacing w:before="79" w:line="228" w:lineRule="auto"/>
        <w:ind w:left="435"/>
        <w:rPr>
          <w:rFonts w:ascii="宋体" w:hAnsi="宋体" w:eastAsia="宋体" w:cs="宋体"/>
          <w:sz w:val="20"/>
          <w:szCs w:val="20"/>
        </w:rPr>
      </w:pPr>
      <w:r>
        <w:rPr>
          <w:rFonts w:ascii="Times New Roman" w:hAnsi="Times New Roman" w:eastAsia="Times New Roman" w:cs="Times New Roman"/>
          <w:b/>
          <w:bCs/>
          <w:spacing w:val="10"/>
          <w:sz w:val="20"/>
          <w:szCs w:val="20"/>
        </w:rPr>
        <w:t>3</w:t>
      </w:r>
      <w:r>
        <w:rPr>
          <w:rFonts w:ascii="Times New Roman" w:hAnsi="Times New Roman" w:eastAsia="Times New Roman" w:cs="Times New Roman"/>
          <w:b/>
          <w:bCs/>
          <w:spacing w:val="7"/>
          <w:sz w:val="20"/>
          <w:szCs w:val="20"/>
        </w:rPr>
        <w:t>.5</w:t>
      </w:r>
      <w:r>
        <w:rPr>
          <w:rFonts w:ascii="宋体" w:hAnsi="宋体" w:eastAsia="宋体" w:cs="宋体"/>
          <w:spacing w:val="7"/>
          <w:sz w:val="20"/>
          <w:szCs w:val="20"/>
        </w:rPr>
        <w:t>售后服务要求</w:t>
      </w:r>
    </w:p>
    <w:p>
      <w:pPr>
        <w:spacing w:before="113" w:line="332" w:lineRule="auto"/>
        <w:ind w:left="25" w:right="29" w:firstLine="424"/>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1</w:t>
      </w:r>
      <w:r>
        <w:rPr>
          <w:rFonts w:ascii="宋体" w:hAnsi="宋体" w:eastAsia="宋体" w:cs="宋体"/>
          <w:spacing w:val="10"/>
          <w:sz w:val="20"/>
          <w:szCs w:val="20"/>
        </w:rPr>
        <w:t xml:space="preserve">) 中标投标人在接到招标人的报修电话后应在 </w:t>
      </w:r>
      <w:r>
        <w:rPr>
          <w:rFonts w:ascii="Times New Roman" w:hAnsi="Times New Roman" w:eastAsia="Times New Roman" w:cs="Times New Roman"/>
          <w:spacing w:val="10"/>
          <w:sz w:val="20"/>
          <w:szCs w:val="20"/>
        </w:rPr>
        <w:t xml:space="preserve">1 </w:t>
      </w:r>
      <w:r>
        <w:rPr>
          <w:rFonts w:ascii="宋体" w:hAnsi="宋体" w:eastAsia="宋体" w:cs="宋体"/>
          <w:spacing w:val="10"/>
          <w:sz w:val="20"/>
          <w:szCs w:val="20"/>
        </w:rPr>
        <w:t xml:space="preserve">小时内作出响应，维护人员应在 </w:t>
      </w:r>
      <w:r>
        <w:rPr>
          <w:rFonts w:ascii="Times New Roman" w:hAnsi="Times New Roman" w:eastAsia="Times New Roman" w:cs="Times New Roman"/>
          <w:spacing w:val="10"/>
          <w:sz w:val="20"/>
          <w:szCs w:val="20"/>
        </w:rPr>
        <w:t>6</w:t>
      </w:r>
      <w:r>
        <w:rPr>
          <w:rFonts w:ascii="宋体" w:hAnsi="宋体" w:eastAsia="宋体" w:cs="宋体"/>
          <w:spacing w:val="12"/>
          <w:sz w:val="20"/>
          <w:szCs w:val="20"/>
        </w:rPr>
        <w:t>小</w:t>
      </w:r>
      <w:r>
        <w:rPr>
          <w:rFonts w:ascii="宋体" w:hAnsi="宋体" w:eastAsia="宋体" w:cs="宋体"/>
          <w:spacing w:val="11"/>
          <w:sz w:val="20"/>
          <w:szCs w:val="20"/>
        </w:rPr>
        <w:t>时</w:t>
      </w:r>
      <w:r>
        <w:rPr>
          <w:rFonts w:ascii="宋体" w:hAnsi="宋体" w:eastAsia="宋体" w:cs="宋体"/>
          <w:spacing w:val="6"/>
          <w:sz w:val="20"/>
          <w:szCs w:val="20"/>
        </w:rPr>
        <w:t xml:space="preserve">内到达现场，一般故障修复时限应在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小时内完毕。</w:t>
      </w:r>
    </w:p>
    <w:p>
      <w:pPr>
        <w:spacing w:line="228" w:lineRule="auto"/>
        <w:ind w:left="449"/>
        <w:rPr>
          <w:rFonts w:ascii="宋体" w:hAnsi="宋体" w:eastAsia="宋体" w:cs="宋体"/>
          <w:sz w:val="20"/>
          <w:szCs w:val="20"/>
        </w:rPr>
      </w:pPr>
      <w:r>
        <w:rPr>
          <w:rFonts w:ascii="宋体" w:hAnsi="宋体" w:eastAsia="宋体" w:cs="宋体"/>
          <w:spacing w:val="13"/>
          <w:sz w:val="20"/>
          <w:szCs w:val="20"/>
        </w:rPr>
        <w:t>(</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24 </w:t>
      </w:r>
      <w:r>
        <w:rPr>
          <w:rFonts w:ascii="宋体" w:hAnsi="宋体" w:eastAsia="宋体" w:cs="宋体"/>
          <w:spacing w:val="11"/>
          <w:sz w:val="20"/>
          <w:szCs w:val="20"/>
        </w:rPr>
        <w:t>小时内不能修复的，中标投标人应提供相应的备用设备材料。</w:t>
      </w:r>
    </w:p>
    <w:p>
      <w:pPr>
        <w:spacing w:before="112" w:line="343" w:lineRule="auto"/>
        <w:ind w:left="21" w:right="31" w:firstLine="428"/>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3</w:t>
      </w:r>
      <w:r>
        <w:rPr>
          <w:rFonts w:ascii="宋体" w:hAnsi="宋体" w:eastAsia="宋体" w:cs="宋体"/>
          <w:spacing w:val="14"/>
          <w:sz w:val="20"/>
          <w:szCs w:val="20"/>
        </w:rPr>
        <w:t xml:space="preserve">) </w:t>
      </w:r>
      <w:r>
        <w:rPr>
          <w:rFonts w:ascii="宋体" w:hAnsi="宋体" w:eastAsia="宋体" w:cs="宋体"/>
          <w:spacing w:val="7"/>
          <w:sz w:val="20"/>
          <w:szCs w:val="20"/>
        </w:rPr>
        <w:t xml:space="preserve">中标投标人在 </w:t>
      </w:r>
      <w:r>
        <w:rPr>
          <w:rFonts w:ascii="Times New Roman" w:hAnsi="Times New Roman" w:eastAsia="Times New Roman" w:cs="Times New Roman"/>
          <w:spacing w:val="7"/>
          <w:sz w:val="20"/>
          <w:szCs w:val="20"/>
        </w:rPr>
        <w:t xml:space="preserve">24 </w:t>
      </w:r>
      <w:r>
        <w:rPr>
          <w:rFonts w:ascii="宋体" w:hAnsi="宋体" w:eastAsia="宋体" w:cs="宋体"/>
          <w:spacing w:val="7"/>
          <w:sz w:val="20"/>
          <w:szCs w:val="20"/>
        </w:rPr>
        <w:t>小时内未到达现场的，招标人可以有权从其它的投标人中得到服</w:t>
      </w:r>
      <w:r>
        <w:rPr>
          <w:rFonts w:ascii="宋体" w:hAnsi="宋体" w:eastAsia="宋体" w:cs="宋体"/>
          <w:spacing w:val="8"/>
          <w:sz w:val="20"/>
          <w:szCs w:val="20"/>
        </w:rPr>
        <w:t>务，</w:t>
      </w:r>
      <w:r>
        <w:rPr>
          <w:rFonts w:ascii="宋体" w:hAnsi="宋体" w:eastAsia="宋体" w:cs="宋体"/>
          <w:spacing w:val="4"/>
          <w:sz w:val="20"/>
          <w:szCs w:val="20"/>
        </w:rPr>
        <w:t>由于故障所造成的全部损失由中标投标人承担。</w:t>
      </w:r>
    </w:p>
    <w:p>
      <w:pPr>
        <w:spacing w:line="313" w:lineRule="auto"/>
      </w:pPr>
    </w:p>
    <w:p>
      <w:pPr>
        <w:pStyle w:val="6"/>
        <w:rPr>
          <w:rFonts w:ascii="黑体" w:hAnsi="黑体" w:eastAsia="黑体" w:cs="黑体"/>
          <w:sz w:val="28"/>
          <w:szCs w:val="28"/>
        </w:rPr>
      </w:pPr>
      <w:bookmarkStart w:id="764" w:name="_Toc109826687"/>
      <w:r>
        <w:rPr>
          <w:rFonts w:ascii="Times New Roman" w:hAnsi="Times New Roman" w:eastAsia="Times New Roman" w:cs="Times New Roman"/>
          <w:spacing w:val="-11"/>
          <w:sz w:val="28"/>
          <w:szCs w:val="28"/>
        </w:rPr>
        <w:t>4</w:t>
      </w:r>
      <w:r>
        <w:rPr>
          <w:rFonts w:ascii="黑体" w:hAnsi="黑体" w:eastAsia="黑体" w:cs="黑体"/>
          <w:spacing w:val="-7"/>
          <w:sz w:val="28"/>
          <w:szCs w:val="28"/>
        </w:rPr>
        <w:t>．工程管理的要求</w:t>
      </w:r>
      <w:bookmarkEnd w:id="764"/>
    </w:p>
    <w:p>
      <w:pPr>
        <w:spacing w:before="63" w:line="332" w:lineRule="auto"/>
        <w:ind w:left="19" w:right="31" w:firstLine="415"/>
        <w:rPr>
          <w:rFonts w:ascii="宋体" w:hAnsi="宋体" w:eastAsia="宋体" w:cs="宋体"/>
          <w:sz w:val="20"/>
          <w:szCs w:val="20"/>
        </w:rPr>
      </w:pPr>
      <w:r>
        <w:rPr>
          <w:rFonts w:ascii="Times New Roman" w:hAnsi="Times New Roman" w:eastAsia="Times New Roman" w:cs="Times New Roman"/>
          <w:spacing w:val="7"/>
          <w:sz w:val="20"/>
          <w:szCs w:val="20"/>
        </w:rPr>
        <w:t xml:space="preserve">4. 1  </w:t>
      </w:r>
      <w:r>
        <w:rPr>
          <w:rFonts w:ascii="宋体" w:hAnsi="宋体" w:eastAsia="宋体" w:cs="宋体"/>
          <w:spacing w:val="7"/>
          <w:sz w:val="20"/>
          <w:szCs w:val="20"/>
        </w:rPr>
        <w:t>本工程发包范围内的工程项目，未经发包人同意一律不得分包。一经发现立即取</w:t>
      </w:r>
      <w:r>
        <w:rPr>
          <w:rFonts w:ascii="宋体" w:hAnsi="宋体" w:eastAsia="宋体" w:cs="宋体"/>
          <w:sz w:val="20"/>
          <w:szCs w:val="20"/>
        </w:rPr>
        <w:t xml:space="preserve">消 </w:t>
      </w:r>
      <w:r>
        <w:rPr>
          <w:rFonts w:ascii="宋体" w:hAnsi="宋体" w:eastAsia="宋体" w:cs="宋体"/>
          <w:spacing w:val="15"/>
          <w:sz w:val="20"/>
          <w:szCs w:val="20"/>
        </w:rPr>
        <w:t>承</w:t>
      </w:r>
      <w:r>
        <w:rPr>
          <w:rFonts w:ascii="宋体" w:hAnsi="宋体" w:eastAsia="宋体" w:cs="宋体"/>
          <w:spacing w:val="9"/>
          <w:sz w:val="20"/>
          <w:szCs w:val="20"/>
        </w:rPr>
        <w:t>包资格，作违约处理，并承担由此引起的一切经济损失。</w:t>
      </w:r>
    </w:p>
    <w:p>
      <w:pPr>
        <w:spacing w:line="341" w:lineRule="auto"/>
        <w:ind w:left="19" w:right="31" w:firstLine="416"/>
        <w:rPr>
          <w:rFonts w:ascii="宋体" w:hAnsi="宋体" w:eastAsia="宋体" w:cs="宋体"/>
          <w:sz w:val="20"/>
          <w:szCs w:val="20"/>
        </w:rPr>
      </w:pPr>
      <w:r>
        <w:rPr>
          <w:rFonts w:ascii="Times New Roman" w:hAnsi="Times New Roman" w:eastAsia="Times New Roman" w:cs="Times New Roman"/>
          <w:spacing w:val="16"/>
          <w:sz w:val="20"/>
          <w:szCs w:val="20"/>
        </w:rPr>
        <w:t>4</w:t>
      </w:r>
      <w:r>
        <w:rPr>
          <w:rFonts w:ascii="Times New Roman" w:hAnsi="Times New Roman" w:eastAsia="Times New Roman" w:cs="Times New Roman"/>
          <w:spacing w:val="9"/>
          <w:sz w:val="20"/>
          <w:szCs w:val="20"/>
        </w:rPr>
        <w:t>.</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承包人应严格按已确认设计图纸和施工技术方案组织施工，并无条件地接受发包人</w:t>
      </w:r>
      <w:r>
        <w:rPr>
          <w:rFonts w:ascii="宋体" w:hAnsi="宋体" w:eastAsia="宋体" w:cs="宋体"/>
          <w:spacing w:val="9"/>
          <w:sz w:val="20"/>
          <w:szCs w:val="20"/>
        </w:rPr>
        <w:t>委托的监理单位对施工质量的监督和管理</w:t>
      </w:r>
      <w:r>
        <w:rPr>
          <w:rFonts w:ascii="宋体" w:hAnsi="宋体" w:eastAsia="宋体" w:cs="宋体"/>
          <w:spacing w:val="8"/>
          <w:sz w:val="20"/>
          <w:szCs w:val="20"/>
        </w:rPr>
        <w:t>。</w:t>
      </w:r>
    </w:p>
    <w:p>
      <w:pPr>
        <w:pStyle w:val="6"/>
        <w:rPr>
          <w:rFonts w:ascii="宋体" w:hAnsi="宋体" w:eastAsia="宋体" w:cs="宋体"/>
          <w:spacing w:val="-5"/>
          <w:position w:val="2"/>
          <w:sz w:val="23"/>
          <w:szCs w:val="23"/>
        </w:rPr>
      </w:pPr>
      <w:bookmarkStart w:id="765" w:name="_Toc109826688"/>
      <w:r>
        <w:rPr>
          <w:rFonts w:ascii="Times New Roman" w:hAnsi="Times New Roman" w:eastAsia="Times New Roman" w:cs="Times New Roman"/>
          <w:spacing w:val="-9"/>
          <w:position w:val="2"/>
          <w:sz w:val="23"/>
          <w:szCs w:val="23"/>
        </w:rPr>
        <w:t>5</w:t>
      </w:r>
      <w:r>
        <w:rPr>
          <w:rFonts w:ascii="宋体" w:hAnsi="宋体" w:eastAsia="宋体" w:cs="宋体"/>
          <w:spacing w:val="-5"/>
          <w:position w:val="2"/>
          <w:sz w:val="23"/>
          <w:szCs w:val="23"/>
        </w:rPr>
        <w:t>．其他</w:t>
      </w:r>
      <w:bookmarkEnd w:id="765"/>
    </w:p>
    <w:p>
      <w:pPr>
        <w:pStyle w:val="6"/>
        <w:rPr>
          <w:rFonts w:ascii="宋体" w:hAnsi="宋体" w:eastAsia="宋体" w:cs="宋体"/>
          <w:sz w:val="20"/>
          <w:szCs w:val="20"/>
        </w:rPr>
      </w:pPr>
      <w:r>
        <w:rPr>
          <w:rFonts w:ascii="Times New Roman" w:hAnsi="Times New Roman" w:eastAsia="Times New Roman" w:cs="Times New Roman"/>
          <w:spacing w:val="11"/>
          <w:sz w:val="20"/>
          <w:szCs w:val="20"/>
        </w:rPr>
        <w:t>5</w:t>
      </w:r>
      <w:r>
        <w:rPr>
          <w:rFonts w:ascii="Times New Roman" w:hAnsi="Times New Roman" w:eastAsia="Times New Roman" w:cs="Times New Roman"/>
          <w:spacing w:val="7"/>
          <w:sz w:val="20"/>
          <w:szCs w:val="20"/>
        </w:rPr>
        <w:t>.1</w:t>
      </w:r>
      <w:r>
        <w:rPr>
          <w:rFonts w:ascii="宋体" w:hAnsi="宋体" w:eastAsia="宋体" w:cs="宋体"/>
          <w:spacing w:val="7"/>
          <w:sz w:val="20"/>
          <w:szCs w:val="20"/>
        </w:rPr>
        <w:t>灯具技术规格书</w:t>
      </w:r>
    </w:p>
    <w:p>
      <w:pPr>
        <w:rPr>
          <w:rFonts w:eastAsiaTheme="minorEastAsia"/>
        </w:rPr>
      </w:pPr>
    </w:p>
    <w:p>
      <w:pPr>
        <w:spacing w:line="244" w:lineRule="auto"/>
        <w:sectPr>
          <w:pgSz w:w="11905" w:h="16837"/>
          <w:pgMar w:top="1440" w:right="1080" w:bottom="1440" w:left="1080" w:header="0" w:footer="850" w:gutter="0"/>
          <w:pgNumType w:chapStyle="1"/>
          <w:cols w:space="720" w:num="1"/>
          <w:docGrid w:linePitch="286" w:charSpace="0"/>
        </w:sectPr>
      </w:pPr>
    </w:p>
    <w:p>
      <w:pPr>
        <w:spacing w:line="244" w:lineRule="auto"/>
      </w:pPr>
    </w:p>
    <w:p>
      <w:pPr>
        <w:spacing w:before="183" w:line="218" w:lineRule="auto"/>
        <w:jc w:val="center"/>
        <w:rPr>
          <w:rFonts w:ascii="等线" w:hAnsi="等线" w:eastAsia="等线" w:cs="等线"/>
          <w:color w:val="000000" w:themeColor="text1"/>
          <w:sz w:val="54"/>
          <w:szCs w:val="54"/>
          <w14:textFill>
            <w14:solidFill>
              <w14:schemeClr w14:val="tx1"/>
            </w14:solidFill>
          </w14:textFill>
        </w:rPr>
      </w:pPr>
      <w:r>
        <w:rPr>
          <w:rFonts w:hint="eastAsia" w:ascii="等线" w:hAnsi="等线" w:eastAsia="等线" w:cs="等线"/>
          <w:color w:val="000000" w:themeColor="text1"/>
          <w:sz w:val="54"/>
          <w:szCs w:val="54"/>
          <w14:textFill>
            <w14:solidFill>
              <w14:schemeClr w14:val="tx1"/>
            </w14:solidFill>
          </w14:textFill>
        </w:rPr>
        <w:t>三门县绿色智慧停车项目-道路停车位改造照明提升工程</w:t>
      </w:r>
    </w:p>
    <w:p>
      <w:pPr>
        <w:spacing w:line="273" w:lineRule="auto"/>
      </w:pPr>
    </w:p>
    <w:p>
      <w:pPr>
        <w:spacing w:before="132" w:line="211" w:lineRule="auto"/>
        <w:ind w:left="3937"/>
        <w:rPr>
          <w:rFonts w:ascii="等线" w:hAnsi="等线" w:eastAsia="等线" w:cs="等线"/>
          <w:sz w:val="39"/>
          <w:szCs w:val="39"/>
        </w:rPr>
      </w:pPr>
      <w:r>
        <w:rPr>
          <w:rFonts w:ascii="等线" w:hAnsi="等线" w:eastAsia="等线" w:cs="等线"/>
          <w:spacing w:val="-2"/>
          <w:sz w:val="39"/>
          <w:szCs w:val="39"/>
        </w:rPr>
        <w:t>灯具规</w:t>
      </w:r>
      <w:r>
        <w:rPr>
          <w:rFonts w:ascii="等线" w:hAnsi="等线" w:eastAsia="等线" w:cs="等线"/>
          <w:spacing w:val="-1"/>
          <w:sz w:val="39"/>
          <w:szCs w:val="39"/>
        </w:rPr>
        <w:t>格书</w:t>
      </w:r>
    </w:p>
    <w:p>
      <w:pPr>
        <w:spacing w:line="248" w:lineRule="auto"/>
      </w:pPr>
    </w:p>
    <w:p>
      <w:pPr>
        <w:spacing w:line="1188" w:lineRule="exact"/>
        <w:ind w:firstLine="4899"/>
        <w:textAlignment w:val="center"/>
      </w:pPr>
    </w:p>
    <w:p>
      <w:pPr>
        <w:sectPr>
          <w:pgSz w:w="11905" w:h="16837"/>
          <w:pgMar w:top="1440" w:right="1080" w:bottom="1440" w:left="1080" w:header="0" w:footer="850" w:gutter="0"/>
          <w:pgNumType w:chapStyle="1"/>
          <w:cols w:space="720" w:num="1"/>
          <w:docGrid w:linePitch="286" w:charSpace="0"/>
        </w:sectPr>
      </w:pPr>
    </w:p>
    <w:tbl>
      <w:tblPr>
        <w:tblStyle w:val="21"/>
        <w:tblW w:w="9616" w:type="dxa"/>
        <w:tblInd w:w="108" w:type="dxa"/>
        <w:tblLayout w:type="autofit"/>
        <w:tblCellMar>
          <w:top w:w="0" w:type="dxa"/>
          <w:left w:w="108" w:type="dxa"/>
          <w:bottom w:w="0" w:type="dxa"/>
          <w:right w:w="108" w:type="dxa"/>
        </w:tblCellMar>
      </w:tblPr>
      <w:tblGrid>
        <w:gridCol w:w="2265"/>
        <w:gridCol w:w="1328"/>
        <w:gridCol w:w="1328"/>
        <w:gridCol w:w="1276"/>
        <w:gridCol w:w="1276"/>
        <w:gridCol w:w="2336"/>
      </w:tblGrid>
      <w:tr>
        <w:tblPrEx>
          <w:tblCellMar>
            <w:top w:w="0" w:type="dxa"/>
            <w:left w:w="108" w:type="dxa"/>
            <w:bottom w:w="0" w:type="dxa"/>
            <w:right w:w="108" w:type="dxa"/>
          </w:tblCellMar>
        </w:tblPrEx>
        <w:trPr>
          <w:trHeight w:val="319" w:hRule="atLeast"/>
        </w:trPr>
        <w:tc>
          <w:tcPr>
            <w:tcW w:w="2176"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洗墙灯12W</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r>
      <w:tr>
        <w:tblPrEx>
          <w:tblCellMar>
            <w:top w:w="0" w:type="dxa"/>
            <w:left w:w="108" w:type="dxa"/>
            <w:bottom w:w="0" w:type="dxa"/>
            <w:right w:w="108" w:type="dxa"/>
          </w:tblCellMar>
        </w:tblPrEx>
        <w:trPr>
          <w:trHeight w:val="1399" w:hRule="atLeast"/>
        </w:trPr>
        <w:tc>
          <w:tcPr>
            <w:tcW w:w="2176"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超窄设计，宽度仅30mm</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高强度铝灯体配合低热阻路径散热设计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全结构防水设计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户外防雷及静电（ESD）专用防护设计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洗墙高度：0.5-1米</w:t>
            </w:r>
          </w:p>
        </w:tc>
      </w:tr>
      <w:tr>
        <w:tblPrEx>
          <w:tblCellMar>
            <w:top w:w="0" w:type="dxa"/>
            <w:left w:w="108" w:type="dxa"/>
            <w:bottom w:w="0" w:type="dxa"/>
            <w:right w:w="108" w:type="dxa"/>
          </w:tblCellMar>
        </w:tblPrEx>
        <w:trPr>
          <w:trHeight w:val="2520" w:hRule="atLeast"/>
        </w:trPr>
        <w:tc>
          <w:tcPr>
            <w:tcW w:w="4728"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61312" behindDoc="0" locked="0" layoutInCell="1" allowOverlap="1">
                  <wp:simplePos x="0" y="0"/>
                  <wp:positionH relativeFrom="column">
                    <wp:posOffset>314325</wp:posOffset>
                  </wp:positionH>
                  <wp:positionV relativeFrom="paragraph">
                    <wp:posOffset>0</wp:posOffset>
                  </wp:positionV>
                  <wp:extent cx="2324100" cy="16002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2325370" cy="1609090"/>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700"/>
            </w:tblGrid>
            <w:tr>
              <w:tblPrEx>
                <w:tblCellMar>
                  <w:top w:w="0" w:type="dxa"/>
                  <w:left w:w="0" w:type="dxa"/>
                  <w:bottom w:w="0" w:type="dxa"/>
                  <w:right w:w="0" w:type="dxa"/>
                </w:tblCellMar>
              </w:tblPrEx>
              <w:trPr>
                <w:trHeight w:val="2520" w:hRule="atLeast"/>
                <w:tblCellSpacing w:w="0" w:type="dxa"/>
              </w:trPr>
              <w:tc>
                <w:tcPr>
                  <w:tcW w:w="4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62336" behindDoc="0" locked="0" layoutInCell="1" allowOverlap="1">
                  <wp:simplePos x="0" y="0"/>
                  <wp:positionH relativeFrom="column">
                    <wp:posOffset>47625</wp:posOffset>
                  </wp:positionH>
                  <wp:positionV relativeFrom="paragraph">
                    <wp:posOffset>476250</wp:posOffset>
                  </wp:positionV>
                  <wp:extent cx="2133600" cy="8001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134235" cy="804545"/>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 xml:space="preserve">  单位：mm</w:t>
            </w:r>
          </w:p>
        </w:tc>
      </w:tr>
      <w:tr>
        <w:tblPrEx>
          <w:tblCellMar>
            <w:top w:w="0" w:type="dxa"/>
            <w:left w:w="108" w:type="dxa"/>
            <w:bottom w:w="0" w:type="dxa"/>
            <w:right w:w="108" w:type="dxa"/>
          </w:tblCellMar>
        </w:tblPrEx>
        <w:trPr>
          <w:trHeight w:val="439"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洗墙</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2176"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SMD W LED</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35,000h</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0.75Kg</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高强度铝合金/钢化玻璃</w:t>
            </w:r>
          </w:p>
        </w:tc>
      </w:tr>
      <w:tr>
        <w:tblPrEx>
          <w:tblCellMar>
            <w:top w:w="0" w:type="dxa"/>
            <w:left w:w="108" w:type="dxa"/>
            <w:bottom w:w="0" w:type="dxa"/>
            <w:right w:w="108" w:type="dxa"/>
          </w:tblCellMar>
        </w:tblPrEx>
        <w:trPr>
          <w:trHeight w:val="319" w:hRule="atLeast"/>
        </w:trPr>
        <w:tc>
          <w:tcPr>
            <w:tcW w:w="2176"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- 50°C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- 70°C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IP66</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室外</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DC24V</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12W</w:t>
            </w:r>
          </w:p>
        </w:tc>
      </w:tr>
      <w:tr>
        <w:tblPrEx>
          <w:tblCellMar>
            <w:top w:w="0" w:type="dxa"/>
            <w:left w:w="108" w:type="dxa"/>
            <w:bottom w:w="0" w:type="dxa"/>
            <w:right w:w="108" w:type="dxa"/>
          </w:tblCellMar>
        </w:tblPrEx>
        <w:trPr>
          <w:trHeight w:val="319" w:hRule="atLeast"/>
        </w:trPr>
        <w:tc>
          <w:tcPr>
            <w:tcW w:w="2176"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ascii="宋体" w:hAnsi="宋体" w:eastAsia="宋体" w:cs="宋体"/>
                <w:snapToGrid/>
                <w:sz w:val="22"/>
                <w:szCs w:val="22"/>
              </w:rPr>
              <w:drawing>
                <wp:anchor distT="0" distB="0" distL="114300" distR="114300" simplePos="0" relativeHeight="251663360" behindDoc="0" locked="0" layoutInCell="1" allowOverlap="1">
                  <wp:simplePos x="0" y="0"/>
                  <wp:positionH relativeFrom="column">
                    <wp:posOffset>1601470</wp:posOffset>
                  </wp:positionH>
                  <wp:positionV relativeFrom="paragraph">
                    <wp:posOffset>0</wp:posOffset>
                  </wp:positionV>
                  <wp:extent cx="3111500" cy="1473200"/>
                  <wp:effectExtent l="19050" t="19050" r="12700" b="1270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111500" cy="1473200"/>
                          </a:xfrm>
                          <a:prstGeom prst="rect">
                            <a:avLst/>
                          </a:prstGeom>
                          <a:noFill/>
                          <a:ln w="9525">
                            <a:solidFill>
                              <a:schemeClr val="tx1"/>
                            </a:solidFill>
                          </a:ln>
                        </pic:spPr>
                      </pic:pic>
                    </a:graphicData>
                  </a:graphic>
                </wp:anchor>
              </w:drawing>
            </w:r>
            <w:r>
              <w:rPr>
                <w:rFonts w:hint="eastAsia" w:ascii="微软雅黑" w:hAnsi="微软雅黑" w:eastAsia="微软雅黑" w:cs="宋体"/>
                <w:snapToGrid/>
                <w:sz w:val="12"/>
                <w:szCs w:val="12"/>
              </w:rPr>
              <w:t>20°</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≥65 lm/w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36颗W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CREE/OSRAM/LUMILEDS</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64384" behindDoc="0" locked="0" layoutInCell="1" allowOverlap="1">
                  <wp:simplePos x="0" y="0"/>
                  <wp:positionH relativeFrom="column">
                    <wp:posOffset>-62230</wp:posOffset>
                  </wp:positionH>
                  <wp:positionV relativeFrom="paragraph">
                    <wp:posOffset>0</wp:posOffset>
                  </wp:positionV>
                  <wp:extent cx="3086100" cy="1670050"/>
                  <wp:effectExtent l="19050" t="19050" r="19050" b="2540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086100" cy="1670050"/>
                          </a:xfrm>
                          <a:prstGeom prst="rect">
                            <a:avLst/>
                          </a:prstGeom>
                          <a:noFill/>
                          <a:ln w="9525">
                            <a:solidFill>
                              <a:schemeClr val="tx1"/>
                            </a:solidFill>
                          </a:ln>
                        </pic:spPr>
                      </pic:pic>
                    </a:graphicData>
                  </a:graphic>
                </wp:anchor>
              </w:drawing>
            </w:r>
          </w:p>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642"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ON/OFF</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bl>
    <w:p>
      <w:pPr>
        <w:spacing w:line="480" w:lineRule="exact"/>
        <w:ind w:firstLine="8"/>
        <w:textAlignment w:val="center"/>
        <w:rPr>
          <w:rFonts w:eastAsiaTheme="minorEastAsia"/>
        </w:rPr>
      </w:pPr>
    </w:p>
    <w:tbl>
      <w:tblPr>
        <w:tblStyle w:val="21"/>
        <w:tblW w:w="10065" w:type="dxa"/>
        <w:tblInd w:w="108" w:type="dxa"/>
        <w:tblLayout w:type="autofit"/>
        <w:tblCellMar>
          <w:top w:w="0" w:type="dxa"/>
          <w:left w:w="108" w:type="dxa"/>
          <w:bottom w:w="0" w:type="dxa"/>
          <w:right w:w="108" w:type="dxa"/>
        </w:tblCellMar>
      </w:tblPr>
      <w:tblGrid>
        <w:gridCol w:w="2341"/>
        <w:gridCol w:w="1373"/>
        <w:gridCol w:w="1373"/>
        <w:gridCol w:w="1328"/>
        <w:gridCol w:w="1328"/>
        <w:gridCol w:w="2322"/>
      </w:tblGrid>
      <w:tr>
        <w:tblPrEx>
          <w:tblCellMar>
            <w:top w:w="0" w:type="dxa"/>
            <w:left w:w="108" w:type="dxa"/>
            <w:bottom w:w="0" w:type="dxa"/>
            <w:right w:w="108" w:type="dxa"/>
          </w:tblCellMar>
        </w:tblPrEx>
        <w:trPr>
          <w:trHeight w:val="319" w:hRule="atLeast"/>
        </w:trPr>
        <w:tc>
          <w:tcPr>
            <w:tcW w:w="2341"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p>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洗墙灯18W</w:t>
            </w:r>
          </w:p>
        </w:tc>
        <w:tc>
          <w:tcPr>
            <w:tcW w:w="1373"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373"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328"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328"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2322"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r>
      <w:tr>
        <w:tblPrEx>
          <w:tblCellMar>
            <w:top w:w="0" w:type="dxa"/>
            <w:left w:w="108" w:type="dxa"/>
            <w:bottom w:w="0" w:type="dxa"/>
            <w:right w:w="108" w:type="dxa"/>
          </w:tblCellMar>
        </w:tblPrEx>
        <w:trPr>
          <w:trHeight w:val="1399" w:hRule="atLeast"/>
        </w:trPr>
        <w:tc>
          <w:tcPr>
            <w:tcW w:w="2341"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c>
          <w:tcPr>
            <w:tcW w:w="7724"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轻、薄、设计简洁</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低热阻路径散热设计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独特防水设计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户外防雷及静电（ESD）专用防护设计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洗墙高度：1-2米</w:t>
            </w:r>
          </w:p>
        </w:tc>
      </w:tr>
      <w:tr>
        <w:tblPrEx>
          <w:tblCellMar>
            <w:top w:w="0" w:type="dxa"/>
            <w:left w:w="108" w:type="dxa"/>
            <w:bottom w:w="0" w:type="dxa"/>
            <w:right w:w="108" w:type="dxa"/>
          </w:tblCellMar>
        </w:tblPrEx>
        <w:trPr>
          <w:trHeight w:val="2520" w:hRule="atLeast"/>
        </w:trPr>
        <w:tc>
          <w:tcPr>
            <w:tcW w:w="5087"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tbl>
            <w:tblPr>
              <w:tblStyle w:val="21"/>
              <w:tblW w:w="4841" w:type="dxa"/>
              <w:tblCellSpacing w:w="0" w:type="dxa"/>
              <w:tblInd w:w="0" w:type="dxa"/>
              <w:tblLayout w:type="autofit"/>
              <w:tblCellMar>
                <w:top w:w="0" w:type="dxa"/>
                <w:left w:w="0" w:type="dxa"/>
                <w:bottom w:w="0" w:type="dxa"/>
                <w:right w:w="0" w:type="dxa"/>
              </w:tblCellMar>
            </w:tblPr>
            <w:tblGrid>
              <w:gridCol w:w="4861"/>
            </w:tblGrid>
            <w:tr>
              <w:tblPrEx>
                <w:tblCellMar>
                  <w:top w:w="0" w:type="dxa"/>
                  <w:left w:w="0" w:type="dxa"/>
                  <w:bottom w:w="0" w:type="dxa"/>
                  <w:right w:w="0" w:type="dxa"/>
                </w:tblCellMar>
              </w:tblPrEx>
              <w:trPr>
                <w:trHeight w:val="2699" w:hRule="atLeast"/>
                <w:tblCellSpacing w:w="0" w:type="dxa"/>
              </w:trPr>
              <w:tc>
                <w:tcPr>
                  <w:tcW w:w="4841" w:type="dxa"/>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ascii="宋体" w:hAnsi="宋体" w:eastAsia="宋体" w:cs="宋体"/>
                      <w:snapToGrid/>
                      <w:sz w:val="22"/>
                      <w:szCs w:val="22"/>
                    </w:rPr>
                    <w:drawing>
                      <wp:anchor distT="0" distB="0" distL="114300" distR="114300" simplePos="0" relativeHeight="251666432" behindDoc="0" locked="0" layoutInCell="1" allowOverlap="1">
                        <wp:simplePos x="0" y="0"/>
                        <wp:positionH relativeFrom="column">
                          <wp:posOffset>612775</wp:posOffset>
                        </wp:positionH>
                        <wp:positionV relativeFrom="paragraph">
                          <wp:posOffset>-307340</wp:posOffset>
                        </wp:positionV>
                        <wp:extent cx="2098675" cy="113030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a:stretch>
                                  <a:fillRect/>
                                </a:stretch>
                              </pic:blipFill>
                              <pic:spPr>
                                <a:xfrm>
                                  <a:off x="0" y="0"/>
                                  <a:ext cx="2098675" cy="1130300"/>
                                </a:xfrm>
                                <a:prstGeom prst="rect">
                                  <a:avLst/>
                                </a:prstGeom>
                                <a:noFill/>
                                <a:ln w="9525">
                                  <a:noFill/>
                                </a:ln>
                              </pic:spPr>
                            </pic:pic>
                          </a:graphicData>
                        </a:graphic>
                      </wp:anchor>
                    </w:drawing>
                  </w:r>
                  <w:r>
                    <w:rPr>
                      <w:rFonts w:hint="eastAsia" w:ascii="微软雅黑" w:hAnsi="微软雅黑" w:eastAsia="微软雅黑" w:cs="宋体"/>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c>
          <w:tcPr>
            <w:tcW w:w="497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67456" behindDoc="0" locked="0" layoutInCell="1" allowOverlap="1">
                  <wp:simplePos x="0" y="0"/>
                  <wp:positionH relativeFrom="column">
                    <wp:posOffset>104775</wp:posOffset>
                  </wp:positionH>
                  <wp:positionV relativeFrom="paragraph">
                    <wp:posOffset>247650</wp:posOffset>
                  </wp:positionV>
                  <wp:extent cx="2905125" cy="1209675"/>
                  <wp:effectExtent l="0" t="0" r="0" b="952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2905125" cy="1210945"/>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 xml:space="preserve">  单位：mm</w:t>
            </w:r>
          </w:p>
        </w:tc>
      </w:tr>
      <w:tr>
        <w:tblPrEx>
          <w:tblCellMar>
            <w:top w:w="0" w:type="dxa"/>
            <w:left w:w="108" w:type="dxa"/>
            <w:bottom w:w="0" w:type="dxa"/>
            <w:right w:w="108" w:type="dxa"/>
          </w:tblCellMar>
        </w:tblPrEx>
        <w:trPr>
          <w:trHeight w:val="439" w:hRule="atLeast"/>
        </w:trPr>
        <w:tc>
          <w:tcPr>
            <w:tcW w:w="2341"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746"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洗墙</w:t>
            </w:r>
          </w:p>
        </w:tc>
        <w:tc>
          <w:tcPr>
            <w:tcW w:w="497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2341"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22"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341"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373"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373"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328"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328"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22"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373"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w:t>
            </w:r>
          </w:p>
        </w:tc>
        <w:tc>
          <w:tcPr>
            <w:tcW w:w="1373"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SMD W LED</w:t>
            </w:r>
          </w:p>
        </w:tc>
        <w:tc>
          <w:tcPr>
            <w:tcW w:w="1328"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35,000h</w:t>
            </w:r>
          </w:p>
        </w:tc>
        <w:tc>
          <w:tcPr>
            <w:tcW w:w="1328"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0.9Kg</w:t>
            </w:r>
          </w:p>
        </w:tc>
        <w:tc>
          <w:tcPr>
            <w:tcW w:w="2322"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高强度铝合金/铝罩/透明灯罩</w:t>
            </w:r>
          </w:p>
        </w:tc>
      </w:tr>
      <w:tr>
        <w:tblPrEx>
          <w:tblCellMar>
            <w:top w:w="0" w:type="dxa"/>
            <w:left w:w="108" w:type="dxa"/>
            <w:bottom w:w="0" w:type="dxa"/>
            <w:right w:w="108" w:type="dxa"/>
          </w:tblCellMar>
        </w:tblPrEx>
        <w:trPr>
          <w:trHeight w:val="319" w:hRule="atLeast"/>
        </w:trPr>
        <w:tc>
          <w:tcPr>
            <w:tcW w:w="2341"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22"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341"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373"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373"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328"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328"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22"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373"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- 50°C</w:t>
            </w:r>
          </w:p>
        </w:tc>
        <w:tc>
          <w:tcPr>
            <w:tcW w:w="1373"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- 70°C</w:t>
            </w:r>
          </w:p>
        </w:tc>
        <w:tc>
          <w:tcPr>
            <w:tcW w:w="1328"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IP66</w:t>
            </w:r>
          </w:p>
        </w:tc>
        <w:tc>
          <w:tcPr>
            <w:tcW w:w="1328"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室外</w:t>
            </w:r>
          </w:p>
        </w:tc>
        <w:tc>
          <w:tcPr>
            <w:tcW w:w="2322"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341"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22"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341"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4074"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50"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4074" w:type="dxa"/>
            <w:gridSpan w:val="3"/>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DC24V</w:t>
            </w:r>
          </w:p>
        </w:tc>
        <w:tc>
          <w:tcPr>
            <w:tcW w:w="3650"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18W</w:t>
            </w:r>
          </w:p>
        </w:tc>
      </w:tr>
      <w:tr>
        <w:tblPrEx>
          <w:tblCellMar>
            <w:top w:w="0" w:type="dxa"/>
            <w:left w:w="108" w:type="dxa"/>
            <w:bottom w:w="0" w:type="dxa"/>
            <w:right w:w="108" w:type="dxa"/>
          </w:tblCellMar>
        </w:tblPrEx>
        <w:trPr>
          <w:trHeight w:val="319" w:hRule="atLeast"/>
        </w:trPr>
        <w:tc>
          <w:tcPr>
            <w:tcW w:w="2341"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22"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341"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746"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97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ascii="宋体" w:hAnsi="宋体" w:eastAsia="宋体" w:cs="宋体"/>
                <w:snapToGrid/>
                <w:sz w:val="22"/>
                <w:szCs w:val="22"/>
              </w:rPr>
              <w:drawing>
                <wp:anchor distT="0" distB="0" distL="114300" distR="114300" simplePos="0" relativeHeight="251668480" behindDoc="0" locked="0" layoutInCell="1" allowOverlap="1">
                  <wp:simplePos x="0" y="0"/>
                  <wp:positionH relativeFrom="column">
                    <wp:posOffset>1661795</wp:posOffset>
                  </wp:positionH>
                  <wp:positionV relativeFrom="paragraph">
                    <wp:posOffset>10160</wp:posOffset>
                  </wp:positionV>
                  <wp:extent cx="3136900" cy="1454150"/>
                  <wp:effectExtent l="19050" t="19050" r="25400" b="1270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136900" cy="1454150"/>
                          </a:xfrm>
                          <a:prstGeom prst="rect">
                            <a:avLst/>
                          </a:prstGeom>
                          <a:noFill/>
                          <a:ln w="9525">
                            <a:solidFill>
                              <a:schemeClr val="tx1"/>
                            </a:solidFill>
                          </a:ln>
                        </pic:spPr>
                      </pic:pic>
                    </a:graphicData>
                  </a:graphic>
                </wp:anchor>
              </w:drawing>
            </w:r>
            <w:r>
              <w:rPr>
                <w:rFonts w:hint="eastAsia" w:ascii="微软雅黑" w:hAnsi="微软雅黑" w:eastAsia="微软雅黑" w:cs="宋体"/>
                <w:snapToGrid/>
                <w:sz w:val="12"/>
                <w:szCs w:val="12"/>
              </w:rPr>
              <w:t>20°、25*35°、25*40°</w:t>
            </w:r>
          </w:p>
        </w:tc>
        <w:tc>
          <w:tcPr>
            <w:tcW w:w="497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≥65 lm/w</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36颗W</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746"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CREE/OSRAM/LUMILEDS</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341"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73"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328"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2322"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341"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373"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373"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ascii="宋体" w:hAnsi="宋体" w:eastAsia="宋体" w:cs="宋体"/>
                <w:snapToGrid/>
                <w:sz w:val="22"/>
                <w:szCs w:val="22"/>
              </w:rPr>
              <w:drawing>
                <wp:anchor distT="0" distB="0" distL="114300" distR="114300" simplePos="0" relativeHeight="251665408" behindDoc="0" locked="0" layoutInCell="1" allowOverlap="1">
                  <wp:simplePos x="0" y="0"/>
                  <wp:positionH relativeFrom="column">
                    <wp:posOffset>793750</wp:posOffset>
                  </wp:positionH>
                  <wp:positionV relativeFrom="paragraph">
                    <wp:posOffset>187960</wp:posOffset>
                  </wp:positionV>
                  <wp:extent cx="3136900" cy="1695450"/>
                  <wp:effectExtent l="19050" t="19050" r="25400" b="1905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a:stretch>
                            <a:fillRect/>
                          </a:stretch>
                        </pic:blipFill>
                        <pic:spPr>
                          <a:xfrm>
                            <a:off x="0" y="0"/>
                            <a:ext cx="3136900" cy="1695450"/>
                          </a:xfrm>
                          <a:prstGeom prst="rect">
                            <a:avLst/>
                          </a:prstGeom>
                          <a:noFill/>
                          <a:ln w="9525">
                            <a:solidFill>
                              <a:schemeClr val="tx1"/>
                            </a:solidFill>
                          </a:ln>
                        </pic:spPr>
                      </pic:pic>
                    </a:graphicData>
                  </a:graphic>
                </wp:anchor>
              </w:drawing>
            </w:r>
            <w:r>
              <w:rPr>
                <w:rFonts w:hint="eastAsia" w:ascii="微软雅黑" w:hAnsi="微软雅黑" w:eastAsia="微软雅黑" w:cs="宋体"/>
                <w:snapToGrid/>
                <w:sz w:val="12"/>
                <w:szCs w:val="12"/>
              </w:rPr>
              <w:t>分控制器</w:t>
            </w:r>
          </w:p>
        </w:tc>
        <w:tc>
          <w:tcPr>
            <w:tcW w:w="497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341"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373"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373"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97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642" w:hRule="atLeast"/>
        </w:trPr>
        <w:tc>
          <w:tcPr>
            <w:tcW w:w="2341"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746"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ON/OFF</w:t>
            </w:r>
          </w:p>
        </w:tc>
        <w:tc>
          <w:tcPr>
            <w:tcW w:w="497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bl>
    <w:p>
      <w:pPr>
        <w:spacing w:line="480" w:lineRule="exact"/>
        <w:ind w:firstLine="8"/>
        <w:textAlignment w:val="center"/>
        <w:rPr>
          <w:rFonts w:eastAsiaTheme="minorEastAsia"/>
        </w:rPr>
      </w:pPr>
    </w:p>
    <w:tbl>
      <w:tblPr>
        <w:tblStyle w:val="21"/>
        <w:tblW w:w="9616" w:type="dxa"/>
        <w:tblInd w:w="108" w:type="dxa"/>
        <w:tblLayout w:type="autofit"/>
        <w:tblCellMar>
          <w:top w:w="0" w:type="dxa"/>
          <w:left w:w="108" w:type="dxa"/>
          <w:bottom w:w="0" w:type="dxa"/>
          <w:right w:w="108" w:type="dxa"/>
        </w:tblCellMar>
      </w:tblPr>
      <w:tblGrid>
        <w:gridCol w:w="2265"/>
        <w:gridCol w:w="1328"/>
        <w:gridCol w:w="1328"/>
        <w:gridCol w:w="1326"/>
        <w:gridCol w:w="1326"/>
        <w:gridCol w:w="2429"/>
      </w:tblGrid>
      <w:tr>
        <w:tblPrEx>
          <w:tblCellMar>
            <w:top w:w="0" w:type="dxa"/>
            <w:left w:w="108" w:type="dxa"/>
            <w:bottom w:w="0" w:type="dxa"/>
            <w:right w:w="108" w:type="dxa"/>
          </w:tblCellMar>
        </w:tblPrEx>
        <w:trPr>
          <w:trHeight w:val="319" w:hRule="atLeast"/>
        </w:trPr>
        <w:tc>
          <w:tcPr>
            <w:tcW w:w="2176"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洗墙灯18WRGB</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r>
      <w:tr>
        <w:tblPrEx>
          <w:tblCellMar>
            <w:top w:w="0" w:type="dxa"/>
            <w:left w:w="108" w:type="dxa"/>
            <w:bottom w:w="0" w:type="dxa"/>
            <w:right w:w="108" w:type="dxa"/>
          </w:tblCellMar>
        </w:tblPrEx>
        <w:trPr>
          <w:trHeight w:val="1399" w:hRule="atLeast"/>
        </w:trPr>
        <w:tc>
          <w:tcPr>
            <w:tcW w:w="2176"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新一代DMX512并行总线技术设计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专利梳状对流散热设计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低热阻路径散热设计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独特防水透气设计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户外防雷及静电（ESD）专用防护设计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洗墙高度：1-2米</w:t>
            </w:r>
          </w:p>
        </w:tc>
      </w:tr>
      <w:tr>
        <w:tblPrEx>
          <w:tblCellMar>
            <w:top w:w="0" w:type="dxa"/>
            <w:left w:w="108" w:type="dxa"/>
            <w:bottom w:w="0" w:type="dxa"/>
            <w:right w:w="108" w:type="dxa"/>
          </w:tblCellMar>
        </w:tblPrEx>
        <w:trPr>
          <w:trHeight w:val="2520" w:hRule="atLeast"/>
        </w:trPr>
        <w:tc>
          <w:tcPr>
            <w:tcW w:w="4728"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72576" behindDoc="0" locked="0" layoutInCell="1" allowOverlap="1">
                  <wp:simplePos x="0" y="0"/>
                  <wp:positionH relativeFrom="column">
                    <wp:posOffset>171450</wp:posOffset>
                  </wp:positionH>
                  <wp:positionV relativeFrom="paragraph">
                    <wp:posOffset>38100</wp:posOffset>
                  </wp:positionV>
                  <wp:extent cx="2581275" cy="1628775"/>
                  <wp:effectExtent l="0" t="0" r="0" b="0"/>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6"/>
                          <a:stretch>
                            <a:fillRect/>
                          </a:stretch>
                        </pic:blipFill>
                        <pic:spPr>
                          <a:xfrm>
                            <a:off x="0" y="0"/>
                            <a:ext cx="2578100" cy="1616075"/>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700"/>
            </w:tblGrid>
            <w:tr>
              <w:tblPrEx>
                <w:tblCellMar>
                  <w:top w:w="0" w:type="dxa"/>
                  <w:left w:w="0" w:type="dxa"/>
                  <w:bottom w:w="0" w:type="dxa"/>
                  <w:right w:w="0" w:type="dxa"/>
                </w:tblCellMar>
              </w:tblPrEx>
              <w:trPr>
                <w:trHeight w:val="2520" w:hRule="atLeast"/>
                <w:tblCellSpacing w:w="0" w:type="dxa"/>
              </w:trPr>
              <w:tc>
                <w:tcPr>
                  <w:tcW w:w="4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71552" behindDoc="0" locked="0" layoutInCell="1" allowOverlap="1">
                  <wp:simplePos x="0" y="0"/>
                  <wp:positionH relativeFrom="column">
                    <wp:posOffset>95250</wp:posOffset>
                  </wp:positionH>
                  <wp:positionV relativeFrom="paragraph">
                    <wp:posOffset>390525</wp:posOffset>
                  </wp:positionV>
                  <wp:extent cx="2905125" cy="800100"/>
                  <wp:effectExtent l="0" t="0" r="952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a:stretch>
                            <a:fillRect/>
                          </a:stretch>
                        </pic:blipFill>
                        <pic:spPr>
                          <a:xfrm>
                            <a:off x="0" y="0"/>
                            <a:ext cx="2904490" cy="794385"/>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 xml:space="preserve">  单位：mm</w:t>
            </w:r>
          </w:p>
        </w:tc>
      </w:tr>
      <w:tr>
        <w:tblPrEx>
          <w:tblCellMar>
            <w:top w:w="0" w:type="dxa"/>
            <w:left w:w="108" w:type="dxa"/>
            <w:bottom w:w="0" w:type="dxa"/>
            <w:right w:w="108" w:type="dxa"/>
          </w:tblCellMar>
        </w:tblPrEx>
        <w:trPr>
          <w:trHeight w:val="439"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洗墙</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RGBW</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RGBW 4in1 LED</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35,000h</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1.51Kg</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高强度铝合金/钢化玻璃</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- 50°C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- 70°C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IP66</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室外</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DC24V</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18W</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20*40/20/30/45/60°</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70528" behindDoc="0" locked="0" layoutInCell="1" allowOverlap="1">
                  <wp:simplePos x="0" y="0"/>
                  <wp:positionH relativeFrom="column">
                    <wp:posOffset>95250</wp:posOffset>
                  </wp:positionH>
                  <wp:positionV relativeFrom="paragraph">
                    <wp:posOffset>114300</wp:posOffset>
                  </wp:positionV>
                  <wp:extent cx="2933700" cy="1152525"/>
                  <wp:effectExtent l="0" t="0" r="0"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8"/>
                          <a:stretch>
                            <a:fillRect/>
                          </a:stretch>
                        </pic:blipFill>
                        <pic:spPr>
                          <a:xfrm>
                            <a:off x="0" y="0"/>
                            <a:ext cx="2932430" cy="1170940"/>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860"/>
            </w:tblGrid>
            <w:tr>
              <w:tblPrEx>
                <w:tblCellMar>
                  <w:top w:w="0" w:type="dxa"/>
                  <w:left w:w="0" w:type="dxa"/>
                  <w:bottom w:w="0" w:type="dxa"/>
                  <w:right w:w="0" w:type="dxa"/>
                </w:tblCellMar>
              </w:tblPrEx>
              <w:trPr>
                <w:trHeight w:val="206" w:hRule="atLeast"/>
                <w:tblCellSpacing w:w="0" w:type="dxa"/>
              </w:trPr>
              <w:tc>
                <w:tcPr>
                  <w:tcW w:w="4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0" w:type="dxa"/>
                  <w:bottom w:w="0" w:type="dxa"/>
                  <w:right w:w="0" w:type="dxa"/>
                </w:tblCellMar>
              </w:tblPrEx>
              <w:trPr>
                <w:trHeight w:val="206" w:hRule="atLeast"/>
                <w:tblCellSpacing w:w="0"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bl>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 lm/w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18颗RGBW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CREE/OSRAM/LUMILEDS</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69504" behindDoc="0" locked="0" layoutInCell="1" allowOverlap="1">
                  <wp:simplePos x="0" y="0"/>
                  <wp:positionH relativeFrom="column">
                    <wp:posOffset>28575</wp:posOffset>
                  </wp:positionH>
                  <wp:positionV relativeFrom="paragraph">
                    <wp:posOffset>123825</wp:posOffset>
                  </wp:positionV>
                  <wp:extent cx="2981325" cy="140970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a:stretch>
                            <a:fillRect/>
                          </a:stretch>
                        </pic:blipFill>
                        <pic:spPr>
                          <a:xfrm>
                            <a:off x="0" y="0"/>
                            <a:ext cx="2980690" cy="1414145"/>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860"/>
            </w:tblGrid>
            <w:tr>
              <w:tblPrEx>
                <w:tblCellMar>
                  <w:top w:w="0" w:type="dxa"/>
                  <w:left w:w="0" w:type="dxa"/>
                  <w:bottom w:w="0" w:type="dxa"/>
                  <w:right w:w="0" w:type="dxa"/>
                </w:tblCellMar>
              </w:tblPrEx>
              <w:trPr>
                <w:trHeight w:val="206" w:hRule="atLeast"/>
                <w:tblCellSpacing w:w="0" w:type="dxa"/>
              </w:trPr>
              <w:tc>
                <w:tcPr>
                  <w:tcW w:w="4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0" w:type="dxa"/>
                  <w:bottom w:w="0" w:type="dxa"/>
                  <w:right w:w="0" w:type="dxa"/>
                </w:tblCellMar>
              </w:tblPrEx>
              <w:trPr>
                <w:trHeight w:val="206" w:hRule="atLeast"/>
                <w:tblCellSpacing w:w="0"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2"/>
                      <w:szCs w:val="12"/>
                    </w:rPr>
                  </w:pPr>
                </w:p>
              </w:tc>
            </w:tr>
          </w:tbl>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642"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DMX512</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bl>
    <w:p>
      <w:pPr>
        <w:spacing w:line="480" w:lineRule="exact"/>
        <w:ind w:firstLine="8"/>
        <w:textAlignment w:val="center"/>
        <w:rPr>
          <w:rFonts w:eastAsiaTheme="minorEastAsia"/>
        </w:rPr>
      </w:pPr>
    </w:p>
    <w:p>
      <w:pPr>
        <w:pStyle w:val="2"/>
        <w:rPr>
          <w:rFonts w:eastAsiaTheme="minorEastAsia"/>
        </w:rPr>
      </w:pPr>
    </w:p>
    <w:p>
      <w:pPr>
        <w:pStyle w:val="3"/>
        <w:ind w:firstLine="210"/>
        <w:rPr>
          <w:rFonts w:eastAsiaTheme="minorEastAsia"/>
        </w:rPr>
      </w:pPr>
    </w:p>
    <w:tbl>
      <w:tblPr>
        <w:tblStyle w:val="21"/>
        <w:tblW w:w="9616" w:type="dxa"/>
        <w:tblInd w:w="108" w:type="dxa"/>
        <w:tblLayout w:type="autofit"/>
        <w:tblCellMar>
          <w:top w:w="0" w:type="dxa"/>
          <w:left w:w="108" w:type="dxa"/>
          <w:bottom w:w="0" w:type="dxa"/>
          <w:right w:w="108" w:type="dxa"/>
        </w:tblCellMar>
      </w:tblPr>
      <w:tblGrid>
        <w:gridCol w:w="2265"/>
        <w:gridCol w:w="1328"/>
        <w:gridCol w:w="1328"/>
        <w:gridCol w:w="1326"/>
        <w:gridCol w:w="1326"/>
        <w:gridCol w:w="2429"/>
      </w:tblGrid>
      <w:tr>
        <w:tblPrEx>
          <w:tblCellMar>
            <w:top w:w="0" w:type="dxa"/>
            <w:left w:w="108" w:type="dxa"/>
            <w:bottom w:w="0" w:type="dxa"/>
            <w:right w:w="108" w:type="dxa"/>
          </w:tblCellMar>
        </w:tblPrEx>
        <w:trPr>
          <w:trHeight w:val="319" w:hRule="atLeast"/>
        </w:trPr>
        <w:tc>
          <w:tcPr>
            <w:tcW w:w="2176"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投光灯72W</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r>
      <w:tr>
        <w:tblPrEx>
          <w:tblCellMar>
            <w:top w:w="0" w:type="dxa"/>
            <w:left w:w="108" w:type="dxa"/>
            <w:bottom w:w="0" w:type="dxa"/>
            <w:right w:w="108" w:type="dxa"/>
          </w:tblCellMar>
        </w:tblPrEx>
        <w:trPr>
          <w:trHeight w:val="2520" w:hRule="atLeast"/>
        </w:trPr>
        <w:tc>
          <w:tcPr>
            <w:tcW w:w="4728"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tbl>
            <w:tblPr>
              <w:tblStyle w:val="21"/>
              <w:tblW w:w="0" w:type="auto"/>
              <w:tblCellSpacing w:w="0" w:type="dxa"/>
              <w:tblInd w:w="0" w:type="dxa"/>
              <w:tblLayout w:type="autofit"/>
              <w:tblCellMar>
                <w:top w:w="0" w:type="dxa"/>
                <w:left w:w="0" w:type="dxa"/>
                <w:bottom w:w="0" w:type="dxa"/>
                <w:right w:w="0" w:type="dxa"/>
              </w:tblCellMar>
            </w:tblPr>
            <w:tblGrid>
              <w:gridCol w:w="4700"/>
            </w:tblGrid>
            <w:tr>
              <w:tblPrEx>
                <w:tblCellMar>
                  <w:top w:w="0" w:type="dxa"/>
                  <w:left w:w="0" w:type="dxa"/>
                  <w:bottom w:w="0" w:type="dxa"/>
                  <w:right w:w="0" w:type="dxa"/>
                </w:tblCellMar>
              </w:tblPrEx>
              <w:trPr>
                <w:trHeight w:val="2520" w:hRule="atLeast"/>
                <w:tblCellSpacing w:w="0" w:type="dxa"/>
              </w:trPr>
              <w:tc>
                <w:tcPr>
                  <w:tcW w:w="4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ascii="宋体" w:hAnsi="宋体" w:eastAsia="宋体" w:cs="宋体"/>
                      <w:snapToGrid/>
                      <w:sz w:val="22"/>
                      <w:szCs w:val="22"/>
                    </w:rPr>
                    <w:drawing>
                      <wp:anchor distT="0" distB="0" distL="114300" distR="114300" simplePos="0" relativeHeight="251674624" behindDoc="0" locked="0" layoutInCell="1" allowOverlap="1">
                        <wp:simplePos x="0" y="0"/>
                        <wp:positionH relativeFrom="column">
                          <wp:posOffset>643255</wp:posOffset>
                        </wp:positionH>
                        <wp:positionV relativeFrom="paragraph">
                          <wp:posOffset>-203200</wp:posOffset>
                        </wp:positionV>
                        <wp:extent cx="1257300" cy="1390650"/>
                        <wp:effectExtent l="0" t="0" r="0" b="0"/>
                        <wp:wrapNone/>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19"/>
                                <a:stretch>
                                  <a:fillRect/>
                                </a:stretch>
                              </pic:blipFill>
                              <pic:spPr>
                                <a:xfrm>
                                  <a:off x="0" y="0"/>
                                  <a:ext cx="1257300" cy="1390650"/>
                                </a:xfrm>
                                <a:prstGeom prst="rect">
                                  <a:avLst/>
                                </a:prstGeom>
                                <a:noFill/>
                                <a:ln w="9525">
                                  <a:noFill/>
                                </a:ln>
                              </pic:spPr>
                            </pic:pic>
                          </a:graphicData>
                        </a:graphic>
                      </wp:anchor>
                    </w:drawing>
                  </w:r>
                  <w:r>
                    <w:rPr>
                      <w:rFonts w:hint="eastAsia" w:ascii="微软雅黑" w:hAnsi="微软雅黑" w:eastAsia="微软雅黑" w:cs="宋体"/>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73600" behindDoc="0" locked="0" layoutInCell="1" allowOverlap="1">
                  <wp:simplePos x="0" y="0"/>
                  <wp:positionH relativeFrom="column">
                    <wp:posOffset>85725</wp:posOffset>
                  </wp:positionH>
                  <wp:positionV relativeFrom="paragraph">
                    <wp:posOffset>342900</wp:posOffset>
                  </wp:positionV>
                  <wp:extent cx="2914650" cy="1019175"/>
                  <wp:effectExtent l="0" t="0" r="0" b="0"/>
                  <wp:wrapNone/>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20"/>
                          <a:stretch>
                            <a:fillRect/>
                          </a:stretch>
                        </pic:blipFill>
                        <pic:spPr>
                          <a:xfrm>
                            <a:off x="0" y="0"/>
                            <a:ext cx="2917190" cy="1017270"/>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单位：mm</w:t>
            </w:r>
          </w:p>
        </w:tc>
      </w:tr>
      <w:tr>
        <w:tblPrEx>
          <w:tblCellMar>
            <w:top w:w="0" w:type="dxa"/>
            <w:left w:w="108" w:type="dxa"/>
            <w:bottom w:w="0" w:type="dxa"/>
            <w:right w:w="108" w:type="dxa"/>
          </w:tblCellMar>
        </w:tblPrEx>
        <w:trPr>
          <w:trHeight w:val="439"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洗墙</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RGBW</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R/G/B</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35,000h</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4.43Kg</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高强度压铸铝/钢化玻璃</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- 50°C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- 70°C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IP66</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室外</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AC220V</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72W</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6/8/10/15/20/30/45/60°</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75648" behindDoc="0" locked="0" layoutInCell="1" allowOverlap="1">
                  <wp:simplePos x="0" y="0"/>
                  <wp:positionH relativeFrom="column">
                    <wp:posOffset>438150</wp:posOffset>
                  </wp:positionH>
                  <wp:positionV relativeFrom="paragraph">
                    <wp:posOffset>9525</wp:posOffset>
                  </wp:positionV>
                  <wp:extent cx="2209800" cy="1381125"/>
                  <wp:effectExtent l="0" t="0" r="0" b="9525"/>
                  <wp:wrapNone/>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21"/>
                          <a:stretch>
                            <a:fillRect/>
                          </a:stretch>
                        </pic:blipFill>
                        <pic:spPr>
                          <a:xfrm>
                            <a:off x="0" y="0"/>
                            <a:ext cx="2215515" cy="1402715"/>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860"/>
            </w:tblGrid>
            <w:tr>
              <w:tblPrEx>
                <w:tblCellMar>
                  <w:top w:w="0" w:type="dxa"/>
                  <w:left w:w="0" w:type="dxa"/>
                  <w:bottom w:w="0" w:type="dxa"/>
                  <w:right w:w="0" w:type="dxa"/>
                </w:tblCellMar>
              </w:tblPrEx>
              <w:trPr>
                <w:trHeight w:val="206" w:hRule="atLeast"/>
                <w:tblCellSpacing w:w="0" w:type="dxa"/>
              </w:trPr>
              <w:tc>
                <w:tcPr>
                  <w:tcW w:w="4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0" w:type="dxa"/>
                  <w:bottom w:w="0" w:type="dxa"/>
                  <w:right w:w="0" w:type="dxa"/>
                </w:tblCellMar>
              </w:tblPrEx>
              <w:trPr>
                <w:trHeight w:val="206" w:hRule="atLeast"/>
                <w:tblCellSpacing w:w="0"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bl>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≥30 lm/w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36颗W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CREE/OSRAM/LUMILEDS</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76672" behindDoc="0" locked="0" layoutInCell="1" allowOverlap="1">
                  <wp:simplePos x="0" y="0"/>
                  <wp:positionH relativeFrom="column">
                    <wp:posOffset>66675</wp:posOffset>
                  </wp:positionH>
                  <wp:positionV relativeFrom="paragraph">
                    <wp:posOffset>57150</wp:posOffset>
                  </wp:positionV>
                  <wp:extent cx="2914650" cy="1409700"/>
                  <wp:effectExtent l="0" t="0" r="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2"/>
                          <a:stretch>
                            <a:fillRect/>
                          </a:stretch>
                        </pic:blipFill>
                        <pic:spPr>
                          <a:xfrm>
                            <a:off x="0" y="0"/>
                            <a:ext cx="2907030" cy="1412875"/>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860"/>
            </w:tblGrid>
            <w:tr>
              <w:tblPrEx>
                <w:tblCellMar>
                  <w:top w:w="0" w:type="dxa"/>
                  <w:left w:w="0" w:type="dxa"/>
                  <w:bottom w:w="0" w:type="dxa"/>
                  <w:right w:w="0" w:type="dxa"/>
                </w:tblCellMar>
              </w:tblPrEx>
              <w:trPr>
                <w:trHeight w:val="206" w:hRule="atLeast"/>
                <w:tblCellSpacing w:w="0" w:type="dxa"/>
              </w:trPr>
              <w:tc>
                <w:tcPr>
                  <w:tcW w:w="4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0" w:type="dxa"/>
                  <w:bottom w:w="0" w:type="dxa"/>
                  <w:right w:w="0" w:type="dxa"/>
                </w:tblCellMar>
              </w:tblPrEx>
              <w:trPr>
                <w:trHeight w:val="206" w:hRule="atLeast"/>
                <w:tblCellSpacing w:w="0"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2"/>
                      <w:szCs w:val="12"/>
                    </w:rPr>
                  </w:pPr>
                </w:p>
              </w:tc>
            </w:tr>
          </w:tbl>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642"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DMX512</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1920"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新一代DMX512并行总线技术设计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简洁方形面板ID，极致典雅的工业美学</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专利的梳状对流散热设计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高强度铝合金灯体，低热阻散热设计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高强度铝灯体配合低热阻路径散热设计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出光柔和、均匀，光色一致，性能出类拔萃</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高可靠性模块化设计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产品尺寸 单位：mm · 户外防雷及静电（ESD）专用防护设计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258 · 负荷安全设计，投射高度：20米</w:t>
            </w:r>
          </w:p>
        </w:tc>
      </w:tr>
    </w:tbl>
    <w:p>
      <w:pPr>
        <w:rPr>
          <w:rFonts w:eastAsiaTheme="minorEastAsia"/>
        </w:rPr>
      </w:pPr>
    </w:p>
    <w:tbl>
      <w:tblPr>
        <w:tblStyle w:val="21"/>
        <w:tblW w:w="9630" w:type="dxa"/>
        <w:tblInd w:w="108" w:type="dxa"/>
        <w:tblLayout w:type="autofit"/>
        <w:tblCellMar>
          <w:top w:w="0" w:type="dxa"/>
          <w:left w:w="108" w:type="dxa"/>
          <w:bottom w:w="0" w:type="dxa"/>
          <w:right w:w="108" w:type="dxa"/>
        </w:tblCellMar>
      </w:tblPr>
      <w:tblGrid>
        <w:gridCol w:w="2401"/>
        <w:gridCol w:w="1276"/>
        <w:gridCol w:w="1276"/>
        <w:gridCol w:w="1326"/>
        <w:gridCol w:w="1326"/>
        <w:gridCol w:w="2429"/>
      </w:tblGrid>
      <w:tr>
        <w:tblPrEx>
          <w:tblCellMar>
            <w:top w:w="0" w:type="dxa"/>
            <w:left w:w="108" w:type="dxa"/>
            <w:bottom w:w="0" w:type="dxa"/>
            <w:right w:w="108" w:type="dxa"/>
          </w:tblCellMar>
        </w:tblPrEx>
        <w:trPr>
          <w:trHeight w:val="319" w:hRule="atLeast"/>
        </w:trPr>
        <w:tc>
          <w:tcPr>
            <w:tcW w:w="2190"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抱树灯24W</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r>
      <w:tr>
        <w:tblPrEx>
          <w:tblCellMar>
            <w:top w:w="0" w:type="dxa"/>
            <w:left w:w="108" w:type="dxa"/>
            <w:bottom w:w="0" w:type="dxa"/>
            <w:right w:w="108" w:type="dxa"/>
          </w:tblCellMar>
        </w:tblPrEx>
        <w:trPr>
          <w:trHeight w:val="1399" w:hRule="atLeast"/>
        </w:trPr>
        <w:tc>
          <w:tcPr>
            <w:tcW w:w="2190" w:type="dxa"/>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tbl>
            <w:tblPr>
              <w:tblStyle w:val="21"/>
              <w:tblW w:w="0" w:type="auto"/>
              <w:tblCellSpacing w:w="0" w:type="dxa"/>
              <w:tblInd w:w="0" w:type="dxa"/>
              <w:tblLayout w:type="autofit"/>
              <w:tblCellMar>
                <w:top w:w="0" w:type="dxa"/>
                <w:left w:w="0" w:type="dxa"/>
                <w:bottom w:w="0" w:type="dxa"/>
                <w:right w:w="0" w:type="dxa"/>
              </w:tblCellMar>
            </w:tblPr>
            <w:tblGrid>
              <w:gridCol w:w="2180"/>
            </w:tblGrid>
            <w:tr>
              <w:tblPrEx>
                <w:tblCellMar>
                  <w:top w:w="0" w:type="dxa"/>
                  <w:left w:w="0" w:type="dxa"/>
                  <w:bottom w:w="0" w:type="dxa"/>
                  <w:right w:w="0" w:type="dxa"/>
                </w:tblCellMar>
              </w:tblPrEx>
              <w:trPr>
                <w:trHeight w:val="1399" w:hRule="atLeast"/>
                <w:tblCellSpacing w:w="0" w:type="dxa"/>
              </w:trPr>
              <w:tc>
                <w:tcPr>
                  <w:tcW w:w="2160"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r>
          </w:tbl>
          <w:p>
            <w:pPr>
              <w:kinsoku/>
              <w:autoSpaceDE/>
              <w:autoSpaceDN/>
              <w:adjustRightInd/>
              <w:snapToGrid/>
              <w:textAlignment w:val="auto"/>
              <w:rPr>
                <w:rFonts w:ascii="宋体" w:hAnsi="宋体" w:eastAsia="宋体" w:cs="宋体"/>
                <w:snapToGrid/>
                <w:sz w:val="22"/>
                <w:szCs w:val="22"/>
              </w:rPr>
            </w:pP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新一代DMX512并行总线技术设计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新一代结构防水设计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高强度铝灯体配合低热阻路径散热设计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高可靠性模块化设计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户外防雷及静电（ESD）专用防护设计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负荷安全设计</w:t>
            </w:r>
          </w:p>
        </w:tc>
      </w:tr>
      <w:tr>
        <w:tblPrEx>
          <w:tblCellMar>
            <w:top w:w="0" w:type="dxa"/>
            <w:left w:w="108" w:type="dxa"/>
            <w:bottom w:w="0" w:type="dxa"/>
            <w:right w:w="108" w:type="dxa"/>
          </w:tblCellMar>
        </w:tblPrEx>
        <w:trPr>
          <w:trHeight w:val="2520" w:hRule="atLeast"/>
        </w:trPr>
        <w:tc>
          <w:tcPr>
            <w:tcW w:w="474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ascii="宋体" w:hAnsi="宋体" w:eastAsia="宋体" w:cs="宋体"/>
                <w:snapToGrid/>
                <w:sz w:val="22"/>
                <w:szCs w:val="22"/>
              </w:rPr>
              <w:drawing>
                <wp:anchor distT="0" distB="0" distL="114300" distR="114300" simplePos="0" relativeHeight="251677696" behindDoc="0" locked="0" layoutInCell="1" allowOverlap="1">
                  <wp:simplePos x="0" y="0"/>
                  <wp:positionH relativeFrom="column">
                    <wp:posOffset>762000</wp:posOffset>
                  </wp:positionH>
                  <wp:positionV relativeFrom="paragraph">
                    <wp:posOffset>-281305</wp:posOffset>
                  </wp:positionV>
                  <wp:extent cx="1289050" cy="1456055"/>
                  <wp:effectExtent l="0" t="0" r="0" b="0"/>
                  <wp:wrapNone/>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pic:cNvPicPr>
                        </pic:nvPicPr>
                        <pic:blipFill>
                          <a:blip r:embed="rId23"/>
                          <a:stretch>
                            <a:fillRect/>
                          </a:stretch>
                        </pic:blipFill>
                        <pic:spPr>
                          <a:xfrm>
                            <a:off x="0" y="0"/>
                            <a:ext cx="1289050" cy="1456055"/>
                          </a:xfrm>
                          <a:prstGeom prst="rect">
                            <a:avLst/>
                          </a:prstGeom>
                          <a:noFill/>
                          <a:ln w="9525">
                            <a:noFill/>
                          </a:ln>
                        </pic:spPr>
                      </pic:pic>
                    </a:graphicData>
                  </a:graphic>
                </wp:anchor>
              </w:drawing>
            </w:r>
            <w:r>
              <w:rPr>
                <w:rFonts w:hint="eastAsia" w:ascii="微软雅黑" w:hAnsi="微软雅黑" w:eastAsia="微软雅黑" w:cs="宋体"/>
                <w:snapToGrid/>
                <w:sz w:val="12"/>
                <w:szCs w:val="12"/>
              </w:rPr>
              <w:t>　</w:t>
            </w: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78720" behindDoc="0" locked="0" layoutInCell="1" allowOverlap="1">
                  <wp:simplePos x="0" y="0"/>
                  <wp:positionH relativeFrom="column">
                    <wp:posOffset>66675</wp:posOffset>
                  </wp:positionH>
                  <wp:positionV relativeFrom="paragraph">
                    <wp:posOffset>142875</wp:posOffset>
                  </wp:positionV>
                  <wp:extent cx="2828925" cy="1343025"/>
                  <wp:effectExtent l="0" t="0" r="9525" b="0"/>
                  <wp:wrapNone/>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pic:cNvPicPr>
                        </pic:nvPicPr>
                        <pic:blipFill>
                          <a:blip r:embed="rId24"/>
                          <a:stretch>
                            <a:fillRect/>
                          </a:stretch>
                        </pic:blipFill>
                        <pic:spPr>
                          <a:xfrm>
                            <a:off x="0" y="0"/>
                            <a:ext cx="2837180" cy="1336040"/>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 xml:space="preserve">  单位：mm</w:t>
            </w:r>
          </w:p>
        </w:tc>
      </w:tr>
      <w:tr>
        <w:tblPrEx>
          <w:tblCellMar>
            <w:top w:w="0" w:type="dxa"/>
            <w:left w:w="108" w:type="dxa"/>
            <w:bottom w:w="0" w:type="dxa"/>
            <w:right w:w="108" w:type="dxa"/>
          </w:tblCellMar>
        </w:tblPrEx>
        <w:trPr>
          <w:trHeight w:val="439" w:hRule="atLeast"/>
        </w:trPr>
        <w:tc>
          <w:tcPr>
            <w:tcW w:w="2190"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洗墙</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SMD W</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35,000h</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单模组:1.7Kg</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高强度铝合金/钢化玻璃</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- 50°C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- 70°C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IP66</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室外</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DC24V</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24W</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6/8/10/15</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79744" behindDoc="0" locked="0" layoutInCell="1" allowOverlap="1">
                  <wp:simplePos x="0" y="0"/>
                  <wp:positionH relativeFrom="column">
                    <wp:posOffset>47625</wp:posOffset>
                  </wp:positionH>
                  <wp:positionV relativeFrom="paragraph">
                    <wp:posOffset>104775</wp:posOffset>
                  </wp:positionV>
                  <wp:extent cx="3009900" cy="1152525"/>
                  <wp:effectExtent l="0" t="0" r="0" b="9525"/>
                  <wp:wrapNone/>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25"/>
                          <a:stretch>
                            <a:fillRect/>
                          </a:stretch>
                        </pic:blipFill>
                        <pic:spPr>
                          <a:xfrm>
                            <a:off x="0" y="0"/>
                            <a:ext cx="3008630" cy="1167130"/>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860"/>
            </w:tblGrid>
            <w:tr>
              <w:tblPrEx>
                <w:tblCellMar>
                  <w:top w:w="0" w:type="dxa"/>
                  <w:left w:w="0" w:type="dxa"/>
                  <w:bottom w:w="0" w:type="dxa"/>
                  <w:right w:w="0" w:type="dxa"/>
                </w:tblCellMar>
              </w:tblPrEx>
              <w:trPr>
                <w:trHeight w:val="206" w:hRule="atLeast"/>
                <w:tblCellSpacing w:w="0" w:type="dxa"/>
              </w:trPr>
              <w:tc>
                <w:tcPr>
                  <w:tcW w:w="48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0" w:type="dxa"/>
                  <w:bottom w:w="0" w:type="dxa"/>
                  <w:right w:w="0" w:type="dxa"/>
                </w:tblCellMar>
              </w:tblPrEx>
              <w:trPr>
                <w:trHeight w:val="206" w:hRule="atLeast"/>
                <w:tblCellSpacing w:w="0" w:type="dxa"/>
              </w:trPr>
              <w:tc>
                <w:tcPr>
                  <w:tcW w:w="0" w:type="auto"/>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bl>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≥60 lm/w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8颗W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CREE/OSRAM/LUMILEDS</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p>
          <w:tbl>
            <w:tblPr>
              <w:tblStyle w:val="21"/>
              <w:tblW w:w="0" w:type="auto"/>
              <w:tblCellSpacing w:w="0" w:type="dxa"/>
              <w:tblInd w:w="0" w:type="dxa"/>
              <w:tblLayout w:type="autofit"/>
              <w:tblCellMar>
                <w:top w:w="0" w:type="dxa"/>
                <w:left w:w="0" w:type="dxa"/>
                <w:bottom w:w="0" w:type="dxa"/>
                <w:right w:w="0" w:type="dxa"/>
              </w:tblCellMar>
            </w:tblPr>
            <w:tblGrid>
              <w:gridCol w:w="4850"/>
            </w:tblGrid>
            <w:tr>
              <w:tblPrEx>
                <w:tblCellMar>
                  <w:top w:w="0" w:type="dxa"/>
                  <w:left w:w="0" w:type="dxa"/>
                  <w:bottom w:w="0" w:type="dxa"/>
                  <w:right w:w="0" w:type="dxa"/>
                </w:tblCellMar>
              </w:tblPrEx>
              <w:trPr>
                <w:trHeight w:val="1980" w:hRule="atLeast"/>
                <w:tblCellSpacing w:w="0" w:type="dxa"/>
              </w:trPr>
              <w:tc>
                <w:tcPr>
                  <w:tcW w:w="4840" w:type="dxa"/>
                  <w:tcBorders>
                    <w:top w:val="single" w:color="auto" w:sz="4" w:space="0"/>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ascii="宋体" w:hAnsi="宋体" w:eastAsia="宋体" w:cs="宋体"/>
                      <w:snapToGrid/>
                      <w:sz w:val="22"/>
                      <w:szCs w:val="22"/>
                    </w:rPr>
                    <w:drawing>
                      <wp:anchor distT="0" distB="0" distL="114300" distR="114300" simplePos="0" relativeHeight="251680768" behindDoc="0" locked="0" layoutInCell="1" allowOverlap="1">
                        <wp:simplePos x="0" y="0"/>
                        <wp:positionH relativeFrom="column">
                          <wp:posOffset>144780</wp:posOffset>
                        </wp:positionH>
                        <wp:positionV relativeFrom="paragraph">
                          <wp:posOffset>-248285</wp:posOffset>
                        </wp:positionV>
                        <wp:extent cx="2921000" cy="1123950"/>
                        <wp:effectExtent l="0" t="0" r="0" b="0"/>
                        <wp:wrapNone/>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26"/>
                                <a:stretch>
                                  <a:fillRect/>
                                </a:stretch>
                              </pic:blipFill>
                              <pic:spPr>
                                <a:xfrm>
                                  <a:off x="0" y="0"/>
                                  <a:ext cx="2921000" cy="1123950"/>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642" w:hRule="atLeast"/>
        </w:trPr>
        <w:tc>
          <w:tcPr>
            <w:tcW w:w="2190"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ON/OFF</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32"/>
                <w:szCs w:val="32"/>
              </w:rPr>
            </w:pPr>
            <w:r>
              <w:rPr>
                <w:rFonts w:hint="eastAsia" w:ascii="微软雅黑" w:hAnsi="微软雅黑" w:eastAsia="微软雅黑" w:cs="宋体"/>
                <w:snapToGrid/>
                <w:sz w:val="32"/>
                <w:szCs w:val="3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32"/>
                <w:szCs w:val="32"/>
              </w:rPr>
            </w:pPr>
            <w:r>
              <w:rPr>
                <w:rFonts w:hint="eastAsia" w:ascii="微软雅黑" w:hAnsi="微软雅黑" w:eastAsia="微软雅黑" w:cs="宋体"/>
                <w:snapToGrid/>
                <w:sz w:val="32"/>
                <w:szCs w:val="3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32"/>
                <w:szCs w:val="32"/>
              </w:rPr>
            </w:pPr>
            <w:r>
              <w:rPr>
                <w:rFonts w:hint="eastAsia" w:ascii="微软雅黑" w:hAnsi="微软雅黑" w:eastAsia="微软雅黑" w:cs="宋体"/>
                <w:snapToGrid/>
                <w:sz w:val="32"/>
                <w:szCs w:val="32"/>
              </w:rPr>
              <w:t>　</w:t>
            </w:r>
          </w:p>
        </w:tc>
      </w:tr>
    </w:tbl>
    <w:p>
      <w:pPr>
        <w:rPr>
          <w:rFonts w:eastAsiaTheme="minorEastAsia"/>
        </w:rPr>
      </w:pPr>
    </w:p>
    <w:p>
      <w:pPr>
        <w:spacing w:line="181" w:lineRule="exact"/>
        <w:rPr>
          <w:rFonts w:eastAsiaTheme="minorEastAsia"/>
          <w:sz w:val="15"/>
        </w:rPr>
      </w:pPr>
    </w:p>
    <w:tbl>
      <w:tblPr>
        <w:tblStyle w:val="21"/>
        <w:tblW w:w="9630" w:type="dxa"/>
        <w:tblInd w:w="108" w:type="dxa"/>
        <w:tblLayout w:type="autofit"/>
        <w:tblCellMar>
          <w:top w:w="0" w:type="dxa"/>
          <w:left w:w="108" w:type="dxa"/>
          <w:bottom w:w="0" w:type="dxa"/>
          <w:right w:w="108" w:type="dxa"/>
        </w:tblCellMar>
      </w:tblPr>
      <w:tblGrid>
        <w:gridCol w:w="2401"/>
        <w:gridCol w:w="1276"/>
        <w:gridCol w:w="1276"/>
        <w:gridCol w:w="1276"/>
        <w:gridCol w:w="1276"/>
        <w:gridCol w:w="2336"/>
      </w:tblGrid>
      <w:tr>
        <w:tblPrEx>
          <w:tblCellMar>
            <w:top w:w="0" w:type="dxa"/>
            <w:left w:w="108" w:type="dxa"/>
            <w:bottom w:w="0" w:type="dxa"/>
            <w:right w:w="108" w:type="dxa"/>
          </w:tblCellMar>
        </w:tblPrEx>
        <w:trPr>
          <w:trHeight w:val="319" w:hRule="atLeast"/>
        </w:trPr>
        <w:tc>
          <w:tcPr>
            <w:tcW w:w="2190"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照树灯36W</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eastAsia="宋体"/>
                <w:b/>
                <w:bCs/>
                <w:snapToGrid/>
                <w:sz w:val="22"/>
                <w:szCs w:val="22"/>
              </w:rPr>
            </w:pPr>
          </w:p>
        </w:tc>
      </w:tr>
      <w:tr>
        <w:tblPrEx>
          <w:tblCellMar>
            <w:top w:w="0" w:type="dxa"/>
            <w:left w:w="108" w:type="dxa"/>
            <w:bottom w:w="0" w:type="dxa"/>
            <w:right w:w="108" w:type="dxa"/>
          </w:tblCellMar>
        </w:tblPrEx>
        <w:trPr>
          <w:trHeight w:val="1399" w:hRule="atLeast"/>
        </w:trPr>
        <w:tc>
          <w:tcPr>
            <w:tcW w:w="2190" w:type="dxa"/>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81792" behindDoc="0" locked="0" layoutInCell="1" allowOverlap="1">
                  <wp:simplePos x="0" y="0"/>
                  <wp:positionH relativeFrom="column">
                    <wp:posOffset>647700</wp:posOffset>
                  </wp:positionH>
                  <wp:positionV relativeFrom="paragraph">
                    <wp:posOffset>857250</wp:posOffset>
                  </wp:positionV>
                  <wp:extent cx="1323975" cy="1590675"/>
                  <wp:effectExtent l="0" t="0" r="0" b="0"/>
                  <wp:wrapNone/>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pic:cNvPicPr>
                        </pic:nvPicPr>
                        <pic:blipFill>
                          <a:blip r:embed="rId27"/>
                          <a:stretch>
                            <a:fillRect/>
                          </a:stretch>
                        </pic:blipFill>
                        <pic:spPr>
                          <a:xfrm>
                            <a:off x="0" y="0"/>
                            <a:ext cx="1333500" cy="1586230"/>
                          </a:xfrm>
                          <a:prstGeom prst="rect">
                            <a:avLst/>
                          </a:prstGeom>
                          <a:noFill/>
                          <a:ln w="9525">
                            <a:noFill/>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2180"/>
            </w:tblGrid>
            <w:tr>
              <w:tblPrEx>
                <w:tblCellMar>
                  <w:top w:w="0" w:type="dxa"/>
                  <w:left w:w="0" w:type="dxa"/>
                  <w:bottom w:w="0" w:type="dxa"/>
                  <w:right w:w="0" w:type="dxa"/>
                </w:tblCellMar>
              </w:tblPrEx>
              <w:trPr>
                <w:trHeight w:val="1399" w:hRule="atLeast"/>
                <w:tblCellSpacing w:w="0" w:type="dxa"/>
              </w:trPr>
              <w:tc>
                <w:tcPr>
                  <w:tcW w:w="2160" w:type="dxa"/>
                  <w:tcBorders>
                    <w:top w:val="single" w:color="auto" w:sz="4" w:space="0"/>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r>
          </w:tbl>
          <w:p>
            <w:pPr>
              <w:kinsoku/>
              <w:autoSpaceDE/>
              <w:autoSpaceDN/>
              <w:adjustRightInd/>
              <w:snapToGrid/>
              <w:textAlignment w:val="auto"/>
              <w:rPr>
                <w:rFonts w:ascii="宋体" w:hAnsi="宋体" w:eastAsia="宋体" w:cs="宋体"/>
                <w:snapToGrid/>
                <w:sz w:val="22"/>
                <w:szCs w:val="22"/>
              </w:rPr>
            </w:pP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新一代DMX512并行总线技术设计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高强度铝灯体配合低热阻路径散热设计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卡扣式玻璃结构防水</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户外防雷及静电（ESD）专用防护设计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负荷安全设计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投射高度：3-15米</w:t>
            </w:r>
          </w:p>
        </w:tc>
      </w:tr>
      <w:tr>
        <w:tblPrEx>
          <w:tblCellMar>
            <w:top w:w="0" w:type="dxa"/>
            <w:left w:w="108" w:type="dxa"/>
            <w:bottom w:w="0" w:type="dxa"/>
            <w:right w:w="108" w:type="dxa"/>
          </w:tblCellMar>
        </w:tblPrEx>
        <w:trPr>
          <w:trHeight w:val="2520" w:hRule="atLeast"/>
        </w:trPr>
        <w:tc>
          <w:tcPr>
            <w:tcW w:w="474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82816" behindDoc="0" locked="0" layoutInCell="1" allowOverlap="1">
                  <wp:simplePos x="0" y="0"/>
                  <wp:positionH relativeFrom="column">
                    <wp:posOffset>47625</wp:posOffset>
                  </wp:positionH>
                  <wp:positionV relativeFrom="paragraph">
                    <wp:posOffset>76200</wp:posOffset>
                  </wp:positionV>
                  <wp:extent cx="2457450" cy="1352550"/>
                  <wp:effectExtent l="0" t="0" r="0" b="0"/>
                  <wp:wrapNone/>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pic:cNvPicPr>
                        </pic:nvPicPr>
                        <pic:blipFill>
                          <a:blip r:embed="rId28"/>
                          <a:srcRect t="4171" b="7767"/>
                          <a:stretch>
                            <a:fillRect/>
                          </a:stretch>
                        </pic:blipFill>
                        <pic:spPr>
                          <a:xfrm>
                            <a:off x="0" y="0"/>
                            <a:ext cx="2459990" cy="1346835"/>
                          </a:xfrm>
                          <a:prstGeom prst="rect">
                            <a:avLst/>
                          </a:prstGeom>
                          <a:noFill/>
                          <a:ln w="9525">
                            <a:noFill/>
                          </a:ln>
                        </pic:spPr>
                      </pic:pic>
                    </a:graphicData>
                  </a:graphic>
                </wp:anchor>
              </w:drawing>
            </w:r>
            <w:r>
              <w:rPr>
                <w:rFonts w:hint="eastAsia" w:ascii="微软雅黑" w:hAnsi="微软雅黑" w:eastAsia="微软雅黑" w:cs="宋体"/>
                <w:b/>
                <w:bCs/>
                <w:snapToGrid/>
                <w:sz w:val="12"/>
                <w:szCs w:val="12"/>
              </w:rPr>
              <w:t xml:space="preserve">  单位：mm</w:t>
            </w:r>
          </w:p>
        </w:tc>
      </w:tr>
      <w:tr>
        <w:tblPrEx>
          <w:tblCellMar>
            <w:top w:w="0" w:type="dxa"/>
            <w:left w:w="108" w:type="dxa"/>
            <w:bottom w:w="0" w:type="dxa"/>
            <w:right w:w="108" w:type="dxa"/>
          </w:tblCellMar>
        </w:tblPrEx>
        <w:trPr>
          <w:trHeight w:val="439" w:hRule="atLeast"/>
        </w:trPr>
        <w:tc>
          <w:tcPr>
            <w:tcW w:w="2190"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洗墙</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W/RGB/RGBW</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SMD R/G/B/W LED</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35,000h</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1.20Kg</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高强度压铸铝/钢化玻璃</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- 50°C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-40°C - 70°C</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IP66</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室外</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DC24V</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36W</w:t>
            </w: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6°、8°、10°、15°、30°、</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83840" behindDoc="0" locked="0" layoutInCell="1" allowOverlap="1">
                  <wp:simplePos x="0" y="0"/>
                  <wp:positionH relativeFrom="column">
                    <wp:posOffset>457200</wp:posOffset>
                  </wp:positionH>
                  <wp:positionV relativeFrom="paragraph">
                    <wp:posOffset>29845</wp:posOffset>
                  </wp:positionV>
                  <wp:extent cx="1939290" cy="1403350"/>
                  <wp:effectExtent l="0" t="0" r="3810" b="6350"/>
                  <wp:wrapNone/>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pic:cNvPicPr>
                        </pic:nvPicPr>
                        <pic:blipFill>
                          <a:blip r:embed="rId29"/>
                          <a:stretch>
                            <a:fillRect/>
                          </a:stretch>
                        </pic:blipFill>
                        <pic:spPr>
                          <a:xfrm>
                            <a:off x="0" y="0"/>
                            <a:ext cx="1939290" cy="1403350"/>
                          </a:xfrm>
                          <a:prstGeom prst="rect">
                            <a:avLst/>
                          </a:prstGeom>
                          <a:noFill/>
                          <a:ln w="9525">
                            <a:noFill/>
                          </a:ln>
                        </pic:spPr>
                      </pic:pic>
                    </a:graphicData>
                  </a:graphic>
                </wp:anchor>
              </w:drawing>
            </w:r>
          </w:p>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≥30 lm/w</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4颗R+4颗G+4颗B</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CREE/OSRAM/LUMILEDS</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r>
        <w:tblPrEx>
          <w:tblCellMar>
            <w:top w:w="0" w:type="dxa"/>
            <w:left w:w="108" w:type="dxa"/>
            <w:bottom w:w="0" w:type="dxa"/>
            <w:right w:w="108" w:type="dxa"/>
          </w:tblCellMar>
        </w:tblPrEx>
        <w:trPr>
          <w:trHeight w:val="319" w:hRule="atLeast"/>
        </w:trPr>
        <w:tc>
          <w:tcPr>
            <w:tcW w:w="2190" w:type="dxa"/>
            <w:tcBorders>
              <w:top w:val="nil"/>
              <w:left w:val="single" w:color="auto" w:sz="4" w:space="0"/>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127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c>
          <w:tcPr>
            <w:tcW w:w="2336" w:type="dxa"/>
            <w:tcBorders>
              <w:top w:val="nil"/>
              <w:left w:val="nil"/>
              <w:bottom w:val="single" w:color="auto" w:sz="4" w:space="0"/>
              <w:right w:val="single" w:color="auto" w:sz="4" w:space="0"/>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90"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190"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restart"/>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84864" behindDoc="0" locked="0" layoutInCell="1" allowOverlap="1">
                  <wp:simplePos x="0" y="0"/>
                  <wp:positionH relativeFrom="column">
                    <wp:posOffset>323850</wp:posOffset>
                  </wp:positionH>
                  <wp:positionV relativeFrom="paragraph">
                    <wp:posOffset>38100</wp:posOffset>
                  </wp:positionV>
                  <wp:extent cx="2447925" cy="1581150"/>
                  <wp:effectExtent l="0" t="0" r="9525" b="0"/>
                  <wp:wrapNone/>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pic:cNvPicPr>
                        </pic:nvPicPr>
                        <pic:blipFill>
                          <a:blip r:embed="rId30"/>
                          <a:srcRect l="999"/>
                          <a:stretch>
                            <a:fillRect/>
                          </a:stretch>
                        </pic:blipFill>
                        <pic:spPr>
                          <a:xfrm>
                            <a:off x="0" y="0"/>
                            <a:ext cx="2454275" cy="1583055"/>
                          </a:xfrm>
                          <a:prstGeom prst="rect">
                            <a:avLst/>
                          </a:prstGeom>
                          <a:noFill/>
                          <a:ln w="9525">
                            <a:noFill/>
                          </a:ln>
                        </pic:spPr>
                      </pic:pic>
                    </a:graphicData>
                  </a:graphic>
                </wp:anchor>
              </w:drawing>
            </w:r>
          </w:p>
          <w:p>
            <w:pPr>
              <w:kinsoku/>
              <w:autoSpaceDE/>
              <w:autoSpaceDN/>
              <w:adjustRightInd/>
              <w:snapToGrid/>
              <w:textAlignment w:val="auto"/>
              <w:rPr>
                <w:rFonts w:ascii="宋体" w:hAnsi="宋体" w:eastAsia="宋体" w:cs="宋体"/>
                <w:snapToGrid/>
                <w:sz w:val="22"/>
                <w:szCs w:val="22"/>
              </w:rPr>
            </w:pPr>
          </w:p>
          <w:p>
            <w:pPr>
              <w:pStyle w:val="2"/>
              <w:rPr>
                <w:rFonts w:eastAsiaTheme="minorEastAsia"/>
              </w:rPr>
            </w:pPr>
          </w:p>
          <w:p>
            <w:pPr>
              <w:pStyle w:val="3"/>
              <w:ind w:firstLine="210"/>
              <w:rPr>
                <w:rFonts w:eastAsiaTheme="minorEastAsia"/>
              </w:rPr>
            </w:pPr>
          </w:p>
        </w:tc>
      </w:tr>
      <w:tr>
        <w:tblPrEx>
          <w:tblCellMar>
            <w:top w:w="0" w:type="dxa"/>
            <w:left w:w="108" w:type="dxa"/>
            <w:bottom w:w="0" w:type="dxa"/>
            <w:right w:w="108" w:type="dxa"/>
          </w:tblCellMar>
        </w:tblPrEx>
        <w:trPr>
          <w:trHeight w:val="642" w:hRule="atLeast"/>
        </w:trPr>
        <w:tc>
          <w:tcPr>
            <w:tcW w:w="2190"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DMX512</w:t>
            </w:r>
          </w:p>
        </w:tc>
        <w:tc>
          <w:tcPr>
            <w:tcW w:w="4888" w:type="dxa"/>
            <w:gridSpan w:val="3"/>
            <w:vMerge w:val="continue"/>
            <w:tcBorders>
              <w:top w:val="nil"/>
              <w:left w:val="nil"/>
              <w:bottom w:val="nil"/>
              <w:right w:val="nil"/>
            </w:tcBorders>
            <w:vAlign w:val="center"/>
          </w:tcPr>
          <w:p>
            <w:pPr>
              <w:kinsoku/>
              <w:autoSpaceDE/>
              <w:autoSpaceDN/>
              <w:adjustRightInd/>
              <w:snapToGrid/>
              <w:textAlignment w:val="auto"/>
              <w:rPr>
                <w:rFonts w:ascii="宋体" w:hAnsi="宋体" w:eastAsia="宋体" w:cs="宋体"/>
                <w:snapToGrid/>
                <w:sz w:val="22"/>
                <w:szCs w:val="22"/>
              </w:rPr>
            </w:pPr>
          </w:p>
        </w:tc>
      </w:tr>
    </w:tbl>
    <w:p>
      <w:pPr>
        <w:pStyle w:val="2"/>
        <w:rPr>
          <w:rFonts w:eastAsiaTheme="minorEastAsia"/>
        </w:rPr>
      </w:pPr>
    </w:p>
    <w:p>
      <w:pPr>
        <w:pStyle w:val="3"/>
        <w:ind w:firstLine="210"/>
        <w:rPr>
          <w:rFonts w:eastAsiaTheme="minorEastAsia"/>
        </w:rPr>
      </w:pPr>
    </w:p>
    <w:p>
      <w:pPr>
        <w:rPr>
          <w:rFonts w:eastAsiaTheme="minorEastAsia"/>
        </w:rPr>
      </w:pPr>
    </w:p>
    <w:tbl>
      <w:tblPr>
        <w:tblStyle w:val="21"/>
        <w:tblW w:w="9616" w:type="dxa"/>
        <w:tblInd w:w="108" w:type="dxa"/>
        <w:tblLayout w:type="autofit"/>
        <w:tblCellMar>
          <w:top w:w="0" w:type="dxa"/>
          <w:left w:w="108" w:type="dxa"/>
          <w:bottom w:w="0" w:type="dxa"/>
          <w:right w:w="108" w:type="dxa"/>
        </w:tblCellMar>
      </w:tblPr>
      <w:tblGrid>
        <w:gridCol w:w="2265"/>
        <w:gridCol w:w="1328"/>
        <w:gridCol w:w="1328"/>
        <w:gridCol w:w="1276"/>
        <w:gridCol w:w="1276"/>
        <w:gridCol w:w="2336"/>
      </w:tblGrid>
      <w:tr>
        <w:tblPrEx>
          <w:tblCellMar>
            <w:top w:w="0" w:type="dxa"/>
            <w:left w:w="108" w:type="dxa"/>
            <w:bottom w:w="0" w:type="dxa"/>
            <w:right w:w="108" w:type="dxa"/>
          </w:tblCellMar>
        </w:tblPrEx>
        <w:trPr>
          <w:trHeight w:val="319" w:hRule="atLeast"/>
        </w:trPr>
        <w:tc>
          <w:tcPr>
            <w:tcW w:w="2176"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光束灯380W</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r>
      <w:tr>
        <w:tblPrEx>
          <w:tblCellMar>
            <w:top w:w="0" w:type="dxa"/>
            <w:left w:w="108" w:type="dxa"/>
            <w:bottom w:w="0" w:type="dxa"/>
            <w:right w:w="108" w:type="dxa"/>
          </w:tblCellMar>
        </w:tblPrEx>
        <w:trPr>
          <w:trHeight w:val="2520" w:hRule="atLeast"/>
        </w:trPr>
        <w:tc>
          <w:tcPr>
            <w:tcW w:w="4728"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85888" behindDoc="0" locked="0" layoutInCell="1" allowOverlap="1">
                  <wp:simplePos x="0" y="0"/>
                  <wp:positionH relativeFrom="column">
                    <wp:posOffset>1247775</wp:posOffset>
                  </wp:positionH>
                  <wp:positionV relativeFrom="paragraph">
                    <wp:posOffset>66675</wp:posOffset>
                  </wp:positionV>
                  <wp:extent cx="923925" cy="1457325"/>
                  <wp:effectExtent l="0" t="0" r="9525" b="0"/>
                  <wp:wrapNone/>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31"/>
                          <a:stretch>
                            <a:fillRect/>
                          </a:stretch>
                        </pic:blipFill>
                        <pic:spPr>
                          <a:xfrm>
                            <a:off x="0" y="0"/>
                            <a:ext cx="932180" cy="1456055"/>
                          </a:xfrm>
                          <a:prstGeom prst="rect">
                            <a:avLst/>
                          </a:prstGeom>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700"/>
            </w:tblGrid>
            <w:tr>
              <w:tblPrEx>
                <w:tblCellMar>
                  <w:top w:w="0" w:type="dxa"/>
                  <w:left w:w="0" w:type="dxa"/>
                  <w:bottom w:w="0" w:type="dxa"/>
                  <w:right w:w="0" w:type="dxa"/>
                </w:tblCellMar>
              </w:tblPrEx>
              <w:trPr>
                <w:trHeight w:val="2520" w:hRule="atLeast"/>
                <w:tblCellSpacing w:w="0" w:type="dxa"/>
              </w:trPr>
              <w:tc>
                <w:tcPr>
                  <w:tcW w:w="4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86912" behindDoc="0" locked="0" layoutInCell="1" allowOverlap="1">
                  <wp:simplePos x="0" y="0"/>
                  <wp:positionH relativeFrom="column">
                    <wp:posOffset>19050</wp:posOffset>
                  </wp:positionH>
                  <wp:positionV relativeFrom="paragraph">
                    <wp:posOffset>228600</wp:posOffset>
                  </wp:positionV>
                  <wp:extent cx="3019425" cy="1133475"/>
                  <wp:effectExtent l="0" t="0" r="0" b="9525"/>
                  <wp:wrapNone/>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32"/>
                          <a:stretch>
                            <a:fillRect/>
                          </a:stretch>
                        </pic:blipFill>
                        <pic:spPr>
                          <a:xfrm>
                            <a:off x="0" y="0"/>
                            <a:ext cx="3023235" cy="1137285"/>
                          </a:xfrm>
                          <a:prstGeom prst="rect">
                            <a:avLst/>
                          </a:prstGeom>
                        </pic:spPr>
                      </pic:pic>
                    </a:graphicData>
                  </a:graphic>
                </wp:anchor>
              </w:drawing>
            </w:r>
            <w:r>
              <w:rPr>
                <w:rFonts w:hint="eastAsia" w:ascii="微软雅黑" w:hAnsi="微软雅黑" w:eastAsia="微软雅黑" w:cs="宋体"/>
                <w:b/>
                <w:bCs/>
                <w:snapToGrid/>
                <w:sz w:val="12"/>
                <w:szCs w:val="12"/>
              </w:rPr>
              <w:t>单位：mm</w:t>
            </w:r>
          </w:p>
        </w:tc>
      </w:tr>
      <w:tr>
        <w:tblPrEx>
          <w:tblCellMar>
            <w:top w:w="0" w:type="dxa"/>
            <w:left w:w="108" w:type="dxa"/>
            <w:bottom w:w="0" w:type="dxa"/>
            <w:right w:w="108" w:type="dxa"/>
          </w:tblCellMar>
        </w:tblPrEx>
        <w:trPr>
          <w:trHeight w:val="439"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激光</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19+1颜色盘</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宋体" w:hAnsi="宋体" w:eastAsia="宋体" w:cs="宋体"/>
                <w:snapToGrid/>
                <w:sz w:val="12"/>
                <w:szCs w:val="12"/>
              </w:rPr>
            </w:pPr>
            <w:r>
              <w:rPr>
                <w:rFonts w:hint="eastAsia" w:ascii="宋体" w:hAnsi="宋体" w:eastAsia="宋体" w:cs="宋体"/>
                <w:snapToGrid/>
                <w:sz w:val="12"/>
                <w:szCs w:val="12"/>
              </w:rPr>
              <w:t>激光光源</w:t>
            </w:r>
          </w:p>
        </w:tc>
        <w:tc>
          <w:tcPr>
            <w:tcW w:w="1276" w:type="dxa"/>
            <w:tcBorders>
              <w:top w:val="nil"/>
              <w:left w:val="nil"/>
              <w:bottom w:val="single" w:color="auto" w:sz="4" w:space="0"/>
              <w:right w:val="single" w:color="auto" w:sz="4" w:space="0"/>
            </w:tcBorders>
            <w:shd w:val="clear" w:color="000000" w:fill="F2F2F2"/>
            <w:vAlign w:val="center"/>
          </w:tcPr>
          <w:p>
            <w:pPr>
              <w:kinsoku/>
              <w:autoSpaceDE/>
              <w:autoSpaceDN/>
              <w:adjustRightInd/>
              <w:snapToGrid/>
              <w:spacing w:after="240"/>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≥20000小时</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宋体" w:hAnsi="宋体" w:eastAsia="宋体" w:cs="宋体"/>
                <w:snapToGrid/>
                <w:sz w:val="12"/>
                <w:szCs w:val="12"/>
              </w:rPr>
            </w:pPr>
            <w:r>
              <w:rPr>
                <w:rFonts w:hint="eastAsia" w:ascii="宋体" w:hAnsi="宋体" w:eastAsia="宋体" w:cs="宋体"/>
                <w:snapToGrid/>
                <w:sz w:val="12"/>
                <w:szCs w:val="12"/>
              </w:rPr>
              <w:t>/</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-20℃~45℃</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宋体" w:hAnsi="宋体" w:eastAsia="宋体" w:cs="宋体"/>
                <w:snapToGrid/>
                <w:sz w:val="12"/>
                <w:szCs w:val="12"/>
              </w:rPr>
            </w:pPr>
            <w:r>
              <w:rPr>
                <w:rFonts w:hint="eastAsia" w:ascii="宋体" w:hAnsi="宋体" w:eastAsia="宋体"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IP65</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AC100V-AC240V</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 xml:space="preserve">380W  </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光束角</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1°</w:t>
            </w:r>
          </w:p>
        </w:tc>
        <w:tc>
          <w:tcPr>
            <w:tcW w:w="4888"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激光光源</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雅江光电（ARCTIK）</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1980"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642"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6"/>
                <w:szCs w:val="16"/>
              </w:rPr>
            </w:pPr>
            <w:r>
              <w:rPr>
                <w:rFonts w:hint="eastAsia" w:ascii="微软雅黑" w:hAnsi="微软雅黑" w:eastAsia="微软雅黑" w:cs="宋体"/>
                <w:snapToGrid/>
                <w:sz w:val="16"/>
                <w:szCs w:val="16"/>
              </w:rPr>
              <w:t>/</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2"/>
                <w:szCs w:val="12"/>
              </w:rPr>
            </w:pPr>
          </w:p>
        </w:tc>
      </w:tr>
      <w:tr>
        <w:tblPrEx>
          <w:tblCellMar>
            <w:top w:w="0" w:type="dxa"/>
            <w:left w:w="108" w:type="dxa"/>
            <w:bottom w:w="0" w:type="dxa"/>
            <w:right w:w="108" w:type="dxa"/>
          </w:tblCellMar>
        </w:tblPrEx>
        <w:trPr>
          <w:trHeight w:val="1399"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1、灯体自带控制界面，也可外接DMX512控制系统</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2、具备智能温控调节功能，可根据工作温度自动调节电流输出</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3、机械运动：水平540°,垂直270°；旋转快速平滑无抖动</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4、16bit平滑调光，调光过程无抖动、无频闪</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5、内置dim4调光曲线，曲线可远程调整</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xml:space="preserve">6、0-25Hz频闪"  </w:t>
            </w:r>
          </w:p>
        </w:tc>
      </w:tr>
    </w:tbl>
    <w:p>
      <w:pPr>
        <w:pStyle w:val="2"/>
        <w:rPr>
          <w:rFonts w:eastAsiaTheme="minorEastAsia"/>
        </w:rPr>
      </w:pPr>
    </w:p>
    <w:p>
      <w:pPr>
        <w:pStyle w:val="3"/>
        <w:ind w:firstLine="210"/>
        <w:rPr>
          <w:rFonts w:eastAsiaTheme="minorEastAsia"/>
        </w:rPr>
      </w:pPr>
    </w:p>
    <w:tbl>
      <w:tblPr>
        <w:tblStyle w:val="21"/>
        <w:tblW w:w="9616" w:type="dxa"/>
        <w:tblInd w:w="108" w:type="dxa"/>
        <w:tblLayout w:type="autofit"/>
        <w:tblCellMar>
          <w:top w:w="0" w:type="dxa"/>
          <w:left w:w="108" w:type="dxa"/>
          <w:bottom w:w="0" w:type="dxa"/>
          <w:right w:w="108" w:type="dxa"/>
        </w:tblCellMar>
      </w:tblPr>
      <w:tblGrid>
        <w:gridCol w:w="2265"/>
        <w:gridCol w:w="1328"/>
        <w:gridCol w:w="1328"/>
        <w:gridCol w:w="1276"/>
        <w:gridCol w:w="1276"/>
        <w:gridCol w:w="2336"/>
      </w:tblGrid>
      <w:tr>
        <w:tblPrEx>
          <w:tblCellMar>
            <w:top w:w="0" w:type="dxa"/>
            <w:left w:w="108" w:type="dxa"/>
            <w:bottom w:w="0" w:type="dxa"/>
            <w:right w:w="108" w:type="dxa"/>
          </w:tblCellMar>
        </w:tblPrEx>
        <w:trPr>
          <w:trHeight w:val="319" w:hRule="atLeast"/>
        </w:trPr>
        <w:tc>
          <w:tcPr>
            <w:tcW w:w="2176" w:type="dxa"/>
            <w:tcBorders>
              <w:top w:val="nil"/>
              <w:left w:val="nil"/>
              <w:bottom w:val="nil"/>
              <w:right w:val="nil"/>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22"/>
                <w:szCs w:val="22"/>
              </w:rPr>
            </w:pPr>
            <w:r>
              <w:rPr>
                <w:rFonts w:hint="eastAsia" w:ascii="微软雅黑" w:hAnsi="微软雅黑" w:eastAsia="微软雅黑" w:cs="宋体"/>
                <w:b/>
                <w:bCs/>
                <w:snapToGrid/>
                <w:sz w:val="22"/>
                <w:szCs w:val="22"/>
              </w:rPr>
              <w:t>激光灯30W</w:t>
            </w: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127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c>
          <w:tcPr>
            <w:tcW w:w="2336" w:type="dxa"/>
            <w:tcBorders>
              <w:top w:val="nil"/>
              <w:left w:val="nil"/>
              <w:bottom w:val="nil"/>
              <w:right w:val="nil"/>
            </w:tcBorders>
            <w:shd w:val="clear" w:color="auto" w:fill="auto"/>
            <w:noWrap/>
            <w:vAlign w:val="center"/>
          </w:tcPr>
          <w:p>
            <w:pPr>
              <w:kinsoku/>
              <w:autoSpaceDE/>
              <w:autoSpaceDN/>
              <w:adjustRightInd/>
              <w:snapToGrid/>
              <w:textAlignment w:val="auto"/>
              <w:rPr>
                <w:rFonts w:ascii="微软雅黑" w:hAnsi="微软雅黑" w:eastAsia="微软雅黑" w:cs="宋体"/>
                <w:b/>
                <w:bCs/>
                <w:snapToGrid/>
                <w:sz w:val="22"/>
                <w:szCs w:val="22"/>
              </w:rPr>
            </w:pPr>
          </w:p>
        </w:tc>
      </w:tr>
      <w:tr>
        <w:tblPrEx>
          <w:tblCellMar>
            <w:top w:w="0" w:type="dxa"/>
            <w:left w:w="108" w:type="dxa"/>
            <w:bottom w:w="0" w:type="dxa"/>
            <w:right w:w="108" w:type="dxa"/>
          </w:tblCellMar>
        </w:tblPrEx>
        <w:trPr>
          <w:trHeight w:val="3000" w:hRule="atLeast"/>
        </w:trPr>
        <w:tc>
          <w:tcPr>
            <w:tcW w:w="4728" w:type="dxa"/>
            <w:gridSpan w:val="3"/>
            <w:tcBorders>
              <w:top w:val="nil"/>
              <w:left w:val="nil"/>
              <w:bottom w:val="nil"/>
              <w:right w:val="nil"/>
            </w:tcBorders>
            <w:shd w:val="clear" w:color="auto" w:fill="auto"/>
            <w:noWrap/>
            <w:vAlign w:val="center"/>
          </w:tcPr>
          <w:p>
            <w:pPr>
              <w:kinsoku/>
              <w:autoSpaceDE/>
              <w:autoSpaceDN/>
              <w:adjustRightInd/>
              <w:snapToGrid/>
              <w:textAlignment w:val="auto"/>
              <w:rPr>
                <w:rFonts w:ascii="宋体" w:hAnsi="宋体" w:eastAsia="宋体" w:cs="宋体"/>
                <w:snapToGrid/>
                <w:sz w:val="22"/>
                <w:szCs w:val="22"/>
              </w:rPr>
            </w:pPr>
            <w:r>
              <w:rPr>
                <w:rFonts w:ascii="宋体" w:hAnsi="宋体" w:eastAsia="宋体" w:cs="宋体"/>
                <w:snapToGrid/>
                <w:sz w:val="22"/>
                <w:szCs w:val="22"/>
              </w:rPr>
              <w:drawing>
                <wp:anchor distT="0" distB="0" distL="114300" distR="114300" simplePos="0" relativeHeight="251687936" behindDoc="0" locked="0" layoutInCell="1" allowOverlap="1">
                  <wp:simplePos x="0" y="0"/>
                  <wp:positionH relativeFrom="column">
                    <wp:posOffset>38100</wp:posOffset>
                  </wp:positionH>
                  <wp:positionV relativeFrom="paragraph">
                    <wp:posOffset>190500</wp:posOffset>
                  </wp:positionV>
                  <wp:extent cx="2886075" cy="1457325"/>
                  <wp:effectExtent l="0" t="0" r="0" b="9525"/>
                  <wp:wrapNone/>
                  <wp:docPr id="416" name="图片 416" descr="PreviewF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PreviewFile2"/>
                          <pic:cNvPicPr>
                            <a:picLocks noChangeAspect="1" noChangeArrowheads="1"/>
                          </pic:cNvPicPr>
                        </pic:nvPicPr>
                        <pic:blipFill>
                          <a:blip r:embed="rId33"/>
                          <a:srcRect t="16838" b="20851"/>
                          <a:stretch>
                            <a:fillRect/>
                          </a:stretch>
                        </pic:blipFill>
                        <pic:spPr>
                          <a:xfrm>
                            <a:off x="0" y="0"/>
                            <a:ext cx="2874010" cy="1459230"/>
                          </a:xfrm>
                          <a:prstGeom prst="rect">
                            <a:avLst/>
                          </a:prstGeom>
                          <a:noFill/>
                          <a:ln w="9525">
                            <a:noFill/>
                            <a:miter lim="800000"/>
                            <a:headEnd/>
                            <a:tailEnd/>
                          </a:ln>
                        </pic:spPr>
                      </pic:pic>
                    </a:graphicData>
                  </a:graphic>
                </wp:anchor>
              </w:drawing>
            </w:r>
          </w:p>
          <w:tbl>
            <w:tblPr>
              <w:tblStyle w:val="21"/>
              <w:tblW w:w="0" w:type="auto"/>
              <w:tblCellSpacing w:w="0" w:type="dxa"/>
              <w:tblInd w:w="0" w:type="dxa"/>
              <w:tblLayout w:type="autofit"/>
              <w:tblCellMar>
                <w:top w:w="0" w:type="dxa"/>
                <w:left w:w="0" w:type="dxa"/>
                <w:bottom w:w="0" w:type="dxa"/>
                <w:right w:w="0" w:type="dxa"/>
              </w:tblCellMar>
            </w:tblPr>
            <w:tblGrid>
              <w:gridCol w:w="4700"/>
            </w:tblGrid>
            <w:tr>
              <w:tblPrEx>
                <w:tblCellMar>
                  <w:top w:w="0" w:type="dxa"/>
                  <w:left w:w="0" w:type="dxa"/>
                  <w:bottom w:w="0" w:type="dxa"/>
                  <w:right w:w="0" w:type="dxa"/>
                </w:tblCellMar>
              </w:tblPrEx>
              <w:trPr>
                <w:trHeight w:val="3000" w:hRule="atLeast"/>
                <w:tblCellSpacing w:w="0" w:type="dxa"/>
              </w:trPr>
              <w:tc>
                <w:tcPr>
                  <w:tcW w:w="4680" w:type="dxa"/>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bl>
          <w:p>
            <w:pPr>
              <w:kinsoku/>
              <w:autoSpaceDE/>
              <w:autoSpaceDN/>
              <w:adjustRightInd/>
              <w:snapToGrid/>
              <w:textAlignment w:val="auto"/>
              <w:rPr>
                <w:rFonts w:ascii="宋体" w:hAnsi="宋体" w:eastAsia="宋体" w:cs="宋体"/>
                <w:snapToGrid/>
                <w:sz w:val="22"/>
                <w:szCs w:val="22"/>
              </w:rPr>
            </w:pPr>
          </w:p>
        </w:tc>
        <w:tc>
          <w:tcPr>
            <w:tcW w:w="4888" w:type="dxa"/>
            <w:gridSpan w:val="3"/>
            <w:tcBorders>
              <w:top w:val="single" w:color="auto" w:sz="4" w:space="0"/>
              <w:left w:val="nil"/>
              <w:bottom w:val="single" w:color="auto" w:sz="4" w:space="0"/>
              <w:right w:val="single" w:color="auto" w:sz="4" w:space="0"/>
            </w:tcBorders>
            <w:shd w:val="clear" w:color="auto" w:fill="auto"/>
            <w:noWrap/>
          </w:tcPr>
          <w:p>
            <w:pPr>
              <w:kinsoku/>
              <w:autoSpaceDE/>
              <w:autoSpaceDN/>
              <w:adjustRightInd/>
              <w:snapToGrid/>
              <w:textAlignment w:val="auto"/>
              <w:rPr>
                <w:rFonts w:ascii="微软雅黑" w:hAnsi="微软雅黑" w:eastAsia="微软雅黑" w:cs="宋体"/>
                <w:b/>
                <w:bCs/>
                <w:snapToGrid/>
                <w:sz w:val="12"/>
                <w:szCs w:val="12"/>
              </w:rPr>
            </w:pPr>
            <w:r>
              <w:rPr>
                <w:rFonts w:ascii="微软雅黑" w:hAnsi="微软雅黑" w:eastAsia="微软雅黑" w:cs="宋体"/>
                <w:b/>
                <w:bCs/>
                <w:snapToGrid/>
                <w:sz w:val="12"/>
                <w:szCs w:val="12"/>
              </w:rPr>
              <w:drawing>
                <wp:anchor distT="0" distB="0" distL="114300" distR="114300" simplePos="0" relativeHeight="251688960" behindDoc="0" locked="0" layoutInCell="1" allowOverlap="1">
                  <wp:simplePos x="0" y="0"/>
                  <wp:positionH relativeFrom="column">
                    <wp:posOffset>323850</wp:posOffset>
                  </wp:positionH>
                  <wp:positionV relativeFrom="paragraph">
                    <wp:posOffset>85725</wp:posOffset>
                  </wp:positionV>
                  <wp:extent cx="2390775" cy="1762125"/>
                  <wp:effectExtent l="0" t="0" r="0" b="9525"/>
                  <wp:wrapNone/>
                  <wp:docPr id="351" name="图片 351" descr="微信图片_2023032315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微信图片_20230323154814"/>
                          <pic:cNvPicPr>
                            <a:picLocks noChangeAspect="1" noChangeArrowheads="1"/>
                          </pic:cNvPicPr>
                        </pic:nvPicPr>
                        <pic:blipFill>
                          <a:blip r:embed="rId34"/>
                          <a:srcRect/>
                          <a:stretch>
                            <a:fillRect/>
                          </a:stretch>
                        </pic:blipFill>
                        <pic:spPr>
                          <a:xfrm>
                            <a:off x="0" y="0"/>
                            <a:ext cx="2390775" cy="1764030"/>
                          </a:xfrm>
                          <a:prstGeom prst="rect">
                            <a:avLst/>
                          </a:prstGeom>
                          <a:noFill/>
                          <a:ln w="9525">
                            <a:noFill/>
                            <a:miter lim="800000"/>
                            <a:headEnd/>
                            <a:tailEnd/>
                          </a:ln>
                        </pic:spPr>
                      </pic:pic>
                    </a:graphicData>
                  </a:graphic>
                </wp:anchor>
              </w:drawing>
            </w:r>
            <w:r>
              <w:rPr>
                <w:rFonts w:hint="eastAsia" w:ascii="微软雅黑" w:hAnsi="微软雅黑" w:eastAsia="微软雅黑" w:cs="宋体"/>
                <w:b/>
                <w:bCs/>
                <w:snapToGrid/>
                <w:sz w:val="12"/>
                <w:szCs w:val="12"/>
              </w:rPr>
              <w:t>单位：mm</w:t>
            </w:r>
          </w:p>
        </w:tc>
      </w:tr>
      <w:tr>
        <w:tblPrEx>
          <w:tblCellMar>
            <w:top w:w="0" w:type="dxa"/>
            <w:left w:w="108" w:type="dxa"/>
            <w:bottom w:w="0" w:type="dxa"/>
            <w:right w:w="108" w:type="dxa"/>
          </w:tblCellMar>
        </w:tblPrEx>
        <w:trPr>
          <w:trHeight w:val="439"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应用类型</w:t>
            </w: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激光</w:t>
            </w:r>
          </w:p>
        </w:tc>
        <w:tc>
          <w:tcPr>
            <w:tcW w:w="4888" w:type="dxa"/>
            <w:gridSpan w:val="3"/>
            <w:tcBorders>
              <w:top w:val="single" w:color="auto" w:sz="4" w:space="0"/>
              <w:left w:val="nil"/>
              <w:bottom w:val="single" w:color="auto" w:sz="4" w:space="0"/>
              <w:right w:val="single" w:color="auto" w:sz="4" w:space="0"/>
            </w:tcBorders>
            <w:shd w:val="clear" w:color="auto" w:fill="auto"/>
          </w:tcPr>
          <w:p>
            <w:pPr>
              <w:kinsoku/>
              <w:autoSpaceDE/>
              <w:autoSpaceDN/>
              <w:adjustRightInd/>
              <w:snapToGrid/>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注：灯具图片仅作参考，灯珠排布及灯具外型由厂家深化，设计方及业主方最终确定. 灯具尺寸不大于图示尺寸。</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基本参数</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色彩</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光源</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寿命</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重量</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材质</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全彩</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宋体" w:hAnsi="宋体" w:eastAsia="宋体" w:cs="宋体"/>
                <w:snapToGrid/>
                <w:sz w:val="12"/>
                <w:szCs w:val="12"/>
              </w:rPr>
            </w:pPr>
            <w:r>
              <w:rPr>
                <w:rFonts w:hint="eastAsia" w:ascii="宋体" w:hAnsi="宋体" w:eastAsia="宋体" w:cs="宋体"/>
                <w:snapToGrid/>
                <w:sz w:val="12"/>
                <w:szCs w:val="12"/>
              </w:rPr>
              <w:t>激光光源</w:t>
            </w:r>
          </w:p>
        </w:tc>
        <w:tc>
          <w:tcPr>
            <w:tcW w:w="1276" w:type="dxa"/>
            <w:tcBorders>
              <w:top w:val="nil"/>
              <w:left w:val="nil"/>
              <w:bottom w:val="single" w:color="auto" w:sz="4" w:space="0"/>
              <w:right w:val="single" w:color="auto" w:sz="4" w:space="0"/>
            </w:tcBorders>
            <w:shd w:val="clear" w:color="000000" w:fill="F2F2F2"/>
            <w:vAlign w:val="center"/>
          </w:tcPr>
          <w:p>
            <w:pPr>
              <w:kinsoku/>
              <w:autoSpaceDE/>
              <w:autoSpaceDN/>
              <w:adjustRightInd/>
              <w:snapToGrid/>
              <w:spacing w:after="240"/>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≥20000小时</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35KG</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宋体" w:hAnsi="宋体" w:eastAsia="宋体" w:cs="宋体"/>
                <w:snapToGrid/>
                <w:sz w:val="12"/>
                <w:szCs w:val="12"/>
              </w:rPr>
            </w:pPr>
            <w:r>
              <w:rPr>
                <w:rFonts w:hint="eastAsia" w:ascii="宋体" w:hAnsi="宋体" w:eastAsia="宋体" w:cs="宋体"/>
                <w:snapToGrid/>
                <w:sz w:val="12"/>
                <w:szCs w:val="12"/>
              </w:rPr>
              <w:t>/</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工作条件</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储存温度</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防护等级</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应用环境</w:t>
            </w:r>
          </w:p>
        </w:tc>
        <w:tc>
          <w:tcPr>
            <w:tcW w:w="233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工作湿度</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40℃~-45℃</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宋体" w:hAnsi="宋体" w:eastAsia="宋体" w:cs="宋体"/>
                <w:snapToGrid/>
                <w:sz w:val="12"/>
                <w:szCs w:val="12"/>
              </w:rPr>
            </w:pPr>
            <w:r>
              <w:rPr>
                <w:rFonts w:hint="eastAsia" w:ascii="宋体" w:hAnsi="宋体" w:eastAsia="宋体"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IP67</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233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&lt; 95%</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电气参数</w:t>
            </w:r>
          </w:p>
        </w:tc>
        <w:tc>
          <w:tcPr>
            <w:tcW w:w="382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工作电压</w:t>
            </w:r>
          </w:p>
        </w:tc>
        <w:tc>
          <w:tcPr>
            <w:tcW w:w="361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最大功率</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3828" w:type="dxa"/>
            <w:gridSpan w:val="3"/>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AC110V-220V 50\60Hz</w:t>
            </w:r>
          </w:p>
        </w:tc>
        <w:tc>
          <w:tcPr>
            <w:tcW w:w="361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color w:val="auto"/>
                <w:sz w:val="12"/>
                <w:szCs w:val="12"/>
              </w:rPr>
            </w:pPr>
            <w:r>
              <w:rPr>
                <w:rFonts w:hint="eastAsia" w:ascii="微软雅黑" w:hAnsi="微软雅黑" w:eastAsia="微软雅黑" w:cs="宋体"/>
                <w:snapToGrid/>
                <w:color w:val="auto"/>
                <w:sz w:val="12"/>
                <w:szCs w:val="12"/>
              </w:rPr>
              <w:t>30W</w:t>
            </w: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光学参数</w:t>
            </w:r>
          </w:p>
        </w:tc>
        <w:tc>
          <w:tcPr>
            <w:tcW w:w="2552" w:type="dxa"/>
            <w:gridSpan w:val="2"/>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振镜扫描角度</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配光曲线</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X/Y 60°(±30°)</w:t>
            </w:r>
          </w:p>
        </w:tc>
        <w:tc>
          <w:tcPr>
            <w:tcW w:w="4888"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w:t>
            </w: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能效值</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光源</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激光光源</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D9D9D9"/>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灯珠品牌</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2552" w:type="dxa"/>
            <w:gridSpan w:val="2"/>
            <w:tcBorders>
              <w:top w:val="single" w:color="auto" w:sz="4" w:space="0"/>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原装进口日亚芯片</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snapToGrid/>
                <w:sz w:val="12"/>
                <w:szCs w:val="12"/>
              </w:rPr>
            </w:pPr>
          </w:p>
        </w:tc>
      </w:tr>
      <w:tr>
        <w:tblPrEx>
          <w:tblCellMar>
            <w:top w:w="0" w:type="dxa"/>
            <w:left w:w="108" w:type="dxa"/>
            <w:bottom w:w="0" w:type="dxa"/>
            <w:right w:w="108" w:type="dxa"/>
          </w:tblCellMar>
        </w:tblPrEx>
        <w:trPr>
          <w:trHeight w:val="319" w:hRule="atLeast"/>
        </w:trPr>
        <w:tc>
          <w:tcPr>
            <w:tcW w:w="961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319" w:hRule="atLeast"/>
        </w:trPr>
        <w:tc>
          <w:tcPr>
            <w:tcW w:w="2176" w:type="dxa"/>
            <w:vMerge w:val="restart"/>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主控制器</w:t>
            </w:r>
          </w:p>
        </w:tc>
        <w:tc>
          <w:tcPr>
            <w:tcW w:w="1276" w:type="dxa"/>
            <w:tcBorders>
              <w:top w:val="nil"/>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分控制器</w:t>
            </w:r>
          </w:p>
        </w:tc>
        <w:tc>
          <w:tcPr>
            <w:tcW w:w="4888" w:type="dxa"/>
            <w:gridSpan w:val="3"/>
            <w:tcBorders>
              <w:top w:val="single" w:color="auto" w:sz="4" w:space="0"/>
              <w:left w:val="nil"/>
              <w:bottom w:val="single" w:color="auto" w:sz="4" w:space="0"/>
              <w:right w:val="single" w:color="auto" w:sz="4" w:space="0"/>
            </w:tcBorders>
            <w:shd w:val="clear" w:color="000000" w:fill="D9D9D9"/>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安装方式示意图</w:t>
            </w:r>
          </w:p>
        </w:tc>
      </w:tr>
      <w:tr>
        <w:tblPrEx>
          <w:tblCellMar>
            <w:top w:w="0" w:type="dxa"/>
            <w:left w:w="108" w:type="dxa"/>
            <w:bottom w:w="0" w:type="dxa"/>
            <w:right w:w="108" w:type="dxa"/>
          </w:tblCellMar>
        </w:tblPrEx>
        <w:trPr>
          <w:trHeight w:val="462" w:hRule="atLeast"/>
        </w:trPr>
        <w:tc>
          <w:tcPr>
            <w:tcW w:w="2176" w:type="dxa"/>
            <w:vMerge w:val="continue"/>
            <w:tcBorders>
              <w:top w:val="nil"/>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6"/>
                <w:szCs w:val="16"/>
              </w:rPr>
            </w:pP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1276" w:type="dxa"/>
            <w:tcBorders>
              <w:top w:val="nil"/>
              <w:left w:val="nil"/>
              <w:bottom w:val="single" w:color="auto" w:sz="4" w:space="0"/>
              <w:right w:val="single" w:color="auto" w:sz="4" w:space="0"/>
            </w:tcBorders>
            <w:shd w:val="clear" w:color="000000" w:fill="F2F2F2"/>
            <w:noWrap/>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w:t>
            </w:r>
          </w:p>
        </w:tc>
        <w:tc>
          <w:tcPr>
            <w:tcW w:w="4888"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insoku/>
              <w:autoSpaceDE/>
              <w:autoSpaceDN/>
              <w:adjustRightInd/>
              <w:snapToGrid/>
              <w:jc w:val="center"/>
              <w:textAlignment w:val="auto"/>
              <w:rPr>
                <w:rFonts w:ascii="微软雅黑" w:hAnsi="微软雅黑" w:eastAsia="微软雅黑" w:cs="宋体"/>
                <w:b/>
                <w:bCs/>
                <w:snapToGrid/>
                <w:sz w:val="12"/>
                <w:szCs w:val="12"/>
              </w:rPr>
            </w:pPr>
            <w:r>
              <w:rPr>
                <w:rFonts w:hint="eastAsia" w:ascii="微软雅黑" w:hAnsi="微软雅黑" w:eastAsia="微软雅黑" w:cs="宋体"/>
                <w:b/>
                <w:bCs/>
                <w:snapToGrid/>
                <w:sz w:val="12"/>
                <w:szCs w:val="12"/>
              </w:rPr>
              <w:t>　</w:t>
            </w:r>
          </w:p>
        </w:tc>
      </w:tr>
      <w:tr>
        <w:tblPrEx>
          <w:tblCellMar>
            <w:top w:w="0" w:type="dxa"/>
            <w:left w:w="108" w:type="dxa"/>
            <w:bottom w:w="0" w:type="dxa"/>
            <w:right w:w="108" w:type="dxa"/>
          </w:tblCellMar>
        </w:tblPrEx>
        <w:trPr>
          <w:trHeight w:val="462"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控制协议</w:t>
            </w:r>
          </w:p>
        </w:tc>
        <w:tc>
          <w:tcPr>
            <w:tcW w:w="2552" w:type="dxa"/>
            <w:gridSpan w:val="2"/>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RS232，DMX512，ArtNet ，UDP，TimeCode，MIDI</w:t>
            </w:r>
          </w:p>
        </w:tc>
        <w:tc>
          <w:tcPr>
            <w:tcW w:w="4888" w:type="dxa"/>
            <w:gridSpan w:val="3"/>
            <w:vMerge w:val="continue"/>
            <w:tcBorders>
              <w:top w:val="single" w:color="auto" w:sz="4" w:space="0"/>
              <w:left w:val="single" w:color="auto" w:sz="4" w:space="0"/>
              <w:bottom w:val="single" w:color="auto" w:sz="4" w:space="0"/>
              <w:right w:val="single" w:color="auto" w:sz="4" w:space="0"/>
            </w:tcBorders>
            <w:vAlign w:val="center"/>
          </w:tcPr>
          <w:p>
            <w:pPr>
              <w:kinsoku/>
              <w:autoSpaceDE/>
              <w:autoSpaceDN/>
              <w:adjustRightInd/>
              <w:snapToGrid/>
              <w:textAlignment w:val="auto"/>
              <w:rPr>
                <w:rFonts w:ascii="微软雅黑" w:hAnsi="微软雅黑" w:eastAsia="微软雅黑" w:cs="宋体"/>
                <w:b/>
                <w:bCs/>
                <w:snapToGrid/>
                <w:sz w:val="12"/>
                <w:szCs w:val="12"/>
              </w:rPr>
            </w:pPr>
          </w:p>
        </w:tc>
      </w:tr>
      <w:tr>
        <w:tblPrEx>
          <w:tblCellMar>
            <w:top w:w="0" w:type="dxa"/>
            <w:left w:w="108" w:type="dxa"/>
            <w:bottom w:w="0" w:type="dxa"/>
            <w:right w:w="108" w:type="dxa"/>
          </w:tblCellMar>
        </w:tblPrEx>
        <w:trPr>
          <w:trHeight w:val="2262" w:hRule="atLeast"/>
        </w:trPr>
        <w:tc>
          <w:tcPr>
            <w:tcW w:w="2176" w:type="dxa"/>
            <w:tcBorders>
              <w:top w:val="nil"/>
              <w:left w:val="single" w:color="auto" w:sz="4" w:space="0"/>
              <w:bottom w:val="single" w:color="auto" w:sz="4" w:space="0"/>
              <w:right w:val="single" w:color="auto" w:sz="4" w:space="0"/>
            </w:tcBorders>
            <w:shd w:val="clear" w:color="000000" w:fill="BFBFBF"/>
            <w:noWrap/>
            <w:vAlign w:val="center"/>
          </w:tcPr>
          <w:p>
            <w:pPr>
              <w:kinsoku/>
              <w:autoSpaceDE/>
              <w:autoSpaceDN/>
              <w:adjustRightInd/>
              <w:snapToGrid/>
              <w:jc w:val="center"/>
              <w:textAlignment w:val="auto"/>
              <w:rPr>
                <w:rFonts w:ascii="微软雅黑" w:hAnsi="微软雅黑" w:eastAsia="微软雅黑" w:cs="宋体"/>
                <w:b/>
                <w:bCs/>
                <w:snapToGrid/>
                <w:sz w:val="16"/>
                <w:szCs w:val="16"/>
              </w:rPr>
            </w:pPr>
            <w:r>
              <w:rPr>
                <w:rFonts w:hint="eastAsia" w:ascii="微软雅黑" w:hAnsi="微软雅黑" w:eastAsia="微软雅黑" w:cs="宋体"/>
                <w:b/>
                <w:bCs/>
                <w:snapToGrid/>
                <w:sz w:val="16"/>
                <w:szCs w:val="16"/>
              </w:rPr>
              <w:t>产品特点</w:t>
            </w:r>
          </w:p>
        </w:tc>
        <w:tc>
          <w:tcPr>
            <w:tcW w:w="7440" w:type="dxa"/>
            <w:gridSpan w:val="5"/>
            <w:tcBorders>
              <w:top w:val="single" w:color="auto" w:sz="4" w:space="0"/>
              <w:left w:val="nil"/>
              <w:bottom w:val="single" w:color="auto" w:sz="4" w:space="0"/>
              <w:right w:val="single" w:color="auto" w:sz="4" w:space="0"/>
            </w:tcBorders>
            <w:shd w:val="clear" w:color="000000" w:fill="F2F2F2"/>
            <w:vAlign w:val="center"/>
          </w:tcPr>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灯具特性及技术规格：</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一、灯体：采用6061铝合金CNC数控加工壳体，结合铝合金插片式散热器，热电分离式腔体设计，冲压成型硅橡胶密封圈防水结构，不锈钢透气阀平衡压差，防止结露，线束带防虹吸工艺，整体防护等级IP67，其结构工艺具有自主知识产权。</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二、激光光源为原装进口的高品质LD管。</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三、激光器自带制冷和精确控温系统，电源自带过流、过热保护和有针对感应雷击及静电的专用防护元件，确保信号和电源可靠传输，在环境温度变化时不会出现画面拼接缝隙；采用高端的激光器，光束质量更好，表演效果更眩，运行更为稳定。</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四、符合GB-7000.1-2015，GB-7000.204-2008关于通用灯具的安全标准。</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五、系统可无人值守运行，脱机工作（不需要电脑），并且支持上电自动播放，定制日期时间播放。</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六、激光灯的控制系统兼容UDP/IP、ARTNET、DMX、MIDI、TIMECODE等通讯协议，可配套具有自主知识产权的控制软件。</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 xml:space="preserve">七、结合多种控制协议可实现电脑网络控制、灯光控台控制、音频时间码控制等多种外控方式，可以无缝融入项目总控系统。 </w:t>
            </w:r>
          </w:p>
          <w:p>
            <w:pPr>
              <w:kinsoku/>
              <w:autoSpaceDE/>
              <w:autoSpaceDN/>
              <w:adjustRightInd/>
              <w:snapToGrid/>
              <w:jc w:val="center"/>
              <w:textAlignment w:val="auto"/>
              <w:rPr>
                <w:rFonts w:ascii="微软雅黑" w:hAnsi="微软雅黑" w:eastAsia="微软雅黑" w:cs="宋体"/>
                <w:snapToGrid/>
                <w:sz w:val="12"/>
                <w:szCs w:val="12"/>
              </w:rPr>
            </w:pPr>
            <w:r>
              <w:rPr>
                <w:rFonts w:hint="eastAsia" w:ascii="微软雅黑" w:hAnsi="微软雅黑" w:eastAsia="微软雅黑" w:cs="宋体"/>
                <w:snapToGrid/>
                <w:sz w:val="12"/>
                <w:szCs w:val="12"/>
              </w:rPr>
              <w:t>八、配套不锈钢安装支架，可方便地与现场平台实现对接安装，并可在水平、垂直方向调整角度。</w:t>
            </w:r>
          </w:p>
        </w:tc>
      </w:tr>
    </w:tbl>
    <w:p>
      <w:pPr>
        <w:rPr>
          <w:rFonts w:eastAsiaTheme="minorEastAsia"/>
        </w:rPr>
      </w:pPr>
    </w:p>
    <w:p>
      <w:pPr>
        <w:pStyle w:val="2"/>
        <w:rPr>
          <w:rFonts w:eastAsiaTheme="minorEastAsia"/>
        </w:rPr>
      </w:pPr>
    </w:p>
    <w:p>
      <w:pPr>
        <w:pStyle w:val="3"/>
        <w:ind w:firstLine="210"/>
        <w:rPr>
          <w:rFonts w:eastAsiaTheme="minorEastAsia"/>
        </w:rPr>
      </w:pPr>
    </w:p>
    <w:p>
      <w:pPr>
        <w:spacing w:before="75" w:line="230" w:lineRule="auto"/>
        <w:ind w:left="141"/>
        <w:outlineLvl w:val="2"/>
        <w:rPr>
          <w:rFonts w:ascii="宋体" w:hAnsi="宋体" w:eastAsia="宋体" w:cs="宋体"/>
          <w:color w:val="000000" w:themeColor="text1"/>
          <w:sz w:val="23"/>
          <w:szCs w:val="23"/>
          <w14:textFill>
            <w14:solidFill>
              <w14:schemeClr w14:val="tx1"/>
            </w14:solidFill>
          </w14:textFill>
        </w:rPr>
      </w:pPr>
      <w:bookmarkStart w:id="766" w:name="_Toc109826689"/>
      <w:r>
        <w:rPr>
          <w:rFonts w:ascii="宋体" w:hAnsi="宋体" w:eastAsia="宋体" w:cs="宋体"/>
          <w:color w:val="000000" w:themeColor="text1"/>
          <w:spacing w:val="11"/>
          <w:sz w:val="23"/>
          <w:szCs w:val="23"/>
          <w14:textFill>
            <w14:solidFill>
              <w14:schemeClr w14:val="tx1"/>
            </w14:solidFill>
          </w14:textFill>
        </w:rPr>
        <w:t>附</w:t>
      </w:r>
      <w:r>
        <w:rPr>
          <w:rFonts w:ascii="宋体" w:hAnsi="宋体" w:eastAsia="宋体" w:cs="宋体"/>
          <w:color w:val="000000" w:themeColor="text1"/>
          <w:spacing w:val="9"/>
          <w:sz w:val="23"/>
          <w:szCs w:val="23"/>
          <w14:textFill>
            <w14:solidFill>
              <w14:schemeClr w14:val="tx1"/>
            </w14:solidFill>
          </w14:textFill>
        </w:rPr>
        <w:t>件</w:t>
      </w:r>
      <w:r>
        <w:rPr>
          <w:rFonts w:ascii="黑体" w:hAnsi="黑体" w:eastAsia="黑体" w:cs="黑体"/>
          <w:color w:val="000000" w:themeColor="text1"/>
          <w:spacing w:val="9"/>
          <w:sz w:val="23"/>
          <w:szCs w:val="23"/>
          <w14:textFill>
            <w14:solidFill>
              <w14:schemeClr w14:val="tx1"/>
            </w14:solidFill>
          </w14:textFill>
        </w:rPr>
        <w:t>：</w:t>
      </w:r>
      <w:r>
        <w:rPr>
          <w:rFonts w:ascii="宋体" w:hAnsi="宋体" w:eastAsia="宋体" w:cs="宋体"/>
          <w:color w:val="000000" w:themeColor="text1"/>
          <w:spacing w:val="9"/>
          <w:sz w:val="23"/>
          <w:szCs w:val="23"/>
          <w14:textFill>
            <w14:solidFill>
              <w14:schemeClr w14:val="tx1"/>
            </w14:solidFill>
          </w14:textFill>
        </w:rPr>
        <w:t>主要设备材料备选品牌一览表</w:t>
      </w:r>
      <w:bookmarkEnd w:id="766"/>
    </w:p>
    <w:p>
      <w:pPr>
        <w:spacing w:line="144" w:lineRule="exact"/>
        <w:rPr>
          <w:color w:val="000000" w:themeColor="text1"/>
          <w14:textFill>
            <w14:solidFill>
              <w14:schemeClr w14:val="tx1"/>
            </w14:solidFill>
          </w14:textFill>
        </w:rPr>
      </w:pPr>
    </w:p>
    <w:tbl>
      <w:tblPr>
        <w:tblStyle w:val="27"/>
        <w:tblW w:w="92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238"/>
        <w:gridCol w:w="4536"/>
        <w:gridCol w:w="17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741" w:type="dxa"/>
          </w:tcPr>
          <w:p>
            <w:pPr>
              <w:spacing w:before="181" w:line="230" w:lineRule="auto"/>
              <w:ind w:left="165"/>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5"/>
                <w:sz w:val="20"/>
                <w:szCs w:val="20"/>
                <w14:textFill>
                  <w14:solidFill>
                    <w14:schemeClr w14:val="tx1"/>
                  </w14:solidFill>
                </w14:textFill>
              </w:rPr>
              <w:t>序号</w:t>
            </w:r>
          </w:p>
        </w:tc>
        <w:tc>
          <w:tcPr>
            <w:tcW w:w="2238" w:type="dxa"/>
          </w:tcPr>
          <w:p>
            <w:pPr>
              <w:spacing w:before="181" w:line="228" w:lineRule="auto"/>
              <w:ind w:left="702"/>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8"/>
                <w:sz w:val="20"/>
                <w:szCs w:val="20"/>
                <w14:textFill>
                  <w14:solidFill>
                    <w14:schemeClr w14:val="tx1"/>
                  </w14:solidFill>
                </w14:textFill>
              </w:rPr>
              <w:t>材</w:t>
            </w:r>
            <w:r>
              <w:rPr>
                <w:rFonts w:ascii="宋体" w:hAnsi="宋体" w:eastAsia="宋体" w:cs="宋体"/>
                <w:color w:val="000000" w:themeColor="text1"/>
                <w:spacing w:val="7"/>
                <w:sz w:val="20"/>
                <w:szCs w:val="20"/>
                <w14:textFill>
                  <w14:solidFill>
                    <w14:schemeClr w14:val="tx1"/>
                  </w14:solidFill>
                </w14:textFill>
              </w:rPr>
              <w:t>料名称</w:t>
            </w:r>
          </w:p>
        </w:tc>
        <w:tc>
          <w:tcPr>
            <w:tcW w:w="4536" w:type="dxa"/>
          </w:tcPr>
          <w:p>
            <w:pPr>
              <w:spacing w:before="181" w:line="228" w:lineRule="auto"/>
              <w:ind w:left="1541"/>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0"/>
                <w:sz w:val="20"/>
                <w:szCs w:val="20"/>
                <w14:textFill>
                  <w14:solidFill>
                    <w14:schemeClr w14:val="tx1"/>
                  </w14:solidFill>
                </w14:textFill>
              </w:rPr>
              <w:t>备</w:t>
            </w:r>
            <w:r>
              <w:rPr>
                <w:rFonts w:ascii="宋体" w:hAnsi="宋体" w:eastAsia="宋体" w:cs="宋体"/>
                <w:color w:val="000000" w:themeColor="text1"/>
                <w:spacing w:val="8"/>
                <w:sz w:val="20"/>
                <w:szCs w:val="20"/>
                <w14:textFill>
                  <w14:solidFill>
                    <w14:schemeClr w14:val="tx1"/>
                  </w14:solidFill>
                </w14:textFill>
              </w:rPr>
              <w:t>选品牌或厂家</w:t>
            </w:r>
          </w:p>
        </w:tc>
        <w:tc>
          <w:tcPr>
            <w:tcW w:w="1768" w:type="dxa"/>
          </w:tcPr>
          <w:p>
            <w:pPr>
              <w:spacing w:before="181" w:line="230" w:lineRule="auto"/>
              <w:ind w:left="682"/>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4"/>
                <w:sz w:val="20"/>
                <w:szCs w:val="20"/>
                <w14:textFill>
                  <w14:solidFill>
                    <w14:schemeClr w14:val="tx1"/>
                  </w14:solidFill>
                </w14:textFill>
              </w:rPr>
              <w:t>备</w:t>
            </w:r>
            <w:r>
              <w:rPr>
                <w:rFonts w:ascii="宋体" w:hAnsi="宋体" w:eastAsia="宋体" w:cs="宋体"/>
                <w:color w:val="000000" w:themeColor="text1"/>
                <w:spacing w:val="3"/>
                <w:sz w:val="20"/>
                <w:szCs w:val="20"/>
                <w14:textFill>
                  <w14:solidFill>
                    <w14:schemeClr w14:val="tx1"/>
                  </w14:solidFill>
                </w14:textFill>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741" w:type="dxa"/>
          </w:tcPr>
          <w:p>
            <w:pPr>
              <w:spacing w:line="338" w:lineRule="auto"/>
              <w:rPr>
                <w:color w:val="000000" w:themeColor="text1"/>
                <w14:textFill>
                  <w14:solidFill>
                    <w14:schemeClr w14:val="tx1"/>
                  </w14:solidFill>
                </w14:textFill>
              </w:rPr>
            </w:pPr>
          </w:p>
          <w:p>
            <w:pPr>
              <w:spacing w:before="58" w:line="195" w:lineRule="auto"/>
              <w:ind w:left="339"/>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w:t>
            </w:r>
          </w:p>
        </w:tc>
        <w:tc>
          <w:tcPr>
            <w:tcW w:w="2238" w:type="dxa"/>
          </w:tcPr>
          <w:p>
            <w:pPr>
              <w:spacing w:line="296" w:lineRule="auto"/>
              <w:rPr>
                <w:color w:val="000000" w:themeColor="text1"/>
                <w14:textFill>
                  <w14:solidFill>
                    <w14:schemeClr w14:val="tx1"/>
                  </w14:solidFill>
                </w14:textFill>
              </w:rPr>
            </w:pPr>
          </w:p>
          <w:p>
            <w:pPr>
              <w:spacing w:before="65" w:line="226" w:lineRule="auto"/>
              <w:ind w:left="912"/>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5"/>
                <w:sz w:val="20"/>
                <w:szCs w:val="20"/>
                <w14:textFill>
                  <w14:solidFill>
                    <w14:schemeClr w14:val="tx1"/>
                  </w14:solidFill>
                </w14:textFill>
              </w:rPr>
              <w:t>灯具</w:t>
            </w:r>
          </w:p>
        </w:tc>
        <w:tc>
          <w:tcPr>
            <w:tcW w:w="4536" w:type="dxa"/>
          </w:tcPr>
          <w:p>
            <w:pPr>
              <w:spacing w:before="92" w:line="261" w:lineRule="auto"/>
              <w:ind w:left="116" w:right="103" w:hanging="3"/>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3"/>
                <w:sz w:val="20"/>
                <w:szCs w:val="20"/>
                <w14:textFill>
                  <w14:solidFill>
                    <w14:schemeClr w14:val="tx1"/>
                  </w14:solidFill>
                </w14:textFill>
              </w:rPr>
              <w:t>飞利浦，欧司朗，索恩，雅江，佛山德珂，深圳爱克莱特，浙江晶日</w:t>
            </w:r>
            <w:r>
              <w:rPr>
                <w:rFonts w:ascii="宋体" w:hAnsi="宋体" w:eastAsia="宋体" w:cs="宋体"/>
                <w:color w:val="000000" w:themeColor="text1"/>
                <w:spacing w:val="5"/>
                <w:sz w:val="20"/>
                <w:szCs w:val="20"/>
                <w14:textFill>
                  <w14:solidFill>
                    <w14:schemeClr w14:val="tx1"/>
                  </w14:solidFill>
                </w14:textFill>
              </w:rPr>
              <w:t>或相当</w:t>
            </w:r>
            <w:r>
              <w:rPr>
                <w:rFonts w:ascii="宋体" w:hAnsi="宋体" w:eastAsia="宋体" w:cs="宋体"/>
                <w:color w:val="000000" w:themeColor="text1"/>
                <w:sz w:val="20"/>
                <w:szCs w:val="20"/>
                <w14:textFill>
                  <w14:solidFill>
                    <w14:schemeClr w14:val="tx1"/>
                  </w14:solidFill>
                </w14:textFill>
              </w:rPr>
              <w:t>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41" w:type="dxa"/>
          </w:tcPr>
          <w:p>
            <w:pPr>
              <w:spacing w:before="225" w:line="195" w:lineRule="auto"/>
              <w:ind w:left="318"/>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w:t>
            </w:r>
          </w:p>
        </w:tc>
        <w:tc>
          <w:tcPr>
            <w:tcW w:w="2238" w:type="dxa"/>
          </w:tcPr>
          <w:p>
            <w:pPr>
              <w:spacing w:before="189" w:line="228" w:lineRule="auto"/>
              <w:ind w:left="727"/>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2"/>
                <w:sz w:val="20"/>
                <w:szCs w:val="20"/>
                <w14:textFill>
                  <w14:solidFill>
                    <w14:schemeClr w14:val="tx1"/>
                  </w14:solidFill>
                </w14:textFill>
              </w:rPr>
              <w:t>电</w:t>
            </w:r>
            <w:r>
              <w:rPr>
                <w:rFonts w:ascii="宋体" w:hAnsi="宋体" w:eastAsia="宋体" w:cs="宋体"/>
                <w:color w:val="000000" w:themeColor="text1"/>
                <w:spacing w:val="1"/>
                <w:sz w:val="20"/>
                <w:szCs w:val="20"/>
                <w14:textFill>
                  <w14:solidFill>
                    <w14:schemeClr w14:val="tx1"/>
                  </w14:solidFill>
                </w14:textFill>
              </w:rPr>
              <w:t>线电缆</w:t>
            </w:r>
          </w:p>
        </w:tc>
        <w:tc>
          <w:tcPr>
            <w:tcW w:w="4536" w:type="dxa"/>
          </w:tcPr>
          <w:p>
            <w:pPr>
              <w:spacing w:before="189" w:line="230" w:lineRule="auto"/>
              <w:ind w:left="114"/>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5"/>
                <w:sz w:val="20"/>
                <w:szCs w:val="20"/>
                <w14:textFill>
                  <w14:solidFill>
                    <w14:schemeClr w14:val="tx1"/>
                  </w14:solidFill>
                </w14:textFill>
              </w:rPr>
              <w:t>浙</w:t>
            </w:r>
            <w:r>
              <w:rPr>
                <w:rFonts w:ascii="宋体" w:hAnsi="宋体" w:eastAsia="宋体" w:cs="宋体"/>
                <w:color w:val="000000" w:themeColor="text1"/>
                <w:spacing w:val="9"/>
                <w:sz w:val="20"/>
                <w:szCs w:val="20"/>
                <w14:textFill>
                  <w14:solidFill>
                    <w14:schemeClr w14:val="tx1"/>
                  </w14:solidFill>
                </w14:textFill>
              </w:rPr>
              <w:t>江开开、浙江飞洲、浙江中策、浙江万马或相当于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41" w:type="dxa"/>
            <w:vMerge w:val="restart"/>
            <w:tcBorders>
              <w:bottom w:val="nil"/>
            </w:tcBorders>
          </w:tcPr>
          <w:p>
            <w:pPr>
              <w:spacing w:line="250" w:lineRule="auto"/>
              <w:rPr>
                <w:color w:val="000000" w:themeColor="text1"/>
                <w14:textFill>
                  <w14:solidFill>
                    <w14:schemeClr w14:val="tx1"/>
                  </w14:solidFill>
                </w14:textFill>
              </w:rPr>
            </w:pPr>
          </w:p>
          <w:p>
            <w:pPr>
              <w:spacing w:line="250" w:lineRule="auto"/>
              <w:rPr>
                <w:color w:val="000000" w:themeColor="text1"/>
                <w14:textFill>
                  <w14:solidFill>
                    <w14:schemeClr w14:val="tx1"/>
                  </w14:solidFill>
                </w14:textFill>
              </w:rPr>
            </w:pPr>
          </w:p>
          <w:p>
            <w:pPr>
              <w:spacing w:line="251" w:lineRule="auto"/>
              <w:rPr>
                <w:color w:val="000000" w:themeColor="text1"/>
                <w14:textFill>
                  <w14:solidFill>
                    <w14:schemeClr w14:val="tx1"/>
                  </w14:solidFill>
                </w14:textFill>
              </w:rPr>
            </w:pPr>
          </w:p>
          <w:p>
            <w:pPr>
              <w:spacing w:before="65" w:line="190" w:lineRule="auto"/>
              <w:ind w:left="326"/>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3</w:t>
            </w:r>
          </w:p>
        </w:tc>
        <w:tc>
          <w:tcPr>
            <w:tcW w:w="2238" w:type="dxa"/>
            <w:vMerge w:val="restart"/>
            <w:tcBorders>
              <w:bottom w:val="nil"/>
            </w:tcBorders>
          </w:tcPr>
          <w:p>
            <w:pPr>
              <w:spacing w:line="359" w:lineRule="auto"/>
              <w:rPr>
                <w:color w:val="000000" w:themeColor="text1"/>
                <w14:textFill>
                  <w14:solidFill>
                    <w14:schemeClr w14:val="tx1"/>
                  </w14:solidFill>
                </w14:textFill>
              </w:rPr>
            </w:pPr>
          </w:p>
          <w:p>
            <w:pPr>
              <w:spacing w:line="359" w:lineRule="auto"/>
              <w:rPr>
                <w:color w:val="000000" w:themeColor="text1"/>
                <w14:textFill>
                  <w14:solidFill>
                    <w14:schemeClr w14:val="tx1"/>
                  </w14:solidFill>
                </w14:textFill>
              </w:rPr>
            </w:pPr>
          </w:p>
          <w:p>
            <w:pPr>
              <w:spacing w:before="65" w:line="229" w:lineRule="auto"/>
              <w:ind w:left="808"/>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7"/>
                <w:sz w:val="20"/>
                <w:szCs w:val="20"/>
                <w14:textFill>
                  <w14:solidFill>
                    <w14:schemeClr w14:val="tx1"/>
                  </w14:solidFill>
                </w14:textFill>
              </w:rPr>
              <w:t>配电</w:t>
            </w:r>
            <w:r>
              <w:rPr>
                <w:rFonts w:ascii="宋体" w:hAnsi="宋体" w:eastAsia="宋体" w:cs="宋体"/>
                <w:color w:val="000000" w:themeColor="text1"/>
                <w:spacing w:val="6"/>
                <w:sz w:val="20"/>
                <w:szCs w:val="20"/>
                <w14:textFill>
                  <w14:solidFill>
                    <w14:schemeClr w14:val="tx1"/>
                  </w14:solidFill>
                </w14:textFill>
              </w:rPr>
              <w:t>箱</w:t>
            </w:r>
          </w:p>
        </w:tc>
        <w:tc>
          <w:tcPr>
            <w:tcW w:w="4536" w:type="dxa"/>
          </w:tcPr>
          <w:p>
            <w:pPr>
              <w:spacing w:before="187" w:line="227" w:lineRule="auto"/>
              <w:ind w:left="115"/>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0"/>
                <w:sz w:val="20"/>
                <w:szCs w:val="20"/>
                <w14:textFill>
                  <w14:solidFill>
                    <w14:schemeClr w14:val="tx1"/>
                  </w14:solidFill>
                </w14:textFill>
              </w:rPr>
              <w:t>成</w:t>
            </w:r>
            <w:r>
              <w:rPr>
                <w:rFonts w:ascii="宋体" w:hAnsi="宋体" w:eastAsia="宋体" w:cs="宋体"/>
                <w:color w:val="000000" w:themeColor="text1"/>
                <w:spacing w:val="5"/>
                <w:sz w:val="20"/>
                <w:szCs w:val="20"/>
                <w14:textFill>
                  <w14:solidFill>
                    <w14:schemeClr w14:val="tx1"/>
                  </w14:solidFill>
                </w14:textFill>
              </w:rPr>
              <w:t>套厂家：中赢、台州国瑞电气、三变科技、安港电气或相当于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41" w:type="dxa"/>
            <w:vMerge w:val="continue"/>
            <w:tcBorders>
              <w:top w:val="nil"/>
              <w:bottom w:val="nil"/>
            </w:tcBorders>
          </w:tcPr>
          <w:p>
            <w:pPr>
              <w:rPr>
                <w:color w:val="000000" w:themeColor="text1"/>
                <w14:textFill>
                  <w14:solidFill>
                    <w14:schemeClr w14:val="tx1"/>
                  </w14:solidFill>
                </w14:textFill>
              </w:rPr>
            </w:pPr>
          </w:p>
        </w:tc>
        <w:tc>
          <w:tcPr>
            <w:tcW w:w="2238" w:type="dxa"/>
            <w:vMerge w:val="continue"/>
            <w:tcBorders>
              <w:top w:val="nil"/>
              <w:bottom w:val="nil"/>
            </w:tcBorders>
          </w:tcPr>
          <w:p>
            <w:pPr>
              <w:rPr>
                <w:color w:val="000000" w:themeColor="text1"/>
                <w14:textFill>
                  <w14:solidFill>
                    <w14:schemeClr w14:val="tx1"/>
                  </w14:solidFill>
                </w14:textFill>
              </w:rPr>
            </w:pPr>
          </w:p>
        </w:tc>
        <w:tc>
          <w:tcPr>
            <w:tcW w:w="4536" w:type="dxa"/>
          </w:tcPr>
          <w:p>
            <w:pPr>
              <w:spacing w:before="188" w:line="228" w:lineRule="auto"/>
              <w:ind w:left="115"/>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2"/>
                <w:sz w:val="20"/>
                <w:szCs w:val="20"/>
                <w14:textFill>
                  <w14:solidFill>
                    <w14:schemeClr w14:val="tx1"/>
                  </w14:solidFill>
                </w14:textFill>
              </w:rPr>
              <w:t>元</w:t>
            </w:r>
            <w:r>
              <w:rPr>
                <w:rFonts w:ascii="宋体" w:hAnsi="宋体" w:eastAsia="宋体" w:cs="宋体"/>
                <w:color w:val="000000" w:themeColor="text1"/>
                <w:spacing w:val="10"/>
                <w:sz w:val="20"/>
                <w:szCs w:val="20"/>
                <w14:textFill>
                  <w14:solidFill>
                    <w14:schemeClr w14:val="tx1"/>
                  </w14:solidFill>
                </w14:textFill>
              </w:rPr>
              <w:t>器件：</w:t>
            </w:r>
            <w:r>
              <w:rPr>
                <w:rFonts w:ascii="宋体" w:hAnsi="宋体" w:eastAsia="宋体" w:cs="宋体"/>
                <w:color w:val="000000" w:themeColor="text1"/>
                <w:sz w:val="20"/>
                <w:szCs w:val="20"/>
                <w14:textFill>
                  <w14:solidFill>
                    <w14:schemeClr w14:val="tx1"/>
                  </w14:solidFill>
                </w14:textFill>
              </w:rPr>
              <w:t>ABB</w:t>
            </w:r>
            <w:r>
              <w:rPr>
                <w:rFonts w:ascii="宋体" w:hAnsi="宋体" w:eastAsia="宋体" w:cs="宋体"/>
                <w:color w:val="000000" w:themeColor="text1"/>
                <w:spacing w:val="10"/>
                <w:sz w:val="20"/>
                <w:szCs w:val="20"/>
                <w14:textFill>
                  <w14:solidFill>
                    <w14:schemeClr w14:val="tx1"/>
                  </w14:solidFill>
                </w14:textFill>
              </w:rPr>
              <w:t>、施耐德、罗格朗或相当于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741" w:type="dxa"/>
            <w:vMerge w:val="continue"/>
            <w:tcBorders>
              <w:top w:val="nil"/>
            </w:tcBorders>
          </w:tcPr>
          <w:p>
            <w:pPr>
              <w:rPr>
                <w:color w:val="000000" w:themeColor="text1"/>
                <w14:textFill>
                  <w14:solidFill>
                    <w14:schemeClr w14:val="tx1"/>
                  </w14:solidFill>
                </w14:textFill>
              </w:rPr>
            </w:pPr>
          </w:p>
        </w:tc>
        <w:tc>
          <w:tcPr>
            <w:tcW w:w="2238" w:type="dxa"/>
            <w:vMerge w:val="continue"/>
            <w:tcBorders>
              <w:top w:val="nil"/>
            </w:tcBorders>
          </w:tcPr>
          <w:p>
            <w:pPr>
              <w:rPr>
                <w:color w:val="000000" w:themeColor="text1"/>
                <w14:textFill>
                  <w14:solidFill>
                    <w14:schemeClr w14:val="tx1"/>
                  </w14:solidFill>
                </w14:textFill>
              </w:rPr>
            </w:pPr>
          </w:p>
        </w:tc>
        <w:tc>
          <w:tcPr>
            <w:tcW w:w="4536" w:type="dxa"/>
          </w:tcPr>
          <w:p>
            <w:pPr>
              <w:spacing w:before="190" w:line="228" w:lineRule="auto"/>
              <w:ind w:left="116"/>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4"/>
                <w:sz w:val="20"/>
                <w:szCs w:val="20"/>
                <w14:textFill>
                  <w14:solidFill>
                    <w14:schemeClr w14:val="tx1"/>
                  </w14:solidFill>
                </w14:textFill>
              </w:rPr>
              <w:t>浪涌保护装置： 尚普、雷祥、新光或相当</w:t>
            </w:r>
            <w:r>
              <w:rPr>
                <w:rFonts w:ascii="宋体" w:hAnsi="宋体" w:eastAsia="宋体" w:cs="宋体"/>
                <w:color w:val="000000" w:themeColor="text1"/>
                <w:spacing w:val="1"/>
                <w:sz w:val="20"/>
                <w:szCs w:val="20"/>
                <w14:textFill>
                  <w14:solidFill>
                    <w14:schemeClr w14:val="tx1"/>
                  </w14:solidFill>
                </w14:textFill>
              </w:rPr>
              <w:t>于</w:t>
            </w:r>
          </w:p>
        </w:tc>
        <w:tc>
          <w:tcPr>
            <w:tcW w:w="1768" w:type="dxa"/>
          </w:tcPr>
          <w:p>
            <w:pPr>
              <w:spacing w:before="55" w:line="248" w:lineRule="auto"/>
              <w:ind w:left="679" w:right="148" w:hanging="522"/>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9"/>
                <w:sz w:val="20"/>
                <w:szCs w:val="20"/>
                <w14:textFill>
                  <w14:solidFill>
                    <w14:schemeClr w14:val="tx1"/>
                  </w14:solidFill>
                </w14:textFill>
              </w:rPr>
              <w:t>必</w:t>
            </w:r>
            <w:r>
              <w:rPr>
                <w:rFonts w:ascii="宋体" w:hAnsi="宋体" w:eastAsia="宋体" w:cs="宋体"/>
                <w:color w:val="000000" w:themeColor="text1"/>
                <w:spacing w:val="8"/>
                <w:sz w:val="20"/>
                <w:szCs w:val="20"/>
                <w14:textFill>
                  <w14:solidFill>
                    <w14:schemeClr w14:val="tx1"/>
                  </w14:solidFill>
                </w14:textFill>
              </w:rPr>
              <w:t>须经气象部门</w:t>
            </w:r>
            <w:r>
              <w:rPr>
                <w:rFonts w:ascii="宋体" w:hAnsi="宋体" w:eastAsia="宋体" w:cs="宋体"/>
                <w:color w:val="000000" w:themeColor="text1"/>
                <w:spacing w:val="5"/>
                <w:sz w:val="20"/>
                <w:szCs w:val="20"/>
                <w14:textFill>
                  <w14:solidFill>
                    <w14:schemeClr w14:val="tx1"/>
                  </w14:solidFill>
                </w14:textFill>
              </w:rPr>
              <w:t>认</w:t>
            </w:r>
            <w:r>
              <w:rPr>
                <w:rFonts w:ascii="宋体" w:hAnsi="宋体" w:eastAsia="宋体" w:cs="宋体"/>
                <w:color w:val="000000" w:themeColor="text1"/>
                <w:spacing w:val="4"/>
                <w:sz w:val="20"/>
                <w:szCs w:val="20"/>
                <w14:textFill>
                  <w14:solidFill>
                    <w14:schemeClr w14:val="tx1"/>
                  </w14:solidFill>
                </w14:textFill>
              </w:rPr>
              <w:t>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41" w:type="dxa"/>
          </w:tcPr>
          <w:p>
            <w:pPr>
              <w:spacing w:before="225" w:line="192" w:lineRule="auto"/>
              <w:ind w:left="321"/>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4</w:t>
            </w:r>
          </w:p>
        </w:tc>
        <w:tc>
          <w:tcPr>
            <w:tcW w:w="2238" w:type="dxa"/>
          </w:tcPr>
          <w:p>
            <w:pPr>
              <w:spacing w:before="191" w:line="228" w:lineRule="auto"/>
              <w:ind w:left="373"/>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II型脱机播放器</w:t>
            </w:r>
          </w:p>
        </w:tc>
        <w:tc>
          <w:tcPr>
            <w:tcW w:w="4536" w:type="dxa"/>
          </w:tcPr>
          <w:p>
            <w:pPr>
              <w:spacing w:before="192" w:line="226" w:lineRule="auto"/>
              <w:ind w:left="112"/>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0"/>
                <w:sz w:val="20"/>
                <w:szCs w:val="20"/>
                <w14:textFill>
                  <w14:solidFill>
                    <w14:schemeClr w14:val="tx1"/>
                  </w14:solidFill>
                </w14:textFill>
              </w:rPr>
              <w:t>灯</w:t>
            </w:r>
            <w:r>
              <w:rPr>
                <w:rFonts w:ascii="宋体" w:hAnsi="宋体" w:eastAsia="宋体" w:cs="宋体"/>
                <w:color w:val="000000" w:themeColor="text1"/>
                <w:spacing w:val="8"/>
                <w:sz w:val="20"/>
                <w:szCs w:val="20"/>
                <w14:textFill>
                  <w14:solidFill>
                    <w14:schemeClr w14:val="tx1"/>
                  </w14:solidFill>
                </w14:textFill>
              </w:rPr>
              <w:t>具厂家配套</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41" w:type="dxa"/>
          </w:tcPr>
          <w:p>
            <w:pPr>
              <w:spacing w:before="226" w:line="189" w:lineRule="auto"/>
              <w:ind w:left="326"/>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5</w:t>
            </w:r>
          </w:p>
        </w:tc>
        <w:tc>
          <w:tcPr>
            <w:tcW w:w="2238" w:type="dxa"/>
          </w:tcPr>
          <w:p>
            <w:pPr>
              <w:spacing w:before="191" w:line="229" w:lineRule="auto"/>
              <w:ind w:left="373"/>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8"/>
                <w:sz w:val="20"/>
                <w:szCs w:val="20"/>
                <w14:textFill>
                  <w14:solidFill>
                    <w14:schemeClr w14:val="tx1"/>
                  </w14:solidFill>
                </w14:textFill>
              </w:rPr>
              <w:t>II型 LED 控制器</w:t>
            </w:r>
          </w:p>
        </w:tc>
        <w:tc>
          <w:tcPr>
            <w:tcW w:w="4536" w:type="dxa"/>
          </w:tcPr>
          <w:p>
            <w:pPr>
              <w:spacing w:before="192" w:line="226" w:lineRule="auto"/>
              <w:ind w:left="112"/>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0"/>
                <w:sz w:val="20"/>
                <w:szCs w:val="20"/>
                <w14:textFill>
                  <w14:solidFill>
                    <w14:schemeClr w14:val="tx1"/>
                  </w14:solidFill>
                </w14:textFill>
              </w:rPr>
              <w:t>灯</w:t>
            </w:r>
            <w:r>
              <w:rPr>
                <w:rFonts w:ascii="宋体" w:hAnsi="宋体" w:eastAsia="宋体" w:cs="宋体"/>
                <w:color w:val="000000" w:themeColor="text1"/>
                <w:spacing w:val="8"/>
                <w:sz w:val="20"/>
                <w:szCs w:val="20"/>
                <w14:textFill>
                  <w14:solidFill>
                    <w14:schemeClr w14:val="tx1"/>
                  </w14:solidFill>
                </w14:textFill>
              </w:rPr>
              <w:t>具厂家配套</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41" w:type="dxa"/>
          </w:tcPr>
          <w:p>
            <w:pPr>
              <w:spacing w:before="226" w:line="189" w:lineRule="auto"/>
              <w:ind w:left="326"/>
              <w:rPr>
                <w:rFonts w:ascii="宋体" w:hAnsi="宋体" w:eastAsia="宋体" w:cs="宋体"/>
                <w:color w:val="000000" w:themeColor="text1"/>
                <w:sz w:val="20"/>
                <w:szCs w:val="20"/>
                <w14:textFill>
                  <w14:solidFill>
                    <w14:schemeClr w14:val="tx1"/>
                  </w14:solidFill>
                </w14:textFill>
              </w:rPr>
            </w:pPr>
          </w:p>
        </w:tc>
        <w:tc>
          <w:tcPr>
            <w:tcW w:w="2238" w:type="dxa"/>
          </w:tcPr>
          <w:p>
            <w:pPr>
              <w:spacing w:before="191" w:line="229" w:lineRule="auto"/>
              <w:ind w:left="373"/>
              <w:rPr>
                <w:rFonts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激光投影机</w:t>
            </w:r>
          </w:p>
        </w:tc>
        <w:tc>
          <w:tcPr>
            <w:tcW w:w="4536" w:type="dxa"/>
          </w:tcPr>
          <w:p>
            <w:pPr>
              <w:spacing w:before="192" w:line="226" w:lineRule="auto"/>
              <w:ind w:left="112"/>
              <w:rPr>
                <w:rFonts w:ascii="宋体" w:hAnsi="宋体" w:eastAsia="宋体" w:cs="宋体"/>
                <w:color w:val="000000" w:themeColor="text1"/>
                <w:spacing w:val="10"/>
                <w:sz w:val="20"/>
                <w:szCs w:val="20"/>
                <w14:textFill>
                  <w14:solidFill>
                    <w14:schemeClr w14:val="tx1"/>
                  </w14:solidFill>
                </w14:textFill>
              </w:rPr>
            </w:pPr>
            <w:r>
              <w:rPr>
                <w:rFonts w:hint="eastAsia" w:ascii="宋体" w:hAnsi="宋体" w:eastAsia="宋体" w:cs="宋体"/>
                <w:color w:val="000000" w:themeColor="text1"/>
                <w:spacing w:val="10"/>
                <w:sz w:val="20"/>
                <w:szCs w:val="20"/>
                <w14:textFill>
                  <w14:solidFill>
                    <w14:schemeClr w14:val="tx1"/>
                  </w14:solidFill>
                </w14:textFill>
              </w:rPr>
              <w:t>NEC、松下、科视</w:t>
            </w:r>
            <w:r>
              <w:rPr>
                <w:rFonts w:ascii="宋体" w:hAnsi="宋体" w:eastAsia="宋体" w:cs="宋体"/>
                <w:color w:val="000000" w:themeColor="text1"/>
                <w:spacing w:val="9"/>
                <w:sz w:val="20"/>
                <w:szCs w:val="20"/>
                <w14:textFill>
                  <w14:solidFill>
                    <w14:schemeClr w14:val="tx1"/>
                  </w14:solidFill>
                </w14:textFill>
              </w:rPr>
              <w:t>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41" w:type="dxa"/>
          </w:tcPr>
          <w:p>
            <w:pPr>
              <w:spacing w:before="225" w:line="190" w:lineRule="auto"/>
              <w:ind w:left="324"/>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6</w:t>
            </w:r>
          </w:p>
        </w:tc>
        <w:tc>
          <w:tcPr>
            <w:tcW w:w="2238" w:type="dxa"/>
          </w:tcPr>
          <w:p>
            <w:pPr>
              <w:spacing w:before="192" w:line="229" w:lineRule="auto"/>
              <w:ind w:left="913"/>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5"/>
                <w:sz w:val="20"/>
                <w:szCs w:val="20"/>
                <w14:textFill>
                  <w14:solidFill>
                    <w14:schemeClr w14:val="tx1"/>
                  </w14:solidFill>
                </w14:textFill>
              </w:rPr>
              <w:t>桥</w:t>
            </w:r>
            <w:r>
              <w:rPr>
                <w:rFonts w:ascii="宋体" w:hAnsi="宋体" w:eastAsia="宋体" w:cs="宋体"/>
                <w:color w:val="000000" w:themeColor="text1"/>
                <w:spacing w:val="4"/>
                <w:sz w:val="20"/>
                <w:szCs w:val="20"/>
                <w14:textFill>
                  <w14:solidFill>
                    <w14:schemeClr w14:val="tx1"/>
                  </w14:solidFill>
                </w14:textFill>
              </w:rPr>
              <w:t>架</w:t>
            </w:r>
          </w:p>
        </w:tc>
        <w:tc>
          <w:tcPr>
            <w:tcW w:w="4536" w:type="dxa"/>
          </w:tcPr>
          <w:p>
            <w:pPr>
              <w:spacing w:before="192" w:line="229" w:lineRule="auto"/>
              <w:ind w:left="114"/>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5"/>
                <w:sz w:val="20"/>
                <w:szCs w:val="20"/>
                <w14:textFill>
                  <w14:solidFill>
                    <w14:schemeClr w14:val="tx1"/>
                  </w14:solidFill>
                </w14:textFill>
              </w:rPr>
              <w:t>浙</w:t>
            </w:r>
            <w:r>
              <w:rPr>
                <w:rFonts w:ascii="宋体" w:hAnsi="宋体" w:eastAsia="宋体" w:cs="宋体"/>
                <w:color w:val="000000" w:themeColor="text1"/>
                <w:spacing w:val="9"/>
                <w:sz w:val="20"/>
                <w:szCs w:val="20"/>
                <w14:textFill>
                  <w14:solidFill>
                    <w14:schemeClr w14:val="tx1"/>
                  </w14:solidFill>
                </w14:textFill>
              </w:rPr>
              <w:t>江桥母、台州立通、杭州宸奥或相当于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41" w:type="dxa"/>
          </w:tcPr>
          <w:p>
            <w:pPr>
              <w:spacing w:before="226" w:line="189" w:lineRule="auto"/>
              <w:ind w:left="327"/>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7</w:t>
            </w:r>
          </w:p>
        </w:tc>
        <w:tc>
          <w:tcPr>
            <w:tcW w:w="2238" w:type="dxa"/>
          </w:tcPr>
          <w:p>
            <w:pPr>
              <w:spacing w:before="192" w:line="229" w:lineRule="auto"/>
              <w:ind w:left="914"/>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4"/>
                <w:sz w:val="20"/>
                <w:szCs w:val="20"/>
                <w14:textFill>
                  <w14:solidFill>
                    <w14:schemeClr w14:val="tx1"/>
                  </w14:solidFill>
                </w14:textFill>
              </w:rPr>
              <w:t>开关电源</w:t>
            </w:r>
          </w:p>
        </w:tc>
        <w:tc>
          <w:tcPr>
            <w:tcW w:w="4536" w:type="dxa"/>
          </w:tcPr>
          <w:p>
            <w:pPr>
              <w:spacing w:before="192" w:line="228" w:lineRule="auto"/>
              <w:ind w:left="12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8"/>
                <w:sz w:val="20"/>
                <w:szCs w:val="20"/>
                <w14:textFill>
                  <w14:solidFill>
                    <w14:schemeClr w14:val="tx1"/>
                  </w14:solidFill>
                </w14:textFill>
              </w:rPr>
              <w:t>台湾</w:t>
            </w:r>
            <w:r>
              <w:rPr>
                <w:rFonts w:ascii="宋体" w:hAnsi="宋体" w:eastAsia="宋体" w:cs="宋体"/>
                <w:color w:val="000000" w:themeColor="text1"/>
                <w:spacing w:val="7"/>
                <w:sz w:val="20"/>
                <w:szCs w:val="20"/>
                <w14:textFill>
                  <w14:solidFill>
                    <w14:schemeClr w14:val="tx1"/>
                  </w14:solidFill>
                </w14:textFill>
              </w:rPr>
              <w:t>明</w:t>
            </w:r>
            <w:r>
              <w:rPr>
                <w:rFonts w:ascii="宋体" w:hAnsi="宋体" w:eastAsia="宋体" w:cs="宋体"/>
                <w:color w:val="000000" w:themeColor="text1"/>
                <w:spacing w:val="4"/>
                <w:sz w:val="20"/>
                <w:szCs w:val="20"/>
                <w14:textFill>
                  <w14:solidFill>
                    <w14:schemeClr w14:val="tx1"/>
                  </w14:solidFill>
                </w14:textFill>
              </w:rPr>
              <w:t>纬、杭州英飞特、湖南华鑫电子或相当于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741" w:type="dxa"/>
          </w:tcPr>
          <w:p>
            <w:pPr>
              <w:spacing w:before="224" w:line="190" w:lineRule="auto"/>
              <w:ind w:left="323"/>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8</w:t>
            </w:r>
          </w:p>
        </w:tc>
        <w:tc>
          <w:tcPr>
            <w:tcW w:w="2238" w:type="dxa"/>
          </w:tcPr>
          <w:p>
            <w:pPr>
              <w:spacing w:before="191" w:line="229" w:lineRule="auto"/>
              <w:ind w:left="917"/>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芯</w:t>
            </w:r>
            <w:r>
              <w:rPr>
                <w:rFonts w:ascii="宋体" w:hAnsi="宋体" w:eastAsia="宋体" w:cs="宋体"/>
                <w:color w:val="000000" w:themeColor="text1"/>
                <w:spacing w:val="2"/>
                <w:sz w:val="20"/>
                <w:szCs w:val="20"/>
                <w14:textFill>
                  <w14:solidFill>
                    <w14:schemeClr w14:val="tx1"/>
                  </w14:solidFill>
                </w14:textFill>
              </w:rPr>
              <w:t>片</w:t>
            </w:r>
          </w:p>
        </w:tc>
        <w:tc>
          <w:tcPr>
            <w:tcW w:w="4536" w:type="dxa"/>
          </w:tcPr>
          <w:p>
            <w:pPr>
              <w:spacing w:before="191" w:line="230" w:lineRule="auto"/>
              <w:ind w:left="119"/>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6"/>
                <w:sz w:val="20"/>
                <w:szCs w:val="20"/>
                <w14:textFill>
                  <w14:solidFill>
                    <w14:schemeClr w14:val="tx1"/>
                  </w14:solidFill>
                </w14:textFill>
              </w:rPr>
              <w:t>飞</w:t>
            </w:r>
            <w:r>
              <w:rPr>
                <w:rFonts w:ascii="宋体" w:hAnsi="宋体" w:eastAsia="宋体" w:cs="宋体"/>
                <w:color w:val="000000" w:themeColor="text1"/>
                <w:spacing w:val="11"/>
                <w:sz w:val="20"/>
                <w:szCs w:val="20"/>
                <w14:textFill>
                  <w14:solidFill>
                    <w14:schemeClr w14:val="tx1"/>
                  </w14:solidFill>
                </w14:textFill>
              </w:rPr>
              <w:t>利</w:t>
            </w:r>
            <w:r>
              <w:rPr>
                <w:rFonts w:ascii="宋体" w:hAnsi="宋体" w:eastAsia="宋体" w:cs="宋体"/>
                <w:color w:val="000000" w:themeColor="text1"/>
                <w:spacing w:val="8"/>
                <w:sz w:val="20"/>
                <w:szCs w:val="20"/>
                <w14:textFill>
                  <w14:solidFill>
                    <w14:schemeClr w14:val="tx1"/>
                  </w14:solidFill>
                </w14:textFill>
              </w:rPr>
              <w:t>浦、欧司朗、科锐或相当于</w:t>
            </w:r>
          </w:p>
        </w:tc>
        <w:tc>
          <w:tcPr>
            <w:tcW w:w="1768" w:type="dxa"/>
          </w:tcPr>
          <w:p>
            <w:pPr>
              <w:rPr>
                <w:color w:val="000000" w:themeColor="text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41" w:type="dxa"/>
          </w:tcPr>
          <w:p>
            <w:pPr>
              <w:jc w:val="center"/>
              <w:rPr>
                <w:rFonts w:eastAsiaTheme="minorEastAsia"/>
                <w:color w:val="000000" w:themeColor="text1"/>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9</w:t>
            </w:r>
          </w:p>
        </w:tc>
        <w:tc>
          <w:tcPr>
            <w:tcW w:w="2238" w:type="dxa"/>
          </w:tcPr>
          <w:p>
            <w:pPr>
              <w:spacing w:before="191" w:line="230" w:lineRule="auto"/>
              <w:ind w:left="119"/>
              <w:jc w:val="center"/>
              <w:rPr>
                <w:rFonts w:ascii="宋体" w:hAnsi="宋体" w:eastAsia="宋体" w:cs="宋体"/>
                <w:color w:val="000000" w:themeColor="text1"/>
                <w:spacing w:val="8"/>
                <w:sz w:val="20"/>
                <w:szCs w:val="20"/>
                <w14:textFill>
                  <w14:solidFill>
                    <w14:schemeClr w14:val="tx1"/>
                  </w14:solidFill>
                </w14:textFill>
              </w:rPr>
            </w:pPr>
            <w:r>
              <w:rPr>
                <w:rFonts w:ascii="宋体" w:hAnsi="宋体" w:eastAsia="宋体" w:cs="宋体"/>
                <w:color w:val="000000" w:themeColor="text1"/>
                <w:spacing w:val="8"/>
                <w:sz w:val="20"/>
                <w:szCs w:val="20"/>
                <w14:textFill>
                  <w14:solidFill>
                    <w14:schemeClr w14:val="tx1"/>
                  </w14:solidFill>
                </w14:textFill>
              </w:rPr>
              <w:t>铝线槽</w:t>
            </w:r>
          </w:p>
        </w:tc>
        <w:tc>
          <w:tcPr>
            <w:tcW w:w="4536" w:type="dxa"/>
          </w:tcPr>
          <w:p>
            <w:pPr>
              <w:spacing w:before="191" w:line="230" w:lineRule="auto"/>
              <w:ind w:left="119"/>
              <w:rPr>
                <w:rFonts w:ascii="宋体" w:hAnsi="宋体" w:eastAsia="宋体" w:cs="宋体"/>
                <w:color w:val="000000" w:themeColor="text1"/>
                <w:spacing w:val="8"/>
                <w:sz w:val="20"/>
                <w:szCs w:val="20"/>
                <w14:textFill>
                  <w14:solidFill>
                    <w14:schemeClr w14:val="tx1"/>
                  </w14:solidFill>
                </w14:textFill>
              </w:rPr>
            </w:pPr>
            <w:r>
              <w:rPr>
                <w:rFonts w:ascii="宋体" w:hAnsi="宋体" w:eastAsia="宋体" w:cs="宋体"/>
                <w:color w:val="000000" w:themeColor="text1"/>
                <w:spacing w:val="8"/>
                <w:sz w:val="20"/>
                <w:szCs w:val="20"/>
                <w14:textFill>
                  <w14:solidFill>
                    <w14:schemeClr w14:val="tx1"/>
                  </w14:solidFill>
                </w14:textFill>
              </w:rPr>
              <w:t>科荣、金丰、明达或相当于</w:t>
            </w:r>
          </w:p>
        </w:tc>
        <w:tc>
          <w:tcPr>
            <w:tcW w:w="1768" w:type="dxa"/>
          </w:tcPr>
          <w:p>
            <w:pPr>
              <w:rPr>
                <w:color w:val="000000" w:themeColor="text1"/>
                <w14:textFill>
                  <w14:solidFill>
                    <w14:schemeClr w14:val="tx1"/>
                  </w14:solidFill>
                </w14:textFill>
              </w:rPr>
            </w:pPr>
          </w:p>
        </w:tc>
      </w:tr>
    </w:tbl>
    <w:p>
      <w:pPr>
        <w:spacing w:before="139" w:line="231" w:lineRule="auto"/>
        <w:ind w:firstLine="200" w:firstLineChars="100"/>
        <w:rPr>
          <w:rFonts w:ascii="宋体" w:hAnsi="宋体" w:eastAsia="宋体" w:cs="宋体"/>
          <w:color w:val="000000" w:themeColor="text1"/>
          <w:spacing w:val="11"/>
          <w:sz w:val="20"/>
          <w:szCs w:val="20"/>
          <w14:textFill>
            <w14:solidFill>
              <w14:schemeClr w14:val="tx1"/>
            </w14:solidFill>
          </w14:textFill>
        </w:rPr>
      </w:pPr>
      <w:r>
        <w:rPr>
          <w:rFonts w:ascii="宋体" w:hAnsi="宋体" w:eastAsia="宋体" w:cs="宋体"/>
          <w:color w:val="000000" w:themeColor="text1"/>
          <w:sz w:val="20"/>
          <w:szCs w:val="20"/>
          <w14:textFill>
            <w14:solidFill>
              <w14:schemeClr w14:val="tx1"/>
            </w14:solidFill>
          </w14:textFill>
        </w:rPr>
        <w:t>注：</w:t>
      </w:r>
      <w:r>
        <w:rPr>
          <w:rFonts w:ascii="宋体" w:hAnsi="宋体" w:eastAsia="宋体" w:cs="宋体"/>
          <w:color w:val="000000" w:themeColor="text1"/>
          <w:spacing w:val="11"/>
          <w:sz w:val="20"/>
          <w:szCs w:val="20"/>
          <w14:textFill>
            <w14:solidFill>
              <w14:schemeClr w14:val="tx1"/>
            </w14:solidFill>
          </w14:textFill>
        </w:rPr>
        <w:t>1、承包人应优先采用以上品牌、生产厂家的产品，若以上品牌在台州市范围内无法购买或应业主要求，需采用其他品牌、生产厂家的产品时，替代产品品质不低于原有产品并经业主签证认可。预算书采用的材料品牌与本招标文件采用的材料品牌不一致的以招标文件为准。规格和使用要求未注明的，均按设计规格和使用要求。主要材料采用品牌、生产厂家如果有主营厂与次营厂之分，应采用主营厂产品。以上某项品牌材料如出现同一经销商销售的，发包人有权不予认可，使用替代产品。</w:t>
      </w:r>
    </w:p>
    <w:p>
      <w:pPr>
        <w:spacing w:before="139" w:line="231" w:lineRule="auto"/>
        <w:ind w:firstLine="222" w:firstLineChars="100"/>
        <w:rPr>
          <w:rFonts w:ascii="宋体" w:hAnsi="宋体" w:eastAsia="宋体" w:cs="宋体"/>
          <w:color w:val="000000" w:themeColor="text1"/>
          <w:spacing w:val="11"/>
          <w:sz w:val="20"/>
          <w:szCs w:val="20"/>
          <w14:textFill>
            <w14:solidFill>
              <w14:schemeClr w14:val="tx1"/>
            </w14:solidFill>
          </w14:textFill>
        </w:rPr>
      </w:pPr>
      <w:r>
        <w:rPr>
          <w:rFonts w:hint="eastAsia" w:ascii="宋体" w:hAnsi="宋体" w:eastAsia="宋体" w:cs="宋体"/>
          <w:color w:val="000000" w:themeColor="text1"/>
          <w:spacing w:val="11"/>
          <w:sz w:val="20"/>
          <w:szCs w:val="20"/>
          <w14:textFill>
            <w14:solidFill>
              <w14:schemeClr w14:val="tx1"/>
            </w14:solidFill>
          </w14:textFill>
        </w:rPr>
        <w:t>2、</w:t>
      </w:r>
      <w:r>
        <w:rPr>
          <w:rFonts w:ascii="宋体" w:hAnsi="宋体" w:eastAsia="宋体" w:cs="宋体"/>
          <w:color w:val="000000" w:themeColor="text1"/>
          <w:spacing w:val="11"/>
          <w:sz w:val="20"/>
          <w:szCs w:val="20"/>
          <w14:textFill>
            <w14:solidFill>
              <w14:schemeClr w14:val="tx1"/>
            </w14:solidFill>
          </w14:textFill>
        </w:rPr>
        <w:t>若某设备材料的品牌与厂家存在同名时，以品牌为先。</w:t>
      </w:r>
    </w:p>
    <w:p>
      <w:pPr>
        <w:spacing w:before="139" w:line="231" w:lineRule="auto"/>
        <w:ind w:firstLine="232" w:firstLineChars="100"/>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16"/>
          <w:sz w:val="20"/>
          <w:szCs w:val="20"/>
          <w14:textFill>
            <w14:solidFill>
              <w14:schemeClr w14:val="tx1"/>
            </w14:solidFill>
          </w14:textFill>
        </w:rPr>
        <w:t>3、因</w:t>
      </w:r>
      <w:r>
        <w:rPr>
          <w:rFonts w:ascii="宋体" w:hAnsi="宋体" w:eastAsia="宋体" w:cs="宋体"/>
          <w:color w:val="000000" w:themeColor="text1"/>
          <w:spacing w:val="8"/>
          <w:sz w:val="20"/>
          <w:szCs w:val="20"/>
          <w14:textFill>
            <w14:solidFill>
              <w14:schemeClr w14:val="tx1"/>
            </w14:solidFill>
          </w14:textFill>
        </w:rPr>
        <w:t>工程需要或上述品牌存在极不合理现象的(如全部品牌被垄断经营等情况)，发包人有权对材</w:t>
      </w:r>
      <w:r>
        <w:rPr>
          <w:rFonts w:ascii="宋体" w:hAnsi="宋体" w:eastAsia="宋体" w:cs="宋体"/>
          <w:color w:val="000000" w:themeColor="text1"/>
          <w:spacing w:val="22"/>
          <w:sz w:val="20"/>
          <w:szCs w:val="20"/>
          <w14:textFill>
            <w14:solidFill>
              <w14:schemeClr w14:val="tx1"/>
            </w14:solidFill>
          </w14:textFill>
        </w:rPr>
        <w:t>料</w:t>
      </w:r>
      <w:r>
        <w:rPr>
          <w:rFonts w:ascii="宋体" w:hAnsi="宋体" w:eastAsia="宋体" w:cs="宋体"/>
          <w:color w:val="000000" w:themeColor="text1"/>
          <w:spacing w:val="21"/>
          <w:sz w:val="20"/>
          <w:szCs w:val="20"/>
          <w14:textFill>
            <w14:solidFill>
              <w14:schemeClr w14:val="tx1"/>
            </w14:solidFill>
          </w14:textFill>
        </w:rPr>
        <w:t>及</w:t>
      </w:r>
      <w:r>
        <w:rPr>
          <w:rFonts w:ascii="宋体" w:hAnsi="宋体" w:eastAsia="宋体" w:cs="宋体"/>
          <w:color w:val="000000" w:themeColor="text1"/>
          <w:spacing w:val="11"/>
          <w:sz w:val="20"/>
          <w:szCs w:val="20"/>
          <w14:textFill>
            <w14:solidFill>
              <w14:schemeClr w14:val="tx1"/>
            </w14:solidFill>
          </w14:textFill>
        </w:rPr>
        <w:t>设备品牌进行更换，承包人必须无条件接受并服从发包人的安排，未经发包人确认，承包人不</w:t>
      </w:r>
      <w:r>
        <w:rPr>
          <w:rFonts w:ascii="宋体" w:hAnsi="宋体" w:eastAsia="宋体" w:cs="宋体"/>
          <w:color w:val="000000" w:themeColor="text1"/>
          <w:spacing w:val="9"/>
          <w:sz w:val="20"/>
          <w:szCs w:val="20"/>
          <w14:textFill>
            <w14:solidFill>
              <w14:schemeClr w14:val="tx1"/>
            </w14:solidFill>
          </w14:textFill>
        </w:rPr>
        <w:t>得擅自更换品牌及要求。</w:t>
      </w:r>
    </w:p>
    <w:p>
      <w:pPr>
        <w:rPr>
          <w:rFonts w:eastAsiaTheme="minorEastAsia"/>
          <w:color w:val="FF0000"/>
        </w:rPr>
      </w:pPr>
    </w:p>
    <w:p>
      <w:pPr>
        <w:spacing w:line="274" w:lineRule="auto"/>
        <w:rPr>
          <w:color w:val="FF0000"/>
        </w:rPr>
      </w:pPr>
    </w:p>
    <w:p>
      <w:pPr>
        <w:spacing w:line="274" w:lineRule="auto"/>
        <w:rPr>
          <w:color w:val="FF0000"/>
        </w:rPr>
      </w:pPr>
    </w:p>
    <w:p>
      <w:pPr>
        <w:spacing w:line="275" w:lineRule="auto"/>
        <w:rPr>
          <w:rFonts w:eastAsiaTheme="minorEastAsia"/>
        </w:rPr>
        <w:sectPr>
          <w:pgSz w:w="11906" w:h="16839"/>
          <w:pgMar w:top="400" w:right="1764" w:bottom="1156" w:left="1612" w:header="0" w:footer="996" w:gutter="0"/>
          <w:pgNumType w:chapStyle="1"/>
          <w:cols w:space="720" w:num="1"/>
        </w:sectPr>
      </w:pPr>
    </w:p>
    <w:p>
      <w:pPr>
        <w:rPr>
          <w:rFonts w:ascii="黑体" w:hAnsi="黑体" w:eastAsia="黑体" w:cs="黑体"/>
          <w:spacing w:val="7"/>
          <w:sz w:val="31"/>
          <w:szCs w:val="31"/>
        </w:rPr>
      </w:pPr>
    </w:p>
    <w:p>
      <w:pPr>
        <w:spacing w:before="101" w:line="227" w:lineRule="auto"/>
        <w:ind w:left="3698"/>
        <w:outlineLvl w:val="0"/>
        <w:rPr>
          <w:rFonts w:ascii="黑体" w:hAnsi="黑体" w:eastAsia="黑体" w:cs="黑体"/>
          <w:sz w:val="52"/>
          <w:szCs w:val="52"/>
        </w:rPr>
      </w:pPr>
      <w:bookmarkStart w:id="767" w:name="_Toc109826690"/>
      <w:r>
        <w:rPr>
          <w:rFonts w:ascii="黑体" w:hAnsi="黑体" w:eastAsia="黑体" w:cs="黑体"/>
          <w:spacing w:val="7"/>
          <w:sz w:val="52"/>
          <w:szCs w:val="52"/>
        </w:rPr>
        <w:t>第</w:t>
      </w:r>
      <w:r>
        <w:rPr>
          <w:rFonts w:ascii="黑体" w:hAnsi="黑体" w:eastAsia="黑体" w:cs="黑体"/>
          <w:spacing w:val="5"/>
          <w:sz w:val="52"/>
          <w:szCs w:val="52"/>
        </w:rPr>
        <w:t>四卷</w:t>
      </w:r>
      <w:bookmarkEnd w:id="767"/>
    </w:p>
    <w:p>
      <w:pPr>
        <w:pStyle w:val="5"/>
        <w:jc w:val="center"/>
        <w:rPr>
          <w:rFonts w:ascii="黑体" w:hAnsi="黑体" w:cs="黑体"/>
          <w:sz w:val="31"/>
          <w:szCs w:val="31"/>
        </w:rPr>
      </w:pPr>
      <w:bookmarkStart w:id="768" w:name="_Toc109826691"/>
      <w:r>
        <w:rPr>
          <w:rFonts w:ascii="黑体" w:hAnsi="黑体" w:cs="黑体"/>
          <w:spacing w:val="8"/>
          <w:sz w:val="31"/>
          <w:szCs w:val="31"/>
        </w:rPr>
        <w:t>第八章  投标文件格</w:t>
      </w:r>
      <w:r>
        <w:rPr>
          <w:rFonts w:ascii="黑体" w:hAnsi="黑体" w:cs="黑体"/>
          <w:spacing w:val="6"/>
          <w:sz w:val="31"/>
          <w:szCs w:val="31"/>
        </w:rPr>
        <w:t>式</w:t>
      </w:r>
      <w:bookmarkEnd w:id="768"/>
    </w:p>
    <w:p>
      <w:pPr>
        <w:spacing w:line="255" w:lineRule="auto"/>
      </w:pPr>
    </w:p>
    <w:p>
      <w:pPr>
        <w:spacing w:line="255" w:lineRule="auto"/>
      </w:pPr>
    </w:p>
    <w:p>
      <w:pPr>
        <w:rPr>
          <w:rFonts w:eastAsiaTheme="minorEastAsia"/>
        </w:rPr>
      </w:pPr>
    </w:p>
    <w:p>
      <w:pPr>
        <w:spacing w:before="91" w:line="223" w:lineRule="auto"/>
        <w:ind w:left="3652"/>
        <w:rPr>
          <w:rFonts w:ascii="黑体" w:hAnsi="黑体" w:eastAsia="黑体" w:cs="黑体"/>
          <w:spacing w:val="-8"/>
          <w:sz w:val="28"/>
          <w:szCs w:val="28"/>
        </w:rPr>
        <w:sectPr>
          <w:pgSz w:w="11906" w:h="16839"/>
          <w:pgMar w:top="400" w:right="1764" w:bottom="1156" w:left="1612" w:header="0" w:footer="996" w:gutter="0"/>
          <w:pgNumType w:chapStyle="1"/>
          <w:cols w:space="720" w:num="1"/>
        </w:sectPr>
      </w:pPr>
    </w:p>
    <w:p>
      <w:pPr>
        <w:pStyle w:val="4"/>
        <w:spacing w:before="120" w:after="120" w:line="400" w:lineRule="exact"/>
        <w:rPr>
          <w:rFonts w:ascii="黑体" w:hAnsi="黑体" w:eastAsia="黑体"/>
          <w:sz w:val="32"/>
          <w:szCs w:val="32"/>
        </w:rPr>
      </w:pPr>
    </w:p>
    <w:p>
      <w:pPr>
        <w:pStyle w:val="4"/>
        <w:spacing w:before="120" w:after="120" w:line="400" w:lineRule="exact"/>
        <w:jc w:val="center"/>
        <w:rPr>
          <w:rFonts w:ascii="黑体" w:hAnsi="黑体" w:eastAsia="黑体"/>
          <w:sz w:val="32"/>
          <w:szCs w:val="32"/>
        </w:rPr>
      </w:pPr>
      <w:bookmarkStart w:id="769" w:name="_Toc109826692"/>
      <w:r>
        <w:rPr>
          <w:rFonts w:hint="eastAsia" w:ascii="黑体" w:hAnsi="黑体" w:eastAsia="黑体"/>
          <w:sz w:val="32"/>
          <w:szCs w:val="32"/>
        </w:rPr>
        <w:t>一、商  务  标</w:t>
      </w:r>
      <w:bookmarkEnd w:id="769"/>
    </w:p>
    <w:p>
      <w:pPr>
        <w:spacing w:line="400" w:lineRule="exact"/>
        <w:jc w:val="center"/>
        <w:rPr>
          <w:rFonts w:ascii="黑体" w:hAnsi="黑体" w:eastAsia="黑体"/>
          <w:sz w:val="32"/>
          <w:szCs w:val="32"/>
        </w:rPr>
      </w:pPr>
    </w:p>
    <w:p>
      <w:pPr>
        <w:spacing w:line="400" w:lineRule="exact"/>
        <w:jc w:val="center"/>
        <w:rPr>
          <w:rFonts w:ascii="黑体" w:hAnsi="黑体" w:eastAsia="黑体"/>
          <w:sz w:val="32"/>
          <w:szCs w:val="32"/>
        </w:rPr>
      </w:pPr>
      <w:r>
        <w:rPr>
          <w:rFonts w:hint="eastAsia" w:ascii="黑体" w:hAnsi="黑体" w:eastAsia="黑体"/>
          <w:sz w:val="32"/>
          <w:szCs w:val="32"/>
        </w:rPr>
        <w:t>投标函和商务标中的投标用表格式详见“投标工具”。</w:t>
      </w:r>
    </w:p>
    <w:p>
      <w:pPr>
        <w:spacing w:line="400" w:lineRule="exact"/>
        <w:jc w:val="center"/>
      </w:pPr>
    </w:p>
    <w:p>
      <w:pPr>
        <w:pStyle w:val="35"/>
      </w:pPr>
      <w:r>
        <w:br w:type="page"/>
      </w:r>
    </w:p>
    <w:p>
      <w:pPr>
        <w:pStyle w:val="35"/>
        <w:rPr>
          <w:rFonts w:ascii="宋体" w:hAnsi="宋体" w:cs="Times New Roman"/>
          <w:i/>
          <w:sz w:val="21"/>
          <w:szCs w:val="21"/>
        </w:rPr>
      </w:pPr>
      <w:bookmarkStart w:id="770" w:name="_Toc109826693"/>
      <w:r>
        <w:rPr>
          <w:rFonts w:hint="eastAsia" w:ascii="宋体" w:hAnsi="宋体" w:cs="Times New Roman"/>
          <w:i/>
          <w:sz w:val="21"/>
          <w:szCs w:val="21"/>
        </w:rPr>
        <w:t>封面</w:t>
      </w:r>
      <w:bookmarkEnd w:id="770"/>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r>
        <w:rPr>
          <w:sz w:val="32"/>
          <w:szCs w:val="32"/>
        </w:rPr>
        <w:t xml:space="preserve">  </w:t>
      </w:r>
      <w:r>
        <w:rPr>
          <w:sz w:val="32"/>
          <w:szCs w:val="32"/>
          <w:u w:val="single"/>
        </w:rPr>
        <w:t xml:space="preserve">                            </w:t>
      </w:r>
      <w:r>
        <w:rPr>
          <w:sz w:val="32"/>
          <w:szCs w:val="32"/>
        </w:rPr>
        <w:t xml:space="preserve">工程 </w:t>
      </w:r>
    </w:p>
    <w:p>
      <w:pPr>
        <w:spacing w:line="360" w:lineRule="auto"/>
        <w:jc w:val="center"/>
        <w:rPr>
          <w:rFonts w:eastAsia="黑体"/>
          <w:sz w:val="44"/>
        </w:rPr>
      </w:pPr>
    </w:p>
    <w:p>
      <w:pPr>
        <w:spacing w:line="360" w:lineRule="auto"/>
        <w:jc w:val="center"/>
        <w:rPr>
          <w:rFonts w:eastAsia="黑体"/>
          <w:sz w:val="52"/>
          <w:szCs w:val="52"/>
        </w:rPr>
      </w:pPr>
      <w:r>
        <w:rPr>
          <w:rFonts w:hint="eastAsia" w:eastAsia="黑体"/>
          <w:sz w:val="52"/>
          <w:szCs w:val="52"/>
        </w:rPr>
        <w:t>投 标 文 件</w:t>
      </w:r>
    </w:p>
    <w:p>
      <w:pPr>
        <w:spacing w:line="480" w:lineRule="auto"/>
        <w:jc w:val="center"/>
        <w:rPr>
          <w:rFonts w:ascii="宋体" w:hAnsi="宋体"/>
          <w:sz w:val="56"/>
          <w:szCs w:val="56"/>
        </w:rPr>
      </w:pPr>
      <w:r>
        <w:rPr>
          <w:rFonts w:hint="eastAsia" w:ascii="宋体" w:hAnsi="宋体"/>
          <w:sz w:val="56"/>
          <w:szCs w:val="56"/>
        </w:rPr>
        <w:t>（资信标）</w:t>
      </w:r>
    </w:p>
    <w:p>
      <w:pPr>
        <w:spacing w:line="420" w:lineRule="auto"/>
        <w:rPr>
          <w:sz w:val="24"/>
        </w:rPr>
      </w:pPr>
    </w:p>
    <w:p>
      <w:pPr>
        <w:spacing w:line="400" w:lineRule="exact"/>
        <w:ind w:firstLine="1260" w:firstLineChars="450"/>
        <w:rPr>
          <w:sz w:val="28"/>
          <w:szCs w:val="28"/>
        </w:rPr>
      </w:pPr>
    </w:p>
    <w:p>
      <w:pPr>
        <w:spacing w:line="400" w:lineRule="exact"/>
        <w:ind w:firstLine="1260" w:firstLineChars="450"/>
        <w:rPr>
          <w:sz w:val="28"/>
          <w:szCs w:val="28"/>
        </w:rPr>
      </w:pPr>
    </w:p>
    <w:p>
      <w:pPr>
        <w:spacing w:line="400" w:lineRule="exact"/>
        <w:ind w:firstLine="1260" w:firstLineChars="450"/>
        <w:rPr>
          <w:sz w:val="28"/>
          <w:szCs w:val="28"/>
        </w:rPr>
      </w:pPr>
      <w:r>
        <w:rPr>
          <w:sz w:val="28"/>
          <w:szCs w:val="28"/>
        </w:rPr>
        <w:t>投标人：</w:t>
      </w:r>
      <w:r>
        <w:rPr>
          <w:sz w:val="28"/>
          <w:szCs w:val="28"/>
          <w:u w:val="single"/>
        </w:rPr>
        <w:t xml:space="preserve">                          </w:t>
      </w:r>
      <w:r>
        <w:rPr>
          <w:sz w:val="28"/>
          <w:szCs w:val="28"/>
        </w:rPr>
        <w:t>（盖单位章）</w:t>
      </w:r>
    </w:p>
    <w:p>
      <w:pPr>
        <w:spacing w:line="400" w:lineRule="exact"/>
        <w:ind w:firstLine="1260" w:firstLineChars="450"/>
        <w:rPr>
          <w:sz w:val="28"/>
          <w:szCs w:val="28"/>
        </w:rPr>
      </w:pPr>
    </w:p>
    <w:p>
      <w:pPr>
        <w:spacing w:line="400" w:lineRule="exact"/>
        <w:ind w:firstLine="1260" w:firstLineChars="450"/>
        <w:rPr>
          <w:sz w:val="28"/>
          <w:szCs w:val="28"/>
        </w:rPr>
      </w:pPr>
    </w:p>
    <w:p>
      <w:pPr>
        <w:spacing w:line="400" w:lineRule="exact"/>
        <w:ind w:firstLine="1260" w:firstLineChars="450"/>
        <w:rPr>
          <w:sz w:val="28"/>
          <w:szCs w:val="28"/>
        </w:rPr>
      </w:pPr>
    </w:p>
    <w:p>
      <w:pPr>
        <w:spacing w:line="400" w:lineRule="exact"/>
        <w:ind w:firstLine="1260" w:firstLineChars="450"/>
        <w:rPr>
          <w:sz w:val="28"/>
          <w:szCs w:val="28"/>
        </w:rPr>
      </w:pPr>
    </w:p>
    <w:p>
      <w:pPr>
        <w:spacing w:line="400" w:lineRule="exact"/>
        <w:ind w:firstLine="1260" w:firstLineChars="450"/>
        <w:rPr>
          <w:sz w:val="28"/>
          <w:szCs w:val="28"/>
        </w:rPr>
      </w:pPr>
      <w:r>
        <w:rPr>
          <w:sz w:val="28"/>
          <w:szCs w:val="28"/>
        </w:rPr>
        <w:t>法定代表人：</w:t>
      </w:r>
      <w:r>
        <w:rPr>
          <w:sz w:val="28"/>
          <w:szCs w:val="28"/>
          <w:u w:val="single"/>
        </w:rPr>
        <w:t xml:space="preserve">         </w:t>
      </w:r>
      <w:r>
        <w:rPr>
          <w:rFonts w:hint="eastAsia"/>
          <w:sz w:val="28"/>
          <w:szCs w:val="28"/>
          <w:u w:val="single"/>
        </w:rPr>
        <w:t xml:space="preserve">      </w:t>
      </w:r>
      <w:r>
        <w:rPr>
          <w:sz w:val="28"/>
          <w:szCs w:val="28"/>
          <w:u w:val="single"/>
        </w:rPr>
        <w:t xml:space="preserve">      </w:t>
      </w:r>
      <w:r>
        <w:rPr>
          <w:sz w:val="28"/>
          <w:szCs w:val="28"/>
        </w:rPr>
        <w:t>（签字</w:t>
      </w:r>
      <w:r>
        <w:rPr>
          <w:rFonts w:hint="eastAsia"/>
          <w:sz w:val="28"/>
          <w:szCs w:val="28"/>
        </w:rPr>
        <w:t>或盖章</w:t>
      </w:r>
      <w:r>
        <w:rPr>
          <w:sz w:val="28"/>
          <w:szCs w:val="28"/>
        </w:rPr>
        <w:t>）</w:t>
      </w:r>
    </w:p>
    <w:p>
      <w:pPr>
        <w:spacing w:line="400" w:lineRule="exact"/>
        <w:jc w:val="center"/>
        <w:rPr>
          <w:sz w:val="28"/>
          <w:szCs w:val="28"/>
          <w:u w:val="single"/>
        </w:rPr>
      </w:pPr>
    </w:p>
    <w:p>
      <w:pPr>
        <w:spacing w:line="400" w:lineRule="exact"/>
        <w:jc w:val="center"/>
        <w:rPr>
          <w:sz w:val="28"/>
          <w:szCs w:val="28"/>
          <w:u w:val="single"/>
        </w:rPr>
      </w:pPr>
    </w:p>
    <w:p>
      <w:pPr>
        <w:spacing w:line="400" w:lineRule="exact"/>
        <w:jc w:val="center"/>
        <w:rPr>
          <w:sz w:val="28"/>
          <w:szCs w:val="28"/>
          <w:u w:val="single"/>
        </w:rPr>
      </w:pPr>
    </w:p>
    <w:p>
      <w:pPr>
        <w:spacing w:line="400" w:lineRule="exact"/>
        <w:jc w:val="center"/>
        <w:rPr>
          <w:sz w:val="28"/>
          <w:szCs w:val="28"/>
          <w:u w:val="single"/>
        </w:rPr>
      </w:pPr>
    </w:p>
    <w:p>
      <w:pPr>
        <w:spacing w:line="400" w:lineRule="exact"/>
        <w:jc w:val="center"/>
        <w:rPr>
          <w:sz w:val="28"/>
          <w:szCs w:val="28"/>
          <w:u w:val="single"/>
        </w:rPr>
      </w:pPr>
    </w:p>
    <w:p>
      <w:pPr>
        <w:spacing w:line="400" w:lineRule="exact"/>
        <w:jc w:val="center"/>
        <w:rPr>
          <w:sz w:val="28"/>
          <w:szCs w:val="28"/>
          <w:u w:val="single"/>
        </w:rPr>
      </w:pPr>
    </w:p>
    <w:p>
      <w:pPr>
        <w:spacing w:line="400" w:lineRule="exact"/>
        <w:ind w:firstLine="2833" w:firstLineChars="1012"/>
        <w:rPr>
          <w:sz w:val="28"/>
          <w:szCs w:val="28"/>
        </w:rPr>
      </w:pPr>
      <w:r>
        <w:rPr>
          <w:sz w:val="28"/>
          <w:szCs w:val="28"/>
          <w:u w:val="single"/>
        </w:rPr>
        <w:t xml:space="preserve">        </w:t>
      </w:r>
      <w:r>
        <w:rPr>
          <w:sz w:val="28"/>
          <w:szCs w:val="28"/>
        </w:rPr>
        <w:t>年</w:t>
      </w:r>
      <w:r>
        <w:rPr>
          <w:sz w:val="28"/>
          <w:szCs w:val="28"/>
          <w:u w:val="single"/>
        </w:rPr>
        <w:t xml:space="preserve">    </w:t>
      </w:r>
      <w:r>
        <w:rPr>
          <w:sz w:val="28"/>
          <w:szCs w:val="28"/>
        </w:rPr>
        <w:t>月</w:t>
      </w:r>
      <w:r>
        <w:rPr>
          <w:sz w:val="28"/>
          <w:szCs w:val="28"/>
          <w:u w:val="single"/>
        </w:rPr>
        <w:t xml:space="preserve">   </w:t>
      </w:r>
      <w:r>
        <w:rPr>
          <w:sz w:val="28"/>
          <w:szCs w:val="28"/>
        </w:rPr>
        <w:t>日</w:t>
      </w:r>
    </w:p>
    <w:p>
      <w:pPr>
        <w:spacing w:line="420" w:lineRule="auto"/>
        <w:ind w:firstLine="610" w:firstLineChars="218"/>
        <w:rPr>
          <w:sz w:val="28"/>
          <w:szCs w:val="28"/>
        </w:rPr>
      </w:pPr>
    </w:p>
    <w:p>
      <w:pPr>
        <w:spacing w:line="420" w:lineRule="auto"/>
        <w:ind w:firstLine="523" w:firstLineChars="218"/>
        <w:rPr>
          <w:sz w:val="24"/>
        </w:rPr>
      </w:pPr>
    </w:p>
    <w:p>
      <w:pPr>
        <w:spacing w:line="400" w:lineRule="exact"/>
        <w:jc w:val="center"/>
      </w:pPr>
      <w:r>
        <w:br w:type="page"/>
      </w:r>
      <w:bookmarkStart w:id="771" w:name="_Toc237769323"/>
      <w:bookmarkStart w:id="772" w:name="_Toc283886278"/>
      <w:bookmarkStart w:id="773" w:name="_Toc282596333"/>
      <w:bookmarkStart w:id="774" w:name="_Toc152042576"/>
      <w:bookmarkStart w:id="775" w:name="_Toc283976568"/>
      <w:bookmarkStart w:id="776" w:name="_Toc144974856"/>
      <w:bookmarkStart w:id="777" w:name="_Toc152045787"/>
    </w:p>
    <w:p>
      <w:pPr>
        <w:spacing w:line="400" w:lineRule="exact"/>
        <w:jc w:val="center"/>
        <w:rPr>
          <w:rFonts w:eastAsia="黑体"/>
          <w:sz w:val="28"/>
          <w:szCs w:val="28"/>
        </w:rPr>
      </w:pPr>
      <w:r>
        <w:rPr>
          <w:rFonts w:eastAsia="黑体"/>
          <w:sz w:val="28"/>
          <w:szCs w:val="28"/>
        </w:rPr>
        <w:t>目    录</w:t>
      </w:r>
      <w:bookmarkEnd w:id="771"/>
      <w:bookmarkEnd w:id="772"/>
      <w:bookmarkEnd w:id="773"/>
      <w:bookmarkEnd w:id="774"/>
      <w:bookmarkEnd w:id="775"/>
      <w:bookmarkEnd w:id="776"/>
      <w:bookmarkEnd w:id="777"/>
    </w:p>
    <w:p>
      <w:pPr>
        <w:spacing w:line="540" w:lineRule="exact"/>
      </w:pPr>
    </w:p>
    <w:p>
      <w:pPr>
        <w:widowControl w:val="0"/>
        <w:numPr>
          <w:ilvl w:val="0"/>
          <w:numId w:val="12"/>
        </w:numPr>
        <w:kinsoku/>
        <w:autoSpaceDE/>
        <w:autoSpaceDN/>
        <w:adjustRightInd/>
        <w:snapToGrid/>
        <w:spacing w:line="540" w:lineRule="exact"/>
        <w:jc w:val="both"/>
        <w:textAlignment w:val="auto"/>
      </w:pPr>
      <w:bookmarkStart w:id="778" w:name="_Toc228163259"/>
      <w:r>
        <w:t>项目负责人简历表</w:t>
      </w:r>
    </w:p>
    <w:p>
      <w:pPr>
        <w:widowControl w:val="0"/>
        <w:numPr>
          <w:ilvl w:val="0"/>
          <w:numId w:val="12"/>
        </w:numPr>
        <w:kinsoku/>
        <w:autoSpaceDE/>
        <w:autoSpaceDN/>
        <w:adjustRightInd/>
        <w:snapToGrid/>
        <w:spacing w:line="540" w:lineRule="exact"/>
        <w:jc w:val="both"/>
        <w:textAlignment w:val="auto"/>
      </w:pPr>
      <w:r>
        <w:rPr>
          <w:rFonts w:hint="eastAsia"/>
        </w:rPr>
        <w:t>项目</w:t>
      </w:r>
      <w:r>
        <w:t>技术负责人简历表</w:t>
      </w:r>
    </w:p>
    <w:p>
      <w:pPr>
        <w:widowControl w:val="0"/>
        <w:numPr>
          <w:ilvl w:val="0"/>
          <w:numId w:val="12"/>
        </w:numPr>
        <w:kinsoku/>
        <w:autoSpaceDE/>
        <w:autoSpaceDN/>
        <w:adjustRightInd/>
        <w:snapToGrid/>
        <w:spacing w:line="540" w:lineRule="exact"/>
        <w:jc w:val="both"/>
        <w:textAlignment w:val="auto"/>
      </w:pPr>
      <w:r>
        <w:t>主要施工机械设备表</w:t>
      </w:r>
    </w:p>
    <w:p>
      <w:pPr>
        <w:widowControl w:val="0"/>
        <w:numPr>
          <w:ilvl w:val="0"/>
          <w:numId w:val="12"/>
        </w:numPr>
        <w:kinsoku/>
        <w:autoSpaceDE/>
        <w:autoSpaceDN/>
        <w:adjustRightInd/>
        <w:snapToGrid/>
        <w:spacing w:line="540" w:lineRule="exact"/>
        <w:jc w:val="both"/>
        <w:textAlignment w:val="auto"/>
      </w:pPr>
      <w:r>
        <w:t>台州市建设工程投标人资格自查表</w:t>
      </w:r>
    </w:p>
    <w:p>
      <w:pPr>
        <w:widowControl w:val="0"/>
        <w:numPr>
          <w:ilvl w:val="0"/>
          <w:numId w:val="12"/>
        </w:numPr>
        <w:kinsoku/>
        <w:autoSpaceDE/>
        <w:autoSpaceDN/>
        <w:adjustRightInd/>
        <w:snapToGrid/>
        <w:spacing w:line="540" w:lineRule="exact"/>
        <w:jc w:val="both"/>
        <w:textAlignment w:val="auto"/>
      </w:pPr>
      <w:r>
        <w:t>台州市建设工程投标项目负责人资格自查表</w:t>
      </w:r>
    </w:p>
    <w:p>
      <w:pPr>
        <w:widowControl w:val="0"/>
        <w:numPr>
          <w:ilvl w:val="0"/>
          <w:numId w:val="12"/>
        </w:numPr>
        <w:kinsoku/>
        <w:autoSpaceDE/>
        <w:autoSpaceDN/>
        <w:adjustRightInd/>
        <w:snapToGrid/>
        <w:spacing w:line="540" w:lineRule="exact"/>
        <w:jc w:val="both"/>
        <w:textAlignment w:val="auto"/>
      </w:pPr>
      <w:r>
        <w:t>台州市建设工程诚信投标承诺书</w:t>
      </w:r>
    </w:p>
    <w:p>
      <w:pPr>
        <w:widowControl w:val="0"/>
        <w:numPr>
          <w:ilvl w:val="0"/>
          <w:numId w:val="12"/>
        </w:numPr>
        <w:kinsoku/>
        <w:autoSpaceDE/>
        <w:autoSpaceDN/>
        <w:adjustRightInd/>
        <w:snapToGrid/>
        <w:spacing w:line="540" w:lineRule="exact"/>
        <w:jc w:val="both"/>
        <w:textAlignment w:val="auto"/>
      </w:pPr>
      <w:r>
        <w:t>台州市建设工程安全生产任职资格承诺书</w:t>
      </w:r>
    </w:p>
    <w:p>
      <w:pPr>
        <w:widowControl w:val="0"/>
        <w:numPr>
          <w:ilvl w:val="0"/>
          <w:numId w:val="12"/>
        </w:numPr>
        <w:kinsoku/>
        <w:autoSpaceDE/>
        <w:autoSpaceDN/>
        <w:adjustRightInd/>
        <w:snapToGrid/>
        <w:spacing w:line="540" w:lineRule="exact"/>
        <w:jc w:val="both"/>
        <w:textAlignment w:val="auto"/>
      </w:pPr>
      <w:r>
        <w:rPr>
          <w:rFonts w:hint="eastAsia"/>
        </w:rPr>
        <w:t>法定代表人授权委托书或法定代表人身份证明</w:t>
      </w:r>
    </w:p>
    <w:p>
      <w:pPr>
        <w:pStyle w:val="3"/>
        <w:ind w:firstLineChars="200"/>
        <w:rPr>
          <w:rFonts w:eastAsiaTheme="minorEastAsia"/>
        </w:rPr>
      </w:pPr>
      <w:r>
        <w:rPr>
          <w:rFonts w:hint="eastAsia" w:eastAsiaTheme="minorEastAsia"/>
        </w:rPr>
        <w:t>九、停工证明</w:t>
      </w:r>
    </w:p>
    <w:p>
      <w:pPr>
        <w:rPr>
          <w:rFonts w:eastAsiaTheme="minorEastAsia"/>
        </w:rPr>
      </w:pPr>
      <w:r>
        <w:rPr>
          <w:rFonts w:hint="eastAsia" w:eastAsiaTheme="minorEastAsia"/>
        </w:rPr>
        <w:t xml:space="preserve">       十、未验收证明</w:t>
      </w:r>
    </w:p>
    <w:p>
      <w:pPr>
        <w:widowControl w:val="0"/>
        <w:kinsoku/>
        <w:autoSpaceDE/>
        <w:autoSpaceDN/>
        <w:adjustRightInd/>
        <w:snapToGrid/>
        <w:spacing w:line="540" w:lineRule="exact"/>
        <w:ind w:left="420"/>
        <w:jc w:val="both"/>
        <w:textAlignment w:val="auto"/>
      </w:pPr>
      <w:r>
        <w:rPr>
          <w:rFonts w:hint="eastAsia" w:eastAsiaTheme="minorEastAsia"/>
        </w:rPr>
        <w:t>十一、</w:t>
      </w:r>
      <w:r>
        <w:rPr>
          <w:rFonts w:hint="eastAsia"/>
        </w:rPr>
        <w:t>证书材料</w:t>
      </w:r>
    </w:p>
    <w:p>
      <w:pPr>
        <w:widowControl w:val="0"/>
        <w:kinsoku/>
        <w:autoSpaceDE/>
        <w:autoSpaceDN/>
        <w:adjustRightInd/>
        <w:snapToGrid/>
        <w:spacing w:line="540" w:lineRule="exact"/>
        <w:ind w:firstLine="420" w:firstLineChars="200"/>
        <w:jc w:val="both"/>
        <w:textAlignment w:val="auto"/>
      </w:pPr>
      <w:r>
        <w:rPr>
          <w:rFonts w:hint="eastAsia"/>
        </w:rPr>
        <w:t>十二、投标人认为需要提供的其他材料（所有评分项涉及到的证书及证明材料）</w:t>
      </w:r>
    </w:p>
    <w:p>
      <w:pPr>
        <w:spacing w:line="540" w:lineRule="exact"/>
      </w:pPr>
    </w:p>
    <w:p>
      <w:pPr>
        <w:spacing w:line="540" w:lineRule="exact"/>
      </w:pPr>
    </w:p>
    <w:p>
      <w:pPr>
        <w:spacing w:line="540" w:lineRule="exact"/>
      </w:pPr>
    </w:p>
    <w:p>
      <w:pPr>
        <w:spacing w:line="540" w:lineRule="exact"/>
      </w:pPr>
    </w:p>
    <w:p>
      <w:pPr>
        <w:pStyle w:val="35"/>
        <w:rPr>
          <w:sz w:val="32"/>
          <w:szCs w:val="21"/>
        </w:rPr>
      </w:pPr>
      <w:r>
        <w:rPr>
          <w:szCs w:val="28"/>
        </w:rPr>
        <w:br w:type="page"/>
      </w:r>
      <w:bookmarkStart w:id="779" w:name="_Toc109826694"/>
      <w:r>
        <w:rPr>
          <w:szCs w:val="28"/>
        </w:rPr>
        <w:t>一、项目负责人简历表</w:t>
      </w:r>
      <w:bookmarkEnd w:id="779"/>
    </w:p>
    <w:p>
      <w:pPr>
        <w:spacing w:line="360" w:lineRule="auto"/>
        <w:jc w:val="center"/>
        <w:rPr>
          <w:sz w:val="24"/>
        </w:rPr>
      </w:pPr>
      <w:r>
        <w:rPr>
          <w:sz w:val="24"/>
        </w:rPr>
        <w:t xml:space="preserve">  </w:t>
      </w:r>
      <w:r>
        <w:rPr>
          <w:sz w:val="24"/>
          <w:u w:val="single"/>
        </w:rPr>
        <w:t xml:space="preserve">                              </w:t>
      </w:r>
      <w:r>
        <w:rPr>
          <w:sz w:val="24"/>
        </w:rPr>
        <w:t xml:space="preserve">工程 </w:t>
      </w:r>
    </w:p>
    <w:p>
      <w:pPr>
        <w:spacing w:line="360" w:lineRule="auto"/>
        <w:jc w:val="center"/>
        <w:rPr>
          <w:rFonts w:eastAsia="黑体"/>
          <w:sz w:val="44"/>
        </w:rPr>
      </w:pPr>
      <w:r>
        <w:rPr>
          <w:rFonts w:eastAsia="黑体"/>
          <w:sz w:val="44"/>
        </w:rPr>
        <w:t>项目负责人简历表</w:t>
      </w:r>
    </w:p>
    <w:tbl>
      <w:tblPr>
        <w:tblStyle w:val="21"/>
        <w:tblW w:w="0" w:type="auto"/>
        <w:tblInd w:w="108" w:type="dxa"/>
        <w:tblLayout w:type="fixed"/>
        <w:tblCellMar>
          <w:top w:w="0" w:type="dxa"/>
          <w:left w:w="108" w:type="dxa"/>
          <w:bottom w:w="0" w:type="dxa"/>
          <w:right w:w="108" w:type="dxa"/>
        </w:tblCellMar>
      </w:tblPr>
      <w:tblGrid>
        <w:gridCol w:w="1089"/>
        <w:gridCol w:w="279"/>
        <w:gridCol w:w="664"/>
        <w:gridCol w:w="894"/>
        <w:gridCol w:w="1089"/>
        <w:gridCol w:w="1116"/>
        <w:gridCol w:w="933"/>
        <w:gridCol w:w="972"/>
        <w:gridCol w:w="1352"/>
      </w:tblGrid>
      <w:tr>
        <w:tblPrEx>
          <w:tblCellMar>
            <w:top w:w="0" w:type="dxa"/>
            <w:left w:w="108" w:type="dxa"/>
            <w:bottom w:w="0" w:type="dxa"/>
            <w:right w:w="108" w:type="dxa"/>
          </w:tblCellMar>
        </w:tblPrEx>
        <w:trPr>
          <w:trHeight w:val="475" w:hRule="atLeast"/>
        </w:trPr>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姓名</w:t>
            </w:r>
          </w:p>
        </w:tc>
        <w:tc>
          <w:tcPr>
            <w:tcW w:w="943" w:type="dxa"/>
            <w:gridSpan w:val="2"/>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894"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性别</w:t>
            </w:r>
          </w:p>
        </w:tc>
        <w:tc>
          <w:tcPr>
            <w:tcW w:w="1089"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1116"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年龄</w:t>
            </w:r>
          </w:p>
        </w:tc>
        <w:tc>
          <w:tcPr>
            <w:tcW w:w="933"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972"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专业</w:t>
            </w:r>
          </w:p>
        </w:tc>
        <w:tc>
          <w:tcPr>
            <w:tcW w:w="1352"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r>
      <w:tr>
        <w:tblPrEx>
          <w:tblCellMar>
            <w:top w:w="0" w:type="dxa"/>
            <w:left w:w="108" w:type="dxa"/>
            <w:bottom w:w="0" w:type="dxa"/>
            <w:right w:w="108" w:type="dxa"/>
          </w:tblCellMar>
        </w:tblPrEx>
        <w:trPr>
          <w:trHeight w:val="489"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资质等级</w:t>
            </w:r>
          </w:p>
        </w:tc>
        <w:tc>
          <w:tcPr>
            <w:tcW w:w="1558" w:type="dxa"/>
            <w:gridSpan w:val="2"/>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1089"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职称</w:t>
            </w:r>
          </w:p>
        </w:tc>
        <w:tc>
          <w:tcPr>
            <w:tcW w:w="2049" w:type="dxa"/>
            <w:gridSpan w:val="2"/>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972"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学历</w:t>
            </w:r>
          </w:p>
        </w:tc>
        <w:tc>
          <w:tcPr>
            <w:tcW w:w="1352"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　</w:t>
            </w:r>
          </w:p>
        </w:tc>
      </w:tr>
      <w:tr>
        <w:tblPrEx>
          <w:tblCellMar>
            <w:top w:w="0" w:type="dxa"/>
            <w:left w:w="108" w:type="dxa"/>
            <w:bottom w:w="0" w:type="dxa"/>
            <w:right w:w="108" w:type="dxa"/>
          </w:tblCellMar>
        </w:tblPrEx>
        <w:trPr>
          <w:trHeight w:val="500" w:hRule="atLeast"/>
        </w:trPr>
        <w:tc>
          <w:tcPr>
            <w:tcW w:w="20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参加工作时间</w:t>
            </w:r>
          </w:p>
        </w:tc>
        <w:tc>
          <w:tcPr>
            <w:tcW w:w="1983" w:type="dxa"/>
            <w:gridSpan w:val="2"/>
            <w:tcBorders>
              <w:top w:val="single" w:color="000000" w:sz="4" w:space="0"/>
              <w:left w:val="nil"/>
              <w:bottom w:val="single" w:color="000000" w:sz="4" w:space="0"/>
              <w:right w:val="single" w:color="000000" w:sz="4" w:space="0"/>
            </w:tcBorders>
            <w:shd w:val="clear" w:color="auto" w:fill="FFFFFF"/>
            <w:vAlign w:val="center"/>
          </w:tcPr>
          <w:p>
            <w:pPr>
              <w:ind w:leftChars="-137" w:hanging="288" w:hangingChars="120"/>
              <w:rPr>
                <w:sz w:val="24"/>
              </w:rPr>
            </w:pPr>
          </w:p>
        </w:tc>
        <w:tc>
          <w:tcPr>
            <w:tcW w:w="3021" w:type="dxa"/>
            <w:gridSpan w:val="3"/>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从事项目负责人年限</w:t>
            </w:r>
          </w:p>
        </w:tc>
        <w:tc>
          <w:tcPr>
            <w:tcW w:w="1352" w:type="dxa"/>
            <w:tcBorders>
              <w:top w:val="nil"/>
              <w:left w:val="nil"/>
              <w:bottom w:val="single" w:color="000000" w:sz="4" w:space="0"/>
              <w:right w:val="single" w:color="000000" w:sz="4" w:space="0"/>
            </w:tcBorders>
            <w:shd w:val="clear" w:color="auto" w:fill="FFFFFF"/>
            <w:vAlign w:val="center"/>
          </w:tcPr>
          <w:p>
            <w:pPr>
              <w:rPr>
                <w:sz w:val="24"/>
              </w:rPr>
            </w:pPr>
            <w:r>
              <w:rPr>
                <w:sz w:val="24"/>
              </w:rPr>
              <w:t>　</w:t>
            </w:r>
          </w:p>
        </w:tc>
      </w:tr>
      <w:tr>
        <w:tblPrEx>
          <w:tblCellMar>
            <w:top w:w="0" w:type="dxa"/>
            <w:left w:w="108" w:type="dxa"/>
            <w:bottom w:w="0" w:type="dxa"/>
            <w:right w:w="108" w:type="dxa"/>
          </w:tblCellMar>
        </w:tblPrEx>
        <w:trPr>
          <w:trHeight w:val="513"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证书号</w:t>
            </w:r>
          </w:p>
        </w:tc>
        <w:tc>
          <w:tcPr>
            <w:tcW w:w="2647" w:type="dxa"/>
            <w:gridSpan w:val="3"/>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1116"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身份证</w:t>
            </w:r>
          </w:p>
        </w:tc>
        <w:tc>
          <w:tcPr>
            <w:tcW w:w="3257" w:type="dxa"/>
            <w:gridSpan w:val="3"/>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r>
      <w:tr>
        <w:tblPrEx>
          <w:tblCellMar>
            <w:top w:w="0" w:type="dxa"/>
            <w:left w:w="108" w:type="dxa"/>
            <w:bottom w:w="0" w:type="dxa"/>
            <w:right w:w="108" w:type="dxa"/>
          </w:tblCellMar>
        </w:tblPrEx>
        <w:trPr>
          <w:trHeight w:val="7405" w:hRule="atLeast"/>
        </w:trPr>
        <w:tc>
          <w:tcPr>
            <w:tcW w:w="1089" w:type="dxa"/>
            <w:vMerge w:val="restart"/>
            <w:tcBorders>
              <w:top w:val="nil"/>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简</w:t>
            </w: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r>
              <w:rPr>
                <w:sz w:val="24"/>
              </w:rPr>
              <w:t>历</w:t>
            </w:r>
          </w:p>
        </w:tc>
        <w:tc>
          <w:tcPr>
            <w:tcW w:w="7299"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tcPr>
          <w:p>
            <w:pPr>
              <w:rPr>
                <w:sz w:val="24"/>
              </w:rPr>
            </w:pPr>
          </w:p>
        </w:tc>
      </w:tr>
      <w:tr>
        <w:tblPrEx>
          <w:tblCellMar>
            <w:top w:w="0" w:type="dxa"/>
            <w:left w:w="108" w:type="dxa"/>
            <w:bottom w:w="0" w:type="dxa"/>
            <w:right w:w="108" w:type="dxa"/>
          </w:tblCellMar>
        </w:tblPrEx>
        <w:trPr>
          <w:trHeight w:val="269" w:hRule="atLeast"/>
        </w:trPr>
        <w:tc>
          <w:tcPr>
            <w:tcW w:w="1089" w:type="dxa"/>
            <w:vMerge w:val="continue"/>
            <w:tcBorders>
              <w:top w:val="nil"/>
              <w:left w:val="single" w:color="000000" w:sz="4" w:space="0"/>
              <w:bottom w:val="single" w:color="000000" w:sz="4" w:space="0"/>
              <w:right w:val="single" w:color="000000" w:sz="4" w:space="0"/>
            </w:tcBorders>
            <w:vAlign w:val="center"/>
          </w:tcPr>
          <w:p>
            <w:pPr>
              <w:rPr>
                <w:sz w:val="22"/>
                <w:szCs w:val="22"/>
              </w:rPr>
            </w:pPr>
          </w:p>
        </w:tc>
        <w:tc>
          <w:tcPr>
            <w:tcW w:w="7299" w:type="dxa"/>
            <w:gridSpan w:val="8"/>
            <w:vMerge w:val="continue"/>
            <w:tcBorders>
              <w:top w:val="single" w:color="000000" w:sz="4" w:space="0"/>
              <w:left w:val="single" w:color="000000" w:sz="4" w:space="0"/>
              <w:bottom w:val="single" w:color="000000" w:sz="4" w:space="0"/>
              <w:right w:val="single" w:color="000000" w:sz="4" w:space="0"/>
            </w:tcBorders>
            <w:vAlign w:val="center"/>
          </w:tcPr>
          <w:p>
            <w:pPr>
              <w:rPr>
                <w:sz w:val="22"/>
                <w:szCs w:val="22"/>
              </w:rPr>
            </w:pPr>
          </w:p>
        </w:tc>
      </w:tr>
    </w:tbl>
    <w:p>
      <w:pPr>
        <w:spacing w:line="440" w:lineRule="exact"/>
        <w:ind w:right="480" w:firstLine="4800" w:firstLineChars="2000"/>
        <w:rPr>
          <w:sz w:val="24"/>
        </w:rPr>
      </w:pPr>
    </w:p>
    <w:p>
      <w:pPr>
        <w:spacing w:line="440" w:lineRule="exact"/>
        <w:ind w:right="480" w:firstLine="4800" w:firstLineChars="2000"/>
        <w:rPr>
          <w:sz w:val="24"/>
        </w:rPr>
      </w:pPr>
      <w:r>
        <w:rPr>
          <w:sz w:val="24"/>
        </w:rPr>
        <w:t xml:space="preserve">法定代表人（签字或盖章）： </w:t>
      </w:r>
    </w:p>
    <w:p>
      <w:pPr>
        <w:spacing w:line="440" w:lineRule="exact"/>
        <w:ind w:right="480"/>
        <w:jc w:val="center"/>
        <w:rPr>
          <w:sz w:val="24"/>
        </w:rPr>
      </w:pPr>
      <w:r>
        <w:t xml:space="preserve">                                  </w:t>
      </w:r>
      <w:r>
        <w:rPr>
          <w:sz w:val="24"/>
        </w:rPr>
        <w:t xml:space="preserve">   投 标 人（盖章）：  </w:t>
      </w:r>
    </w:p>
    <w:p>
      <w:pPr>
        <w:spacing w:line="440" w:lineRule="exact"/>
        <w:ind w:right="840"/>
        <w:jc w:val="right"/>
        <w:rPr>
          <w:sz w:val="24"/>
        </w:rPr>
      </w:pPr>
      <w:r>
        <w:rPr>
          <w:sz w:val="24"/>
        </w:rPr>
        <w:t>日期：    年   月   日</w:t>
      </w:r>
    </w:p>
    <w:p>
      <w:pPr>
        <w:pStyle w:val="35"/>
        <w:rPr>
          <w:rFonts w:cs="Times New Roman"/>
          <w:szCs w:val="28"/>
        </w:rPr>
      </w:pPr>
      <w:bookmarkStart w:id="780" w:name="_Toc109826695"/>
      <w:r>
        <w:rPr>
          <w:rFonts w:cs="Times New Roman"/>
          <w:szCs w:val="28"/>
        </w:rPr>
        <w:t>二、</w:t>
      </w:r>
      <w:r>
        <w:rPr>
          <w:rFonts w:hint="eastAsia" w:cs="Times New Roman"/>
          <w:szCs w:val="28"/>
        </w:rPr>
        <w:t>项目</w:t>
      </w:r>
      <w:r>
        <w:rPr>
          <w:rFonts w:cs="Times New Roman"/>
          <w:szCs w:val="28"/>
        </w:rPr>
        <w:t>技术负责人简历表</w:t>
      </w:r>
      <w:bookmarkEnd w:id="780"/>
    </w:p>
    <w:p>
      <w:pPr>
        <w:spacing w:line="440" w:lineRule="exact"/>
        <w:jc w:val="center"/>
        <w:rPr>
          <w:rFonts w:eastAsia="黑体"/>
          <w:sz w:val="20"/>
          <w:szCs w:val="20"/>
        </w:rPr>
      </w:pPr>
    </w:p>
    <w:p>
      <w:pPr>
        <w:spacing w:line="360" w:lineRule="auto"/>
        <w:jc w:val="center"/>
        <w:rPr>
          <w:sz w:val="24"/>
        </w:rPr>
      </w:pPr>
      <w:r>
        <w:rPr>
          <w:sz w:val="24"/>
          <w:u w:val="single"/>
        </w:rPr>
        <w:t xml:space="preserve">                              </w:t>
      </w:r>
      <w:r>
        <w:rPr>
          <w:sz w:val="24"/>
        </w:rPr>
        <w:t>工程</w:t>
      </w:r>
    </w:p>
    <w:p>
      <w:pPr>
        <w:spacing w:line="360" w:lineRule="auto"/>
        <w:jc w:val="center"/>
        <w:rPr>
          <w:rFonts w:eastAsia="黑体"/>
          <w:sz w:val="44"/>
        </w:rPr>
      </w:pPr>
      <w:r>
        <w:rPr>
          <w:rFonts w:hint="eastAsia" w:eastAsia="黑体"/>
          <w:sz w:val="44"/>
        </w:rPr>
        <w:t>项目</w:t>
      </w:r>
      <w:r>
        <w:rPr>
          <w:rFonts w:eastAsia="黑体"/>
          <w:sz w:val="44"/>
        </w:rPr>
        <w:t>技术负责人简历表</w:t>
      </w:r>
    </w:p>
    <w:tbl>
      <w:tblPr>
        <w:tblStyle w:val="21"/>
        <w:tblW w:w="0" w:type="auto"/>
        <w:tblInd w:w="-72" w:type="dxa"/>
        <w:tblLayout w:type="fixed"/>
        <w:tblCellMar>
          <w:top w:w="0" w:type="dxa"/>
          <w:left w:w="108" w:type="dxa"/>
          <w:bottom w:w="0" w:type="dxa"/>
          <w:right w:w="108" w:type="dxa"/>
        </w:tblCellMar>
      </w:tblPr>
      <w:tblGrid>
        <w:gridCol w:w="1140"/>
        <w:gridCol w:w="1380"/>
        <w:gridCol w:w="920"/>
        <w:gridCol w:w="700"/>
        <w:gridCol w:w="820"/>
        <w:gridCol w:w="980"/>
        <w:gridCol w:w="1080"/>
        <w:gridCol w:w="1500"/>
      </w:tblGrid>
      <w:tr>
        <w:tblPrEx>
          <w:tblCellMar>
            <w:top w:w="0" w:type="dxa"/>
            <w:left w:w="108" w:type="dxa"/>
            <w:bottom w:w="0" w:type="dxa"/>
            <w:right w:w="108" w:type="dxa"/>
          </w:tblCellMar>
        </w:tblPrEx>
        <w:trPr>
          <w:trHeight w:val="525" w:hRule="atLeast"/>
        </w:trPr>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姓名</w:t>
            </w:r>
          </w:p>
        </w:tc>
        <w:tc>
          <w:tcPr>
            <w:tcW w:w="138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性别</w:t>
            </w:r>
          </w:p>
        </w:tc>
        <w:tc>
          <w:tcPr>
            <w:tcW w:w="70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82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年龄</w:t>
            </w:r>
          </w:p>
        </w:tc>
        <w:tc>
          <w:tcPr>
            <w:tcW w:w="98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108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专业</w:t>
            </w:r>
          </w:p>
        </w:tc>
        <w:tc>
          <w:tcPr>
            <w:tcW w:w="150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r>
      <w:tr>
        <w:tblPrEx>
          <w:tblCellMar>
            <w:top w:w="0" w:type="dxa"/>
            <w:left w:w="108" w:type="dxa"/>
            <w:bottom w:w="0" w:type="dxa"/>
            <w:right w:w="108" w:type="dxa"/>
          </w:tblCellMar>
        </w:tblPrEx>
        <w:trPr>
          <w:trHeight w:val="540" w:hRule="atLeast"/>
        </w:trPr>
        <w:tc>
          <w:tcPr>
            <w:tcW w:w="1140" w:type="dxa"/>
            <w:tcBorders>
              <w:top w:val="nil"/>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职称</w:t>
            </w:r>
          </w:p>
        </w:tc>
        <w:tc>
          <w:tcPr>
            <w:tcW w:w="1380" w:type="dxa"/>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1620" w:type="dxa"/>
            <w:gridSpan w:val="2"/>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毕业院校</w:t>
            </w:r>
          </w:p>
        </w:tc>
        <w:tc>
          <w:tcPr>
            <w:tcW w:w="1800" w:type="dxa"/>
            <w:gridSpan w:val="2"/>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1080"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学历</w:t>
            </w:r>
          </w:p>
        </w:tc>
        <w:tc>
          <w:tcPr>
            <w:tcW w:w="1500"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　</w:t>
            </w:r>
          </w:p>
        </w:tc>
      </w:tr>
      <w:tr>
        <w:tblPrEx>
          <w:tblCellMar>
            <w:top w:w="0" w:type="dxa"/>
            <w:left w:w="108" w:type="dxa"/>
            <w:bottom w:w="0" w:type="dxa"/>
            <w:right w:w="108" w:type="dxa"/>
          </w:tblCellMar>
        </w:tblPrEx>
        <w:trPr>
          <w:trHeight w:val="567" w:hRule="atLeast"/>
        </w:trPr>
        <w:tc>
          <w:tcPr>
            <w:tcW w:w="25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4"/>
              </w:rPr>
            </w:pPr>
            <w:r>
              <w:rPr>
                <w:sz w:val="24"/>
              </w:rPr>
              <w:t>参加工作时间</w:t>
            </w:r>
          </w:p>
        </w:tc>
        <w:tc>
          <w:tcPr>
            <w:tcW w:w="1620" w:type="dxa"/>
            <w:gridSpan w:val="2"/>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　</w:t>
            </w:r>
          </w:p>
        </w:tc>
        <w:tc>
          <w:tcPr>
            <w:tcW w:w="2880" w:type="dxa"/>
            <w:gridSpan w:val="3"/>
            <w:tcBorders>
              <w:top w:val="single" w:color="000000" w:sz="4" w:space="0"/>
              <w:left w:val="nil"/>
              <w:bottom w:val="single" w:color="000000" w:sz="4" w:space="0"/>
              <w:right w:val="single" w:color="000000" w:sz="4" w:space="0"/>
            </w:tcBorders>
            <w:shd w:val="clear" w:color="auto" w:fill="FFFFFF"/>
            <w:vAlign w:val="center"/>
          </w:tcPr>
          <w:p>
            <w:pPr>
              <w:jc w:val="center"/>
              <w:rPr>
                <w:sz w:val="24"/>
              </w:rPr>
            </w:pPr>
            <w:r>
              <w:rPr>
                <w:sz w:val="24"/>
              </w:rPr>
              <w:t>从事技术负责人年限</w:t>
            </w:r>
          </w:p>
        </w:tc>
        <w:tc>
          <w:tcPr>
            <w:tcW w:w="1500" w:type="dxa"/>
            <w:tcBorders>
              <w:top w:val="nil"/>
              <w:left w:val="nil"/>
              <w:bottom w:val="single" w:color="000000" w:sz="4" w:space="0"/>
              <w:right w:val="single" w:color="000000" w:sz="4" w:space="0"/>
            </w:tcBorders>
            <w:shd w:val="clear" w:color="auto" w:fill="FFFFFF"/>
            <w:vAlign w:val="center"/>
          </w:tcPr>
          <w:p>
            <w:pPr>
              <w:jc w:val="center"/>
              <w:rPr>
                <w:sz w:val="24"/>
              </w:rPr>
            </w:pPr>
            <w:r>
              <w:rPr>
                <w:sz w:val="24"/>
              </w:rPr>
              <w:t>　</w:t>
            </w:r>
          </w:p>
        </w:tc>
      </w:tr>
      <w:tr>
        <w:tblPrEx>
          <w:tblCellMar>
            <w:top w:w="0" w:type="dxa"/>
            <w:left w:w="108" w:type="dxa"/>
            <w:bottom w:w="0" w:type="dxa"/>
            <w:right w:w="108" w:type="dxa"/>
          </w:tblCellMar>
        </w:tblPrEx>
        <w:trPr>
          <w:trHeight w:val="7387" w:hRule="atLeast"/>
        </w:trPr>
        <w:tc>
          <w:tcPr>
            <w:tcW w:w="1140" w:type="dxa"/>
            <w:tcBorders>
              <w:top w:val="nil"/>
              <w:left w:val="single" w:color="000000" w:sz="4" w:space="0"/>
              <w:bottom w:val="single" w:color="auto" w:sz="4" w:space="0"/>
              <w:right w:val="single" w:color="000000" w:sz="4" w:space="0"/>
            </w:tcBorders>
            <w:shd w:val="clear" w:color="auto" w:fill="FFFFFF"/>
            <w:vAlign w:val="center"/>
          </w:tcPr>
          <w:p>
            <w:pPr>
              <w:jc w:val="center"/>
              <w:rPr>
                <w:sz w:val="24"/>
              </w:rPr>
            </w:pPr>
            <w:r>
              <w:rPr>
                <w:sz w:val="24"/>
              </w:rPr>
              <w:t>简</w:t>
            </w:r>
          </w:p>
          <w:p>
            <w:pPr>
              <w:jc w:val="center"/>
              <w:rPr>
                <w:sz w:val="24"/>
              </w:rPr>
            </w:pPr>
          </w:p>
          <w:p>
            <w:pPr>
              <w:jc w:val="center"/>
              <w:rPr>
                <w:sz w:val="24"/>
              </w:rPr>
            </w:pPr>
          </w:p>
          <w:p>
            <w:pPr>
              <w:jc w:val="center"/>
              <w:rPr>
                <w:sz w:val="24"/>
              </w:rPr>
            </w:pPr>
          </w:p>
          <w:p>
            <w:pPr>
              <w:jc w:val="center"/>
              <w:rPr>
                <w:sz w:val="24"/>
              </w:rPr>
            </w:pPr>
          </w:p>
          <w:p>
            <w:pPr>
              <w:jc w:val="center"/>
              <w:rPr>
                <w:sz w:val="24"/>
              </w:rPr>
            </w:pPr>
          </w:p>
          <w:p>
            <w:pPr>
              <w:jc w:val="center"/>
              <w:rPr>
                <w:sz w:val="24"/>
              </w:rPr>
            </w:pPr>
            <w:r>
              <w:rPr>
                <w:sz w:val="24"/>
              </w:rPr>
              <w:t>历</w:t>
            </w:r>
          </w:p>
        </w:tc>
        <w:tc>
          <w:tcPr>
            <w:tcW w:w="7380" w:type="dxa"/>
            <w:gridSpan w:val="7"/>
            <w:tcBorders>
              <w:top w:val="single" w:color="000000" w:sz="4" w:space="0"/>
              <w:left w:val="nil"/>
              <w:bottom w:val="single" w:color="auto" w:sz="4" w:space="0"/>
              <w:right w:val="single" w:color="000000" w:sz="4" w:space="0"/>
            </w:tcBorders>
            <w:shd w:val="clear" w:color="auto" w:fill="FFFFFF"/>
          </w:tcPr>
          <w:p>
            <w:pPr>
              <w:rPr>
                <w:sz w:val="24"/>
              </w:rPr>
            </w:pPr>
            <w:r>
              <w:rPr>
                <w:sz w:val="24"/>
              </w:rPr>
              <w:t>　</w:t>
            </w:r>
          </w:p>
        </w:tc>
      </w:tr>
    </w:tbl>
    <w:p>
      <w:pPr>
        <w:spacing w:line="440" w:lineRule="exact"/>
        <w:ind w:right="480" w:firstLine="4800" w:firstLineChars="2000"/>
        <w:rPr>
          <w:sz w:val="24"/>
        </w:rPr>
      </w:pPr>
    </w:p>
    <w:p>
      <w:pPr>
        <w:spacing w:line="440" w:lineRule="exact"/>
        <w:ind w:right="480" w:firstLine="4800" w:firstLineChars="2000"/>
        <w:rPr>
          <w:sz w:val="24"/>
        </w:rPr>
      </w:pPr>
      <w:r>
        <w:rPr>
          <w:sz w:val="24"/>
        </w:rPr>
        <w:t xml:space="preserve">法定代表人（签字或盖章）： </w:t>
      </w:r>
    </w:p>
    <w:p>
      <w:pPr>
        <w:spacing w:line="440" w:lineRule="exact"/>
        <w:ind w:right="480"/>
        <w:jc w:val="center"/>
        <w:rPr>
          <w:sz w:val="24"/>
        </w:rPr>
      </w:pPr>
      <w:r>
        <w:rPr>
          <w:sz w:val="24"/>
        </w:rPr>
        <w:t xml:space="preserve">                                投 标 人（盖章）：  </w:t>
      </w:r>
    </w:p>
    <w:p>
      <w:pPr>
        <w:spacing w:line="440" w:lineRule="exact"/>
        <w:ind w:right="480" w:firstLine="4800" w:firstLineChars="2000"/>
        <w:rPr>
          <w:sz w:val="24"/>
        </w:rPr>
      </w:pPr>
      <w:r>
        <w:rPr>
          <w:sz w:val="24"/>
        </w:rPr>
        <w:t>日期：    年   月   日</w:t>
      </w:r>
    </w:p>
    <w:p>
      <w:pPr>
        <w:spacing w:line="440" w:lineRule="exact"/>
        <w:ind w:right="480" w:firstLine="4800" w:firstLineChars="2000"/>
        <w:rPr>
          <w:sz w:val="24"/>
        </w:rPr>
      </w:pPr>
    </w:p>
    <w:p>
      <w:pPr>
        <w:pStyle w:val="35"/>
        <w:rPr>
          <w:rFonts w:cs="Times New Roman"/>
          <w:szCs w:val="28"/>
        </w:rPr>
      </w:pPr>
      <w:bookmarkStart w:id="781" w:name="_Toc109826696"/>
      <w:r>
        <w:rPr>
          <w:rFonts w:cs="Times New Roman"/>
          <w:szCs w:val="28"/>
        </w:rPr>
        <w:t>三、主要施工机械设备表</w:t>
      </w:r>
      <w:bookmarkEnd w:id="781"/>
    </w:p>
    <w:p>
      <w:pPr>
        <w:spacing w:line="440" w:lineRule="exact"/>
        <w:jc w:val="center"/>
        <w:rPr>
          <w:rFonts w:eastAsia="黑体"/>
          <w:sz w:val="20"/>
          <w:szCs w:val="20"/>
        </w:rPr>
      </w:pPr>
    </w:p>
    <w:p>
      <w:pPr>
        <w:spacing w:line="360" w:lineRule="auto"/>
        <w:jc w:val="center"/>
        <w:rPr>
          <w:sz w:val="24"/>
        </w:rPr>
      </w:pPr>
      <w:r>
        <w:rPr>
          <w:sz w:val="24"/>
          <w:u w:val="single"/>
        </w:rPr>
        <w:t xml:space="preserve">                              </w:t>
      </w:r>
      <w:r>
        <w:rPr>
          <w:sz w:val="24"/>
        </w:rPr>
        <w:t>工程</w:t>
      </w:r>
    </w:p>
    <w:p>
      <w:pPr>
        <w:spacing w:line="360" w:lineRule="auto"/>
        <w:jc w:val="center"/>
        <w:rPr>
          <w:rFonts w:eastAsia="黑体"/>
          <w:sz w:val="44"/>
        </w:rPr>
      </w:pPr>
      <w:r>
        <w:rPr>
          <w:rFonts w:eastAsia="黑体"/>
          <w:sz w:val="44"/>
        </w:rPr>
        <w:t>主要施工机械设备表</w:t>
      </w:r>
    </w:p>
    <w:tbl>
      <w:tblPr>
        <w:tblStyle w:val="21"/>
        <w:tblW w:w="0" w:type="auto"/>
        <w:tblInd w:w="0" w:type="dxa"/>
        <w:tblLayout w:type="fixed"/>
        <w:tblCellMar>
          <w:top w:w="0" w:type="dxa"/>
          <w:left w:w="108" w:type="dxa"/>
          <w:bottom w:w="0" w:type="dxa"/>
          <w:right w:w="108" w:type="dxa"/>
        </w:tblCellMar>
      </w:tblPr>
      <w:tblGrid>
        <w:gridCol w:w="828"/>
        <w:gridCol w:w="1440"/>
        <w:gridCol w:w="1440"/>
        <w:gridCol w:w="1060"/>
        <w:gridCol w:w="1420"/>
        <w:gridCol w:w="1340"/>
        <w:gridCol w:w="920"/>
      </w:tblGrid>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r>
              <w:rPr>
                <w:sz w:val="22"/>
                <w:szCs w:val="22"/>
              </w:rPr>
              <w:t>序号</w:t>
            </w: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r>
              <w:rPr>
                <w:sz w:val="22"/>
                <w:szCs w:val="22"/>
              </w:rPr>
              <w:t>设备名称</w:t>
            </w: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r>
              <w:rPr>
                <w:sz w:val="22"/>
                <w:szCs w:val="22"/>
              </w:rPr>
              <w:t>规格型号</w:t>
            </w: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r>
              <w:rPr>
                <w:sz w:val="22"/>
                <w:szCs w:val="22"/>
              </w:rPr>
              <w:t>数量</w:t>
            </w: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r>
              <w:rPr>
                <w:sz w:val="22"/>
                <w:szCs w:val="22"/>
              </w:rPr>
              <w:t>设备能力</w:t>
            </w: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r>
              <w:rPr>
                <w:sz w:val="22"/>
                <w:szCs w:val="22"/>
              </w:rPr>
              <w:t>进场时间</w:t>
            </w: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r>
              <w:rPr>
                <w:sz w:val="22"/>
                <w:szCs w:val="22"/>
              </w:rPr>
              <w:t>备注</w:t>
            </w: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r>
        <w:tblPrEx>
          <w:tblCellMar>
            <w:top w:w="0" w:type="dxa"/>
            <w:left w:w="108" w:type="dxa"/>
            <w:bottom w:w="0" w:type="dxa"/>
            <w:right w:w="108" w:type="dxa"/>
          </w:tblCellMar>
        </w:tblPrEx>
        <w:trPr>
          <w:trHeight w:val="642" w:hRule="atLeast"/>
        </w:trPr>
        <w:tc>
          <w:tcPr>
            <w:tcW w:w="8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06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4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134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c>
          <w:tcPr>
            <w:tcW w:w="920" w:type="dxa"/>
            <w:tcBorders>
              <w:top w:val="single" w:color="000000" w:sz="4" w:space="0"/>
              <w:left w:val="nil"/>
              <w:bottom w:val="single" w:color="000000" w:sz="4" w:space="0"/>
              <w:right w:val="single" w:color="000000" w:sz="4" w:space="0"/>
            </w:tcBorders>
            <w:shd w:val="clear" w:color="auto" w:fill="FFFFFF"/>
            <w:vAlign w:val="center"/>
          </w:tcPr>
          <w:p>
            <w:pPr>
              <w:jc w:val="center"/>
              <w:rPr>
                <w:sz w:val="22"/>
                <w:szCs w:val="22"/>
              </w:rPr>
            </w:pPr>
          </w:p>
        </w:tc>
      </w:tr>
    </w:tbl>
    <w:p>
      <w:pPr>
        <w:spacing w:line="440" w:lineRule="exact"/>
        <w:jc w:val="right"/>
        <w:rPr>
          <w:sz w:val="24"/>
        </w:rPr>
      </w:pPr>
    </w:p>
    <w:p>
      <w:pPr>
        <w:spacing w:line="440" w:lineRule="exact"/>
        <w:ind w:right="480" w:firstLine="4800" w:firstLineChars="2000"/>
        <w:rPr>
          <w:sz w:val="24"/>
        </w:rPr>
      </w:pPr>
      <w:r>
        <w:rPr>
          <w:sz w:val="24"/>
        </w:rPr>
        <w:t xml:space="preserve">法定代表人（签字或盖章）： </w:t>
      </w:r>
    </w:p>
    <w:p>
      <w:pPr>
        <w:spacing w:line="440" w:lineRule="exact"/>
        <w:jc w:val="right"/>
        <w:rPr>
          <w:sz w:val="24"/>
        </w:rPr>
      </w:pPr>
      <w:r>
        <w:rPr>
          <w:sz w:val="24"/>
        </w:rPr>
        <w:t xml:space="preserve"> </w:t>
      </w:r>
    </w:p>
    <w:p>
      <w:pPr>
        <w:spacing w:line="440" w:lineRule="exact"/>
        <w:ind w:right="480"/>
        <w:jc w:val="center"/>
        <w:rPr>
          <w:sz w:val="24"/>
        </w:rPr>
      </w:pPr>
      <w:r>
        <w:rPr>
          <w:sz w:val="24"/>
        </w:rPr>
        <w:t xml:space="preserve">                                投 标 人（盖章）：  </w:t>
      </w:r>
    </w:p>
    <w:p>
      <w:pPr>
        <w:spacing w:line="440" w:lineRule="exact"/>
        <w:jc w:val="right"/>
        <w:rPr>
          <w:sz w:val="24"/>
        </w:rPr>
      </w:pPr>
      <w:r>
        <w:rPr>
          <w:sz w:val="24"/>
        </w:rPr>
        <w:t xml:space="preserve"> </w:t>
      </w:r>
    </w:p>
    <w:p>
      <w:pPr>
        <w:spacing w:line="440" w:lineRule="exact"/>
        <w:ind w:firstLine="480"/>
        <w:jc w:val="right"/>
        <w:rPr>
          <w:sz w:val="24"/>
        </w:rPr>
      </w:pPr>
      <w:r>
        <w:rPr>
          <w:sz w:val="24"/>
        </w:rPr>
        <w:t>日期：    年   月   日</w:t>
      </w:r>
    </w:p>
    <w:p>
      <w:pPr>
        <w:pStyle w:val="35"/>
        <w:rPr>
          <w:rFonts w:cs="Times New Roman"/>
          <w:szCs w:val="28"/>
        </w:rPr>
      </w:pPr>
      <w:bookmarkStart w:id="782" w:name="_Toc288556325"/>
      <w:bookmarkStart w:id="783" w:name="_Toc370743415"/>
      <w:bookmarkStart w:id="784" w:name="_Toc12085"/>
      <w:bookmarkStart w:id="785" w:name="_Toc109826697"/>
      <w:bookmarkStart w:id="786" w:name="_Toc365645478"/>
      <w:r>
        <w:rPr>
          <w:rFonts w:cs="Times New Roman"/>
          <w:szCs w:val="28"/>
        </w:rPr>
        <w:t>四、</w:t>
      </w:r>
      <w:bookmarkEnd w:id="782"/>
      <w:r>
        <w:rPr>
          <w:rFonts w:cs="Times New Roman"/>
          <w:szCs w:val="28"/>
        </w:rPr>
        <w:t>台州市建设工程投标人资格自查表</w:t>
      </w:r>
      <w:bookmarkEnd w:id="783"/>
      <w:bookmarkEnd w:id="784"/>
      <w:bookmarkEnd w:id="785"/>
      <w:bookmarkEnd w:id="786"/>
    </w:p>
    <w:p>
      <w:pPr>
        <w:spacing w:line="360" w:lineRule="auto"/>
        <w:jc w:val="center"/>
        <w:rPr>
          <w:sz w:val="24"/>
        </w:rPr>
      </w:pPr>
      <w:r>
        <w:rPr>
          <w:sz w:val="24"/>
          <w:u w:val="single"/>
        </w:rPr>
        <w:t xml:space="preserve">                              </w:t>
      </w:r>
      <w:r>
        <w:rPr>
          <w:sz w:val="24"/>
        </w:rPr>
        <w:t>工程</w:t>
      </w:r>
    </w:p>
    <w:p>
      <w:pPr>
        <w:ind w:leftChars="-95" w:hanging="199" w:hangingChars="66"/>
        <w:jc w:val="center"/>
        <w:rPr>
          <w:rFonts w:eastAsia="黑体"/>
          <w:b/>
          <w:sz w:val="30"/>
          <w:szCs w:val="30"/>
        </w:rPr>
      </w:pPr>
      <w:r>
        <w:rPr>
          <w:rFonts w:eastAsia="黑体"/>
          <w:b/>
          <w:sz w:val="30"/>
          <w:szCs w:val="30"/>
        </w:rPr>
        <w:t>台州市建设工程投标人资格自查表</w:t>
      </w:r>
    </w:p>
    <w:p>
      <w:pPr>
        <w:ind w:leftChars="-95" w:hanging="199" w:hangingChars="66"/>
        <w:jc w:val="center"/>
        <w:rPr>
          <w:rFonts w:eastAsia="黑体"/>
          <w:b/>
          <w:sz w:val="30"/>
          <w:szCs w:val="30"/>
        </w:rPr>
      </w:pPr>
    </w:p>
    <w:tbl>
      <w:tblPr>
        <w:tblStyle w:val="21"/>
        <w:tblW w:w="9518" w:type="dxa"/>
        <w:tblInd w:w="-5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5368"/>
        <w:gridCol w:w="1350"/>
        <w:gridCol w:w="1050"/>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17" w:type="dxa"/>
            <w:vAlign w:val="center"/>
          </w:tcPr>
          <w:p>
            <w:pPr>
              <w:spacing w:line="360" w:lineRule="auto"/>
              <w:jc w:val="center"/>
              <w:rPr>
                <w:rFonts w:eastAsia="黑体"/>
                <w:b/>
              </w:rPr>
            </w:pPr>
            <w:r>
              <w:rPr>
                <w:rFonts w:eastAsia="黑体"/>
                <w:b/>
              </w:rPr>
              <w:t>序号</w:t>
            </w:r>
          </w:p>
        </w:tc>
        <w:tc>
          <w:tcPr>
            <w:tcW w:w="5368" w:type="dxa"/>
            <w:vAlign w:val="center"/>
          </w:tcPr>
          <w:p>
            <w:pPr>
              <w:spacing w:line="360" w:lineRule="auto"/>
              <w:jc w:val="center"/>
              <w:rPr>
                <w:rFonts w:eastAsia="黑体"/>
                <w:b/>
              </w:rPr>
            </w:pPr>
            <w:r>
              <w:rPr>
                <w:rFonts w:eastAsia="黑体"/>
                <w:b/>
              </w:rPr>
              <w:t>自查内容</w:t>
            </w:r>
          </w:p>
        </w:tc>
        <w:tc>
          <w:tcPr>
            <w:tcW w:w="1350" w:type="dxa"/>
            <w:vAlign w:val="center"/>
          </w:tcPr>
          <w:p>
            <w:pPr>
              <w:jc w:val="center"/>
              <w:rPr>
                <w:rFonts w:eastAsia="黑体"/>
                <w:b/>
              </w:rPr>
            </w:pPr>
            <w:r>
              <w:rPr>
                <w:rFonts w:eastAsia="黑体"/>
                <w:b/>
              </w:rPr>
              <w:t>招标文件</w:t>
            </w:r>
          </w:p>
          <w:p>
            <w:pPr>
              <w:jc w:val="center"/>
              <w:rPr>
                <w:rFonts w:eastAsia="黑体"/>
                <w:b/>
              </w:rPr>
            </w:pPr>
            <w:r>
              <w:rPr>
                <w:rFonts w:eastAsia="黑体"/>
                <w:b/>
              </w:rPr>
              <w:t>条款号</w:t>
            </w:r>
          </w:p>
        </w:tc>
        <w:tc>
          <w:tcPr>
            <w:tcW w:w="1050" w:type="dxa"/>
            <w:vAlign w:val="center"/>
          </w:tcPr>
          <w:p>
            <w:pPr>
              <w:spacing w:line="360" w:lineRule="auto"/>
              <w:jc w:val="center"/>
              <w:rPr>
                <w:rFonts w:eastAsia="黑体"/>
                <w:b/>
              </w:rPr>
            </w:pPr>
            <w:r>
              <w:rPr>
                <w:rFonts w:eastAsia="黑体"/>
                <w:b/>
              </w:rPr>
              <w:t>投标要求</w:t>
            </w:r>
          </w:p>
        </w:tc>
        <w:tc>
          <w:tcPr>
            <w:tcW w:w="1133" w:type="dxa"/>
            <w:vAlign w:val="center"/>
          </w:tcPr>
          <w:p>
            <w:pPr>
              <w:spacing w:line="360" w:lineRule="auto"/>
              <w:jc w:val="center"/>
              <w:rPr>
                <w:rFonts w:eastAsia="黑体"/>
                <w:b/>
              </w:rPr>
            </w:pPr>
            <w:r>
              <w:rPr>
                <w:rFonts w:eastAsia="黑体"/>
                <w:b/>
              </w:rPr>
              <w:t>自查情况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1</w:t>
            </w:r>
          </w:p>
        </w:tc>
        <w:tc>
          <w:tcPr>
            <w:tcW w:w="5368" w:type="dxa"/>
            <w:vAlign w:val="center"/>
          </w:tcPr>
          <w:p>
            <w:r>
              <w:t>投标人资质条件是否符合</w:t>
            </w:r>
          </w:p>
        </w:tc>
        <w:tc>
          <w:tcPr>
            <w:tcW w:w="1350" w:type="dxa"/>
            <w:vAlign w:val="center"/>
          </w:tcPr>
          <w:p>
            <w:pPr>
              <w:spacing w:line="360" w:lineRule="auto"/>
              <w:jc w:val="center"/>
            </w:pPr>
            <w:r>
              <w:t>1.4.1（1）</w:t>
            </w:r>
          </w:p>
        </w:tc>
        <w:tc>
          <w:tcPr>
            <w:tcW w:w="1050" w:type="dxa"/>
            <w:vAlign w:val="center"/>
          </w:tcPr>
          <w:p>
            <w:pPr>
              <w:spacing w:line="360" w:lineRule="auto"/>
              <w:jc w:val="center"/>
            </w:pPr>
            <w:r>
              <w:t>是</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2</w:t>
            </w:r>
          </w:p>
        </w:tc>
        <w:tc>
          <w:tcPr>
            <w:tcW w:w="5368" w:type="dxa"/>
            <w:vAlign w:val="center"/>
          </w:tcPr>
          <w:p>
            <w:r>
              <w:t>是否为招标人不具有独立法人资格的附属机构（单位）</w:t>
            </w:r>
          </w:p>
        </w:tc>
        <w:tc>
          <w:tcPr>
            <w:tcW w:w="1350" w:type="dxa"/>
            <w:vAlign w:val="center"/>
          </w:tcPr>
          <w:p>
            <w:pPr>
              <w:spacing w:line="360" w:lineRule="auto"/>
              <w:jc w:val="center"/>
            </w:pPr>
            <w:r>
              <w:t>1.4.3（1）</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3</w:t>
            </w:r>
          </w:p>
        </w:tc>
        <w:tc>
          <w:tcPr>
            <w:tcW w:w="5368" w:type="dxa"/>
            <w:vAlign w:val="center"/>
          </w:tcPr>
          <w:p>
            <w:r>
              <w:t>是否为本工程前期准备提供设计或咨询服务的，但设计施工总承包的除外</w:t>
            </w:r>
          </w:p>
        </w:tc>
        <w:tc>
          <w:tcPr>
            <w:tcW w:w="1350" w:type="dxa"/>
            <w:vAlign w:val="center"/>
          </w:tcPr>
          <w:p>
            <w:pPr>
              <w:spacing w:line="360" w:lineRule="auto"/>
              <w:jc w:val="center"/>
            </w:pPr>
            <w:r>
              <w:t>1.4.3（2）</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4</w:t>
            </w:r>
          </w:p>
        </w:tc>
        <w:tc>
          <w:tcPr>
            <w:tcW w:w="5368" w:type="dxa"/>
            <w:vAlign w:val="center"/>
          </w:tcPr>
          <w:p>
            <w:r>
              <w:t>是否为本工程的监理人</w:t>
            </w:r>
          </w:p>
        </w:tc>
        <w:tc>
          <w:tcPr>
            <w:tcW w:w="1350" w:type="dxa"/>
            <w:vAlign w:val="center"/>
          </w:tcPr>
          <w:p>
            <w:pPr>
              <w:spacing w:line="360" w:lineRule="auto"/>
              <w:jc w:val="center"/>
            </w:pPr>
            <w:r>
              <w:t>1.4.3（3）</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5</w:t>
            </w:r>
          </w:p>
        </w:tc>
        <w:tc>
          <w:tcPr>
            <w:tcW w:w="5368" w:type="dxa"/>
            <w:vAlign w:val="center"/>
          </w:tcPr>
          <w:p>
            <w:r>
              <w:t>是否为本工程的代建人</w:t>
            </w:r>
          </w:p>
        </w:tc>
        <w:tc>
          <w:tcPr>
            <w:tcW w:w="1350" w:type="dxa"/>
            <w:vAlign w:val="center"/>
          </w:tcPr>
          <w:p>
            <w:pPr>
              <w:spacing w:line="360" w:lineRule="auto"/>
              <w:jc w:val="center"/>
            </w:pPr>
            <w:r>
              <w:t>1.4.3（4）</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6</w:t>
            </w:r>
          </w:p>
        </w:tc>
        <w:tc>
          <w:tcPr>
            <w:tcW w:w="5368" w:type="dxa"/>
            <w:vAlign w:val="center"/>
          </w:tcPr>
          <w:p>
            <w:r>
              <w:t>是否为本工程提供招标代理服务</w:t>
            </w:r>
          </w:p>
        </w:tc>
        <w:tc>
          <w:tcPr>
            <w:tcW w:w="1350" w:type="dxa"/>
            <w:vAlign w:val="center"/>
          </w:tcPr>
          <w:p>
            <w:pPr>
              <w:spacing w:line="360" w:lineRule="auto"/>
              <w:jc w:val="center"/>
            </w:pPr>
            <w:r>
              <w:t>1.4.3（5）</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7</w:t>
            </w:r>
          </w:p>
        </w:tc>
        <w:tc>
          <w:tcPr>
            <w:tcW w:w="5368" w:type="dxa"/>
            <w:vAlign w:val="center"/>
          </w:tcPr>
          <w:p>
            <w:r>
              <w:t>是否与本工程的监理人或代建人或招标代理机构同为一个法定代表人</w:t>
            </w:r>
          </w:p>
        </w:tc>
        <w:tc>
          <w:tcPr>
            <w:tcW w:w="1350" w:type="dxa"/>
            <w:vAlign w:val="center"/>
          </w:tcPr>
          <w:p>
            <w:pPr>
              <w:spacing w:line="360" w:lineRule="auto"/>
              <w:jc w:val="center"/>
            </w:pPr>
            <w:r>
              <w:t>1.4.3（6）</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8</w:t>
            </w:r>
          </w:p>
        </w:tc>
        <w:tc>
          <w:tcPr>
            <w:tcW w:w="5368" w:type="dxa"/>
            <w:vAlign w:val="center"/>
          </w:tcPr>
          <w:p>
            <w:r>
              <w:t>是否与本工程的监理人或代建人或招标代理机构相互控股或参股</w:t>
            </w:r>
          </w:p>
        </w:tc>
        <w:tc>
          <w:tcPr>
            <w:tcW w:w="1350" w:type="dxa"/>
            <w:vAlign w:val="center"/>
          </w:tcPr>
          <w:p>
            <w:pPr>
              <w:spacing w:line="360" w:lineRule="auto"/>
              <w:jc w:val="center"/>
            </w:pPr>
            <w:r>
              <w:t>1.4.3（7）</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9</w:t>
            </w:r>
          </w:p>
        </w:tc>
        <w:tc>
          <w:tcPr>
            <w:tcW w:w="5368" w:type="dxa"/>
            <w:vAlign w:val="center"/>
          </w:tcPr>
          <w:p>
            <w:r>
              <w:t>是否与本工程的监理人或代建人或招标代理机构相互任职或工作</w:t>
            </w:r>
          </w:p>
        </w:tc>
        <w:tc>
          <w:tcPr>
            <w:tcW w:w="1350" w:type="dxa"/>
            <w:vAlign w:val="center"/>
          </w:tcPr>
          <w:p>
            <w:pPr>
              <w:spacing w:line="360" w:lineRule="auto"/>
              <w:jc w:val="center"/>
            </w:pPr>
            <w:r>
              <w:t>1.4.3（8）</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10</w:t>
            </w:r>
          </w:p>
        </w:tc>
        <w:tc>
          <w:tcPr>
            <w:tcW w:w="5368" w:type="dxa"/>
            <w:vAlign w:val="center"/>
          </w:tcPr>
          <w:p>
            <w:r>
              <w:t>是否被责令停业</w:t>
            </w:r>
          </w:p>
        </w:tc>
        <w:tc>
          <w:tcPr>
            <w:tcW w:w="1350" w:type="dxa"/>
            <w:vAlign w:val="center"/>
          </w:tcPr>
          <w:p>
            <w:pPr>
              <w:spacing w:line="360" w:lineRule="auto"/>
              <w:jc w:val="center"/>
            </w:pPr>
            <w:r>
              <w:t>1.4.3（9）</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17" w:type="dxa"/>
            <w:vAlign w:val="center"/>
          </w:tcPr>
          <w:p>
            <w:pPr>
              <w:spacing w:line="360" w:lineRule="auto"/>
              <w:jc w:val="center"/>
            </w:pPr>
            <w:r>
              <w:t>11</w:t>
            </w:r>
          </w:p>
        </w:tc>
        <w:tc>
          <w:tcPr>
            <w:tcW w:w="5368" w:type="dxa"/>
            <w:vAlign w:val="center"/>
          </w:tcPr>
          <w:p>
            <w:r>
              <w:t>是否被暂停或取消投标资格</w:t>
            </w:r>
          </w:p>
        </w:tc>
        <w:tc>
          <w:tcPr>
            <w:tcW w:w="1350" w:type="dxa"/>
            <w:vAlign w:val="center"/>
          </w:tcPr>
          <w:p>
            <w:pPr>
              <w:spacing w:line="360" w:lineRule="auto"/>
              <w:jc w:val="center"/>
            </w:pPr>
            <w:r>
              <w:t>1.4.3（10）</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12</w:t>
            </w:r>
          </w:p>
        </w:tc>
        <w:tc>
          <w:tcPr>
            <w:tcW w:w="5368" w:type="dxa"/>
            <w:vAlign w:val="center"/>
          </w:tcPr>
          <w:p>
            <w:r>
              <w:t>是否存在安全生产许可证超出有效期或处于暂扣时限内</w:t>
            </w:r>
          </w:p>
        </w:tc>
        <w:tc>
          <w:tcPr>
            <w:tcW w:w="1350" w:type="dxa"/>
            <w:vAlign w:val="center"/>
          </w:tcPr>
          <w:p>
            <w:pPr>
              <w:spacing w:line="360" w:lineRule="auto"/>
              <w:jc w:val="center"/>
            </w:pPr>
            <w:r>
              <w:t>1.4.3（11）</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617" w:type="dxa"/>
            <w:vAlign w:val="center"/>
          </w:tcPr>
          <w:p>
            <w:pPr>
              <w:spacing w:line="360" w:lineRule="auto"/>
              <w:jc w:val="center"/>
            </w:pPr>
            <w:r>
              <w:t>13</w:t>
            </w:r>
          </w:p>
        </w:tc>
        <w:tc>
          <w:tcPr>
            <w:tcW w:w="5368" w:type="dxa"/>
            <w:vAlign w:val="center"/>
          </w:tcPr>
          <w:p>
            <w:r>
              <w:t>是否存在投标人（包括法定代表人）有行贿犯罪记录的（由投标文件提交截止之日上溯3年，行贿犯罪记录日期以法院判决生效日期为准）</w:t>
            </w:r>
          </w:p>
        </w:tc>
        <w:tc>
          <w:tcPr>
            <w:tcW w:w="1350" w:type="dxa"/>
            <w:vAlign w:val="center"/>
          </w:tcPr>
          <w:p>
            <w:pPr>
              <w:spacing w:line="360" w:lineRule="auto"/>
              <w:jc w:val="center"/>
            </w:pPr>
            <w:r>
              <w:t>1.4.3（12）</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14</w:t>
            </w:r>
          </w:p>
        </w:tc>
        <w:tc>
          <w:tcPr>
            <w:tcW w:w="5368" w:type="dxa"/>
            <w:vAlign w:val="center"/>
          </w:tcPr>
          <w:p>
            <w:r>
              <w:t>是否存在投标人及相关管理人员安全生产任职资格不符合相关规定的情形</w:t>
            </w:r>
          </w:p>
        </w:tc>
        <w:tc>
          <w:tcPr>
            <w:tcW w:w="1350" w:type="dxa"/>
            <w:vAlign w:val="center"/>
          </w:tcPr>
          <w:p>
            <w:pPr>
              <w:spacing w:line="360" w:lineRule="auto"/>
              <w:jc w:val="center"/>
            </w:pPr>
            <w:r>
              <w:t>1.4.3（13）</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617" w:type="dxa"/>
            <w:vAlign w:val="center"/>
          </w:tcPr>
          <w:p>
            <w:pPr>
              <w:spacing w:line="360" w:lineRule="auto"/>
              <w:jc w:val="center"/>
            </w:pPr>
            <w:r>
              <w:t>15</w:t>
            </w:r>
          </w:p>
        </w:tc>
        <w:tc>
          <w:tcPr>
            <w:tcW w:w="5368" w:type="dxa"/>
            <w:vAlign w:val="center"/>
          </w:tcPr>
          <w:p>
            <w:r>
              <w:t>是否存在《省外企业进浙承接业务备案证明》超出有效期或已注销（仅指浙江省省外企业）</w:t>
            </w:r>
          </w:p>
        </w:tc>
        <w:tc>
          <w:tcPr>
            <w:tcW w:w="1350" w:type="dxa"/>
            <w:vAlign w:val="center"/>
          </w:tcPr>
          <w:p>
            <w:pPr>
              <w:spacing w:line="360" w:lineRule="auto"/>
              <w:jc w:val="center"/>
            </w:pPr>
            <w:r>
              <w:t>1.4.3（14）</w:t>
            </w:r>
          </w:p>
        </w:tc>
        <w:tc>
          <w:tcPr>
            <w:tcW w:w="1050" w:type="dxa"/>
            <w:vAlign w:val="center"/>
          </w:tcPr>
          <w:p>
            <w:pPr>
              <w:spacing w:line="360" w:lineRule="auto"/>
              <w:jc w:val="center"/>
            </w:pPr>
            <w:r>
              <w:t>否</w:t>
            </w:r>
          </w:p>
        </w:tc>
        <w:tc>
          <w:tcPr>
            <w:tcW w:w="1133" w:type="dxa"/>
            <w:vAlign w:val="center"/>
          </w:tcPr>
          <w:p>
            <w:pPr>
              <w:spacing w:line="360" w:lineRule="auto"/>
              <w:jc w:val="center"/>
              <w:rPr>
                <w:rFonts w:eastAsia="黑体"/>
                <w:b/>
              </w:rPr>
            </w:pPr>
          </w:p>
        </w:tc>
      </w:tr>
    </w:tbl>
    <w:p>
      <w:pPr>
        <w:spacing w:line="440" w:lineRule="exact"/>
        <w:jc w:val="center"/>
      </w:pPr>
    </w:p>
    <w:p>
      <w:pPr>
        <w:spacing w:line="440" w:lineRule="exact"/>
        <w:jc w:val="center"/>
      </w:pPr>
      <w:r>
        <w:rPr>
          <w:rFonts w:hint="eastAsia"/>
        </w:rPr>
        <w:t xml:space="preserve">                                           </w:t>
      </w:r>
      <w:r>
        <w:t xml:space="preserve">法定代表人（签字或盖章）：           </w:t>
      </w:r>
    </w:p>
    <w:p>
      <w:pPr>
        <w:spacing w:line="440" w:lineRule="exact"/>
        <w:jc w:val="center"/>
      </w:pPr>
      <w:r>
        <w:t xml:space="preserve">                                      投  标  人（盖章）：           </w:t>
      </w:r>
    </w:p>
    <w:p>
      <w:pPr>
        <w:spacing w:line="440" w:lineRule="exact"/>
        <w:ind w:right="560"/>
        <w:jc w:val="right"/>
      </w:pPr>
      <w:r>
        <w:t xml:space="preserve">                                                          年    月    日</w:t>
      </w:r>
    </w:p>
    <w:p>
      <w:pPr>
        <w:spacing w:line="440" w:lineRule="exact"/>
        <w:ind w:right="560"/>
        <w:jc w:val="right"/>
        <w:rPr>
          <w:sz w:val="28"/>
          <w:szCs w:val="28"/>
        </w:rPr>
        <w:sectPr>
          <w:footerReference r:id="rId5" w:type="default"/>
          <w:pgSz w:w="11906" w:h="16838"/>
          <w:pgMar w:top="1440" w:right="1701" w:bottom="1440" w:left="1701" w:header="851" w:footer="992" w:gutter="0"/>
          <w:cols w:space="720" w:num="1"/>
          <w:docGrid w:linePitch="312" w:charSpace="0"/>
        </w:sectPr>
      </w:pPr>
    </w:p>
    <w:p>
      <w:pPr>
        <w:pStyle w:val="35"/>
        <w:rPr>
          <w:rFonts w:cs="Times New Roman"/>
          <w:szCs w:val="28"/>
        </w:rPr>
      </w:pPr>
      <w:bookmarkStart w:id="787" w:name="_Toc370743416"/>
      <w:bookmarkStart w:id="788" w:name="_Toc365645479"/>
      <w:bookmarkStart w:id="789" w:name="_Toc109826698"/>
      <w:r>
        <w:rPr>
          <w:rFonts w:cs="Times New Roman"/>
          <w:szCs w:val="28"/>
        </w:rPr>
        <w:t>五、台州市建设工程投标项目负责人资格自查表</w:t>
      </w:r>
      <w:bookmarkEnd w:id="787"/>
      <w:bookmarkEnd w:id="788"/>
      <w:bookmarkEnd w:id="789"/>
    </w:p>
    <w:p>
      <w:pPr>
        <w:spacing w:line="360" w:lineRule="auto"/>
        <w:jc w:val="center"/>
        <w:rPr>
          <w:sz w:val="24"/>
        </w:rPr>
      </w:pPr>
      <w:r>
        <w:rPr>
          <w:sz w:val="24"/>
          <w:u w:val="single"/>
        </w:rPr>
        <w:t xml:space="preserve">                              </w:t>
      </w:r>
      <w:r>
        <w:rPr>
          <w:sz w:val="24"/>
        </w:rPr>
        <w:t>工程</w:t>
      </w:r>
    </w:p>
    <w:p>
      <w:pPr>
        <w:spacing w:line="440" w:lineRule="exact"/>
        <w:jc w:val="center"/>
        <w:rPr>
          <w:rFonts w:eastAsia="黑体"/>
          <w:b/>
          <w:sz w:val="30"/>
          <w:szCs w:val="30"/>
        </w:rPr>
      </w:pPr>
      <w:r>
        <w:rPr>
          <w:rFonts w:eastAsia="黑体"/>
          <w:b/>
          <w:sz w:val="30"/>
          <w:szCs w:val="30"/>
        </w:rPr>
        <w:t>台州市建设工程投标项目负责人资格自查表</w:t>
      </w:r>
    </w:p>
    <w:p>
      <w:pPr>
        <w:spacing w:line="440" w:lineRule="exact"/>
        <w:jc w:val="center"/>
        <w:rPr>
          <w:rFonts w:eastAsia="黑体"/>
          <w:b/>
          <w:sz w:val="30"/>
          <w:szCs w:val="30"/>
        </w:rPr>
      </w:pPr>
    </w:p>
    <w:tbl>
      <w:tblPr>
        <w:tblStyle w:val="21"/>
        <w:tblW w:w="0" w:type="auto"/>
        <w:tblInd w:w="-1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4783"/>
        <w:gridCol w:w="1080"/>
        <w:gridCol w:w="1440"/>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27" w:type="dxa"/>
            <w:vAlign w:val="center"/>
          </w:tcPr>
          <w:p>
            <w:pPr>
              <w:jc w:val="center"/>
              <w:rPr>
                <w:rFonts w:eastAsia="黑体"/>
                <w:b/>
              </w:rPr>
            </w:pPr>
            <w:r>
              <w:rPr>
                <w:rFonts w:eastAsia="黑体"/>
                <w:b/>
              </w:rPr>
              <w:t>序号</w:t>
            </w:r>
          </w:p>
        </w:tc>
        <w:tc>
          <w:tcPr>
            <w:tcW w:w="4783" w:type="dxa"/>
            <w:vAlign w:val="center"/>
          </w:tcPr>
          <w:p>
            <w:pPr>
              <w:jc w:val="center"/>
              <w:rPr>
                <w:rFonts w:eastAsia="黑体"/>
                <w:b/>
              </w:rPr>
            </w:pPr>
            <w:r>
              <w:rPr>
                <w:rFonts w:eastAsia="黑体"/>
                <w:b/>
              </w:rPr>
              <w:t>自查内容</w:t>
            </w:r>
          </w:p>
        </w:tc>
        <w:tc>
          <w:tcPr>
            <w:tcW w:w="1080" w:type="dxa"/>
            <w:vAlign w:val="center"/>
          </w:tcPr>
          <w:p>
            <w:pPr>
              <w:jc w:val="center"/>
              <w:rPr>
                <w:rFonts w:eastAsia="黑体"/>
                <w:b/>
              </w:rPr>
            </w:pPr>
            <w:r>
              <w:rPr>
                <w:rFonts w:eastAsia="黑体"/>
                <w:b/>
              </w:rPr>
              <w:t>招标文件条款号</w:t>
            </w:r>
          </w:p>
        </w:tc>
        <w:tc>
          <w:tcPr>
            <w:tcW w:w="1440" w:type="dxa"/>
            <w:vAlign w:val="center"/>
          </w:tcPr>
          <w:p>
            <w:pPr>
              <w:jc w:val="center"/>
              <w:rPr>
                <w:rFonts w:eastAsia="黑体"/>
                <w:b/>
              </w:rPr>
            </w:pPr>
            <w:r>
              <w:rPr>
                <w:rFonts w:eastAsia="黑体"/>
                <w:b/>
              </w:rPr>
              <w:t>投标要求</w:t>
            </w:r>
          </w:p>
        </w:tc>
        <w:tc>
          <w:tcPr>
            <w:tcW w:w="696" w:type="dxa"/>
            <w:vAlign w:val="center"/>
          </w:tcPr>
          <w:p>
            <w:pPr>
              <w:jc w:val="center"/>
              <w:rPr>
                <w:rFonts w:eastAsia="黑体"/>
                <w:b/>
              </w:rPr>
            </w:pPr>
            <w:r>
              <w:rPr>
                <w:rFonts w:eastAsia="黑体"/>
                <w:b/>
              </w:rPr>
              <w:t>自查情况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7" w:type="dxa"/>
            <w:vAlign w:val="center"/>
          </w:tcPr>
          <w:p>
            <w:pPr>
              <w:spacing w:line="360" w:lineRule="auto"/>
              <w:jc w:val="center"/>
            </w:pPr>
            <w:r>
              <w:t>1</w:t>
            </w:r>
          </w:p>
        </w:tc>
        <w:tc>
          <w:tcPr>
            <w:tcW w:w="4783" w:type="dxa"/>
            <w:vAlign w:val="center"/>
          </w:tcPr>
          <w:p>
            <w:pPr>
              <w:spacing w:line="360" w:lineRule="auto"/>
              <w:rPr>
                <w:b/>
              </w:rPr>
            </w:pPr>
            <w:r>
              <w:t>投标项目负责人建造师专业和等级是否符合</w:t>
            </w:r>
          </w:p>
        </w:tc>
        <w:tc>
          <w:tcPr>
            <w:tcW w:w="1080" w:type="dxa"/>
            <w:vAlign w:val="center"/>
          </w:tcPr>
          <w:p>
            <w:pPr>
              <w:spacing w:line="360" w:lineRule="auto"/>
              <w:jc w:val="center"/>
            </w:pPr>
            <w:r>
              <w:t>1.4.1（2）</w:t>
            </w:r>
          </w:p>
        </w:tc>
        <w:tc>
          <w:tcPr>
            <w:tcW w:w="1440" w:type="dxa"/>
            <w:vAlign w:val="center"/>
          </w:tcPr>
          <w:p>
            <w:pPr>
              <w:spacing w:line="360" w:lineRule="auto"/>
              <w:jc w:val="center"/>
              <w:rPr>
                <w:rFonts w:eastAsia="黑体"/>
              </w:rPr>
            </w:pPr>
            <w:r>
              <w:rPr>
                <w:rFonts w:eastAsia="黑体"/>
              </w:rPr>
              <w:t>是</w:t>
            </w:r>
          </w:p>
        </w:tc>
        <w:tc>
          <w:tcPr>
            <w:tcW w:w="696" w:type="dxa"/>
          </w:tcPr>
          <w:p>
            <w:pPr>
              <w:spacing w:line="360" w:lineRule="auto"/>
              <w:jc w:val="center"/>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1" w:hRule="exact"/>
        </w:trPr>
        <w:tc>
          <w:tcPr>
            <w:tcW w:w="727" w:type="dxa"/>
            <w:vAlign w:val="center"/>
          </w:tcPr>
          <w:p>
            <w:pPr>
              <w:spacing w:line="360" w:lineRule="auto"/>
              <w:jc w:val="center"/>
              <w:rPr>
                <w:b/>
              </w:rPr>
            </w:pPr>
            <w:r>
              <w:rPr>
                <w:b/>
              </w:rPr>
              <w:t>2</w:t>
            </w:r>
          </w:p>
        </w:tc>
        <w:tc>
          <w:tcPr>
            <w:tcW w:w="4783" w:type="dxa"/>
            <w:vAlign w:val="center"/>
          </w:tcPr>
          <w:p>
            <w:pPr>
              <w:rPr>
                <w:b/>
              </w:rPr>
            </w:pPr>
            <w:r>
              <w:rPr>
                <w:b/>
              </w:rPr>
              <w:t>投标项目负责人在建状态存在下列四种之一情形的：</w:t>
            </w:r>
          </w:p>
          <w:p>
            <w:pPr>
              <w:ind w:firstLine="412" w:firstLineChars="196"/>
              <w:rPr>
                <w:b/>
              </w:rPr>
            </w:pPr>
            <w:r>
              <w:rPr>
                <w:b/>
              </w:rPr>
              <w:t>（1）无在建；</w:t>
            </w:r>
          </w:p>
          <w:p>
            <w:pPr>
              <w:ind w:firstLine="412" w:firstLineChars="196"/>
              <w:rPr>
                <w:b/>
              </w:rPr>
            </w:pPr>
            <w:r>
              <w:rPr>
                <w:b/>
              </w:rPr>
              <w:t>（2）</w:t>
            </w:r>
            <w:r>
              <w:rPr>
                <w:rFonts w:hint="eastAsia"/>
                <w:b/>
              </w:rPr>
              <w:t>原承接的项目与本工程属于同一工程相邻分段发包或分期施工的；</w:t>
            </w:r>
            <w:r>
              <w:rPr>
                <w:b/>
              </w:rPr>
              <w:t xml:space="preserve"> </w:t>
            </w:r>
          </w:p>
          <w:p>
            <w:pPr>
              <w:ind w:firstLine="412" w:firstLineChars="196"/>
              <w:rPr>
                <w:b/>
              </w:rPr>
            </w:pPr>
            <w:r>
              <w:rPr>
                <w:b/>
              </w:rPr>
              <w:t>（3）因非承包方原因致使工程项目停工超过120天（含），经建设单位同意的（并须提供经工程所在地建设（建筑业）行政主管部门同意停工的书面证明原件）；</w:t>
            </w:r>
          </w:p>
          <w:p>
            <w:pPr>
              <w:ind w:firstLine="412" w:firstLineChars="196"/>
              <w:rPr>
                <w:b/>
              </w:rPr>
            </w:pPr>
            <w:r>
              <w:rPr>
                <w:b/>
              </w:rPr>
              <w:t>（4）合同约定的工程已完工，承包方向建设单位提交竣工（交工）报告时间已超过120天（含），且经建设单位同意可承接其他项目的（并须提供经工程所在地建设（建筑业）行政主管部门书面证明原件和竣工（交工）报告原件）。</w:t>
            </w:r>
          </w:p>
          <w:p>
            <w:pPr>
              <w:ind w:firstLine="412" w:firstLineChars="196"/>
              <w:rPr>
                <w:b/>
              </w:rPr>
            </w:pPr>
            <w:r>
              <w:rPr>
                <w:b/>
              </w:rPr>
              <w:t>属上述（2）、（3）、（4）情形的，投标人应在递交投标文件的同时将有关书面证明材料</w:t>
            </w:r>
            <w:r>
              <w:rPr>
                <w:rFonts w:hint="eastAsia"/>
                <w:b/>
              </w:rPr>
              <w:t>（以电子文档形式随资信标上传）</w:t>
            </w:r>
            <w:r>
              <w:rPr>
                <w:b/>
              </w:rPr>
              <w:t>提交招标人。</w:t>
            </w:r>
          </w:p>
        </w:tc>
        <w:tc>
          <w:tcPr>
            <w:tcW w:w="1080" w:type="dxa"/>
            <w:vAlign w:val="center"/>
          </w:tcPr>
          <w:p>
            <w:pPr>
              <w:spacing w:line="360" w:lineRule="auto"/>
              <w:jc w:val="center"/>
            </w:pPr>
            <w:r>
              <w:t>1.4.1（3）</w:t>
            </w:r>
          </w:p>
        </w:tc>
        <w:tc>
          <w:tcPr>
            <w:tcW w:w="1440" w:type="dxa"/>
            <w:vAlign w:val="center"/>
          </w:tcPr>
          <w:p>
            <w:pPr>
              <w:spacing w:line="360" w:lineRule="auto"/>
            </w:pPr>
            <w:r>
              <w:rPr>
                <w:b/>
              </w:rPr>
              <w:t>应是（1）、（2）、（3）、（4）之一情形。自查应填写属何种情形</w:t>
            </w:r>
          </w:p>
        </w:tc>
        <w:tc>
          <w:tcPr>
            <w:tcW w:w="696" w:type="dxa"/>
            <w:vAlign w:val="center"/>
          </w:tcPr>
          <w:p>
            <w:pPr>
              <w:spacing w:line="360" w:lineRule="auto"/>
              <w:rPr>
                <w:rFonts w:eastAsia="黑体"/>
                <w:b/>
              </w:rPr>
            </w:pPr>
            <w:r>
              <w:t>属</w:t>
            </w:r>
            <w:r>
              <w:rPr>
                <w:u w:val="single"/>
              </w:rPr>
              <w:t xml:space="preserve">   </w:t>
            </w:r>
            <w:r>
              <w:t>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exact"/>
        </w:trPr>
        <w:tc>
          <w:tcPr>
            <w:tcW w:w="727" w:type="dxa"/>
            <w:vAlign w:val="center"/>
          </w:tcPr>
          <w:p>
            <w:pPr>
              <w:spacing w:line="360" w:lineRule="auto"/>
              <w:jc w:val="center"/>
              <w:rPr>
                <w:b/>
              </w:rPr>
            </w:pPr>
            <w:r>
              <w:rPr>
                <w:b/>
              </w:rPr>
              <w:t>3</w:t>
            </w:r>
          </w:p>
        </w:tc>
        <w:tc>
          <w:tcPr>
            <w:tcW w:w="4783" w:type="dxa"/>
            <w:vAlign w:val="center"/>
          </w:tcPr>
          <w:p>
            <w:pPr>
              <w:rPr>
                <w:b/>
              </w:rPr>
            </w:pPr>
            <w:r>
              <w:rPr>
                <w:b/>
              </w:rPr>
              <w:t>项目负责人是否存在同时在两个或者两个以上单位受聘或者执业的情形（仅指项目负责人不得同时是其他单位的公务员或者事业单位在编人员，涉及到其他情形的，投标资格不受影响）</w:t>
            </w:r>
          </w:p>
        </w:tc>
        <w:tc>
          <w:tcPr>
            <w:tcW w:w="1080" w:type="dxa"/>
            <w:vAlign w:val="center"/>
          </w:tcPr>
          <w:p>
            <w:pPr>
              <w:spacing w:line="360" w:lineRule="auto"/>
              <w:jc w:val="center"/>
            </w:pPr>
            <w:r>
              <w:t>1.4.2</w:t>
            </w:r>
          </w:p>
        </w:tc>
        <w:tc>
          <w:tcPr>
            <w:tcW w:w="1440" w:type="dxa"/>
            <w:vAlign w:val="center"/>
          </w:tcPr>
          <w:p>
            <w:pPr>
              <w:spacing w:line="360" w:lineRule="auto"/>
              <w:jc w:val="center"/>
            </w:pPr>
            <w:r>
              <w:t>否</w:t>
            </w:r>
          </w:p>
        </w:tc>
        <w:tc>
          <w:tcPr>
            <w:tcW w:w="696" w:type="dxa"/>
          </w:tcPr>
          <w:p>
            <w:pPr>
              <w:spacing w:line="360" w:lineRule="auto"/>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7" w:type="dxa"/>
            <w:vAlign w:val="center"/>
          </w:tcPr>
          <w:p>
            <w:pPr>
              <w:spacing w:line="360" w:lineRule="auto"/>
              <w:jc w:val="center"/>
            </w:pPr>
            <w:r>
              <w:t>4</w:t>
            </w:r>
          </w:p>
        </w:tc>
        <w:tc>
          <w:tcPr>
            <w:tcW w:w="4783" w:type="dxa"/>
            <w:vAlign w:val="center"/>
          </w:tcPr>
          <w:p>
            <w:pPr>
              <w:spacing w:line="360" w:lineRule="auto"/>
            </w:pPr>
            <w:r>
              <w:t>投标项目负责人是否被暂停或取消投标资格</w:t>
            </w:r>
          </w:p>
        </w:tc>
        <w:tc>
          <w:tcPr>
            <w:tcW w:w="1080" w:type="dxa"/>
            <w:vAlign w:val="center"/>
          </w:tcPr>
          <w:p>
            <w:pPr>
              <w:spacing w:line="360" w:lineRule="auto"/>
              <w:jc w:val="center"/>
            </w:pPr>
            <w:r>
              <w:t>1.4.3（10）</w:t>
            </w:r>
          </w:p>
        </w:tc>
        <w:tc>
          <w:tcPr>
            <w:tcW w:w="1440" w:type="dxa"/>
            <w:vAlign w:val="center"/>
          </w:tcPr>
          <w:p>
            <w:pPr>
              <w:spacing w:line="360" w:lineRule="auto"/>
              <w:jc w:val="center"/>
            </w:pPr>
            <w:r>
              <w:t>否</w:t>
            </w:r>
          </w:p>
        </w:tc>
        <w:tc>
          <w:tcPr>
            <w:tcW w:w="696" w:type="dxa"/>
          </w:tcPr>
          <w:p>
            <w:pPr>
              <w:spacing w:line="360" w:lineRule="auto"/>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trPr>
        <w:tc>
          <w:tcPr>
            <w:tcW w:w="727" w:type="dxa"/>
            <w:vAlign w:val="center"/>
          </w:tcPr>
          <w:p>
            <w:pPr>
              <w:spacing w:line="360" w:lineRule="auto"/>
              <w:jc w:val="center"/>
            </w:pPr>
            <w:r>
              <w:t>5</w:t>
            </w:r>
          </w:p>
        </w:tc>
        <w:tc>
          <w:tcPr>
            <w:tcW w:w="4783" w:type="dxa"/>
            <w:vAlign w:val="center"/>
          </w:tcPr>
          <w:p>
            <w:r>
              <w:t>投标项目负责人是否有行贿犯罪记录的（由投标文件提交截止之日上溯3年，行贿犯罪记录日期以法院判决生效日期为准）</w:t>
            </w:r>
          </w:p>
        </w:tc>
        <w:tc>
          <w:tcPr>
            <w:tcW w:w="1080" w:type="dxa"/>
            <w:vAlign w:val="center"/>
          </w:tcPr>
          <w:p>
            <w:pPr>
              <w:spacing w:line="360" w:lineRule="auto"/>
              <w:ind w:left="445" w:hanging="445" w:hangingChars="212"/>
              <w:jc w:val="center"/>
            </w:pPr>
            <w:r>
              <w:t>1.4.3（12）</w:t>
            </w:r>
          </w:p>
        </w:tc>
        <w:tc>
          <w:tcPr>
            <w:tcW w:w="1440" w:type="dxa"/>
            <w:vAlign w:val="center"/>
          </w:tcPr>
          <w:p>
            <w:pPr>
              <w:spacing w:line="360" w:lineRule="auto"/>
              <w:jc w:val="center"/>
            </w:pPr>
            <w:r>
              <w:t>否</w:t>
            </w:r>
          </w:p>
        </w:tc>
        <w:tc>
          <w:tcPr>
            <w:tcW w:w="696" w:type="dxa"/>
          </w:tcPr>
          <w:p>
            <w:pPr>
              <w:spacing w:line="360" w:lineRule="auto"/>
              <w:rPr>
                <w:rFonts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exact"/>
        </w:trPr>
        <w:tc>
          <w:tcPr>
            <w:tcW w:w="727" w:type="dxa"/>
            <w:vAlign w:val="center"/>
          </w:tcPr>
          <w:p>
            <w:pPr>
              <w:spacing w:line="360" w:lineRule="auto"/>
              <w:jc w:val="center"/>
            </w:pPr>
            <w:r>
              <w:t>6</w:t>
            </w:r>
          </w:p>
        </w:tc>
        <w:tc>
          <w:tcPr>
            <w:tcW w:w="4783" w:type="dxa"/>
            <w:vAlign w:val="center"/>
          </w:tcPr>
          <w:p>
            <w:r>
              <w:t>投标项目负责人安全生产任职资格是否符合相关规定</w:t>
            </w:r>
          </w:p>
        </w:tc>
        <w:tc>
          <w:tcPr>
            <w:tcW w:w="1080" w:type="dxa"/>
            <w:vAlign w:val="center"/>
          </w:tcPr>
          <w:p>
            <w:pPr>
              <w:spacing w:line="360" w:lineRule="auto"/>
              <w:jc w:val="center"/>
            </w:pPr>
            <w:r>
              <w:t>1.4.3（13）</w:t>
            </w:r>
          </w:p>
        </w:tc>
        <w:tc>
          <w:tcPr>
            <w:tcW w:w="1440" w:type="dxa"/>
            <w:vAlign w:val="center"/>
          </w:tcPr>
          <w:p>
            <w:pPr>
              <w:spacing w:line="360" w:lineRule="auto"/>
              <w:jc w:val="center"/>
            </w:pPr>
            <w:r>
              <w:t>是</w:t>
            </w:r>
          </w:p>
        </w:tc>
        <w:tc>
          <w:tcPr>
            <w:tcW w:w="696" w:type="dxa"/>
          </w:tcPr>
          <w:p>
            <w:pPr>
              <w:spacing w:line="360" w:lineRule="auto"/>
              <w:rPr>
                <w:rFonts w:eastAsia="黑体"/>
                <w:b/>
              </w:rPr>
            </w:pPr>
          </w:p>
        </w:tc>
      </w:tr>
    </w:tbl>
    <w:p>
      <w:pPr>
        <w:spacing w:line="360" w:lineRule="auto"/>
        <w:ind w:firstLine="415" w:firstLineChars="198"/>
      </w:pPr>
    </w:p>
    <w:p>
      <w:pPr>
        <w:spacing w:line="360" w:lineRule="auto"/>
        <w:ind w:firstLine="415" w:firstLineChars="198"/>
      </w:pPr>
    </w:p>
    <w:p>
      <w:pPr>
        <w:spacing w:line="360" w:lineRule="auto"/>
        <w:ind w:firstLine="415" w:firstLineChars="198"/>
      </w:pPr>
      <w:r>
        <w:t xml:space="preserve">法定代表人（签字或盖章）：        </w:t>
      </w:r>
      <w:r>
        <w:rPr>
          <w:rFonts w:hint="eastAsia"/>
        </w:rPr>
        <w:t xml:space="preserve"> </w:t>
      </w:r>
    </w:p>
    <w:p>
      <w:pPr>
        <w:spacing w:line="360" w:lineRule="auto"/>
        <w:ind w:firstLine="415" w:firstLineChars="198"/>
      </w:pPr>
    </w:p>
    <w:p>
      <w:pPr>
        <w:spacing w:line="360" w:lineRule="auto"/>
        <w:ind w:firstLine="415" w:firstLineChars="198"/>
      </w:pPr>
      <w:r>
        <w:t xml:space="preserve">投  标  人（盖章）：              </w:t>
      </w:r>
      <w:r>
        <w:rPr>
          <w:rFonts w:hint="eastAsia"/>
        </w:rPr>
        <w:t xml:space="preserve">                         </w:t>
      </w:r>
      <w:r>
        <w:t>年    月    日</w:t>
      </w:r>
      <w:bookmarkStart w:id="790" w:name="_Toc370743417"/>
    </w:p>
    <w:p>
      <w:pPr>
        <w:spacing w:line="360" w:lineRule="auto"/>
        <w:ind w:firstLine="415" w:firstLineChars="198"/>
      </w:pPr>
    </w:p>
    <w:p>
      <w:pPr>
        <w:spacing w:line="360" w:lineRule="auto"/>
        <w:ind w:firstLine="415" w:firstLineChars="198"/>
      </w:pPr>
    </w:p>
    <w:bookmarkEnd w:id="778"/>
    <w:bookmarkEnd w:id="790"/>
    <w:p>
      <w:pPr>
        <w:pStyle w:val="35"/>
        <w:rPr>
          <w:rFonts w:cs="Times New Roman"/>
          <w:szCs w:val="28"/>
        </w:rPr>
      </w:pPr>
      <w:bookmarkStart w:id="791" w:name="_Toc109826699"/>
      <w:r>
        <w:rPr>
          <w:rFonts w:hint="eastAsia" w:cs="Times New Roman"/>
          <w:szCs w:val="28"/>
        </w:rPr>
        <w:t>六、</w:t>
      </w:r>
      <w:bookmarkStart w:id="792" w:name="_Toc24606"/>
      <w:r>
        <w:rPr>
          <w:rFonts w:hint="eastAsia" w:cs="Times New Roman"/>
          <w:szCs w:val="28"/>
        </w:rPr>
        <w:t>台州市建设工程诚信投标承诺书</w:t>
      </w:r>
      <w:bookmarkEnd w:id="791"/>
      <w:bookmarkEnd w:id="792"/>
    </w:p>
    <w:p>
      <w:pPr>
        <w:spacing w:line="440" w:lineRule="exact"/>
        <w:ind w:firstLine="700" w:firstLineChars="250"/>
        <w:jc w:val="center"/>
        <w:rPr>
          <w:rFonts w:eastAsia="黑体"/>
          <w:sz w:val="28"/>
          <w:szCs w:val="28"/>
        </w:rPr>
      </w:pPr>
    </w:p>
    <w:p>
      <w:pPr>
        <w:spacing w:line="360" w:lineRule="auto"/>
        <w:jc w:val="center"/>
        <w:rPr>
          <w:bCs/>
          <w:sz w:val="44"/>
        </w:rPr>
      </w:pPr>
      <w:r>
        <w:rPr>
          <w:rFonts w:eastAsia="黑体"/>
          <w:sz w:val="44"/>
        </w:rPr>
        <w:t>台州市建设工程诚信投标承诺书</w:t>
      </w:r>
    </w:p>
    <w:p>
      <w:pPr>
        <w:spacing w:line="360" w:lineRule="auto"/>
        <w:rPr>
          <w:sz w:val="24"/>
        </w:rPr>
      </w:pPr>
    </w:p>
    <w:p>
      <w:pPr>
        <w:spacing w:line="420" w:lineRule="auto"/>
        <w:ind w:firstLine="491" w:firstLineChars="205"/>
        <w:rPr>
          <w:sz w:val="24"/>
        </w:rPr>
      </w:pPr>
      <w:r>
        <w:rPr>
          <w:sz w:val="24"/>
        </w:rPr>
        <w:t>本人以企业法定代表人的身份郑重承诺：</w:t>
      </w:r>
    </w:p>
    <w:p>
      <w:pPr>
        <w:spacing w:line="420" w:lineRule="auto"/>
        <w:ind w:firstLine="513" w:firstLineChars="214"/>
        <w:rPr>
          <w:sz w:val="24"/>
        </w:rPr>
      </w:pPr>
      <w:r>
        <w:rPr>
          <w:sz w:val="24"/>
        </w:rPr>
        <w:t>一、将遵循公开、公平、公正和诚实信用的原则参加</w:t>
      </w:r>
      <w:r>
        <w:rPr>
          <w:sz w:val="24"/>
          <w:u w:val="single"/>
        </w:rPr>
        <w:t xml:space="preserve">                  </w:t>
      </w:r>
      <w:r>
        <w:rPr>
          <w:sz w:val="24"/>
        </w:rPr>
        <w:t>（工程项目名称）的投标；</w:t>
      </w:r>
    </w:p>
    <w:p>
      <w:pPr>
        <w:spacing w:line="420" w:lineRule="auto"/>
        <w:ind w:firstLine="523" w:firstLineChars="218"/>
        <w:rPr>
          <w:sz w:val="24"/>
        </w:rPr>
      </w:pPr>
      <w:r>
        <w:rPr>
          <w:sz w:val="24"/>
        </w:rPr>
        <w:t>二、所提供的一切材料都是真实、有效、合法的；</w:t>
      </w:r>
    </w:p>
    <w:p>
      <w:pPr>
        <w:spacing w:line="420" w:lineRule="auto"/>
        <w:ind w:firstLine="535" w:firstLineChars="223"/>
        <w:rPr>
          <w:sz w:val="24"/>
        </w:rPr>
      </w:pPr>
      <w:r>
        <w:rPr>
          <w:sz w:val="24"/>
        </w:rPr>
        <w:t>三、本公司的投标资格已按照《台州市建设工程投标人资格自查表》和《台州市建设工程投标项目负责人资格自查表》逐条自查，并如实填写；</w:t>
      </w:r>
    </w:p>
    <w:p>
      <w:pPr>
        <w:spacing w:line="420" w:lineRule="auto"/>
        <w:ind w:firstLine="480" w:firstLineChars="200"/>
        <w:rPr>
          <w:sz w:val="24"/>
        </w:rPr>
      </w:pPr>
      <w:r>
        <w:rPr>
          <w:sz w:val="24"/>
        </w:rPr>
        <w:t>四、不存在串通投标行为（包括不存在招标文件第三章“评标办法”第3.1.2和第3.1.3项规定的情形）；</w:t>
      </w:r>
    </w:p>
    <w:p>
      <w:pPr>
        <w:spacing w:line="420" w:lineRule="auto"/>
        <w:ind w:firstLine="513" w:firstLineChars="214"/>
        <w:rPr>
          <w:sz w:val="24"/>
        </w:rPr>
      </w:pPr>
      <w:r>
        <w:rPr>
          <w:sz w:val="24"/>
        </w:rPr>
        <w:t>五、不存在他人以本公司名义投标或者不存在以其他方式弄虚作假的行为；</w:t>
      </w:r>
    </w:p>
    <w:p>
      <w:pPr>
        <w:spacing w:line="420" w:lineRule="auto"/>
        <w:ind w:firstLine="513" w:firstLineChars="214"/>
        <w:rPr>
          <w:sz w:val="24"/>
        </w:rPr>
      </w:pPr>
      <w:r>
        <w:rPr>
          <w:sz w:val="24"/>
        </w:rPr>
        <w:t>六、不存在向招标人或者评标委员会成员行贿以牟取中标的行为。</w:t>
      </w:r>
    </w:p>
    <w:p>
      <w:pPr>
        <w:spacing w:line="420" w:lineRule="auto"/>
        <w:ind w:firstLine="513" w:firstLineChars="214"/>
        <w:rPr>
          <w:sz w:val="24"/>
        </w:rPr>
      </w:pPr>
    </w:p>
    <w:p>
      <w:pPr>
        <w:spacing w:line="420" w:lineRule="auto"/>
        <w:ind w:firstLine="513" w:firstLineChars="214"/>
        <w:rPr>
          <w:sz w:val="24"/>
          <w:u w:val="single"/>
        </w:rPr>
      </w:pPr>
      <w:r>
        <w:rPr>
          <w:sz w:val="24"/>
        </w:rPr>
        <w:t>如招标人需要调查了解的，本公司负责本次投标的主管人员（分管经营的副总）将积极配合。主管人员：</w:t>
      </w:r>
      <w:r>
        <w:rPr>
          <w:sz w:val="24"/>
          <w:u w:val="single"/>
        </w:rPr>
        <w:t xml:space="preserve">            </w:t>
      </w:r>
      <w:r>
        <w:rPr>
          <w:sz w:val="24"/>
        </w:rPr>
        <w:t xml:space="preserve">      手机：</w:t>
      </w:r>
      <w:r>
        <w:rPr>
          <w:sz w:val="24"/>
          <w:u w:val="single"/>
        </w:rPr>
        <w:t xml:space="preserve">                </w:t>
      </w:r>
    </w:p>
    <w:p>
      <w:pPr>
        <w:spacing w:line="420" w:lineRule="auto"/>
        <w:ind w:firstLine="480" w:firstLineChars="200"/>
        <w:rPr>
          <w:b/>
          <w:sz w:val="24"/>
        </w:rPr>
      </w:pPr>
      <w:r>
        <w:rPr>
          <w:b/>
          <w:sz w:val="24"/>
        </w:rPr>
        <w:t>本公司若有违反本承诺内容的行为，愿意按招标文件规定接受投标担保的处理。如已中标的，自动放弃中标资格；给招标人造成损失的，依法承担赔偿责任。</w:t>
      </w:r>
    </w:p>
    <w:p>
      <w:pPr>
        <w:spacing w:line="420" w:lineRule="auto"/>
        <w:rPr>
          <w:sz w:val="24"/>
          <w:u w:val="single"/>
        </w:rPr>
      </w:pPr>
    </w:p>
    <w:p>
      <w:pPr>
        <w:spacing w:line="420" w:lineRule="auto"/>
        <w:ind w:firstLine="3360" w:firstLineChars="1400"/>
        <w:rPr>
          <w:sz w:val="24"/>
        </w:rPr>
      </w:pPr>
      <w:r>
        <w:rPr>
          <w:sz w:val="24"/>
        </w:rPr>
        <w:t>法定代表人（签字或盖章）：</w:t>
      </w:r>
    </w:p>
    <w:p>
      <w:pPr>
        <w:spacing w:line="420" w:lineRule="auto"/>
        <w:ind w:firstLine="3360" w:firstLineChars="1400"/>
        <w:rPr>
          <w:sz w:val="24"/>
        </w:rPr>
      </w:pPr>
    </w:p>
    <w:p>
      <w:pPr>
        <w:spacing w:line="420" w:lineRule="auto"/>
        <w:ind w:firstLine="3360" w:firstLineChars="1400"/>
        <w:rPr>
          <w:sz w:val="24"/>
        </w:rPr>
      </w:pPr>
      <w:r>
        <w:rPr>
          <w:sz w:val="24"/>
        </w:rPr>
        <w:t>投  标  人（盖章）：</w:t>
      </w:r>
    </w:p>
    <w:p>
      <w:pPr>
        <w:spacing w:line="420" w:lineRule="auto"/>
        <w:jc w:val="right"/>
        <w:rPr>
          <w:sz w:val="24"/>
        </w:rPr>
      </w:pPr>
      <w:r>
        <w:rPr>
          <w:sz w:val="24"/>
        </w:rPr>
        <w:t xml:space="preserve">       年    月    日</w:t>
      </w:r>
    </w:p>
    <w:p>
      <w:pPr>
        <w:spacing w:line="420" w:lineRule="auto"/>
        <w:rPr>
          <w:szCs w:val="32"/>
        </w:rPr>
      </w:pPr>
    </w:p>
    <w:p>
      <w:pPr>
        <w:pStyle w:val="35"/>
        <w:rPr>
          <w:rFonts w:cs="Times New Roman"/>
          <w:szCs w:val="28"/>
        </w:rPr>
      </w:pPr>
      <w:bookmarkStart w:id="793" w:name="_Toc109826700"/>
      <w:bookmarkStart w:id="794" w:name="_Toc28456"/>
      <w:bookmarkStart w:id="795" w:name="_Toc11405"/>
      <w:r>
        <w:rPr>
          <w:rFonts w:hint="eastAsia" w:cs="Times New Roman"/>
          <w:szCs w:val="28"/>
        </w:rPr>
        <w:t>七</w:t>
      </w:r>
      <w:r>
        <w:rPr>
          <w:rFonts w:cs="Times New Roman"/>
          <w:szCs w:val="28"/>
        </w:rPr>
        <w:t>、台州市建设工程安全生产任职资格承诺书</w:t>
      </w:r>
      <w:bookmarkEnd w:id="793"/>
      <w:bookmarkEnd w:id="794"/>
      <w:bookmarkEnd w:id="795"/>
    </w:p>
    <w:p>
      <w:pPr>
        <w:spacing w:before="120" w:beforeLines="50" w:line="360" w:lineRule="auto"/>
        <w:rPr>
          <w:b/>
          <w:sz w:val="28"/>
          <w:szCs w:val="28"/>
        </w:rPr>
      </w:pPr>
    </w:p>
    <w:p>
      <w:pPr>
        <w:spacing w:before="120" w:beforeLines="50" w:line="360" w:lineRule="auto"/>
        <w:rPr>
          <w:b/>
          <w:sz w:val="28"/>
          <w:szCs w:val="28"/>
        </w:rPr>
      </w:pPr>
    </w:p>
    <w:p>
      <w:pPr>
        <w:ind w:firstLine="1732" w:firstLineChars="541"/>
        <w:rPr>
          <w:b/>
          <w:sz w:val="32"/>
          <w:szCs w:val="32"/>
        </w:rPr>
      </w:pPr>
      <w:r>
        <w:rPr>
          <w:b/>
          <w:sz w:val="32"/>
          <w:szCs w:val="32"/>
        </w:rPr>
        <w:t xml:space="preserve"> </w:t>
      </w:r>
      <w:r>
        <w:rPr>
          <w:b/>
          <w:sz w:val="32"/>
          <w:szCs w:val="32"/>
          <w:u w:val="single"/>
        </w:rPr>
        <w:t xml:space="preserve">                            </w:t>
      </w:r>
      <w:r>
        <w:rPr>
          <w:b/>
          <w:sz w:val="32"/>
          <w:szCs w:val="32"/>
        </w:rPr>
        <w:t>工程</w:t>
      </w:r>
    </w:p>
    <w:p>
      <w:pPr>
        <w:ind w:firstLine="1732" w:firstLineChars="541"/>
        <w:rPr>
          <w:b/>
          <w:sz w:val="32"/>
          <w:szCs w:val="32"/>
        </w:rPr>
      </w:pPr>
    </w:p>
    <w:p>
      <w:pPr>
        <w:jc w:val="center"/>
        <w:rPr>
          <w:b/>
          <w:sz w:val="32"/>
          <w:szCs w:val="32"/>
        </w:rPr>
      </w:pPr>
      <w:r>
        <w:rPr>
          <w:b/>
          <w:sz w:val="32"/>
          <w:szCs w:val="32"/>
        </w:rPr>
        <w:t>台州市建设工程安全生产任职资格承诺书</w:t>
      </w:r>
    </w:p>
    <w:p>
      <w:pPr>
        <w:jc w:val="center"/>
        <w:rPr>
          <w:b/>
          <w:sz w:val="32"/>
          <w:szCs w:val="32"/>
        </w:rPr>
      </w:pPr>
    </w:p>
    <w:p>
      <w:pPr>
        <w:rPr>
          <w:sz w:val="30"/>
          <w:szCs w:val="30"/>
        </w:rPr>
      </w:pPr>
      <w:r>
        <w:t xml:space="preserve">  </w:t>
      </w:r>
      <w:r>
        <w:rPr>
          <w:sz w:val="30"/>
          <w:szCs w:val="30"/>
        </w:rPr>
        <w:t xml:space="preserve">   本人以企业法定代表人的身份郑重承诺：</w:t>
      </w:r>
    </w:p>
    <w:p>
      <w:pPr>
        <w:spacing w:before="120" w:beforeLines="50" w:line="360" w:lineRule="auto"/>
        <w:ind w:firstLine="600" w:firstLineChars="200"/>
        <w:rPr>
          <w:sz w:val="30"/>
          <w:szCs w:val="30"/>
        </w:rPr>
      </w:pPr>
      <w:r>
        <w:rPr>
          <w:sz w:val="30"/>
          <w:szCs w:val="30"/>
        </w:rPr>
        <w:t>本公司安全生产条件及相关管理人员（包括A类人员、拟派的项目负责人和施工现场专职安全生产管理人员）安全生产任职资格符合相关规定。</w:t>
      </w:r>
    </w:p>
    <w:p>
      <w:pPr>
        <w:spacing w:before="120" w:beforeLines="50" w:line="360" w:lineRule="auto"/>
        <w:ind w:firstLine="600" w:firstLineChars="200"/>
        <w:rPr>
          <w:sz w:val="30"/>
          <w:szCs w:val="30"/>
        </w:rPr>
      </w:pPr>
    </w:p>
    <w:p>
      <w:pPr>
        <w:spacing w:before="120" w:beforeLines="50" w:line="360" w:lineRule="auto"/>
        <w:ind w:firstLine="600" w:firstLineChars="200"/>
        <w:rPr>
          <w:sz w:val="30"/>
          <w:szCs w:val="30"/>
        </w:rPr>
      </w:pPr>
    </w:p>
    <w:p>
      <w:pPr>
        <w:spacing w:before="120" w:beforeLines="50" w:line="360" w:lineRule="auto"/>
        <w:ind w:firstLine="600" w:firstLineChars="200"/>
        <w:rPr>
          <w:sz w:val="30"/>
          <w:szCs w:val="30"/>
        </w:rPr>
      </w:pPr>
    </w:p>
    <w:p>
      <w:pPr>
        <w:spacing w:before="120" w:beforeLines="50" w:line="360" w:lineRule="auto"/>
        <w:ind w:firstLine="600" w:firstLineChars="200"/>
        <w:rPr>
          <w:sz w:val="30"/>
          <w:szCs w:val="30"/>
        </w:rPr>
      </w:pPr>
    </w:p>
    <w:p>
      <w:pPr>
        <w:spacing w:line="360" w:lineRule="auto"/>
        <w:ind w:firstLine="2880" w:firstLineChars="1200"/>
        <w:rPr>
          <w:sz w:val="24"/>
        </w:rPr>
      </w:pPr>
      <w:r>
        <w:rPr>
          <w:sz w:val="24"/>
        </w:rPr>
        <w:t xml:space="preserve">法定代表人（签字或盖章）：                </w:t>
      </w:r>
    </w:p>
    <w:p>
      <w:pPr>
        <w:spacing w:line="586" w:lineRule="exact"/>
        <w:ind w:right="640" w:firstLine="3000" w:firstLineChars="1250"/>
        <w:rPr>
          <w:sz w:val="24"/>
        </w:rPr>
      </w:pPr>
    </w:p>
    <w:p>
      <w:pPr>
        <w:spacing w:line="586" w:lineRule="exact"/>
        <w:ind w:right="640" w:firstLine="3000" w:firstLineChars="1250"/>
        <w:rPr>
          <w:sz w:val="24"/>
        </w:rPr>
      </w:pPr>
      <w:r>
        <w:rPr>
          <w:sz w:val="24"/>
        </w:rPr>
        <w:t>投  标  人（盖章）：         年    月   日</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pStyle w:val="35"/>
        <w:rPr>
          <w:rFonts w:cs="Times New Roman"/>
          <w:szCs w:val="28"/>
        </w:rPr>
      </w:pPr>
      <w:r>
        <w:br w:type="page"/>
      </w:r>
      <w:bookmarkStart w:id="796" w:name="_Toc109826701"/>
      <w:r>
        <w:rPr>
          <w:rFonts w:hint="eastAsia" w:cs="Times New Roman"/>
          <w:szCs w:val="28"/>
        </w:rPr>
        <w:t>八</w:t>
      </w:r>
      <w:r>
        <w:rPr>
          <w:rFonts w:cs="Times New Roman"/>
          <w:szCs w:val="28"/>
        </w:rPr>
        <w:t>、法定代表人授权委托书</w:t>
      </w:r>
      <w:bookmarkEnd w:id="796"/>
    </w:p>
    <w:p>
      <w:pPr>
        <w:spacing w:before="120" w:beforeLines="50" w:line="360" w:lineRule="auto"/>
        <w:jc w:val="center"/>
        <w:rPr>
          <w:rFonts w:eastAsia="黑体"/>
          <w:sz w:val="44"/>
        </w:rPr>
      </w:pPr>
      <w:r>
        <w:rPr>
          <w:rFonts w:eastAsia="黑体"/>
          <w:sz w:val="44"/>
        </w:rPr>
        <w:t>法定代表人授权委托书</w:t>
      </w:r>
    </w:p>
    <w:p>
      <w:pPr>
        <w:spacing w:before="120" w:beforeLines="50" w:line="360" w:lineRule="auto"/>
        <w:jc w:val="center"/>
        <w:rPr>
          <w:sz w:val="28"/>
        </w:rPr>
      </w:pPr>
      <w:r>
        <w:rPr>
          <w:sz w:val="28"/>
        </w:rPr>
        <w:t>（参考样张）</w:t>
      </w:r>
    </w:p>
    <w:p>
      <w:pPr>
        <w:spacing w:before="120" w:beforeLines="50" w:line="360" w:lineRule="auto"/>
        <w:ind w:firstLine="600"/>
        <w:rPr>
          <w:sz w:val="28"/>
        </w:rPr>
      </w:pPr>
      <w:r>
        <w:rPr>
          <w:sz w:val="28"/>
        </w:rPr>
        <w:t>本授权委托书声明：我</w:t>
      </w:r>
      <w:r>
        <w:rPr>
          <w:sz w:val="28"/>
          <w:u w:val="single"/>
        </w:rPr>
        <w:t xml:space="preserve">         </w:t>
      </w:r>
      <w:r>
        <w:rPr>
          <w:sz w:val="28"/>
        </w:rPr>
        <w:t>（姓名）系</w:t>
      </w:r>
      <w:r>
        <w:rPr>
          <w:sz w:val="28"/>
          <w:u w:val="single"/>
        </w:rPr>
        <w:t xml:space="preserve">        </w:t>
      </w:r>
      <w:r>
        <w:rPr>
          <w:sz w:val="28"/>
        </w:rPr>
        <w:t>（投标人）的法定代表人，现授权委托我单位</w:t>
      </w:r>
      <w:r>
        <w:rPr>
          <w:sz w:val="28"/>
          <w:u w:val="single"/>
        </w:rPr>
        <w:t xml:space="preserve">        </w:t>
      </w:r>
      <w:r>
        <w:rPr>
          <w:sz w:val="28"/>
        </w:rPr>
        <w:t>（姓名）为我的代理人，以本单位的名义参加</w:t>
      </w:r>
      <w:r>
        <w:rPr>
          <w:sz w:val="28"/>
          <w:u w:val="single"/>
        </w:rPr>
        <w:t xml:space="preserve">          </w:t>
      </w:r>
      <w:r>
        <w:rPr>
          <w:sz w:val="28"/>
        </w:rPr>
        <w:t>（招标人）的</w:t>
      </w:r>
      <w:r>
        <w:rPr>
          <w:sz w:val="28"/>
          <w:u w:val="single"/>
        </w:rPr>
        <w:t xml:space="preserve">        </w:t>
      </w:r>
      <w:r>
        <w:rPr>
          <w:sz w:val="28"/>
        </w:rPr>
        <w:t>（工程名称）的投标。代理人在该工程招投标活动中的一切事务，我均予以承认。</w:t>
      </w:r>
    </w:p>
    <w:p>
      <w:pPr>
        <w:spacing w:before="120" w:beforeLines="50" w:line="360" w:lineRule="auto"/>
        <w:ind w:firstLine="560" w:firstLineChars="200"/>
        <w:rPr>
          <w:sz w:val="28"/>
        </w:rPr>
      </w:pPr>
      <w:r>
        <w:rPr>
          <w:sz w:val="28"/>
        </w:rPr>
        <w:t>代理人无转委权，特此委托。</w:t>
      </w:r>
    </w:p>
    <w:p>
      <w:pPr>
        <w:spacing w:before="120" w:beforeLines="50" w:line="360" w:lineRule="auto"/>
        <w:rPr>
          <w:sz w:val="28"/>
        </w:rPr>
      </w:pPr>
    </w:p>
    <w:p>
      <w:pPr>
        <w:spacing w:before="120" w:beforeLines="50" w:line="360" w:lineRule="auto"/>
        <w:rPr>
          <w:sz w:val="28"/>
        </w:rPr>
      </w:pPr>
    </w:p>
    <w:p>
      <w:pPr>
        <w:spacing w:before="120" w:beforeLines="50" w:line="360" w:lineRule="auto"/>
        <w:rPr>
          <w:sz w:val="28"/>
        </w:rPr>
      </w:pPr>
      <w:r>
        <w:rPr>
          <w:sz w:val="28"/>
        </w:rPr>
        <w:t>法定代表人（盖章）：</w:t>
      </w:r>
      <w:r>
        <w:rPr>
          <w:sz w:val="28"/>
          <w:u w:val="single"/>
        </w:rPr>
        <w:t xml:space="preserve">                                     </w:t>
      </w:r>
    </w:p>
    <w:p>
      <w:pPr>
        <w:spacing w:before="120" w:beforeLines="50" w:line="360" w:lineRule="auto"/>
        <w:rPr>
          <w:sz w:val="28"/>
          <w:u w:val="single"/>
        </w:rPr>
      </w:pPr>
      <w:r>
        <w:rPr>
          <w:sz w:val="28"/>
        </w:rPr>
        <w:t>代理人：</w:t>
      </w:r>
      <w:r>
        <w:rPr>
          <w:sz w:val="28"/>
          <w:u w:val="single"/>
        </w:rPr>
        <w:t xml:space="preserve">              </w:t>
      </w:r>
      <w:r>
        <w:rPr>
          <w:sz w:val="28"/>
        </w:rPr>
        <w:t>性别：</w:t>
      </w:r>
      <w:r>
        <w:rPr>
          <w:sz w:val="28"/>
          <w:u w:val="single"/>
        </w:rPr>
        <w:t xml:space="preserve">              </w:t>
      </w:r>
      <w:r>
        <w:rPr>
          <w:sz w:val="28"/>
        </w:rPr>
        <w:t>年龄</w:t>
      </w:r>
      <w:r>
        <w:rPr>
          <w:sz w:val="28"/>
          <w:u w:val="single"/>
        </w:rPr>
        <w:t xml:space="preserve">          </w:t>
      </w:r>
    </w:p>
    <w:p>
      <w:pPr>
        <w:spacing w:before="120" w:beforeLines="50" w:line="360" w:lineRule="auto"/>
        <w:rPr>
          <w:sz w:val="28"/>
          <w:u w:val="single"/>
        </w:rPr>
      </w:pPr>
      <w:r>
        <w:rPr>
          <w:sz w:val="28"/>
        </w:rPr>
        <w:t>身份证号码：</w:t>
      </w:r>
      <w:r>
        <w:rPr>
          <w:sz w:val="28"/>
          <w:u w:val="single"/>
        </w:rPr>
        <w:t xml:space="preserve">                  </w:t>
      </w:r>
      <w:r>
        <w:rPr>
          <w:sz w:val="28"/>
        </w:rPr>
        <w:t>职务：</w:t>
      </w:r>
      <w:r>
        <w:rPr>
          <w:sz w:val="28"/>
          <w:u w:val="single"/>
        </w:rPr>
        <w:t xml:space="preserve">                    </w:t>
      </w:r>
    </w:p>
    <w:p>
      <w:pPr>
        <w:spacing w:before="120" w:beforeLines="50" w:line="360" w:lineRule="auto"/>
        <w:rPr>
          <w:sz w:val="28"/>
        </w:rPr>
      </w:pPr>
      <w:r>
        <w:rPr>
          <w:sz w:val="28"/>
        </w:rPr>
        <w:t>授权委托日期：</w:t>
      </w:r>
      <w:r>
        <w:rPr>
          <w:sz w:val="28"/>
          <w:u w:val="single"/>
        </w:rPr>
        <w:t xml:space="preserve">            </w:t>
      </w:r>
      <w:r>
        <w:rPr>
          <w:sz w:val="28"/>
        </w:rPr>
        <w:t>年</w:t>
      </w:r>
      <w:r>
        <w:rPr>
          <w:sz w:val="28"/>
          <w:u w:val="single"/>
        </w:rPr>
        <w:t xml:space="preserve">            </w:t>
      </w:r>
      <w:r>
        <w:rPr>
          <w:sz w:val="28"/>
        </w:rPr>
        <w:t>月</w:t>
      </w:r>
      <w:r>
        <w:rPr>
          <w:sz w:val="28"/>
          <w:u w:val="single"/>
        </w:rPr>
        <w:t xml:space="preserve">             </w:t>
      </w:r>
      <w:r>
        <w:rPr>
          <w:sz w:val="28"/>
        </w:rPr>
        <w:t>日</w:t>
      </w:r>
    </w:p>
    <w:p>
      <w:pPr>
        <w:pStyle w:val="35"/>
        <w:rPr>
          <w:rFonts w:cs="Times New Roman"/>
          <w:szCs w:val="28"/>
        </w:rPr>
      </w:pPr>
      <w:r>
        <w:br w:type="page"/>
      </w:r>
      <w:bookmarkStart w:id="797" w:name="_Toc68615936"/>
      <w:bookmarkStart w:id="798" w:name="_Toc109826702"/>
      <w:bookmarkStart w:id="799" w:name="_Toc21956"/>
      <w:r>
        <w:rPr>
          <w:rFonts w:hint="eastAsia" w:cs="Times New Roman"/>
          <w:szCs w:val="28"/>
        </w:rPr>
        <w:t>九、法定代表人身份证明</w:t>
      </w:r>
      <w:bookmarkEnd w:id="797"/>
      <w:bookmarkEnd w:id="798"/>
      <w:bookmarkEnd w:id="799"/>
    </w:p>
    <w:p>
      <w:pPr>
        <w:spacing w:before="120" w:beforeLines="50" w:line="360" w:lineRule="auto"/>
        <w:jc w:val="center"/>
        <w:rPr>
          <w:rFonts w:eastAsia="黑体"/>
          <w:sz w:val="44"/>
        </w:rPr>
      </w:pPr>
      <w:r>
        <w:rPr>
          <w:rFonts w:hint="eastAsia" w:eastAsia="黑体"/>
          <w:sz w:val="44"/>
        </w:rPr>
        <w:t>法定代表人身份证明</w:t>
      </w:r>
    </w:p>
    <w:p>
      <w:pPr>
        <w:spacing w:before="120" w:beforeLines="50" w:line="360" w:lineRule="auto"/>
        <w:jc w:val="center"/>
        <w:rPr>
          <w:sz w:val="28"/>
        </w:rPr>
      </w:pPr>
      <w:r>
        <w:rPr>
          <w:rFonts w:hint="eastAsia"/>
          <w:sz w:val="28"/>
        </w:rPr>
        <w:t>（参考样张）</w:t>
      </w:r>
    </w:p>
    <w:p>
      <w:pPr>
        <w:spacing w:line="360" w:lineRule="auto"/>
        <w:jc w:val="center"/>
        <w:rPr>
          <w:rFonts w:ascii="方正小标宋简体" w:hAnsi="方正小标宋简体"/>
          <w:sz w:val="44"/>
          <w:szCs w:val="44"/>
        </w:rPr>
      </w:pPr>
    </w:p>
    <w:p>
      <w:pPr>
        <w:spacing w:line="360" w:lineRule="auto"/>
        <w:ind w:firstLine="480" w:firstLineChars="200"/>
        <w:rPr>
          <w:rFonts w:ascii="宋体" w:hAnsi="宋体"/>
          <w:sz w:val="24"/>
          <w:szCs w:val="24"/>
          <w:u w:val="single"/>
        </w:rPr>
      </w:pPr>
      <w:r>
        <w:rPr>
          <w:rFonts w:hint="eastAsia" w:ascii="宋体" w:hAnsi="宋体"/>
          <w:sz w:val="24"/>
          <w:szCs w:val="24"/>
        </w:rPr>
        <w:t>投标人名称：</w:t>
      </w:r>
      <w:r>
        <w:rPr>
          <w:rFonts w:hint="eastAsia" w:ascii="宋体" w:hAnsi="宋体"/>
          <w:sz w:val="24"/>
          <w:szCs w:val="24"/>
          <w:u w:val="single"/>
        </w:rPr>
        <w:t xml:space="preserve">                              </w:t>
      </w:r>
    </w:p>
    <w:p>
      <w:pPr>
        <w:spacing w:line="360" w:lineRule="auto"/>
        <w:ind w:firstLine="480" w:firstLineChars="200"/>
        <w:rPr>
          <w:rFonts w:ascii="宋体" w:hAnsi="宋体"/>
          <w:sz w:val="24"/>
          <w:szCs w:val="24"/>
        </w:rPr>
      </w:pPr>
      <w:r>
        <w:rPr>
          <w:rFonts w:hint="eastAsia" w:ascii="宋体" w:hAnsi="宋体"/>
          <w:sz w:val="24"/>
          <w:szCs w:val="24"/>
        </w:rPr>
        <w:t>单位性质：</w:t>
      </w:r>
      <w:r>
        <w:rPr>
          <w:rFonts w:hint="eastAsia" w:ascii="宋体" w:hAnsi="宋体"/>
          <w:sz w:val="24"/>
          <w:szCs w:val="24"/>
          <w:u w:val="single"/>
        </w:rPr>
        <w:t xml:space="preserve">                                </w:t>
      </w:r>
    </w:p>
    <w:p>
      <w:pPr>
        <w:spacing w:line="360" w:lineRule="auto"/>
        <w:ind w:firstLine="480" w:firstLineChars="200"/>
        <w:rPr>
          <w:rFonts w:ascii="宋体" w:hAnsi="宋体"/>
          <w:sz w:val="24"/>
          <w:szCs w:val="24"/>
          <w:u w:val="single"/>
        </w:rPr>
      </w:pPr>
      <w:r>
        <w:rPr>
          <w:rFonts w:hint="eastAsia" w:ascii="宋体" w:hAnsi="宋体"/>
          <w:sz w:val="24"/>
          <w:szCs w:val="24"/>
        </w:rPr>
        <w:t>地址：</w:t>
      </w:r>
      <w:r>
        <w:rPr>
          <w:rFonts w:hint="eastAsia" w:ascii="宋体" w:hAnsi="宋体"/>
          <w:sz w:val="24"/>
          <w:szCs w:val="24"/>
          <w:u w:val="single"/>
        </w:rPr>
        <w:t xml:space="preserve">                                  </w:t>
      </w:r>
    </w:p>
    <w:p>
      <w:pPr>
        <w:spacing w:line="360" w:lineRule="auto"/>
        <w:ind w:firstLine="480" w:firstLineChars="200"/>
        <w:rPr>
          <w:rFonts w:ascii="宋体" w:hAnsi="宋体"/>
          <w:sz w:val="24"/>
          <w:szCs w:val="24"/>
        </w:rPr>
      </w:pPr>
      <w:r>
        <w:rPr>
          <w:rFonts w:hint="eastAsia" w:ascii="宋体" w:hAnsi="宋体"/>
          <w:sz w:val="24"/>
          <w:szCs w:val="24"/>
        </w:rPr>
        <w:t>成立时间：</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月</w:t>
      </w:r>
      <w:r>
        <w:rPr>
          <w:rFonts w:hint="eastAsia" w:ascii="宋体" w:hAnsi="宋体"/>
          <w:sz w:val="24"/>
          <w:szCs w:val="24"/>
          <w:u w:val="single"/>
        </w:rPr>
        <w:t xml:space="preserve">       </w:t>
      </w:r>
      <w:r>
        <w:rPr>
          <w:rFonts w:hint="eastAsia" w:ascii="宋体" w:hAnsi="宋体"/>
          <w:sz w:val="24"/>
          <w:szCs w:val="24"/>
        </w:rPr>
        <w:t>日</w:t>
      </w:r>
    </w:p>
    <w:p>
      <w:pPr>
        <w:spacing w:line="360" w:lineRule="auto"/>
        <w:ind w:firstLine="480" w:firstLineChars="200"/>
        <w:rPr>
          <w:rFonts w:ascii="宋体" w:hAnsi="宋体"/>
          <w:sz w:val="24"/>
          <w:szCs w:val="24"/>
        </w:rPr>
      </w:pPr>
      <w:r>
        <w:rPr>
          <w:rFonts w:hint="eastAsia" w:ascii="宋体" w:hAnsi="宋体"/>
          <w:sz w:val="24"/>
          <w:szCs w:val="24"/>
        </w:rPr>
        <w:t>经营期限：</w:t>
      </w:r>
      <w:r>
        <w:rPr>
          <w:rFonts w:hint="eastAsia" w:ascii="宋体" w:hAnsi="宋体"/>
          <w:sz w:val="24"/>
          <w:szCs w:val="24"/>
          <w:u w:val="single"/>
        </w:rPr>
        <w:t xml:space="preserve">                                </w:t>
      </w:r>
    </w:p>
    <w:p>
      <w:pPr>
        <w:spacing w:line="360" w:lineRule="auto"/>
        <w:ind w:firstLine="480" w:firstLineChars="200"/>
        <w:rPr>
          <w:rFonts w:ascii="宋体" w:hAnsi="宋体"/>
          <w:sz w:val="24"/>
          <w:szCs w:val="24"/>
          <w:u w:val="single"/>
        </w:rPr>
      </w:pPr>
      <w:r>
        <w:rPr>
          <w:rFonts w:hint="eastAsia" w:ascii="宋体" w:hAnsi="宋体"/>
          <w:sz w:val="24"/>
          <w:szCs w:val="24"/>
        </w:rPr>
        <w:t>姓名：</w:t>
      </w:r>
      <w:r>
        <w:rPr>
          <w:rFonts w:hint="eastAsia" w:ascii="宋体" w:hAnsi="宋体"/>
          <w:sz w:val="24"/>
          <w:szCs w:val="24"/>
          <w:u w:val="single"/>
        </w:rPr>
        <w:t xml:space="preserve">       </w:t>
      </w:r>
      <w:r>
        <w:rPr>
          <w:rFonts w:hint="eastAsia" w:ascii="宋体" w:hAnsi="宋体"/>
          <w:sz w:val="24"/>
          <w:szCs w:val="24"/>
        </w:rPr>
        <w:t>性别：</w:t>
      </w:r>
      <w:r>
        <w:rPr>
          <w:rFonts w:hint="eastAsia" w:ascii="宋体" w:hAnsi="宋体"/>
          <w:sz w:val="24"/>
          <w:szCs w:val="24"/>
          <w:u w:val="single"/>
        </w:rPr>
        <w:t xml:space="preserve">       </w:t>
      </w:r>
      <w:r>
        <w:rPr>
          <w:rFonts w:hint="eastAsia" w:ascii="宋体" w:hAnsi="宋体"/>
          <w:sz w:val="24"/>
          <w:szCs w:val="24"/>
        </w:rPr>
        <w:t>年龄：</w:t>
      </w:r>
      <w:r>
        <w:rPr>
          <w:rFonts w:hint="eastAsia" w:ascii="宋体" w:hAnsi="宋体"/>
          <w:sz w:val="24"/>
          <w:szCs w:val="24"/>
          <w:u w:val="single"/>
        </w:rPr>
        <w:t xml:space="preserve">       </w:t>
      </w:r>
    </w:p>
    <w:p>
      <w:pPr>
        <w:spacing w:line="360" w:lineRule="auto"/>
        <w:ind w:firstLine="480" w:firstLineChars="200"/>
        <w:rPr>
          <w:rFonts w:ascii="宋体" w:hAnsi="宋体"/>
          <w:sz w:val="24"/>
          <w:szCs w:val="24"/>
          <w:u w:val="single"/>
        </w:rPr>
      </w:pPr>
      <w:r>
        <w:rPr>
          <w:rFonts w:hint="eastAsia" w:ascii="宋体" w:hAnsi="宋体"/>
          <w:sz w:val="24"/>
          <w:szCs w:val="24"/>
        </w:rPr>
        <w:t>身份证号码：</w:t>
      </w:r>
      <w:r>
        <w:rPr>
          <w:rFonts w:hint="eastAsia" w:ascii="宋体" w:hAnsi="宋体"/>
          <w:sz w:val="24"/>
          <w:szCs w:val="24"/>
          <w:u w:val="single"/>
        </w:rPr>
        <w:t xml:space="preserve">                              </w:t>
      </w:r>
    </w:p>
    <w:p>
      <w:pPr>
        <w:spacing w:line="360" w:lineRule="auto"/>
        <w:ind w:firstLine="480" w:firstLineChars="200"/>
        <w:rPr>
          <w:rFonts w:ascii="宋体" w:hAnsi="宋体"/>
          <w:sz w:val="24"/>
          <w:szCs w:val="24"/>
          <w:u w:val="single"/>
        </w:rPr>
      </w:pPr>
      <w:r>
        <w:rPr>
          <w:rFonts w:hint="eastAsia" w:ascii="宋体" w:hAnsi="宋体"/>
          <w:sz w:val="24"/>
          <w:szCs w:val="24"/>
        </w:rPr>
        <w:t>联系电话：</w:t>
      </w:r>
      <w:r>
        <w:rPr>
          <w:rFonts w:hint="eastAsia" w:ascii="宋体" w:hAnsi="宋体"/>
          <w:sz w:val="24"/>
          <w:szCs w:val="24"/>
          <w:u w:val="single"/>
        </w:rPr>
        <w:t xml:space="preserve">                                </w:t>
      </w:r>
    </w:p>
    <w:p>
      <w:pPr>
        <w:spacing w:line="360" w:lineRule="auto"/>
        <w:ind w:firstLine="480" w:firstLineChars="200"/>
        <w:rPr>
          <w:rFonts w:ascii="宋体" w:hAnsi="宋体"/>
          <w:sz w:val="24"/>
          <w:szCs w:val="24"/>
        </w:rPr>
      </w:pPr>
      <w:r>
        <w:rPr>
          <w:rFonts w:hint="eastAsia" w:ascii="宋体" w:hAnsi="宋体"/>
          <w:sz w:val="24"/>
          <w:szCs w:val="24"/>
        </w:rPr>
        <w:t>职务：</w:t>
      </w:r>
      <w:r>
        <w:rPr>
          <w:rFonts w:hint="eastAsia" w:ascii="宋体" w:hAnsi="宋体"/>
          <w:sz w:val="24"/>
          <w:szCs w:val="24"/>
          <w:u w:val="single"/>
        </w:rPr>
        <w:t xml:space="preserve">                </w:t>
      </w:r>
      <w:r>
        <w:rPr>
          <w:rFonts w:hint="eastAsia" w:ascii="宋体" w:hAnsi="宋体"/>
          <w:sz w:val="24"/>
          <w:szCs w:val="24"/>
        </w:rPr>
        <w:t>系</w:t>
      </w:r>
      <w:r>
        <w:rPr>
          <w:rFonts w:hint="eastAsia" w:ascii="宋体" w:hAnsi="宋体"/>
          <w:sz w:val="24"/>
          <w:szCs w:val="24"/>
          <w:u w:val="single"/>
        </w:rPr>
        <w:t xml:space="preserve">       （投标人名称）</w:t>
      </w:r>
      <w:r>
        <w:rPr>
          <w:rFonts w:hint="eastAsia" w:ascii="宋体" w:hAnsi="宋体"/>
          <w:sz w:val="24"/>
          <w:szCs w:val="24"/>
        </w:rPr>
        <w:t>的法定代表人。</w:t>
      </w:r>
    </w:p>
    <w:p>
      <w:pPr>
        <w:spacing w:line="360" w:lineRule="auto"/>
        <w:ind w:firstLine="480" w:firstLineChars="200"/>
        <w:rPr>
          <w:rFonts w:ascii="宋体" w:hAnsi="宋体"/>
          <w:sz w:val="24"/>
          <w:szCs w:val="24"/>
        </w:rPr>
      </w:pPr>
    </w:p>
    <w:p>
      <w:pPr>
        <w:spacing w:line="360" w:lineRule="auto"/>
        <w:ind w:firstLine="960" w:firstLineChars="400"/>
        <w:rPr>
          <w:rFonts w:ascii="宋体" w:hAnsi="宋体"/>
          <w:sz w:val="24"/>
          <w:szCs w:val="24"/>
        </w:rPr>
      </w:pPr>
      <w:r>
        <w:rPr>
          <w:rFonts w:hint="eastAsia" w:ascii="宋体" w:hAnsi="宋体"/>
          <w:sz w:val="24"/>
          <w:szCs w:val="24"/>
        </w:rPr>
        <w:t>特此证明。</w:t>
      </w:r>
    </w:p>
    <w:p>
      <w:pPr>
        <w:spacing w:line="360" w:lineRule="auto"/>
        <w:ind w:firstLine="960" w:firstLineChars="400"/>
        <w:rPr>
          <w:rFonts w:ascii="宋体" w:hAnsi="宋体"/>
          <w:sz w:val="24"/>
          <w:szCs w:val="24"/>
        </w:rPr>
      </w:pPr>
    </w:p>
    <w:p>
      <w:pPr>
        <w:spacing w:line="360" w:lineRule="auto"/>
        <w:rPr>
          <w:rFonts w:ascii="宋体" w:hAnsi="宋体"/>
          <w:sz w:val="24"/>
          <w:szCs w:val="24"/>
        </w:rPr>
      </w:pPr>
      <w:r>
        <w:rPr>
          <w:rFonts w:hint="eastAsia" w:ascii="宋体" w:hAnsi="宋体"/>
          <w:sz w:val="24"/>
          <w:szCs w:val="24"/>
        </w:rPr>
        <w:t xml:space="preserve">                                      投标人：（盖单位公章）</w:t>
      </w:r>
    </w:p>
    <w:p>
      <w:pPr>
        <w:jc w:val="right"/>
        <w:rPr>
          <w:rFonts w:ascii="宋体" w:hAnsi="宋体" w:cs="宋体"/>
          <w:sz w:val="24"/>
          <w:szCs w:val="24"/>
          <w:u w:val="single"/>
        </w:rPr>
      </w:pPr>
    </w:p>
    <w:p>
      <w:pPr>
        <w:spacing w:before="120" w:beforeLines="50" w:line="360" w:lineRule="auto"/>
        <w:jc w:val="right"/>
        <w:rPr>
          <w:rFonts w:ascii="宋体" w:hAnsi="宋体"/>
          <w:sz w:val="24"/>
          <w:szCs w:val="24"/>
        </w:rPr>
      </w:pPr>
      <w:r>
        <w:rPr>
          <w:rFonts w:hint="eastAsia" w:ascii="宋体" w:hAnsi="宋体"/>
          <w:sz w:val="24"/>
          <w:szCs w:val="24"/>
        </w:rPr>
        <w:t xml:space="preserve">      年       月      日</w:t>
      </w:r>
    </w:p>
    <w:p>
      <w:pPr>
        <w:pStyle w:val="35"/>
        <w:rPr>
          <w:rFonts w:eastAsiaTheme="minorEastAsia"/>
          <w:sz w:val="24"/>
          <w:szCs w:val="18"/>
        </w:rPr>
        <w:sectPr>
          <w:pgSz w:w="11906" w:h="16839"/>
          <w:pgMar w:top="1440" w:right="1800" w:bottom="1440" w:left="1800" w:header="0" w:footer="996" w:gutter="0"/>
          <w:pgNumType w:chapStyle="1"/>
          <w:cols w:space="720" w:num="1"/>
        </w:sectPr>
      </w:pPr>
    </w:p>
    <w:p>
      <w:pPr>
        <w:rPr>
          <w:rFonts w:ascii="黑体" w:hAnsi="黑体" w:eastAsia="黑体" w:cs="黑体"/>
          <w:spacing w:val="-2"/>
          <w:sz w:val="28"/>
          <w:szCs w:val="28"/>
        </w:rPr>
      </w:pPr>
    </w:p>
    <w:p>
      <w:pPr>
        <w:rPr>
          <w:rFonts w:ascii="黑体" w:hAnsi="黑体" w:eastAsia="黑体" w:cs="黑体"/>
          <w:sz w:val="28"/>
          <w:szCs w:val="28"/>
        </w:rPr>
      </w:pPr>
      <w:r>
        <w:rPr>
          <w:rFonts w:ascii="黑体" w:hAnsi="黑体" w:eastAsia="黑体" w:cs="黑体"/>
          <w:spacing w:val="-2"/>
          <w:sz w:val="28"/>
          <w:szCs w:val="28"/>
        </w:rPr>
        <w:t>十、停工证明</w:t>
      </w:r>
    </w:p>
    <w:p>
      <w:pPr>
        <w:jc w:val="center"/>
        <w:rPr>
          <w:rFonts w:ascii="宋体" w:hAnsi="宋体" w:eastAsia="宋体" w:cs="宋体"/>
          <w:spacing w:val="7"/>
          <w:sz w:val="31"/>
          <w:szCs w:val="31"/>
        </w:rPr>
      </w:pPr>
      <w:bookmarkStart w:id="800" w:name="_bookmark55"/>
      <w:bookmarkEnd w:id="800"/>
      <w:r>
        <w:rPr>
          <w:rFonts w:ascii="宋体" w:hAnsi="宋体" w:eastAsia="宋体" w:cs="宋体"/>
          <w:spacing w:val="9"/>
          <w:sz w:val="31"/>
          <w:szCs w:val="31"/>
        </w:rPr>
        <w:t>停</w:t>
      </w:r>
      <w:r>
        <w:rPr>
          <w:rFonts w:ascii="宋体" w:hAnsi="宋体" w:eastAsia="宋体" w:cs="宋体"/>
          <w:spacing w:val="7"/>
          <w:sz w:val="31"/>
          <w:szCs w:val="31"/>
        </w:rPr>
        <w:t>工证明</w:t>
      </w:r>
    </w:p>
    <w:p>
      <w:pPr>
        <w:pStyle w:val="2"/>
        <w:rPr>
          <w:rFonts w:eastAsiaTheme="minorEastAsia"/>
        </w:rPr>
      </w:pPr>
    </w:p>
    <w:tbl>
      <w:tblPr>
        <w:tblStyle w:val="27"/>
        <w:tblW w:w="88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806" w:type="dxa"/>
            <w:tcBorders>
              <w:bottom w:val="nil"/>
            </w:tcBorders>
          </w:tcPr>
          <w:p>
            <w:pPr>
              <w:rPr>
                <w:rFonts w:ascii="宋体" w:hAnsi="宋体" w:eastAsia="宋体" w:cs="宋体"/>
                <w:spacing w:val="24"/>
                <w:sz w:val="20"/>
                <w:szCs w:val="20"/>
                <w:u w:val="single"/>
              </w:rPr>
            </w:pPr>
          </w:p>
          <w:p>
            <w:pPr>
              <w:rPr>
                <w:rFonts w:ascii="宋体" w:hAnsi="宋体" w:eastAsia="宋体" w:cs="宋体"/>
                <w:spacing w:val="20"/>
                <w:sz w:val="20"/>
                <w:szCs w:val="20"/>
              </w:rPr>
            </w:pPr>
            <w:r>
              <w:rPr>
                <w:rFonts w:ascii="宋体" w:hAnsi="宋体" w:eastAsia="宋体" w:cs="宋体"/>
                <w:spacing w:val="24"/>
                <w:sz w:val="20"/>
                <w:szCs w:val="20"/>
                <w:u w:val="single"/>
              </w:rPr>
              <w:t xml:space="preserve">               </w:t>
            </w:r>
            <w:r>
              <w:rPr>
                <w:rFonts w:ascii="宋体" w:hAnsi="宋体" w:eastAsia="宋体" w:cs="宋体"/>
                <w:spacing w:val="24"/>
                <w:sz w:val="20"/>
                <w:szCs w:val="20"/>
              </w:rPr>
              <w:t>(</w:t>
            </w:r>
            <w:r>
              <w:rPr>
                <w:rFonts w:ascii="宋体" w:hAnsi="宋体" w:eastAsia="宋体" w:cs="宋体"/>
                <w:spacing w:val="20"/>
                <w:sz w:val="20"/>
                <w:szCs w:val="20"/>
              </w:rPr>
              <w:t>原建设单位) ：</w:t>
            </w:r>
          </w:p>
          <w:p>
            <w:pPr>
              <w:rPr>
                <w:rFonts w:ascii="宋体" w:hAnsi="宋体" w:eastAsia="宋体"/>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806" w:type="dxa"/>
            <w:tcBorders>
              <w:top w:val="nil"/>
              <w:bottom w:val="nil"/>
            </w:tcBorders>
          </w:tcPr>
          <w:p>
            <w:pPr>
              <w:spacing w:line="360" w:lineRule="auto"/>
              <w:ind w:firstLine="400" w:firstLineChars="200"/>
              <w:rPr>
                <w:rFonts w:ascii="宋体" w:hAnsi="宋体" w:eastAsia="宋体"/>
                <w:sz w:val="20"/>
                <w:szCs w:val="20"/>
              </w:rPr>
            </w:pPr>
            <w:r>
              <w:rPr>
                <w:rFonts w:hint="eastAsia" w:ascii="宋体" w:hAnsi="宋体" w:eastAsia="宋体"/>
                <w:sz w:val="20"/>
                <w:szCs w:val="20"/>
              </w:rPr>
              <w:t>我公司承接的贵单位</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（原工程项目名称），于</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年</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月</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日取得施工许可证，并于</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年</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月</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日开工。但因非我承包人原因自</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年</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月</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日至今，已连续停工超过1</w:t>
            </w:r>
            <w:r>
              <w:rPr>
                <w:rFonts w:ascii="宋体" w:hAnsi="宋体" w:eastAsia="宋体"/>
                <w:sz w:val="20"/>
                <w:szCs w:val="20"/>
              </w:rPr>
              <w:t>20</w:t>
            </w:r>
            <w:r>
              <w:rPr>
                <w:rFonts w:hint="eastAsia" w:ascii="宋体" w:hAnsi="宋体" w:eastAsia="宋体"/>
                <w:sz w:val="20"/>
                <w:szCs w:val="20"/>
              </w:rPr>
              <w:t>天。特申请同意我公司项目负责人</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（项目负责人名字）承接其他项目。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8806" w:type="dxa"/>
            <w:tcBorders>
              <w:top w:val="nil"/>
              <w:bottom w:val="nil"/>
            </w:tcBorders>
          </w:tcPr>
          <w:p>
            <w:pPr>
              <w:spacing w:line="360" w:lineRule="auto"/>
              <w:rPr>
                <w:rFonts w:ascii="宋体" w:hAnsi="宋体" w:eastAsia="宋体" w:cs="宋体"/>
                <w:sz w:val="20"/>
                <w:szCs w:val="20"/>
              </w:rPr>
            </w:pPr>
            <w:r>
              <w:rPr>
                <w:rFonts w:hint="eastAsia" w:ascii="宋体" w:hAnsi="宋体" w:eastAsia="宋体"/>
                <w:sz w:val="20"/>
                <w:szCs w:val="20"/>
              </w:rPr>
              <w:t>特此报告。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806" w:type="dxa"/>
            <w:tcBorders>
              <w:top w:val="nil"/>
              <w:bottom w:val="nil"/>
            </w:tcBorders>
          </w:tcPr>
          <w:p>
            <w:pPr>
              <w:rPr>
                <w:rFonts w:ascii="宋体" w:hAnsi="宋体" w:eastAsia="宋体"/>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9" w:hRule="atLeast"/>
        </w:trPr>
        <w:tc>
          <w:tcPr>
            <w:tcW w:w="8806" w:type="dxa"/>
            <w:tcBorders>
              <w:top w:val="nil"/>
              <w:bottom w:val="nil"/>
            </w:tcBorders>
          </w:tcPr>
          <w:p>
            <w:pPr>
              <w:rPr>
                <w:rFonts w:ascii="宋体" w:hAnsi="宋体" w:eastAsia="宋体" w:cs="宋体"/>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9" w:hRule="atLeast"/>
        </w:trPr>
        <w:tc>
          <w:tcPr>
            <w:tcW w:w="8806" w:type="dxa"/>
            <w:tcBorders>
              <w:top w:val="nil"/>
            </w:tcBorders>
          </w:tcPr>
          <w:p>
            <w:pPr>
              <w:rPr>
                <w:rFonts w:ascii="宋体" w:hAnsi="宋体" w:eastAsia="宋体" w:cs="宋体"/>
                <w:sz w:val="20"/>
                <w:szCs w:val="20"/>
              </w:rPr>
            </w:pPr>
            <w:r>
              <w:rPr>
                <w:rFonts w:hint="eastAsia" w:ascii="宋体" w:hAnsi="宋体" w:eastAsia="宋体" w:cs="宋体"/>
                <w:sz w:val="20"/>
                <w:szCs w:val="20"/>
              </w:rPr>
              <w:t>承包人（盖章）</w:t>
            </w:r>
            <w:r>
              <w:rPr>
                <w:rFonts w:hint="eastAsia" w:ascii="宋体" w:hAnsi="宋体" w:eastAsia="宋体" w:cs="宋体"/>
                <w:szCs w:val="20"/>
              </w:rPr>
              <w:t xml:space="preserve"> </w:t>
            </w:r>
            <w:r>
              <w:rPr>
                <w:rFonts w:ascii="宋体" w:hAnsi="宋体" w:eastAsia="宋体" w:cs="宋体"/>
                <w:szCs w:val="20"/>
              </w:rPr>
              <w:t xml:space="preserve"> </w:t>
            </w:r>
          </w:p>
          <w:p>
            <w:pPr>
              <w:rPr>
                <w:rFonts w:ascii="宋体" w:hAnsi="宋体" w:eastAsia="宋体"/>
                <w:sz w:val="20"/>
                <w:szCs w:val="20"/>
              </w:rPr>
            </w:pP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年</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月</w:t>
            </w:r>
            <w:r>
              <w:rPr>
                <w:rFonts w:hint="eastAsia" w:ascii="宋体" w:hAnsi="宋体" w:eastAsia="宋体"/>
                <w:sz w:val="20"/>
                <w:szCs w:val="20"/>
                <w:u w:val="single"/>
              </w:rPr>
              <w:t xml:space="preserve"> </w:t>
            </w:r>
            <w:r>
              <w:rPr>
                <w:rFonts w:ascii="宋体" w:hAnsi="宋体" w:eastAsia="宋体"/>
                <w:sz w:val="20"/>
                <w:szCs w:val="20"/>
                <w:u w:val="single"/>
              </w:rPr>
              <w:t xml:space="preserve">   </w:t>
            </w:r>
            <w:r>
              <w:rPr>
                <w:rFonts w:hint="eastAsia" w:ascii="宋体" w:hAnsi="宋体" w:eastAsia="宋体"/>
                <w:sz w:val="20"/>
                <w:szCs w:val="20"/>
              </w:rPr>
              <w:t>日</w:t>
            </w:r>
            <w:r>
              <w:rPr>
                <w:rFonts w:hint="eastAsia" w:ascii="宋体" w:hAnsi="宋体" w:eastAsia="宋体"/>
                <w:szCs w:val="20"/>
              </w:rPr>
              <w:t xml:space="preserve"> </w:t>
            </w:r>
            <w:r>
              <w:rPr>
                <w:rFonts w:ascii="宋体" w:hAnsi="宋体" w:eastAsia="宋体"/>
                <w:szCs w:val="20"/>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3" w:hRule="atLeast"/>
        </w:trPr>
        <w:tc>
          <w:tcPr>
            <w:tcW w:w="8806" w:type="dxa"/>
            <w:tcBorders>
              <w:bottom w:val="nil"/>
            </w:tcBorders>
          </w:tcPr>
          <w:p>
            <w:pPr>
              <w:rPr>
                <w:rFonts w:ascii="宋体" w:hAnsi="宋体" w:eastAsia="宋体" w:cs="宋体"/>
                <w:sz w:val="20"/>
                <w:szCs w:val="20"/>
              </w:rPr>
            </w:pPr>
            <w:r>
              <w:rPr>
                <w:rFonts w:ascii="宋体" w:hAnsi="宋体" w:eastAsia="宋体" w:cs="宋体"/>
                <w:spacing w:val="7"/>
                <w:sz w:val="20"/>
                <w:szCs w:val="20"/>
              </w:rPr>
              <w:t>原建设单位意见</w:t>
            </w:r>
            <w:r>
              <w:rPr>
                <w:rFonts w:ascii="宋体" w:hAnsi="宋体" w:eastAsia="宋体" w:cs="宋体"/>
                <w:spacing w:val="6"/>
                <w:sz w:val="20"/>
                <w:szCs w:val="20"/>
              </w:rPr>
              <w:t>：</w:t>
            </w:r>
          </w:p>
          <w:p/>
          <w:p/>
          <w:p>
            <w:pPr>
              <w:rPr>
                <w:rFonts w:ascii="宋体" w:hAnsi="宋体" w:eastAsia="宋体" w:cs="宋体"/>
                <w:sz w:val="18"/>
                <w:szCs w:val="18"/>
              </w:rPr>
            </w:pPr>
            <w:r>
              <w:rPr>
                <w:rFonts w:ascii="宋体" w:hAnsi="宋体" w:eastAsia="宋体" w:cs="宋体"/>
                <w:spacing w:val="28"/>
                <w:position w:val="18"/>
                <w:sz w:val="18"/>
                <w:szCs w:val="18"/>
              </w:rPr>
              <w:t>原</w:t>
            </w:r>
            <w:r>
              <w:rPr>
                <w:rFonts w:ascii="宋体" w:hAnsi="宋体" w:eastAsia="宋体" w:cs="宋体"/>
                <w:spacing w:val="21"/>
                <w:position w:val="18"/>
                <w:sz w:val="18"/>
                <w:szCs w:val="18"/>
              </w:rPr>
              <w:t>建设单位 (盖章) ：</w:t>
            </w:r>
          </w:p>
          <w:p>
            <w:pPr>
              <w:rPr>
                <w:rFonts w:ascii="宋体" w:hAnsi="宋体" w:eastAsia="宋体" w:cs="宋体"/>
                <w:sz w:val="18"/>
                <w:szCs w:val="18"/>
              </w:rPr>
            </w:pPr>
            <w:r>
              <w:rPr>
                <w:rFonts w:ascii="宋体" w:hAnsi="宋体" w:eastAsia="宋体" w:cs="宋体"/>
                <w:spacing w:val="15"/>
                <w:sz w:val="18"/>
                <w:szCs w:val="18"/>
              </w:rPr>
              <w:t>年</w:t>
            </w:r>
            <w:r>
              <w:rPr>
                <w:rFonts w:ascii="宋体" w:hAnsi="宋体" w:eastAsia="宋体" w:cs="宋体"/>
                <w:spacing w:val="9"/>
                <w:sz w:val="18"/>
                <w:szCs w:val="18"/>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trPr>
        <w:tc>
          <w:tcPr>
            <w:tcW w:w="8806" w:type="dxa"/>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1" w:hRule="atLeast"/>
        </w:trPr>
        <w:tc>
          <w:tcPr>
            <w:tcW w:w="8806" w:type="dxa"/>
            <w:tcBorders>
              <w:bottom w:val="nil"/>
            </w:tcBorders>
          </w:tcPr>
          <w:p>
            <w:pPr>
              <w:rPr>
                <w:rFonts w:ascii="宋体" w:hAnsi="宋体" w:eastAsia="宋体" w:cs="宋体"/>
                <w:sz w:val="20"/>
                <w:szCs w:val="20"/>
              </w:rPr>
            </w:pPr>
            <w:r>
              <w:rPr>
                <w:rFonts w:ascii="宋体" w:hAnsi="宋体" w:eastAsia="宋体" w:cs="宋体"/>
                <w:spacing w:val="10"/>
                <w:sz w:val="20"/>
                <w:szCs w:val="20"/>
              </w:rPr>
              <w:t>行</w:t>
            </w:r>
            <w:r>
              <w:rPr>
                <w:rFonts w:ascii="宋体" w:hAnsi="宋体" w:eastAsia="宋体" w:cs="宋体"/>
                <w:spacing w:val="7"/>
                <w:sz w:val="20"/>
                <w:szCs w:val="20"/>
              </w:rPr>
              <w:t>政主管部门证明：</w:t>
            </w:r>
          </w:p>
          <w:p>
            <w:pPr>
              <w:rPr>
                <w:rFonts w:ascii="宋体" w:hAnsi="宋体" w:eastAsia="宋体" w:cs="宋体"/>
                <w:sz w:val="17"/>
                <w:szCs w:val="17"/>
              </w:rPr>
            </w:pPr>
            <w:r>
              <w:rPr>
                <w:rFonts w:ascii="宋体" w:hAnsi="宋体" w:eastAsia="宋体" w:cs="宋体"/>
                <w:spacing w:val="40"/>
                <w:sz w:val="22"/>
                <w:szCs w:val="22"/>
              </w:rPr>
              <w:t>自</w:t>
            </w:r>
            <w:r>
              <w:rPr>
                <w:rFonts w:ascii="宋体" w:hAnsi="宋体" w:eastAsia="宋体" w:cs="宋体"/>
                <w:spacing w:val="20"/>
                <w:sz w:val="22"/>
                <w:szCs w:val="22"/>
              </w:rPr>
              <w:t xml:space="preserve">   年   月    日开始停工， 至今已超过 120 天。情况属实。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 w:hRule="atLeast"/>
        </w:trPr>
        <w:tc>
          <w:tcPr>
            <w:tcW w:w="8806" w:type="dxa"/>
            <w:tcBorders>
              <w:top w:val="nil"/>
              <w:bottom w:val="nil"/>
            </w:tcBorders>
          </w:tcPr>
          <w:p/>
          <w:p/>
          <w:p>
            <w:pPr>
              <w:rPr>
                <w:rFonts w:ascii="宋体" w:hAnsi="宋体" w:eastAsia="宋体" w:cs="宋体"/>
                <w:sz w:val="18"/>
                <w:szCs w:val="18"/>
              </w:rPr>
            </w:pPr>
            <w:r>
              <w:rPr>
                <w:rFonts w:ascii="宋体" w:hAnsi="宋体" w:eastAsia="宋体" w:cs="宋体"/>
                <w:spacing w:val="28"/>
                <w:position w:val="18"/>
                <w:sz w:val="18"/>
                <w:szCs w:val="18"/>
              </w:rPr>
              <w:t>行</w:t>
            </w:r>
            <w:r>
              <w:rPr>
                <w:rFonts w:ascii="宋体" w:hAnsi="宋体" w:eastAsia="宋体" w:cs="宋体"/>
                <w:spacing w:val="22"/>
                <w:position w:val="18"/>
                <w:sz w:val="18"/>
                <w:szCs w:val="18"/>
              </w:rPr>
              <w:t>政主管部门 (盖章) ：</w:t>
            </w:r>
          </w:p>
          <w:p>
            <w:pPr>
              <w:rPr>
                <w:rFonts w:ascii="宋体" w:hAnsi="宋体" w:eastAsia="宋体" w:cs="宋体"/>
                <w:sz w:val="18"/>
                <w:szCs w:val="18"/>
              </w:rPr>
            </w:pPr>
            <w:r>
              <w:rPr>
                <w:rFonts w:ascii="宋体" w:hAnsi="宋体" w:eastAsia="宋体" w:cs="宋体"/>
                <w:spacing w:val="15"/>
                <w:sz w:val="18"/>
                <w:szCs w:val="18"/>
              </w:rPr>
              <w:t>年</w:t>
            </w:r>
            <w:r>
              <w:rPr>
                <w:rFonts w:ascii="宋体" w:hAnsi="宋体" w:eastAsia="宋体" w:cs="宋体"/>
                <w:spacing w:val="9"/>
                <w:sz w:val="18"/>
                <w:szCs w:val="18"/>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806" w:type="dxa"/>
            <w:tcBorders>
              <w:top w:val="nil"/>
            </w:tcBorders>
          </w:tcPr>
          <w:p>
            <w:pPr>
              <w:rPr>
                <w:sz w:val="17"/>
              </w:rPr>
            </w:pPr>
          </w:p>
        </w:tc>
      </w:tr>
    </w:tbl>
    <w:p>
      <w:pPr>
        <w:rPr>
          <w:rFonts w:eastAsiaTheme="minorEastAsia"/>
        </w:rPr>
      </w:pPr>
    </w:p>
    <w:p>
      <w:pPr>
        <w:rPr>
          <w:rFonts w:ascii="宋体" w:hAnsi="宋体" w:eastAsia="宋体" w:cs="宋体"/>
          <w:sz w:val="20"/>
          <w:szCs w:val="20"/>
        </w:rPr>
      </w:pPr>
      <w:r>
        <w:rPr>
          <w:rFonts w:ascii="宋体" w:hAnsi="宋体" w:eastAsia="宋体" w:cs="宋体"/>
          <w:spacing w:val="14"/>
          <w:sz w:val="20"/>
          <w:szCs w:val="20"/>
        </w:rPr>
        <w:t>注：在</w:t>
      </w:r>
      <w:r>
        <w:rPr>
          <w:rFonts w:ascii="宋体" w:hAnsi="宋体" w:eastAsia="宋体" w:cs="宋体"/>
          <w:spacing w:val="10"/>
          <w:sz w:val="20"/>
          <w:szCs w:val="20"/>
        </w:rPr>
        <w:t>承</w:t>
      </w:r>
      <w:r>
        <w:rPr>
          <w:rFonts w:ascii="宋体" w:hAnsi="宋体" w:eastAsia="宋体" w:cs="宋体"/>
          <w:spacing w:val="7"/>
          <w:sz w:val="20"/>
          <w:szCs w:val="20"/>
        </w:rPr>
        <w:t>接新项目时原承接的项目仍处于连续停工状态。若原承接项目已复工的本《证明》不得</w:t>
      </w:r>
      <w:r>
        <w:rPr>
          <w:rFonts w:ascii="宋体" w:hAnsi="宋体" w:eastAsia="宋体" w:cs="宋体"/>
          <w:spacing w:val="3"/>
          <w:sz w:val="20"/>
          <w:szCs w:val="20"/>
        </w:rPr>
        <w:t>使</w:t>
      </w:r>
    </w:p>
    <w:p/>
    <w:p>
      <w:pPr>
        <w:rPr>
          <w:rFonts w:eastAsiaTheme="minorEastAsia"/>
        </w:rPr>
        <w:sectPr>
          <w:headerReference r:id="rId6" w:type="default"/>
          <w:pgSz w:w="11906" w:h="16839"/>
          <w:pgMar w:top="400" w:right="1687" w:bottom="1156" w:left="1596" w:header="0" w:footer="996" w:gutter="0"/>
          <w:pgNumType w:chapStyle="1"/>
          <w:cols w:space="720" w:num="1"/>
        </w:sectPr>
      </w:pPr>
    </w:p>
    <w:p>
      <w:pPr>
        <w:rPr>
          <w:rFonts w:eastAsiaTheme="minorEastAsia"/>
        </w:rPr>
      </w:pPr>
    </w:p>
    <w:p>
      <w:pPr>
        <w:rPr>
          <w:rFonts w:ascii="黑体" w:hAnsi="黑体" w:eastAsia="黑体" w:cs="黑体"/>
          <w:sz w:val="28"/>
          <w:szCs w:val="28"/>
        </w:rPr>
      </w:pPr>
      <w:r>
        <w:rPr>
          <w:rFonts w:ascii="黑体" w:hAnsi="黑体" w:eastAsia="黑体" w:cs="黑体"/>
          <w:spacing w:val="-2"/>
          <w:sz w:val="28"/>
          <w:szCs w:val="28"/>
        </w:rPr>
        <w:t>十一、未验</w:t>
      </w:r>
      <w:r>
        <w:rPr>
          <w:rFonts w:ascii="黑体" w:hAnsi="黑体" w:eastAsia="黑体" w:cs="黑体"/>
          <w:spacing w:val="-1"/>
          <w:sz w:val="28"/>
          <w:szCs w:val="28"/>
        </w:rPr>
        <w:t>收证明</w:t>
      </w:r>
    </w:p>
    <w:p>
      <w:pPr>
        <w:jc w:val="center"/>
        <w:rPr>
          <w:rFonts w:ascii="宋体" w:hAnsi="宋体" w:eastAsia="宋体" w:cs="宋体"/>
          <w:sz w:val="31"/>
          <w:szCs w:val="31"/>
        </w:rPr>
      </w:pPr>
      <w:bookmarkStart w:id="801" w:name="_bookmark56"/>
      <w:bookmarkEnd w:id="801"/>
      <w:r>
        <w:rPr>
          <w:rFonts w:ascii="宋体" w:hAnsi="宋体" w:eastAsia="宋体" w:cs="宋体"/>
          <w:spacing w:val="7"/>
          <w:sz w:val="31"/>
          <w:szCs w:val="31"/>
        </w:rPr>
        <w:t>未验收证明</w:t>
      </w:r>
    </w:p>
    <w:p/>
    <w:tbl>
      <w:tblPr>
        <w:tblStyle w:val="27"/>
        <w:tblW w:w="8526" w:type="dxa"/>
        <w:tblInd w:w="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8526" w:type="dxa"/>
            <w:tcBorders>
              <w:bottom w:val="nil"/>
            </w:tcBorders>
          </w:tcPr>
          <w:p>
            <w:pPr>
              <w:rPr>
                <w:rFonts w:ascii="宋体" w:hAnsi="宋体" w:eastAsia="宋体" w:cs="宋体"/>
                <w:sz w:val="18"/>
                <w:szCs w:val="18"/>
              </w:rPr>
            </w:pPr>
            <w:r>
              <w:rPr>
                <w:rFonts w:ascii="宋体" w:hAnsi="宋体" w:eastAsia="宋体" w:cs="宋体"/>
                <w:sz w:val="18"/>
                <w:szCs w:val="18"/>
              </w:rPr>
              <w:tab/>
            </w:r>
            <w:r>
              <w:rPr>
                <w:rFonts w:ascii="宋体" w:hAnsi="宋体" w:eastAsia="宋体" w:cs="宋体"/>
                <w:spacing w:val="24"/>
                <w:sz w:val="18"/>
                <w:szCs w:val="18"/>
              </w:rPr>
              <w:t>(</w:t>
            </w:r>
            <w:r>
              <w:rPr>
                <w:rFonts w:ascii="宋体" w:hAnsi="宋体" w:eastAsia="宋体" w:cs="宋体"/>
                <w:spacing w:val="20"/>
                <w:sz w:val="18"/>
                <w:szCs w:val="18"/>
              </w:rPr>
              <w:t>原建设单位)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526" w:type="dxa"/>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526" w:type="dxa"/>
            <w:tcBorders>
              <w:top w:val="dashed" w:color="000000" w:sz="2" w:space="0"/>
              <w:bottom w:val="nil"/>
            </w:tcBorders>
          </w:tcPr>
          <w:p/>
          <w:p>
            <w:pPr>
              <w:ind w:firstLine="440" w:firstLineChars="200"/>
              <w:rPr>
                <w:rFonts w:ascii="宋体" w:hAnsi="宋体" w:eastAsia="宋体" w:cs="宋体"/>
                <w:sz w:val="18"/>
                <w:szCs w:val="18"/>
              </w:rPr>
            </w:pPr>
            <w:r>
              <w:rPr>
                <w:rFonts w:ascii="宋体" w:hAnsi="宋体" w:eastAsia="宋体" w:cs="宋体"/>
                <w:spacing w:val="20"/>
                <w:sz w:val="18"/>
                <w:szCs w:val="18"/>
              </w:rPr>
              <w:t xml:space="preserve">于   年   月    日向贵单位提交竣工 (交工) 报告。但非我承包人原因至今已超过 120 </w:t>
            </w:r>
            <w:r>
              <w:rPr>
                <w:rFonts w:ascii="宋体" w:hAnsi="宋体" w:eastAsia="宋体" w:cs="宋体"/>
                <w:spacing w:val="13"/>
                <w:sz w:val="18"/>
                <w:szCs w:val="18"/>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8526" w:type="dxa"/>
            <w:tcBorders>
              <w:top w:val="nil"/>
              <w:bottom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8526" w:type="dxa"/>
            <w:tcBorders>
              <w:top w:val="nil"/>
              <w:bottom w:val="nil"/>
            </w:tcBorders>
          </w:tcPr>
          <w:p>
            <w:r>
              <w:rPr>
                <w:snapToGrid/>
              </w:rPr>
              <mc:AlternateContent>
                <mc:Choice Requires="wps">
                  <w:drawing>
                    <wp:anchor distT="0" distB="0" distL="114300" distR="114300" simplePos="0" relativeHeight="251660288" behindDoc="0" locked="0" layoutInCell="1" allowOverlap="1">
                      <wp:simplePos x="0" y="0"/>
                      <wp:positionH relativeFrom="page">
                        <wp:posOffset>754380</wp:posOffset>
                      </wp:positionH>
                      <wp:positionV relativeFrom="page">
                        <wp:posOffset>-114935</wp:posOffset>
                      </wp:positionV>
                      <wp:extent cx="4201795" cy="184150"/>
                      <wp:effectExtent l="0" t="0" r="0" b="0"/>
                      <wp:wrapNone/>
                      <wp:docPr id="6" name="Text Box 204"/>
                      <wp:cNvGraphicFramePr/>
                      <a:graphic xmlns:a="http://schemas.openxmlformats.org/drawingml/2006/main">
                        <a:graphicData uri="http://schemas.microsoft.com/office/word/2010/wordprocessingShape">
                          <wps:wsp>
                            <wps:cNvSpPr txBox="1">
                              <a:spLocks noChangeArrowheads="1"/>
                            </wps:cNvSpPr>
                            <wps:spPr bwMode="auto">
                              <a:xfrm>
                                <a:off x="0" y="0"/>
                                <a:ext cx="4201795" cy="184150"/>
                              </a:xfrm>
                              <a:prstGeom prst="rect">
                                <a:avLst/>
                              </a:prstGeom>
                              <a:noFill/>
                              <a:ln>
                                <a:noFill/>
                              </a:ln>
                            </wps:spPr>
                            <wps:txbx>
                              <w:txbxContent>
                                <w:p>
                                  <w:pPr>
                                    <w:spacing w:before="19" w:line="231" w:lineRule="auto"/>
                                    <w:ind w:left="20"/>
                                    <w:rPr>
                                      <w:rFonts w:ascii="宋体" w:hAnsi="宋体" w:eastAsia="宋体" w:cs="宋体"/>
                                      <w:sz w:val="20"/>
                                      <w:szCs w:val="20"/>
                                    </w:rPr>
                                  </w:pPr>
                                  <w:r>
                                    <w:rPr>
                                      <w:rFonts w:ascii="宋体" w:hAnsi="宋体" w:eastAsia="宋体" w:cs="宋体"/>
                                      <w:spacing w:val="6"/>
                                      <w:sz w:val="20"/>
                                      <w:szCs w:val="20"/>
                                    </w:rPr>
                                    <w:t>目</w:t>
                                  </w:r>
                                  <w:r>
                                    <w:rPr>
                                      <w:rFonts w:ascii="宋体" w:hAnsi="宋体" w:eastAsia="宋体" w:cs="宋体"/>
                                      <w:spacing w:val="3"/>
                                      <w:sz w:val="20"/>
                                      <w:szCs w:val="20"/>
                                    </w:rPr>
                                    <w:t xml:space="preserve">   工 (  工)             同      司  目                 (  目</w:t>
                                  </w:r>
                                </w:p>
                              </w:txbxContent>
                            </wps:txbx>
                            <wps:bodyPr rot="0" vert="horz" wrap="square" lIns="0" tIns="0" rIns="0" bIns="0" anchor="t" anchorCtr="0" upright="1">
                              <a:noAutofit/>
                            </wps:bodyPr>
                          </wps:wsp>
                        </a:graphicData>
                      </a:graphic>
                    </wp:anchor>
                  </w:drawing>
                </mc:Choice>
                <mc:Fallback>
                  <w:pict>
                    <v:shape id="Text Box 204" o:spid="_x0000_s1026" o:spt="202" type="#_x0000_t202" style="position:absolute;left:0pt;margin-left:59.4pt;margin-top:-9.05pt;height:14.5pt;width:330.85pt;mso-position-horizontal-relative:page;mso-position-vertical-relative:page;z-index:251660288;mso-width-relative:page;mso-height-relative:page;" filled="f" stroked="f" coordsize="21600,21600" o:gfxdata="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99uENcAAAAKAQAADwAAAAAAAAABACAAAAAiAAAAZHJzL2Rvd25y&#10;ZXYueG1sUEsBAhQAFAAAAAgAh07iQCeRkfL/AQAABgQAAA4AAAAAAAAAAQAgAAAAJgEAAGRycy9l&#10;Mm9Eb2MueG1sUEsFBgAAAAAGAAYAWQEAAJcFAAAAAA==&#10;">
                      <v:fill on="f" focussize="0,0"/>
                      <v:stroke on="f"/>
                      <v:imagedata o:title=""/>
                      <o:lock v:ext="edit" aspectratio="f"/>
                      <v:textbox inset="0mm,0mm,0mm,0mm">
                        <w:txbxContent>
                          <w:p>
                            <w:pPr>
                              <w:spacing w:before="19" w:line="231" w:lineRule="auto"/>
                              <w:ind w:left="20"/>
                              <w:rPr>
                                <w:rFonts w:ascii="宋体" w:hAnsi="宋体" w:eastAsia="宋体" w:cs="宋体"/>
                                <w:sz w:val="20"/>
                                <w:szCs w:val="20"/>
                              </w:rPr>
                            </w:pPr>
                            <w:r>
                              <w:rPr>
                                <w:rFonts w:ascii="宋体" w:hAnsi="宋体" w:eastAsia="宋体" w:cs="宋体"/>
                                <w:spacing w:val="6"/>
                                <w:sz w:val="20"/>
                                <w:szCs w:val="20"/>
                              </w:rPr>
                              <w:t>目</w:t>
                            </w:r>
                            <w:r>
                              <w:rPr>
                                <w:rFonts w:ascii="宋体" w:hAnsi="宋体" w:eastAsia="宋体" w:cs="宋体"/>
                                <w:spacing w:val="3"/>
                                <w:sz w:val="20"/>
                                <w:szCs w:val="20"/>
                              </w:rPr>
                              <w:t xml:space="preserve">   工 (  工)             同      司  目                 (  目</w:t>
                            </w:r>
                          </w:p>
                        </w:txbxContent>
                      </v:textbox>
                    </v:shape>
                  </w:pict>
                </mc:Fallback>
              </mc:AlternateContent>
            </w:r>
          </w:p>
          <w:p>
            <w:pPr>
              <w:rPr>
                <w:rFonts w:ascii="宋体" w:hAnsi="宋体" w:eastAsia="宋体" w:cs="宋体"/>
                <w:sz w:val="20"/>
                <w:szCs w:val="20"/>
              </w:rPr>
            </w:pPr>
            <w:r>
              <w:rPr>
                <w:rFonts w:ascii="宋体" w:hAnsi="宋体" w:eastAsia="宋体" w:cs="宋体"/>
                <w:spacing w:val="8"/>
                <w:sz w:val="20"/>
                <w:szCs w:val="20"/>
              </w:rPr>
              <w:t>名</w:t>
            </w:r>
            <w:r>
              <w:rPr>
                <w:rFonts w:ascii="宋体" w:hAnsi="宋体" w:eastAsia="宋体" w:cs="宋体"/>
                <w:spacing w:val="7"/>
                <w:sz w:val="20"/>
                <w:szCs w:val="20"/>
              </w:rPr>
              <w:t>字) 承接其他项目。</w:t>
            </w:r>
          </w:p>
          <w:p>
            <w:pPr>
              <w:ind w:firstLine="424" w:firstLineChars="200"/>
              <w:rPr>
                <w:rFonts w:ascii="宋体" w:hAnsi="宋体" w:eastAsia="宋体" w:cs="宋体"/>
                <w:spacing w:val="5"/>
                <w:sz w:val="20"/>
                <w:szCs w:val="20"/>
              </w:rPr>
            </w:pPr>
            <w:r>
              <w:rPr>
                <w:rFonts w:ascii="宋体" w:hAnsi="宋体" w:eastAsia="宋体" w:cs="宋体"/>
                <w:spacing w:val="6"/>
                <w:sz w:val="20"/>
                <w:szCs w:val="20"/>
              </w:rPr>
              <w:t>特此报告</w:t>
            </w:r>
            <w:r>
              <w:rPr>
                <w:rFonts w:ascii="宋体" w:hAnsi="宋体" w:eastAsia="宋体" w:cs="宋体"/>
                <w:spacing w:val="5"/>
                <w:sz w:val="20"/>
                <w:szCs w:val="20"/>
              </w:rPr>
              <w:t>。</w:t>
            </w:r>
          </w:p>
          <w:p>
            <w:pPr>
              <w:pStyle w:val="2"/>
              <w:rPr>
                <w:rFonts w:eastAsiaTheme="minorEastAsia"/>
              </w:rPr>
            </w:pPr>
          </w:p>
          <w:p>
            <w:pPr>
              <w:pStyle w:val="3"/>
              <w:ind w:firstLine="210"/>
              <w:rPr>
                <w:rFonts w:eastAsiaTheme="minorEastAsia"/>
              </w:rPr>
            </w:pPr>
          </w:p>
          <w:p>
            <w:pPr>
              <w:ind w:left="6010" w:leftChars="2862"/>
              <w:rPr>
                <w:rFonts w:ascii="宋体" w:hAnsi="宋体" w:eastAsia="宋体" w:cs="宋体"/>
                <w:sz w:val="19"/>
                <w:szCs w:val="19"/>
              </w:rPr>
            </w:pPr>
            <w:r>
              <w:rPr>
                <w:rFonts w:ascii="宋体" w:hAnsi="宋体" w:eastAsia="宋体" w:cs="宋体"/>
                <w:spacing w:val="18"/>
                <w:position w:val="18"/>
                <w:sz w:val="19"/>
                <w:szCs w:val="19"/>
              </w:rPr>
              <w:t>承</w:t>
            </w:r>
            <w:r>
              <w:rPr>
                <w:rFonts w:ascii="宋体" w:hAnsi="宋体" w:eastAsia="宋体" w:cs="宋体"/>
                <w:spacing w:val="13"/>
                <w:position w:val="18"/>
                <w:sz w:val="19"/>
                <w:szCs w:val="19"/>
              </w:rPr>
              <w:t>包人 (盖章)</w:t>
            </w:r>
          </w:p>
          <w:p>
            <w:pPr>
              <w:ind w:left="6010" w:leftChars="2862"/>
              <w:rPr>
                <w:rFonts w:ascii="宋体" w:hAnsi="宋体" w:eastAsia="宋体" w:cs="宋体"/>
                <w:sz w:val="19"/>
                <w:szCs w:val="19"/>
              </w:rPr>
            </w:pPr>
            <w:r>
              <w:rPr>
                <w:rFonts w:ascii="宋体" w:hAnsi="宋体" w:eastAsia="宋体" w:cs="宋体"/>
                <w:spacing w:val="15"/>
                <w:sz w:val="19"/>
                <w:szCs w:val="19"/>
              </w:rPr>
              <w:t xml:space="preserve">年   月   </w:t>
            </w:r>
            <w:r>
              <w:rPr>
                <w:rFonts w:ascii="宋体" w:hAnsi="宋体" w:eastAsia="宋体" w:cs="宋体"/>
                <w:spacing w:val="13"/>
                <w:sz w:val="19"/>
                <w:szCs w:val="1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7" w:hRule="atLeast"/>
        </w:trPr>
        <w:tc>
          <w:tcPr>
            <w:tcW w:w="8526" w:type="dxa"/>
            <w:tcBorders>
              <w:top w:val="nil"/>
            </w:tcBorders>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8526" w:type="dxa"/>
            <w:tcBorders>
              <w:bottom w:val="nil"/>
            </w:tcBorders>
          </w:tcPr>
          <w:p>
            <w:pPr>
              <w:rPr>
                <w:rFonts w:ascii="宋体" w:hAnsi="宋体" w:eastAsia="宋体" w:cs="宋体"/>
                <w:sz w:val="20"/>
                <w:szCs w:val="20"/>
              </w:rPr>
            </w:pPr>
            <w:r>
              <w:rPr>
                <w:rFonts w:ascii="宋体" w:hAnsi="宋体" w:eastAsia="宋体" w:cs="宋体"/>
                <w:spacing w:val="7"/>
                <w:sz w:val="20"/>
                <w:szCs w:val="20"/>
              </w:rPr>
              <w:t>原建设单位意见</w:t>
            </w:r>
            <w:r>
              <w:rPr>
                <w:rFonts w:ascii="宋体" w:hAnsi="宋体" w:eastAsia="宋体" w:cs="宋体"/>
                <w:spacing w:val="6"/>
                <w:sz w:val="20"/>
                <w:szCs w:val="20"/>
              </w:rPr>
              <w:t>：</w:t>
            </w:r>
          </w:p>
          <w:p>
            <w:pPr>
              <w:rPr>
                <w:rFonts w:eastAsiaTheme="minorEastAsia"/>
              </w:rPr>
            </w:pPr>
          </w:p>
          <w:p>
            <w:pPr>
              <w:pStyle w:val="2"/>
              <w:rPr>
                <w:rFonts w:eastAsiaTheme="minorEastAsia"/>
              </w:rPr>
            </w:pPr>
          </w:p>
          <w:p>
            <w:pPr>
              <w:pStyle w:val="3"/>
              <w:ind w:firstLine="210"/>
              <w:rPr>
                <w:rFonts w:eastAsiaTheme="minorEastAsia"/>
              </w:rPr>
            </w:pPr>
          </w:p>
          <w:p/>
          <w:p>
            <w:pPr>
              <w:ind w:left="5019" w:leftChars="2390"/>
              <w:rPr>
                <w:rFonts w:ascii="宋体" w:hAnsi="宋体" w:eastAsia="宋体" w:cs="宋体"/>
                <w:sz w:val="19"/>
                <w:szCs w:val="19"/>
              </w:rPr>
            </w:pPr>
            <w:r>
              <w:rPr>
                <w:rFonts w:ascii="宋体" w:hAnsi="宋体" w:eastAsia="宋体" w:cs="宋体"/>
                <w:spacing w:val="14"/>
                <w:position w:val="18"/>
                <w:sz w:val="19"/>
                <w:szCs w:val="19"/>
              </w:rPr>
              <w:t xml:space="preserve">原建设单位 (盖章) </w:t>
            </w:r>
            <w:r>
              <w:rPr>
                <w:rFonts w:ascii="宋体" w:hAnsi="宋体" w:eastAsia="宋体" w:cs="宋体"/>
                <w:spacing w:val="13"/>
                <w:position w:val="18"/>
                <w:sz w:val="19"/>
                <w:szCs w:val="19"/>
              </w:rPr>
              <w:t>：</w:t>
            </w:r>
          </w:p>
          <w:p>
            <w:pPr>
              <w:ind w:left="5019" w:leftChars="2390"/>
              <w:rPr>
                <w:rFonts w:ascii="宋体" w:hAnsi="宋体" w:eastAsia="宋体" w:cs="宋体"/>
                <w:sz w:val="19"/>
                <w:szCs w:val="19"/>
              </w:rPr>
            </w:pPr>
            <w:r>
              <w:rPr>
                <w:rFonts w:ascii="宋体" w:hAnsi="宋体" w:eastAsia="宋体" w:cs="宋体"/>
                <w:spacing w:val="15"/>
                <w:sz w:val="19"/>
                <w:szCs w:val="19"/>
              </w:rPr>
              <w:t xml:space="preserve">年   月   </w:t>
            </w:r>
            <w:r>
              <w:rPr>
                <w:rFonts w:ascii="宋体" w:hAnsi="宋体" w:eastAsia="宋体" w:cs="宋体"/>
                <w:spacing w:val="13"/>
                <w:sz w:val="19"/>
                <w:szCs w:val="1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8526" w:type="dxa"/>
            <w:tcBorders>
              <w:top w:val="nil"/>
            </w:tcBorders>
          </w:tcPr>
          <w:p>
            <w:pPr>
              <w:rPr>
                <w:rFonts w:eastAsiaTheme="minorEastAsi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526" w:type="dxa"/>
            <w:tcBorders>
              <w:bottom w:val="nil"/>
            </w:tcBorders>
          </w:tcPr>
          <w:p>
            <w:pPr>
              <w:rPr>
                <w:rFonts w:ascii="宋体" w:hAnsi="宋体" w:eastAsia="宋体" w:cs="宋体"/>
                <w:sz w:val="20"/>
                <w:szCs w:val="20"/>
              </w:rPr>
            </w:pPr>
            <w:r>
              <w:rPr>
                <w:rFonts w:ascii="宋体" w:hAnsi="宋体" w:eastAsia="宋体" w:cs="宋体"/>
                <w:spacing w:val="10"/>
                <w:sz w:val="20"/>
                <w:szCs w:val="20"/>
              </w:rPr>
              <w:t>行</w:t>
            </w:r>
            <w:r>
              <w:rPr>
                <w:rFonts w:ascii="宋体" w:hAnsi="宋体" w:eastAsia="宋体" w:cs="宋体"/>
                <w:spacing w:val="7"/>
                <w:sz w:val="20"/>
                <w:szCs w:val="20"/>
              </w:rPr>
              <w:t>政主管部门证明：</w:t>
            </w:r>
          </w:p>
          <w:p>
            <w:pPr>
              <w:rPr>
                <w:rFonts w:ascii="宋体" w:hAnsi="宋体" w:eastAsia="宋体" w:cs="宋体"/>
                <w:sz w:val="20"/>
                <w:szCs w:val="20"/>
              </w:rPr>
            </w:pPr>
            <w:r>
              <w:rPr>
                <w:rFonts w:ascii="宋体" w:hAnsi="宋体" w:eastAsia="宋体" w:cs="宋体"/>
                <w:spacing w:val="10"/>
                <w:sz w:val="20"/>
                <w:szCs w:val="20"/>
              </w:rPr>
              <w:t>承包人向</w:t>
            </w:r>
            <w:r>
              <w:rPr>
                <w:rFonts w:ascii="宋体" w:hAnsi="宋体" w:eastAsia="宋体" w:cs="宋体"/>
                <w:spacing w:val="8"/>
                <w:sz w:val="20"/>
                <w:szCs w:val="20"/>
              </w:rPr>
              <w:t>原</w:t>
            </w:r>
            <w:r>
              <w:rPr>
                <w:rFonts w:ascii="宋体" w:hAnsi="宋体" w:eastAsia="宋体" w:cs="宋体"/>
                <w:spacing w:val="5"/>
                <w:sz w:val="20"/>
                <w:szCs w:val="20"/>
              </w:rPr>
              <w:t>建设单位提交了竣工 (交工) 报告至今已超过 120 天。情况属实。</w:t>
            </w:r>
          </w:p>
          <w:p/>
          <w:p/>
          <w:p>
            <w:pPr>
              <w:ind w:left="5586" w:leftChars="2660"/>
              <w:rPr>
                <w:rFonts w:ascii="宋体" w:hAnsi="宋体" w:eastAsia="宋体" w:cs="宋体"/>
                <w:sz w:val="19"/>
                <w:szCs w:val="19"/>
              </w:rPr>
            </w:pPr>
            <w:r>
              <w:rPr>
                <w:rFonts w:ascii="宋体" w:hAnsi="宋体" w:eastAsia="宋体" w:cs="宋体"/>
                <w:spacing w:val="22"/>
                <w:position w:val="18"/>
                <w:sz w:val="19"/>
                <w:szCs w:val="19"/>
              </w:rPr>
              <w:t>行</w:t>
            </w:r>
            <w:r>
              <w:rPr>
                <w:rFonts w:ascii="宋体" w:hAnsi="宋体" w:eastAsia="宋体" w:cs="宋体"/>
                <w:spacing w:val="14"/>
                <w:position w:val="18"/>
                <w:sz w:val="19"/>
                <w:szCs w:val="19"/>
              </w:rPr>
              <w:t>政主管部门 (盖章) ：</w:t>
            </w:r>
          </w:p>
          <w:p>
            <w:pPr>
              <w:ind w:left="5586" w:leftChars="2660"/>
              <w:rPr>
                <w:rFonts w:ascii="宋体" w:hAnsi="宋体" w:eastAsia="宋体" w:cs="宋体"/>
                <w:sz w:val="19"/>
                <w:szCs w:val="19"/>
              </w:rPr>
            </w:pPr>
            <w:r>
              <w:rPr>
                <w:rFonts w:ascii="宋体" w:hAnsi="宋体" w:eastAsia="宋体" w:cs="宋体"/>
                <w:spacing w:val="15"/>
                <w:sz w:val="19"/>
                <w:szCs w:val="19"/>
              </w:rPr>
              <w:t xml:space="preserve">年   月   </w:t>
            </w:r>
            <w:r>
              <w:rPr>
                <w:rFonts w:ascii="宋体" w:hAnsi="宋体" w:eastAsia="宋体" w:cs="宋体"/>
                <w:spacing w:val="13"/>
                <w:sz w:val="19"/>
                <w:szCs w:val="19"/>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 w:hRule="atLeast"/>
        </w:trPr>
        <w:tc>
          <w:tcPr>
            <w:tcW w:w="8526" w:type="dxa"/>
            <w:tcBorders>
              <w:top w:val="nil"/>
            </w:tcBorders>
          </w:tcPr>
          <w:p>
            <w:pPr>
              <w:rPr>
                <w:sz w:val="16"/>
              </w:rPr>
            </w:pPr>
          </w:p>
        </w:tc>
      </w:tr>
    </w:tbl>
    <w:p/>
    <w:p>
      <w:pPr>
        <w:rPr>
          <w:rFonts w:ascii="宋体" w:hAnsi="宋体" w:eastAsia="宋体" w:cs="宋体"/>
          <w:sz w:val="20"/>
          <w:szCs w:val="20"/>
        </w:rPr>
      </w:pPr>
      <w:r>
        <w:rPr>
          <w:rFonts w:ascii="宋体" w:hAnsi="宋体" w:eastAsia="宋体" w:cs="宋体"/>
          <w:spacing w:val="18"/>
          <w:sz w:val="20"/>
          <w:szCs w:val="20"/>
        </w:rPr>
        <w:t>注</w:t>
      </w:r>
      <w:r>
        <w:rPr>
          <w:rFonts w:ascii="宋体" w:hAnsi="宋体" w:eastAsia="宋体" w:cs="宋体"/>
          <w:spacing w:val="12"/>
          <w:sz w:val="20"/>
          <w:szCs w:val="20"/>
        </w:rPr>
        <w:t>：</w:t>
      </w:r>
      <w:r>
        <w:rPr>
          <w:rFonts w:ascii="宋体" w:hAnsi="宋体" w:eastAsia="宋体" w:cs="宋体"/>
          <w:spacing w:val="9"/>
          <w:sz w:val="20"/>
          <w:szCs w:val="20"/>
        </w:rPr>
        <w:t>在承接新项目时原承接的项目已经竣工验收的，本《证明》不得使用。</w:t>
      </w:r>
    </w:p>
    <w:p/>
    <w:p>
      <w:pPr>
        <w:rPr>
          <w:rFonts w:eastAsiaTheme="minorEastAsia"/>
        </w:rPr>
      </w:pPr>
    </w:p>
    <w:p>
      <w:pPr>
        <w:pStyle w:val="2"/>
        <w:rPr>
          <w:rFonts w:eastAsiaTheme="minorEastAsia"/>
        </w:rPr>
      </w:pPr>
    </w:p>
    <w:p>
      <w:pPr>
        <w:pStyle w:val="3"/>
        <w:ind w:left="0" w:leftChars="0" w:firstLine="0" w:firstLineChars="0"/>
        <w:rPr>
          <w:rFonts w:eastAsiaTheme="minorEastAsia"/>
        </w:rPr>
      </w:pPr>
    </w:p>
    <w:p>
      <w:pPr>
        <w:spacing w:line="400" w:lineRule="exact"/>
        <w:jc w:val="left"/>
        <w:rPr>
          <w:rFonts w:eastAsia="黑体"/>
          <w:color w:val="auto"/>
          <w:sz w:val="28"/>
          <w:szCs w:val="28"/>
        </w:rPr>
      </w:pPr>
      <w:r>
        <w:rPr>
          <w:rFonts w:ascii="黑体" w:hAnsi="黑体" w:eastAsia="黑体" w:cs="黑体"/>
          <w:spacing w:val="-2"/>
          <w:sz w:val="28"/>
          <w:szCs w:val="28"/>
        </w:rPr>
        <w:t>十</w:t>
      </w:r>
      <w:r>
        <w:rPr>
          <w:rFonts w:hint="eastAsia" w:ascii="黑体" w:hAnsi="黑体" w:eastAsia="黑体" w:cs="黑体"/>
          <w:spacing w:val="-2"/>
          <w:sz w:val="28"/>
          <w:szCs w:val="28"/>
          <w:lang w:eastAsia="zh-CN"/>
        </w:rPr>
        <w:t>二</w:t>
      </w:r>
      <w:r>
        <w:rPr>
          <w:rFonts w:ascii="黑体" w:hAnsi="黑体" w:eastAsia="黑体" w:cs="黑体"/>
          <w:spacing w:val="-2"/>
          <w:sz w:val="28"/>
          <w:szCs w:val="28"/>
        </w:rPr>
        <w:t>、</w:t>
      </w:r>
      <w:r>
        <w:rPr>
          <w:rFonts w:hint="eastAsia" w:eastAsia="黑体"/>
          <w:color w:val="auto"/>
          <w:sz w:val="28"/>
          <w:szCs w:val="28"/>
        </w:rPr>
        <w:t>产品</w:t>
      </w:r>
      <w:r>
        <w:rPr>
          <w:rFonts w:eastAsia="黑体"/>
          <w:color w:val="auto"/>
          <w:sz w:val="28"/>
          <w:szCs w:val="28"/>
        </w:rPr>
        <w:t>承诺书</w:t>
      </w:r>
    </w:p>
    <w:p>
      <w:pPr>
        <w:jc w:val="both"/>
        <w:rPr>
          <w:rFonts w:eastAsiaTheme="minorEastAsia"/>
        </w:rPr>
      </w:pPr>
    </w:p>
    <w:p>
      <w:pPr>
        <w:spacing w:line="400" w:lineRule="exact"/>
        <w:jc w:val="center"/>
        <w:rPr>
          <w:rFonts w:eastAsia="黑体"/>
          <w:color w:val="auto"/>
          <w:sz w:val="28"/>
          <w:szCs w:val="28"/>
        </w:rPr>
      </w:pPr>
    </w:p>
    <w:p>
      <w:pPr>
        <w:spacing w:line="400" w:lineRule="exact"/>
        <w:jc w:val="center"/>
        <w:rPr>
          <w:rFonts w:eastAsia="黑体"/>
          <w:color w:val="auto"/>
          <w:sz w:val="28"/>
          <w:szCs w:val="28"/>
        </w:rPr>
      </w:pPr>
      <w:r>
        <w:rPr>
          <w:rFonts w:hint="eastAsia" w:eastAsia="黑体"/>
          <w:color w:val="auto"/>
          <w:sz w:val="28"/>
          <w:szCs w:val="28"/>
        </w:rPr>
        <w:t>产品</w:t>
      </w:r>
      <w:r>
        <w:rPr>
          <w:rFonts w:eastAsia="黑体"/>
          <w:color w:val="auto"/>
          <w:sz w:val="28"/>
          <w:szCs w:val="28"/>
        </w:rPr>
        <w:t>承诺书</w:t>
      </w:r>
    </w:p>
    <w:p>
      <w:pPr>
        <w:pStyle w:val="2"/>
        <w:rPr>
          <w:rFonts w:eastAsiaTheme="minorEastAsia"/>
          <w:sz w:val="24"/>
          <w:szCs w:val="24"/>
          <w:u w:val="single"/>
        </w:rPr>
      </w:pPr>
      <w:r>
        <w:t xml:space="preserve"> </w:t>
      </w:r>
      <w:r>
        <w:rPr>
          <w:rFonts w:hint="eastAsia" w:eastAsiaTheme="minorEastAsia"/>
        </w:rPr>
        <w:t xml:space="preserve">       </w:t>
      </w:r>
      <w:r>
        <w:rPr>
          <w:sz w:val="24"/>
          <w:szCs w:val="24"/>
          <w:u w:val="single"/>
        </w:rPr>
        <w:t xml:space="preserve">（招标人名称） </w:t>
      </w:r>
    </w:p>
    <w:p>
      <w:pPr>
        <w:pStyle w:val="3"/>
        <w:ind w:firstLine="210"/>
        <w:rPr>
          <w:rFonts w:eastAsiaTheme="minorEastAsia"/>
        </w:rPr>
      </w:pPr>
      <w:r>
        <w:rPr>
          <w:rFonts w:hint="eastAsia" w:eastAsiaTheme="minorEastAsia"/>
        </w:rPr>
        <w:t xml:space="preserve">       </w:t>
      </w:r>
    </w:p>
    <w:p>
      <w:pPr>
        <w:pStyle w:val="2"/>
        <w:spacing w:line="360" w:lineRule="auto"/>
        <w:ind w:firstLine="720" w:firstLineChars="300"/>
        <w:rPr>
          <w:color w:val="auto"/>
          <w:sz w:val="24"/>
          <w:szCs w:val="24"/>
        </w:rPr>
      </w:pPr>
      <w:r>
        <w:rPr>
          <w:color w:val="auto"/>
          <w:sz w:val="24"/>
          <w:szCs w:val="24"/>
        </w:rPr>
        <w:t xml:space="preserve">如果我公司有幸获得 </w:t>
      </w:r>
      <w:r>
        <w:rPr>
          <w:rFonts w:ascii="宋体" w:hAnsi="宋体" w:eastAsia="宋体" w:cs="宋体"/>
          <w:color w:val="auto"/>
          <w:sz w:val="24"/>
          <w:szCs w:val="24"/>
          <w:u w:val="single"/>
        </w:rPr>
        <w:t>（</w:t>
      </w:r>
      <w:r>
        <w:rPr>
          <w:rFonts w:hint="eastAsia" w:ascii="宋体" w:hAnsi="宋体" w:eastAsia="宋体" w:cs="宋体"/>
          <w:color w:val="auto"/>
          <w:sz w:val="24"/>
          <w:szCs w:val="24"/>
          <w:u w:val="single"/>
        </w:rPr>
        <w:t>三门县绿色智慧停车项目-道路停车位改造照明提升工程</w:t>
      </w:r>
      <w:r>
        <w:rPr>
          <w:color w:val="auto"/>
          <w:sz w:val="24"/>
          <w:szCs w:val="24"/>
        </w:rPr>
        <w:t>中标资格， 我公司在此承诺，严格按招标文件中明确的材料品牌选购产品，同时承诺灯具产品的三个技术参数如下：</w:t>
      </w:r>
      <w:r>
        <w:rPr>
          <w:rFonts w:hint="eastAsia"/>
          <w:color w:val="auto"/>
          <w:sz w:val="24"/>
          <w:szCs w:val="24"/>
        </w:rPr>
        <w:t>① .</w:t>
      </w:r>
      <w:r>
        <w:rPr>
          <w:color w:val="auto"/>
          <w:sz w:val="24"/>
          <w:szCs w:val="24"/>
        </w:rPr>
        <w:t>≥500h 光通量维持率</w:t>
      </w:r>
      <w:r>
        <w:rPr>
          <w:rFonts w:hint="eastAsia"/>
          <w:color w:val="auto"/>
          <w:sz w:val="24"/>
          <w:szCs w:val="24"/>
        </w:rPr>
        <w:t>(</w:t>
      </w:r>
      <w:r>
        <w:rPr>
          <w:color w:val="auto"/>
          <w:sz w:val="24"/>
          <w:szCs w:val="24"/>
        </w:rPr>
        <w:t>≥99.5% 的为三类； ≥99.9%的为二类； ≥99.99% 的为一类 ；其余为 四 类</w:t>
      </w:r>
      <w:r>
        <w:rPr>
          <w:rFonts w:hint="eastAsia"/>
          <w:color w:val="auto"/>
          <w:sz w:val="24"/>
          <w:szCs w:val="24"/>
        </w:rPr>
        <w:t>)承诺为</w:t>
      </w:r>
      <w:r>
        <w:rPr>
          <w:rFonts w:hint="eastAsia"/>
          <w:color w:val="auto"/>
          <w:sz w:val="24"/>
          <w:szCs w:val="24"/>
          <w:u w:val="single"/>
        </w:rPr>
        <w:t xml:space="preserve">  </w:t>
      </w:r>
      <w:r>
        <w:rPr>
          <w:rFonts w:hint="eastAsia" w:eastAsia="宋体"/>
          <w:color w:val="auto"/>
          <w:sz w:val="24"/>
          <w:szCs w:val="24"/>
          <w:u w:val="single"/>
        </w:rPr>
        <w:t xml:space="preserve">         </w:t>
      </w:r>
      <w:r>
        <w:rPr>
          <w:rFonts w:hint="eastAsia"/>
          <w:color w:val="auto"/>
          <w:sz w:val="24"/>
          <w:szCs w:val="24"/>
          <w:u w:val="single"/>
        </w:rPr>
        <w:t xml:space="preserve">  </w:t>
      </w:r>
      <w:r>
        <w:rPr>
          <w:color w:val="auto"/>
          <w:sz w:val="24"/>
          <w:szCs w:val="24"/>
        </w:rPr>
        <w:t>类。②色温偏差值</w:t>
      </w:r>
      <w:r>
        <w:rPr>
          <w:rFonts w:hint="eastAsia"/>
          <w:color w:val="auto"/>
          <w:sz w:val="24"/>
          <w:szCs w:val="24"/>
        </w:rPr>
        <w:t>(</w:t>
      </w:r>
      <w:r>
        <w:rPr>
          <w:color w:val="auto"/>
          <w:sz w:val="24"/>
          <w:szCs w:val="24"/>
        </w:rPr>
        <w:t xml:space="preserve"> ≤ ±200K 的为三 类；≤±</w:t>
      </w:r>
      <w:r>
        <w:rPr>
          <w:rFonts w:hint="eastAsia"/>
          <w:color w:val="auto"/>
          <w:sz w:val="24"/>
          <w:szCs w:val="24"/>
        </w:rPr>
        <w:t>10</w:t>
      </w:r>
      <w:r>
        <w:rPr>
          <w:color w:val="auto"/>
          <w:sz w:val="24"/>
          <w:szCs w:val="24"/>
        </w:rPr>
        <w:t>0K 的为二类；≤±</w:t>
      </w:r>
      <w:r>
        <w:rPr>
          <w:rFonts w:hint="eastAsia"/>
          <w:color w:val="auto"/>
          <w:sz w:val="24"/>
          <w:szCs w:val="24"/>
        </w:rPr>
        <w:t>5</w:t>
      </w:r>
      <w:r>
        <w:rPr>
          <w:color w:val="auto"/>
          <w:sz w:val="24"/>
          <w:szCs w:val="24"/>
        </w:rPr>
        <w:t>0K的为一类；其余为四类</w:t>
      </w:r>
      <w:r>
        <w:rPr>
          <w:rFonts w:hint="eastAsia"/>
          <w:color w:val="auto"/>
          <w:sz w:val="24"/>
          <w:szCs w:val="24"/>
        </w:rPr>
        <w:t>)</w:t>
      </w:r>
      <w:r>
        <w:rPr>
          <w:color w:val="auto"/>
          <w:sz w:val="24"/>
          <w:szCs w:val="24"/>
        </w:rPr>
        <w:t xml:space="preserve"> </w:t>
      </w:r>
      <w:r>
        <w:rPr>
          <w:rFonts w:hint="eastAsia"/>
          <w:color w:val="auto"/>
          <w:sz w:val="24"/>
          <w:szCs w:val="24"/>
        </w:rPr>
        <w:t>承诺为</w:t>
      </w:r>
      <w:r>
        <w:rPr>
          <w:rFonts w:hint="eastAsia"/>
          <w:color w:val="auto"/>
          <w:sz w:val="24"/>
          <w:szCs w:val="24"/>
          <w:u w:val="single"/>
        </w:rPr>
        <w:t xml:space="preserve">   </w:t>
      </w:r>
      <w:r>
        <w:rPr>
          <w:rFonts w:hint="eastAsia" w:eastAsia="宋体"/>
          <w:color w:val="auto"/>
          <w:sz w:val="24"/>
          <w:szCs w:val="24"/>
          <w:u w:val="single"/>
        </w:rPr>
        <w:t xml:space="preserve">        </w:t>
      </w:r>
      <w:r>
        <w:rPr>
          <w:color w:val="auto"/>
          <w:sz w:val="24"/>
          <w:szCs w:val="24"/>
        </w:rPr>
        <w:t>类。</w:t>
      </w:r>
    </w:p>
    <w:p>
      <w:pPr>
        <w:pStyle w:val="2"/>
        <w:spacing w:line="360" w:lineRule="auto"/>
        <w:rPr>
          <w:color w:val="auto"/>
          <w:sz w:val="24"/>
          <w:szCs w:val="24"/>
        </w:rPr>
      </w:pPr>
      <w:r>
        <w:rPr>
          <w:color w:val="auto"/>
          <w:sz w:val="24"/>
          <w:szCs w:val="24"/>
        </w:rPr>
        <w:t>③功率偏差率（≤±10%的为三类； ≤±6%的为二类； ≤±2%的为 一类；其余为四类）</w:t>
      </w:r>
      <w:r>
        <w:rPr>
          <w:rFonts w:hint="eastAsia"/>
          <w:color w:val="auto"/>
          <w:sz w:val="24"/>
          <w:szCs w:val="24"/>
        </w:rPr>
        <w:t>承诺为</w:t>
      </w:r>
      <w:r>
        <w:rPr>
          <w:rFonts w:hint="eastAsia"/>
          <w:color w:val="auto"/>
          <w:sz w:val="24"/>
          <w:szCs w:val="24"/>
          <w:u w:val="single"/>
        </w:rPr>
        <w:t xml:space="preserve">     </w:t>
      </w:r>
      <w:r>
        <w:rPr>
          <w:rFonts w:hint="eastAsia" w:eastAsia="宋体"/>
          <w:color w:val="auto"/>
          <w:sz w:val="24"/>
          <w:szCs w:val="24"/>
          <w:u w:val="single"/>
        </w:rPr>
        <w:t xml:space="preserve">           </w:t>
      </w:r>
      <w:r>
        <w:rPr>
          <w:color w:val="auto"/>
          <w:sz w:val="24"/>
          <w:szCs w:val="24"/>
        </w:rPr>
        <w:t>类。</w:t>
      </w:r>
    </w:p>
    <w:p>
      <w:pPr>
        <w:pStyle w:val="3"/>
        <w:spacing w:line="360" w:lineRule="auto"/>
        <w:ind w:firstLine="480" w:firstLineChars="200"/>
        <w:rPr>
          <w:rFonts w:eastAsiaTheme="minorEastAsia"/>
          <w:color w:val="auto"/>
          <w:sz w:val="24"/>
          <w:szCs w:val="24"/>
        </w:rPr>
      </w:pPr>
      <w:r>
        <w:rPr>
          <w:color w:val="auto"/>
          <w:sz w:val="24"/>
          <w:szCs w:val="24"/>
        </w:rPr>
        <w:t>质量保修期承诺时间：（质量保修期</w:t>
      </w:r>
      <w:r>
        <w:rPr>
          <w:rFonts w:hint="eastAsia" w:eastAsiaTheme="minorEastAsia"/>
          <w:color w:val="auto"/>
          <w:sz w:val="24"/>
          <w:szCs w:val="24"/>
        </w:rPr>
        <w:t>3年</w:t>
      </w:r>
      <w:r>
        <w:rPr>
          <w:color w:val="auto"/>
          <w:sz w:val="24"/>
          <w:szCs w:val="24"/>
        </w:rPr>
        <w:t>的为三类，质量保修期</w:t>
      </w:r>
      <w:r>
        <w:rPr>
          <w:rFonts w:hint="eastAsia" w:eastAsiaTheme="minorEastAsia"/>
          <w:color w:val="auto"/>
          <w:sz w:val="24"/>
          <w:szCs w:val="24"/>
        </w:rPr>
        <w:t>4年</w:t>
      </w:r>
      <w:r>
        <w:rPr>
          <w:color w:val="auto"/>
          <w:sz w:val="24"/>
          <w:szCs w:val="24"/>
        </w:rPr>
        <w:t>的为二类，质量保修期</w:t>
      </w:r>
      <w:r>
        <w:rPr>
          <w:rFonts w:hint="eastAsia" w:eastAsiaTheme="minorEastAsia"/>
          <w:color w:val="auto"/>
          <w:sz w:val="24"/>
          <w:szCs w:val="24"/>
        </w:rPr>
        <w:t>5年</w:t>
      </w:r>
      <w:r>
        <w:rPr>
          <w:color w:val="auto"/>
          <w:sz w:val="24"/>
          <w:szCs w:val="24"/>
        </w:rPr>
        <w:t>的为一类。质量保修期承诺时间不足3年的作无效标处理。</w:t>
      </w:r>
      <w:r>
        <w:rPr>
          <w:rFonts w:hint="eastAsia" w:cs="宋体" w:asciiTheme="minorEastAsia" w:hAnsiTheme="minorEastAsia" w:eastAsiaTheme="minorEastAsia"/>
          <w:color w:val="auto"/>
          <w:sz w:val="24"/>
          <w:szCs w:val="28"/>
        </w:rPr>
        <w:t>承诺为</w:t>
      </w:r>
      <w:r>
        <w:rPr>
          <w:rFonts w:hint="eastAsia" w:cs="宋体" w:asciiTheme="minorEastAsia" w:hAnsiTheme="minorEastAsia" w:eastAsiaTheme="minorEastAsia"/>
          <w:color w:val="auto"/>
          <w:sz w:val="24"/>
          <w:szCs w:val="28"/>
          <w:u w:val="single"/>
        </w:rPr>
        <w:t xml:space="preserve">     </w:t>
      </w:r>
      <w:r>
        <w:rPr>
          <w:rFonts w:cs="宋体" w:asciiTheme="minorEastAsia" w:hAnsiTheme="minorEastAsia" w:eastAsiaTheme="minorEastAsia"/>
          <w:color w:val="auto"/>
          <w:sz w:val="24"/>
          <w:szCs w:val="28"/>
        </w:rPr>
        <w:t>年。</w:t>
      </w:r>
    </w:p>
    <w:p>
      <w:pPr>
        <w:pStyle w:val="2"/>
        <w:ind w:firstLine="720" w:firstLineChars="300"/>
        <w:rPr>
          <w:rFonts w:eastAsiaTheme="minorEastAsia"/>
          <w:sz w:val="24"/>
          <w:szCs w:val="24"/>
        </w:rPr>
      </w:pPr>
      <w:r>
        <w:rPr>
          <w:rFonts w:hint="eastAsia" w:ascii="宋体" w:hAnsi="宋体" w:eastAsia="宋体" w:cs="宋体"/>
          <w:sz w:val="24"/>
          <w:szCs w:val="24"/>
        </w:rPr>
        <w:t>在合</w:t>
      </w:r>
      <w:r>
        <w:rPr>
          <w:sz w:val="24"/>
          <w:szCs w:val="24"/>
        </w:rPr>
        <w:t xml:space="preserve">同履行过程中由招标人进行选择确定。 </w:t>
      </w:r>
    </w:p>
    <w:p>
      <w:pPr>
        <w:pStyle w:val="2"/>
        <w:ind w:firstLine="720" w:firstLineChars="300"/>
        <w:rPr>
          <w:rFonts w:eastAsiaTheme="minorEastAsia"/>
          <w:sz w:val="24"/>
          <w:szCs w:val="24"/>
        </w:rPr>
      </w:pPr>
      <w:r>
        <w:rPr>
          <w:sz w:val="24"/>
          <w:szCs w:val="24"/>
        </w:rPr>
        <w:t>我方保证上述声明的真实和准确，并愿意承担因我方就此弄虚作假 所引起的一切法律后果。</w:t>
      </w:r>
    </w:p>
    <w:p>
      <w:pPr>
        <w:pStyle w:val="2"/>
        <w:ind w:firstLine="720" w:firstLineChars="300"/>
        <w:rPr>
          <w:rFonts w:eastAsiaTheme="minorEastAsia"/>
          <w:sz w:val="24"/>
          <w:szCs w:val="24"/>
        </w:rPr>
      </w:pPr>
      <w:r>
        <w:rPr>
          <w:sz w:val="24"/>
          <w:szCs w:val="24"/>
        </w:rPr>
        <w:t xml:space="preserve"> 特此承诺！</w:t>
      </w:r>
    </w:p>
    <w:p>
      <w:pPr>
        <w:pStyle w:val="3"/>
        <w:ind w:firstLine="210"/>
        <w:rPr>
          <w:rFonts w:eastAsiaTheme="minorEastAsia"/>
        </w:rPr>
      </w:pPr>
    </w:p>
    <w:p>
      <w:pPr>
        <w:rPr>
          <w:rFonts w:eastAsiaTheme="minorEastAsia"/>
        </w:rPr>
      </w:pPr>
    </w:p>
    <w:p>
      <w:pPr>
        <w:spacing w:line="420" w:lineRule="auto"/>
        <w:ind w:firstLine="3360" w:firstLineChars="1400"/>
        <w:rPr>
          <w:sz w:val="24"/>
        </w:rPr>
      </w:pPr>
      <w:r>
        <w:rPr>
          <w:rFonts w:hint="eastAsia" w:ascii="宋体" w:hAnsi="宋体" w:eastAsia="宋体" w:cs="宋体"/>
          <w:sz w:val="24"/>
        </w:rPr>
        <w:t>法定代表人（签字或盖章）：</w:t>
      </w:r>
    </w:p>
    <w:p>
      <w:pPr>
        <w:spacing w:line="420" w:lineRule="auto"/>
        <w:ind w:firstLine="3360" w:firstLineChars="1400"/>
        <w:rPr>
          <w:sz w:val="24"/>
        </w:rPr>
      </w:pPr>
    </w:p>
    <w:p>
      <w:pPr>
        <w:spacing w:line="420" w:lineRule="auto"/>
        <w:ind w:firstLine="3360" w:firstLineChars="1400"/>
        <w:rPr>
          <w:sz w:val="24"/>
        </w:rPr>
      </w:pPr>
      <w:r>
        <w:rPr>
          <w:rFonts w:hint="eastAsia" w:ascii="宋体" w:hAnsi="宋体" w:eastAsia="宋体" w:cs="宋体"/>
          <w:sz w:val="24"/>
        </w:rPr>
        <w:t>投</w:t>
      </w:r>
      <w:r>
        <w:rPr>
          <w:sz w:val="24"/>
        </w:rPr>
        <w:t xml:space="preserve">  </w:t>
      </w:r>
      <w:r>
        <w:rPr>
          <w:rFonts w:hint="eastAsia" w:ascii="宋体" w:hAnsi="宋体" w:eastAsia="宋体" w:cs="宋体"/>
          <w:sz w:val="24"/>
        </w:rPr>
        <w:t>标</w:t>
      </w:r>
      <w:r>
        <w:rPr>
          <w:sz w:val="24"/>
        </w:rPr>
        <w:t xml:space="preserve">  </w:t>
      </w:r>
      <w:r>
        <w:rPr>
          <w:rFonts w:hint="eastAsia" w:ascii="宋体" w:hAnsi="宋体" w:eastAsia="宋体" w:cs="宋体"/>
          <w:sz w:val="24"/>
        </w:rPr>
        <w:t>人（盖章）：</w:t>
      </w:r>
    </w:p>
    <w:p>
      <w:pPr>
        <w:pStyle w:val="3"/>
        <w:ind w:firstLine="210"/>
        <w:jc w:val="right"/>
        <w:rPr>
          <w:rFonts w:eastAsiaTheme="minorEastAsia"/>
        </w:rPr>
      </w:pPr>
      <w:r>
        <w:rPr>
          <w:sz w:val="24"/>
        </w:rPr>
        <w:t xml:space="preserve">       </w:t>
      </w:r>
      <w:r>
        <w:rPr>
          <w:rFonts w:hint="eastAsia" w:ascii="宋体" w:hAnsi="宋体" w:eastAsia="宋体" w:cs="宋体"/>
          <w:sz w:val="24"/>
        </w:rPr>
        <w:t>年</w:t>
      </w:r>
      <w:r>
        <w:rPr>
          <w:sz w:val="24"/>
        </w:rPr>
        <w:t xml:space="preserve">    </w:t>
      </w:r>
      <w:r>
        <w:rPr>
          <w:rFonts w:hint="eastAsia" w:ascii="宋体" w:hAnsi="宋体" w:eastAsia="宋体" w:cs="宋体"/>
          <w:sz w:val="24"/>
        </w:rPr>
        <w:t>月</w:t>
      </w:r>
      <w:r>
        <w:rPr>
          <w:sz w:val="24"/>
        </w:rPr>
        <w:t xml:space="preserve">    </w:t>
      </w:r>
      <w:r>
        <w:rPr>
          <w:rFonts w:hint="eastAsia" w:ascii="宋体" w:hAnsi="宋体" w:eastAsia="宋体" w:cs="宋体"/>
          <w:sz w:val="24"/>
        </w:rPr>
        <w:t>日</w:t>
      </w:r>
    </w:p>
    <w:p>
      <w:pPr>
        <w:rPr>
          <w:rFonts w:eastAsiaTheme="minorEastAsia"/>
        </w:rPr>
      </w:pPr>
    </w:p>
    <w:p>
      <w:pPr>
        <w:pStyle w:val="2"/>
        <w:rPr>
          <w:rFonts w:eastAsiaTheme="minorEastAsia"/>
        </w:rPr>
      </w:pPr>
    </w:p>
    <w:p>
      <w:pPr>
        <w:pStyle w:val="3"/>
        <w:rPr>
          <w:rFonts w:eastAsiaTheme="minorEastAsia"/>
        </w:rPr>
      </w:pPr>
    </w:p>
    <w:p>
      <w:pPr>
        <w:rPr>
          <w:rFonts w:eastAsiaTheme="minorEastAsia"/>
        </w:rPr>
      </w:pPr>
    </w:p>
    <w:p>
      <w:pPr>
        <w:pStyle w:val="2"/>
      </w:pPr>
    </w:p>
    <w:p>
      <w:pPr>
        <w:pStyle w:val="35"/>
        <w:rPr>
          <w:rFonts w:ascii="宋体" w:hAnsi="宋体" w:cs="Times New Roman"/>
          <w:i/>
          <w:color w:val="auto"/>
          <w:sz w:val="21"/>
          <w:szCs w:val="21"/>
        </w:rPr>
      </w:pPr>
      <w:bookmarkStart w:id="802" w:name="_Toc109826704"/>
      <w:r>
        <w:rPr>
          <w:rFonts w:hint="eastAsia" w:ascii="宋体" w:hAnsi="宋体" w:cs="Times New Roman"/>
          <w:i/>
          <w:color w:val="auto"/>
          <w:sz w:val="21"/>
          <w:szCs w:val="21"/>
        </w:rPr>
        <w:t>封面</w:t>
      </w:r>
      <w:bookmarkEnd w:id="802"/>
    </w:p>
    <w:p>
      <w:pPr>
        <w:spacing w:line="360" w:lineRule="auto"/>
        <w:jc w:val="center"/>
        <w:rPr>
          <w:color w:val="auto"/>
          <w:sz w:val="32"/>
          <w:szCs w:val="32"/>
        </w:rPr>
      </w:pPr>
    </w:p>
    <w:p>
      <w:pPr>
        <w:spacing w:line="360" w:lineRule="auto"/>
        <w:jc w:val="center"/>
        <w:rPr>
          <w:color w:val="auto"/>
          <w:sz w:val="32"/>
          <w:szCs w:val="32"/>
        </w:rPr>
      </w:pPr>
    </w:p>
    <w:p>
      <w:pPr>
        <w:spacing w:line="360" w:lineRule="auto"/>
        <w:jc w:val="center"/>
        <w:rPr>
          <w:color w:val="auto"/>
          <w:sz w:val="32"/>
          <w:szCs w:val="32"/>
        </w:rPr>
      </w:pPr>
      <w:r>
        <w:rPr>
          <w:color w:val="auto"/>
          <w:sz w:val="32"/>
          <w:szCs w:val="32"/>
        </w:rPr>
        <w:t xml:space="preserve">  </w:t>
      </w:r>
      <w:r>
        <w:rPr>
          <w:color w:val="auto"/>
          <w:sz w:val="32"/>
          <w:szCs w:val="32"/>
          <w:u w:val="single"/>
        </w:rPr>
        <w:t xml:space="preserve">                            </w:t>
      </w:r>
      <w:r>
        <w:rPr>
          <w:color w:val="auto"/>
          <w:sz w:val="32"/>
          <w:szCs w:val="32"/>
        </w:rPr>
        <w:t xml:space="preserve">工程 </w:t>
      </w:r>
    </w:p>
    <w:p>
      <w:pPr>
        <w:spacing w:line="360" w:lineRule="auto"/>
        <w:jc w:val="center"/>
        <w:rPr>
          <w:rFonts w:eastAsia="黑体"/>
          <w:color w:val="auto"/>
          <w:sz w:val="44"/>
        </w:rPr>
      </w:pPr>
    </w:p>
    <w:p>
      <w:pPr>
        <w:spacing w:line="360" w:lineRule="auto"/>
        <w:jc w:val="center"/>
        <w:rPr>
          <w:rFonts w:eastAsia="黑体"/>
          <w:color w:val="auto"/>
          <w:sz w:val="52"/>
          <w:szCs w:val="52"/>
        </w:rPr>
      </w:pPr>
      <w:r>
        <w:rPr>
          <w:rFonts w:hint="eastAsia" w:eastAsia="黑体"/>
          <w:color w:val="auto"/>
          <w:sz w:val="52"/>
          <w:szCs w:val="52"/>
        </w:rPr>
        <w:t>投 标 文 件</w:t>
      </w:r>
    </w:p>
    <w:p>
      <w:pPr>
        <w:spacing w:line="480" w:lineRule="auto"/>
        <w:jc w:val="center"/>
        <w:rPr>
          <w:rFonts w:ascii="宋体" w:hAnsi="宋体"/>
          <w:color w:val="auto"/>
          <w:sz w:val="56"/>
          <w:szCs w:val="56"/>
        </w:rPr>
      </w:pPr>
      <w:r>
        <w:rPr>
          <w:rFonts w:hint="eastAsia" w:ascii="宋体" w:hAnsi="宋体"/>
          <w:color w:val="auto"/>
          <w:sz w:val="56"/>
          <w:szCs w:val="56"/>
        </w:rPr>
        <w:t>（技术标）</w:t>
      </w:r>
    </w:p>
    <w:p>
      <w:pPr>
        <w:spacing w:line="420" w:lineRule="auto"/>
        <w:rPr>
          <w:color w:val="auto"/>
          <w:sz w:val="24"/>
        </w:rPr>
      </w:pPr>
    </w:p>
    <w:p>
      <w:pPr>
        <w:spacing w:line="400" w:lineRule="exact"/>
        <w:ind w:firstLine="1260" w:firstLineChars="450"/>
        <w:rPr>
          <w:color w:val="auto"/>
          <w:sz w:val="28"/>
          <w:szCs w:val="28"/>
        </w:rPr>
      </w:pPr>
    </w:p>
    <w:p>
      <w:pPr>
        <w:spacing w:line="400" w:lineRule="exact"/>
        <w:ind w:firstLine="1260" w:firstLineChars="450"/>
        <w:rPr>
          <w:color w:val="auto"/>
          <w:sz w:val="28"/>
          <w:szCs w:val="28"/>
        </w:rPr>
      </w:pPr>
    </w:p>
    <w:p>
      <w:pPr>
        <w:spacing w:line="400" w:lineRule="exact"/>
        <w:ind w:firstLine="1260" w:firstLineChars="450"/>
        <w:rPr>
          <w:color w:val="auto"/>
          <w:sz w:val="28"/>
          <w:szCs w:val="28"/>
        </w:rPr>
      </w:pPr>
      <w:r>
        <w:rPr>
          <w:color w:val="auto"/>
          <w:sz w:val="28"/>
          <w:szCs w:val="28"/>
        </w:rPr>
        <w:t>投标人：</w:t>
      </w:r>
      <w:r>
        <w:rPr>
          <w:color w:val="auto"/>
          <w:sz w:val="28"/>
          <w:szCs w:val="28"/>
          <w:u w:val="single"/>
        </w:rPr>
        <w:t xml:space="preserve">                          </w:t>
      </w:r>
      <w:r>
        <w:rPr>
          <w:color w:val="auto"/>
          <w:sz w:val="28"/>
          <w:szCs w:val="28"/>
        </w:rPr>
        <w:t>（盖单位章）</w:t>
      </w:r>
    </w:p>
    <w:p>
      <w:pPr>
        <w:spacing w:line="400" w:lineRule="exact"/>
        <w:ind w:firstLine="1260" w:firstLineChars="450"/>
        <w:rPr>
          <w:color w:val="auto"/>
          <w:sz w:val="28"/>
          <w:szCs w:val="28"/>
        </w:rPr>
      </w:pPr>
    </w:p>
    <w:p>
      <w:pPr>
        <w:spacing w:line="400" w:lineRule="exact"/>
        <w:ind w:firstLine="1260" w:firstLineChars="450"/>
        <w:rPr>
          <w:color w:val="auto"/>
          <w:sz w:val="28"/>
          <w:szCs w:val="28"/>
        </w:rPr>
      </w:pPr>
    </w:p>
    <w:p>
      <w:pPr>
        <w:spacing w:line="400" w:lineRule="exact"/>
        <w:ind w:firstLine="1260" w:firstLineChars="450"/>
        <w:rPr>
          <w:color w:val="auto"/>
          <w:sz w:val="28"/>
          <w:szCs w:val="28"/>
        </w:rPr>
      </w:pPr>
    </w:p>
    <w:p>
      <w:pPr>
        <w:spacing w:line="400" w:lineRule="exact"/>
        <w:ind w:firstLine="1260" w:firstLineChars="450"/>
        <w:rPr>
          <w:color w:val="auto"/>
          <w:sz w:val="28"/>
          <w:szCs w:val="28"/>
        </w:rPr>
      </w:pPr>
    </w:p>
    <w:p>
      <w:pPr>
        <w:spacing w:line="400" w:lineRule="exact"/>
        <w:ind w:firstLine="1260" w:firstLineChars="450"/>
        <w:rPr>
          <w:color w:val="auto"/>
          <w:sz w:val="28"/>
          <w:szCs w:val="28"/>
        </w:rPr>
      </w:pPr>
      <w:r>
        <w:rPr>
          <w:color w:val="auto"/>
          <w:sz w:val="28"/>
          <w:szCs w:val="28"/>
        </w:rPr>
        <w:t>法定代表人：</w:t>
      </w:r>
      <w:r>
        <w:rPr>
          <w:color w:val="auto"/>
          <w:sz w:val="28"/>
          <w:szCs w:val="28"/>
          <w:u w:val="single"/>
        </w:rPr>
        <w:t xml:space="preserve">         </w:t>
      </w:r>
      <w:r>
        <w:rPr>
          <w:rFonts w:hint="eastAsia"/>
          <w:color w:val="auto"/>
          <w:sz w:val="28"/>
          <w:szCs w:val="28"/>
          <w:u w:val="single"/>
        </w:rPr>
        <w:t xml:space="preserve">      </w:t>
      </w:r>
      <w:r>
        <w:rPr>
          <w:color w:val="auto"/>
          <w:sz w:val="28"/>
          <w:szCs w:val="28"/>
          <w:u w:val="single"/>
        </w:rPr>
        <w:t xml:space="preserve">      </w:t>
      </w:r>
      <w:r>
        <w:rPr>
          <w:color w:val="auto"/>
          <w:sz w:val="28"/>
          <w:szCs w:val="28"/>
        </w:rPr>
        <w:t>（签字</w:t>
      </w:r>
      <w:r>
        <w:rPr>
          <w:rFonts w:hint="eastAsia"/>
          <w:color w:val="auto"/>
          <w:sz w:val="28"/>
          <w:szCs w:val="28"/>
        </w:rPr>
        <w:t>或盖章</w:t>
      </w:r>
      <w:r>
        <w:rPr>
          <w:color w:val="auto"/>
          <w:sz w:val="28"/>
          <w:szCs w:val="28"/>
        </w:rPr>
        <w:t>）</w:t>
      </w:r>
    </w:p>
    <w:p>
      <w:pPr>
        <w:spacing w:line="400" w:lineRule="exact"/>
        <w:jc w:val="center"/>
        <w:rPr>
          <w:color w:val="auto"/>
          <w:sz w:val="28"/>
          <w:szCs w:val="28"/>
          <w:u w:val="single"/>
        </w:rPr>
      </w:pPr>
    </w:p>
    <w:p>
      <w:pPr>
        <w:spacing w:line="400" w:lineRule="exact"/>
        <w:jc w:val="center"/>
        <w:rPr>
          <w:color w:val="auto"/>
          <w:sz w:val="28"/>
          <w:szCs w:val="28"/>
          <w:u w:val="single"/>
        </w:rPr>
      </w:pPr>
    </w:p>
    <w:p>
      <w:pPr>
        <w:spacing w:line="400" w:lineRule="exact"/>
        <w:jc w:val="center"/>
        <w:rPr>
          <w:color w:val="auto"/>
          <w:sz w:val="28"/>
          <w:szCs w:val="28"/>
          <w:u w:val="single"/>
        </w:rPr>
      </w:pPr>
    </w:p>
    <w:p>
      <w:pPr>
        <w:spacing w:line="400" w:lineRule="exact"/>
        <w:jc w:val="center"/>
        <w:rPr>
          <w:color w:val="auto"/>
          <w:sz w:val="28"/>
          <w:szCs w:val="28"/>
          <w:u w:val="single"/>
        </w:rPr>
      </w:pPr>
    </w:p>
    <w:p>
      <w:pPr>
        <w:spacing w:line="400" w:lineRule="exact"/>
        <w:jc w:val="center"/>
        <w:rPr>
          <w:color w:val="auto"/>
          <w:sz w:val="28"/>
          <w:szCs w:val="28"/>
          <w:u w:val="single"/>
        </w:rPr>
      </w:pPr>
    </w:p>
    <w:p>
      <w:pPr>
        <w:spacing w:line="400" w:lineRule="exact"/>
        <w:jc w:val="center"/>
        <w:rPr>
          <w:color w:val="auto"/>
          <w:sz w:val="28"/>
          <w:szCs w:val="28"/>
          <w:u w:val="single"/>
        </w:rPr>
      </w:pPr>
    </w:p>
    <w:p>
      <w:pPr>
        <w:spacing w:line="400" w:lineRule="exact"/>
        <w:ind w:firstLine="2833" w:firstLineChars="1012"/>
        <w:rPr>
          <w:color w:val="auto"/>
          <w:sz w:val="28"/>
          <w:szCs w:val="28"/>
        </w:rPr>
      </w:pPr>
      <w:r>
        <w:rPr>
          <w:color w:val="auto"/>
          <w:sz w:val="28"/>
          <w:szCs w:val="28"/>
          <w:u w:val="single"/>
        </w:rPr>
        <w:t xml:space="preserve">        </w:t>
      </w:r>
      <w:r>
        <w:rPr>
          <w:color w:val="auto"/>
          <w:sz w:val="28"/>
          <w:szCs w:val="28"/>
        </w:rPr>
        <w:t>年</w:t>
      </w:r>
      <w:r>
        <w:rPr>
          <w:color w:val="auto"/>
          <w:sz w:val="28"/>
          <w:szCs w:val="28"/>
          <w:u w:val="single"/>
        </w:rPr>
        <w:t xml:space="preserve">    </w:t>
      </w:r>
      <w:r>
        <w:rPr>
          <w:color w:val="auto"/>
          <w:sz w:val="28"/>
          <w:szCs w:val="28"/>
        </w:rPr>
        <w:t>月</w:t>
      </w:r>
      <w:r>
        <w:rPr>
          <w:color w:val="auto"/>
          <w:sz w:val="28"/>
          <w:szCs w:val="28"/>
          <w:u w:val="single"/>
        </w:rPr>
        <w:t xml:space="preserve">   </w:t>
      </w:r>
      <w:r>
        <w:rPr>
          <w:color w:val="auto"/>
          <w:sz w:val="28"/>
          <w:szCs w:val="28"/>
        </w:rPr>
        <w:t>日</w:t>
      </w:r>
    </w:p>
    <w:p>
      <w:pPr>
        <w:spacing w:line="420" w:lineRule="auto"/>
        <w:ind w:firstLine="610" w:firstLineChars="218"/>
        <w:rPr>
          <w:color w:val="auto"/>
          <w:sz w:val="28"/>
          <w:szCs w:val="28"/>
        </w:rPr>
      </w:pPr>
    </w:p>
    <w:p>
      <w:pPr>
        <w:spacing w:line="420" w:lineRule="auto"/>
        <w:ind w:firstLine="523" w:firstLineChars="218"/>
        <w:rPr>
          <w:color w:val="auto"/>
          <w:sz w:val="24"/>
        </w:rPr>
      </w:pPr>
    </w:p>
    <w:p>
      <w:pPr>
        <w:spacing w:line="400" w:lineRule="exact"/>
        <w:jc w:val="center"/>
        <w:rPr>
          <w:color w:val="auto"/>
        </w:rPr>
      </w:pPr>
      <w:r>
        <w:rPr>
          <w:color w:val="auto"/>
        </w:rPr>
        <w:br w:type="page"/>
      </w:r>
    </w:p>
    <w:p>
      <w:pPr>
        <w:spacing w:line="400" w:lineRule="exact"/>
        <w:jc w:val="center"/>
        <w:rPr>
          <w:rFonts w:eastAsia="黑体"/>
          <w:color w:val="auto"/>
          <w:sz w:val="28"/>
          <w:szCs w:val="28"/>
        </w:rPr>
      </w:pPr>
    </w:p>
    <w:p>
      <w:pPr>
        <w:spacing w:line="400" w:lineRule="exact"/>
        <w:jc w:val="center"/>
        <w:rPr>
          <w:rFonts w:eastAsia="黑体"/>
          <w:color w:val="auto"/>
          <w:sz w:val="28"/>
          <w:szCs w:val="28"/>
        </w:rPr>
      </w:pPr>
    </w:p>
    <w:p>
      <w:pPr>
        <w:spacing w:line="400" w:lineRule="exact"/>
        <w:jc w:val="center"/>
        <w:rPr>
          <w:rFonts w:eastAsia="黑体"/>
          <w:color w:val="auto"/>
          <w:sz w:val="28"/>
          <w:szCs w:val="28"/>
        </w:rPr>
      </w:pPr>
    </w:p>
    <w:p>
      <w:pPr>
        <w:spacing w:line="400" w:lineRule="exact"/>
        <w:jc w:val="center"/>
        <w:rPr>
          <w:rFonts w:eastAsia="黑体"/>
          <w:color w:val="auto"/>
          <w:sz w:val="28"/>
          <w:szCs w:val="28"/>
        </w:rPr>
      </w:pPr>
      <w:r>
        <w:rPr>
          <w:rFonts w:eastAsia="黑体"/>
          <w:color w:val="auto"/>
          <w:sz w:val="28"/>
          <w:szCs w:val="28"/>
        </w:rPr>
        <w:t>目    录</w:t>
      </w:r>
    </w:p>
    <w:p>
      <w:pPr>
        <w:spacing w:line="540" w:lineRule="exact"/>
        <w:rPr>
          <w:color w:val="auto"/>
        </w:rPr>
      </w:pPr>
    </w:p>
    <w:p>
      <w:pPr>
        <w:pStyle w:val="8"/>
        <w:numPr>
          <w:ilvl w:val="0"/>
          <w:numId w:val="13"/>
        </w:numPr>
        <w:spacing w:line="480" w:lineRule="auto"/>
        <w:ind w:firstLineChars="0"/>
        <w:rPr>
          <w:rFonts w:ascii="宋体" w:hAnsi="宋体"/>
        </w:rPr>
      </w:pPr>
      <w:r>
        <w:rPr>
          <w:rFonts w:hint="eastAsia" w:ascii="宋体" w:hAnsi="宋体"/>
        </w:rPr>
        <w:t>针对本工程的特点、难点分析和解决措施等（格式自拟）</w:t>
      </w:r>
    </w:p>
    <w:p>
      <w:pPr>
        <w:pStyle w:val="8"/>
        <w:numPr>
          <w:ilvl w:val="0"/>
          <w:numId w:val="13"/>
        </w:numPr>
        <w:spacing w:line="480" w:lineRule="auto"/>
        <w:ind w:firstLineChars="0"/>
        <w:rPr>
          <w:rFonts w:ascii="宋体" w:hAnsi="宋体"/>
        </w:rPr>
      </w:pPr>
      <w:r>
        <w:rPr>
          <w:rFonts w:hint="eastAsia" w:ascii="宋体" w:hAnsi="宋体"/>
        </w:rPr>
        <w:t>质量保修期承诺（格式自拟）</w:t>
      </w:r>
    </w:p>
    <w:p>
      <w:pPr>
        <w:pStyle w:val="8"/>
        <w:numPr>
          <w:ilvl w:val="0"/>
          <w:numId w:val="13"/>
        </w:numPr>
        <w:spacing w:line="480" w:lineRule="auto"/>
        <w:ind w:firstLineChars="0"/>
        <w:rPr>
          <w:rFonts w:ascii="宋体" w:hAnsi="宋体"/>
        </w:rPr>
      </w:pPr>
      <w:r>
        <w:rPr>
          <w:rFonts w:hint="eastAsia" w:ascii="宋体" w:hAnsi="宋体"/>
        </w:rPr>
        <w:t>投标产品技术参数资料（格式自拟）</w:t>
      </w:r>
    </w:p>
    <w:p>
      <w:pPr>
        <w:pStyle w:val="8"/>
        <w:numPr>
          <w:ilvl w:val="0"/>
          <w:numId w:val="13"/>
        </w:numPr>
        <w:spacing w:line="480" w:lineRule="auto"/>
        <w:ind w:firstLineChars="0"/>
        <w:rPr>
          <w:rFonts w:ascii="宋体" w:hAnsi="宋体"/>
        </w:rPr>
      </w:pPr>
      <w:r>
        <w:rPr>
          <w:rFonts w:hint="eastAsia" w:ascii="宋体" w:hAnsi="宋体"/>
        </w:rPr>
        <w:t>投标人认为需要提供的其他材料（所有评分项涉及到的证书及证明材料）</w:t>
      </w:r>
    </w:p>
    <w:p>
      <w:pPr>
        <w:pStyle w:val="3"/>
        <w:ind w:firstLine="0" w:firstLineChars="0"/>
        <w:rPr>
          <w:rFonts w:eastAsiaTheme="minorEastAsia"/>
        </w:rPr>
      </w:pPr>
    </w:p>
    <w:p/>
    <w:p/>
    <w:p/>
    <w:p/>
    <w:p/>
    <w:p/>
    <w:p/>
    <w:p/>
    <w:p/>
    <w:p/>
    <w:p/>
    <w:p/>
    <w:p/>
    <w:p/>
    <w:p/>
    <w:p/>
    <w:p/>
    <w:p/>
    <w:p/>
    <w:p/>
    <w:p/>
    <w:p/>
    <w:p/>
    <w:p/>
    <w:p/>
    <w:p/>
    <w:p/>
    <w:p/>
    <w:p/>
    <w:p/>
    <w:p/>
    <w:p/>
    <w:p/>
    <w:p/>
    <w:p/>
    <w:p/>
    <w:p/>
    <w:p/>
    <w:p/>
    <w:p>
      <w:pPr>
        <w:tabs>
          <w:tab w:val="left" w:pos="4995"/>
        </w:tabs>
        <w:rPr>
          <w:rFonts w:eastAsiaTheme="minorEastAsia"/>
        </w:rPr>
      </w:pPr>
    </w:p>
    <w:sectPr>
      <w:pgSz w:w="11906" w:h="16839"/>
      <w:pgMar w:top="1253" w:right="1687" w:bottom="1157" w:left="1596" w:header="0" w:footer="998" w:gutter="0"/>
      <w:paperSrc/>
      <w:pgNumType w:chapStyle="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5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 w:name="Tahoma">
    <w:panose1 w:val="020B0604030504040204"/>
    <w:charset w:val="00"/>
    <w:family w:val="swiss"/>
    <w:pitch w:val="default"/>
    <w:sig w:usb0="E1002EFF" w:usb1="C000605B" w:usb2="00000029" w:usb3="00000000" w:csb0="200101FF" w:csb1="2028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1357808"/>
    </w:sdtPr>
    <w:sdtContent>
      <w:p>
        <w:pPr>
          <w:pStyle w:val="14"/>
          <w:jc w:val="center"/>
        </w:pPr>
        <w:r>
          <w:fldChar w:fldCharType="begin"/>
        </w:r>
        <w:r>
          <w:instrText xml:space="preserve">PAGE   \* MERGEFORMAT</w:instrText>
        </w:r>
        <w:r>
          <w:fldChar w:fldCharType="separate"/>
        </w:r>
        <w:r>
          <w:rPr>
            <w:lang w:val="zh-CN"/>
          </w:rPr>
          <w:t>7</w:t>
        </w:r>
        <w:r>
          <w:fldChar w:fldCharType="end"/>
        </w:r>
      </w:p>
    </w:sdtContent>
  </w:sdt>
  <w:p>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Style w:val="26"/>
        <w:sz w:val="24"/>
        <w:szCs w:val="24"/>
      </w:rPr>
    </w:pPr>
    <w:r>
      <w:rPr>
        <w:rFonts w:hint="eastAsia"/>
      </w:rPr>
      <w:t xml:space="preserve">                                                                          </w:t>
    </w:r>
    <w:r>
      <w:rPr>
        <w:sz w:val="24"/>
        <w:szCs w:val="24"/>
      </w:rPr>
      <w:fldChar w:fldCharType="begin"/>
    </w:r>
    <w:r>
      <w:rPr>
        <w:rStyle w:val="26"/>
        <w:sz w:val="24"/>
        <w:szCs w:val="24"/>
      </w:rPr>
      <w:instrText xml:space="preserve">PAGE  </w:instrText>
    </w:r>
    <w:r>
      <w:rPr>
        <w:sz w:val="24"/>
        <w:szCs w:val="24"/>
      </w:rPr>
      <w:fldChar w:fldCharType="separate"/>
    </w:r>
    <w:r>
      <w:rPr>
        <w:rStyle w:val="26"/>
        <w:sz w:val="24"/>
        <w:szCs w:val="24"/>
      </w:rPr>
      <w:t>1</w:t>
    </w:r>
    <w:r>
      <w:rPr>
        <w:sz w:val="24"/>
        <w:szCs w:val="24"/>
      </w:rP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pict>
        <v:shape id="文本框 1028"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1.25pt" joinstyle="miter"/>
          <v:imagedata o:title=""/>
          <o:lock v:ext="edit"/>
          <v:textbox inset="0mm,0mm,0mm,0mm" style="mso-fit-shape-to-text:t;">
            <w:txbxContent>
              <w:p>
                <w:pPr>
                  <w:pStyle w:val="14"/>
                  <w:jc w:val="center"/>
                </w:pPr>
                <w:r>
                  <w:fldChar w:fldCharType="begin"/>
                </w:r>
                <w:r>
                  <w:rPr>
                    <w:rStyle w:val="24"/>
                  </w:rPr>
                  <w:instrText xml:space="preserve"> PAGE </w:instrText>
                </w:r>
                <w:r>
                  <w:fldChar w:fldCharType="separate"/>
                </w:r>
                <w:r>
                  <w:rPr>
                    <w:rStyle w:val="24"/>
                  </w:rPr>
                  <w:t>105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14327F"/>
    <w:multiLevelType w:val="singleLevel"/>
    <w:tmpl w:val="9914327F"/>
    <w:lvl w:ilvl="0" w:tentative="0">
      <w:start w:val="13"/>
      <w:numFmt w:val="decimal"/>
      <w:suff w:val="nothing"/>
      <w:lvlText w:val="（%1）"/>
      <w:lvlJc w:val="left"/>
    </w:lvl>
  </w:abstractNum>
  <w:abstractNum w:abstractNumId="1">
    <w:nsid w:val="A11C1476"/>
    <w:multiLevelType w:val="singleLevel"/>
    <w:tmpl w:val="A11C1476"/>
    <w:lvl w:ilvl="0" w:tentative="0">
      <w:start w:val="1"/>
      <w:numFmt w:val="decimal"/>
      <w:suff w:val="nothing"/>
      <w:lvlText w:val="%1．"/>
      <w:lvlJc w:val="left"/>
      <w:pPr>
        <w:ind w:left="2053" w:firstLine="400"/>
      </w:pPr>
      <w:rPr>
        <w:rFonts w:hint="default"/>
      </w:rPr>
    </w:lvl>
  </w:abstractNum>
  <w:abstractNum w:abstractNumId="2">
    <w:nsid w:val="A6D69856"/>
    <w:multiLevelType w:val="singleLevel"/>
    <w:tmpl w:val="A6D69856"/>
    <w:lvl w:ilvl="0" w:tentative="0">
      <w:start w:val="1"/>
      <w:numFmt w:val="chineseCounting"/>
      <w:suff w:val="nothing"/>
      <w:lvlText w:val="%1、"/>
      <w:lvlJc w:val="left"/>
      <w:pPr>
        <w:ind w:left="0" w:firstLine="420"/>
      </w:pPr>
      <w:rPr>
        <w:rFonts w:hint="eastAsia"/>
      </w:rPr>
    </w:lvl>
  </w:abstractNum>
  <w:abstractNum w:abstractNumId="3">
    <w:nsid w:val="AA273279"/>
    <w:multiLevelType w:val="singleLevel"/>
    <w:tmpl w:val="AA273279"/>
    <w:lvl w:ilvl="0" w:tentative="0">
      <w:start w:val="1"/>
      <w:numFmt w:val="chineseCounting"/>
      <w:suff w:val="nothing"/>
      <w:lvlText w:val="%1、"/>
      <w:lvlJc w:val="left"/>
      <w:pPr>
        <w:ind w:left="0" w:firstLine="420"/>
      </w:pPr>
      <w:rPr>
        <w:rFonts w:hint="eastAsia"/>
      </w:rPr>
    </w:lvl>
  </w:abstractNum>
  <w:abstractNum w:abstractNumId="4">
    <w:nsid w:val="C4C0D71E"/>
    <w:multiLevelType w:val="singleLevel"/>
    <w:tmpl w:val="C4C0D71E"/>
    <w:lvl w:ilvl="0" w:tentative="0">
      <w:start w:val="6"/>
      <w:numFmt w:val="decimal"/>
      <w:suff w:val="nothing"/>
      <w:lvlText w:val="%1．"/>
      <w:lvlJc w:val="left"/>
    </w:lvl>
  </w:abstractNum>
  <w:abstractNum w:abstractNumId="5">
    <w:nsid w:val="D665365A"/>
    <w:multiLevelType w:val="singleLevel"/>
    <w:tmpl w:val="D665365A"/>
    <w:lvl w:ilvl="0" w:tentative="0">
      <w:start w:val="1"/>
      <w:numFmt w:val="decimal"/>
      <w:lvlText w:val="(%1)"/>
      <w:lvlJc w:val="left"/>
      <w:pPr>
        <w:ind w:left="425" w:hanging="425"/>
      </w:pPr>
      <w:rPr>
        <w:rFonts w:hint="default"/>
      </w:rPr>
    </w:lvl>
  </w:abstractNum>
  <w:abstractNum w:abstractNumId="6">
    <w:nsid w:val="FC346056"/>
    <w:multiLevelType w:val="singleLevel"/>
    <w:tmpl w:val="FC346056"/>
    <w:lvl w:ilvl="0" w:tentative="0">
      <w:start w:val="1"/>
      <w:numFmt w:val="decimal"/>
      <w:lvlText w:val="(%1)"/>
      <w:lvlJc w:val="left"/>
      <w:pPr>
        <w:ind w:left="425" w:hanging="425"/>
      </w:pPr>
      <w:rPr>
        <w:rFonts w:hint="default"/>
      </w:rPr>
    </w:lvl>
  </w:abstractNum>
  <w:abstractNum w:abstractNumId="7">
    <w:nsid w:val="028CEC95"/>
    <w:multiLevelType w:val="singleLevel"/>
    <w:tmpl w:val="028CEC95"/>
    <w:lvl w:ilvl="0" w:tentative="0">
      <w:start w:val="1"/>
      <w:numFmt w:val="lowerLetter"/>
      <w:lvlText w:val="%1."/>
      <w:lvlJc w:val="left"/>
      <w:pPr>
        <w:ind w:left="3686" w:hanging="425"/>
      </w:pPr>
      <w:rPr>
        <w:rFonts w:hint="default"/>
      </w:rPr>
    </w:lvl>
  </w:abstractNum>
  <w:abstractNum w:abstractNumId="8">
    <w:nsid w:val="0C89C313"/>
    <w:multiLevelType w:val="singleLevel"/>
    <w:tmpl w:val="0C89C313"/>
    <w:lvl w:ilvl="0" w:tentative="0">
      <w:start w:val="1"/>
      <w:numFmt w:val="decimal"/>
      <w:suff w:val="nothing"/>
      <w:lvlText w:val="%1．"/>
      <w:lvlJc w:val="left"/>
      <w:pPr>
        <w:ind w:left="0" w:firstLine="400"/>
      </w:pPr>
      <w:rPr>
        <w:rFonts w:hint="default"/>
      </w:rPr>
    </w:lvl>
  </w:abstractNum>
  <w:abstractNum w:abstractNumId="9">
    <w:nsid w:val="57097E2F"/>
    <w:multiLevelType w:val="singleLevel"/>
    <w:tmpl w:val="57097E2F"/>
    <w:lvl w:ilvl="0" w:tentative="0">
      <w:start w:val="1"/>
      <w:numFmt w:val="decimal"/>
      <w:lvlText w:val="(%1)"/>
      <w:lvlJc w:val="left"/>
      <w:pPr>
        <w:ind w:left="425" w:hanging="425"/>
      </w:pPr>
      <w:rPr>
        <w:rFonts w:hint="default"/>
      </w:rPr>
    </w:lvl>
  </w:abstractNum>
  <w:abstractNum w:abstractNumId="10">
    <w:nsid w:val="5CE25393"/>
    <w:multiLevelType w:val="singleLevel"/>
    <w:tmpl w:val="5CE25393"/>
    <w:lvl w:ilvl="0" w:tentative="0">
      <w:start w:val="6"/>
      <w:numFmt w:val="decimal"/>
      <w:suff w:val="nothing"/>
      <w:lvlText w:val="%1、"/>
      <w:lvlJc w:val="left"/>
    </w:lvl>
  </w:abstractNum>
  <w:abstractNum w:abstractNumId="11">
    <w:nsid w:val="6632691D"/>
    <w:multiLevelType w:val="singleLevel"/>
    <w:tmpl w:val="6632691D"/>
    <w:lvl w:ilvl="0" w:tentative="0">
      <w:start w:val="1"/>
      <w:numFmt w:val="decimal"/>
      <w:lvlText w:val="(%1)"/>
      <w:lvlJc w:val="left"/>
      <w:pPr>
        <w:ind w:left="425" w:hanging="425"/>
      </w:pPr>
      <w:rPr>
        <w:rFonts w:hint="default"/>
      </w:rPr>
    </w:lvl>
  </w:abstractNum>
  <w:abstractNum w:abstractNumId="12">
    <w:nsid w:val="755241E6"/>
    <w:multiLevelType w:val="singleLevel"/>
    <w:tmpl w:val="755241E6"/>
    <w:lvl w:ilvl="0" w:tentative="0">
      <w:start w:val="1"/>
      <w:numFmt w:val="decimal"/>
      <w:suff w:val="nothing"/>
      <w:lvlText w:val="（%1）"/>
      <w:lvlJc w:val="left"/>
    </w:lvl>
  </w:abstractNum>
  <w:num w:numId="1">
    <w:abstractNumId w:val="10"/>
  </w:num>
  <w:num w:numId="2">
    <w:abstractNumId w:val="6"/>
  </w:num>
  <w:num w:numId="3">
    <w:abstractNumId w:val="0"/>
  </w:num>
  <w:num w:numId="4">
    <w:abstractNumId w:val="11"/>
  </w:num>
  <w:num w:numId="5">
    <w:abstractNumId w:val="1"/>
  </w:num>
  <w:num w:numId="6">
    <w:abstractNumId w:val="8"/>
  </w:num>
  <w:num w:numId="7">
    <w:abstractNumId w:val="3"/>
  </w:num>
  <w:num w:numId="8">
    <w:abstractNumId w:val="4"/>
  </w:num>
  <w:num w:numId="9">
    <w:abstractNumId w:val="9"/>
  </w:num>
  <w:num w:numId="10">
    <w:abstractNumId w:val="7"/>
  </w:num>
  <w:num w:numId="11">
    <w:abstractNumId w:val="12"/>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hideSpellingErrors/>
  <w:documentProtection w:enforcement="0"/>
  <w:defaultTabStop w:val="420"/>
  <w:drawingGridHorizontalSpacing w:val="103"/>
  <w:drawingGridVerticalSpacing w:val="293"/>
  <w:displayHorizontalDrawingGridEvery w:val="2"/>
  <w:displayVerticalDrawingGridEvery w:val="2"/>
  <w:characterSpacingControl w:val="doNotCompress"/>
  <w:hdrShapeDefaults>
    <o:shapelayout v:ext="edit">
      <o:idmap v:ext="edit" data="2"/>
    </o:shapelayout>
  </w:hdrShapeDefaults>
  <w:compat>
    <w:spaceForUL/>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hM2U4NGI1N2ZlMGYyN2E4NmVkMDI1NzFhMTQ3ZGYifQ=="/>
  </w:docVars>
  <w:rsids>
    <w:rsidRoot w:val="00464699"/>
    <w:rsid w:val="00001E1B"/>
    <w:rsid w:val="0001130A"/>
    <w:rsid w:val="00032142"/>
    <w:rsid w:val="00040A08"/>
    <w:rsid w:val="00042CD6"/>
    <w:rsid w:val="000477DE"/>
    <w:rsid w:val="000508EA"/>
    <w:rsid w:val="00055F9C"/>
    <w:rsid w:val="00056037"/>
    <w:rsid w:val="000564D8"/>
    <w:rsid w:val="0006663B"/>
    <w:rsid w:val="00066E04"/>
    <w:rsid w:val="00067CD7"/>
    <w:rsid w:val="000743C6"/>
    <w:rsid w:val="000769C1"/>
    <w:rsid w:val="00076FF5"/>
    <w:rsid w:val="00082ED0"/>
    <w:rsid w:val="00086D04"/>
    <w:rsid w:val="000926CE"/>
    <w:rsid w:val="000943B6"/>
    <w:rsid w:val="00095153"/>
    <w:rsid w:val="00097E8A"/>
    <w:rsid w:val="000A36E9"/>
    <w:rsid w:val="000A46C7"/>
    <w:rsid w:val="000A4C08"/>
    <w:rsid w:val="000A5F8C"/>
    <w:rsid w:val="000B1137"/>
    <w:rsid w:val="000B2B6C"/>
    <w:rsid w:val="000B4406"/>
    <w:rsid w:val="000B525B"/>
    <w:rsid w:val="000B67EC"/>
    <w:rsid w:val="000C0CF5"/>
    <w:rsid w:val="000C0FB5"/>
    <w:rsid w:val="000C14C4"/>
    <w:rsid w:val="000C444B"/>
    <w:rsid w:val="000C4840"/>
    <w:rsid w:val="000C570B"/>
    <w:rsid w:val="000C5A85"/>
    <w:rsid w:val="000C6218"/>
    <w:rsid w:val="000C77A1"/>
    <w:rsid w:val="000D136B"/>
    <w:rsid w:val="000D2AD6"/>
    <w:rsid w:val="000E028C"/>
    <w:rsid w:val="000E384D"/>
    <w:rsid w:val="000E453F"/>
    <w:rsid w:val="000F2200"/>
    <w:rsid w:val="000F28B8"/>
    <w:rsid w:val="000F57A4"/>
    <w:rsid w:val="0010672D"/>
    <w:rsid w:val="001112BC"/>
    <w:rsid w:val="001118AF"/>
    <w:rsid w:val="00113856"/>
    <w:rsid w:val="00114080"/>
    <w:rsid w:val="00115011"/>
    <w:rsid w:val="001203E8"/>
    <w:rsid w:val="00121078"/>
    <w:rsid w:val="00122C01"/>
    <w:rsid w:val="0013335B"/>
    <w:rsid w:val="0014214A"/>
    <w:rsid w:val="00144342"/>
    <w:rsid w:val="001464DA"/>
    <w:rsid w:val="00146980"/>
    <w:rsid w:val="0014791A"/>
    <w:rsid w:val="00151705"/>
    <w:rsid w:val="0015683B"/>
    <w:rsid w:val="00160843"/>
    <w:rsid w:val="0016615F"/>
    <w:rsid w:val="00170256"/>
    <w:rsid w:val="001720B2"/>
    <w:rsid w:val="00173FE8"/>
    <w:rsid w:val="00177E52"/>
    <w:rsid w:val="00180CCB"/>
    <w:rsid w:val="00183C32"/>
    <w:rsid w:val="00184291"/>
    <w:rsid w:val="0018442B"/>
    <w:rsid w:val="00187AD7"/>
    <w:rsid w:val="00187B3C"/>
    <w:rsid w:val="00192D6B"/>
    <w:rsid w:val="001945D1"/>
    <w:rsid w:val="00197D75"/>
    <w:rsid w:val="001B19C1"/>
    <w:rsid w:val="001C1FF0"/>
    <w:rsid w:val="001C242D"/>
    <w:rsid w:val="001C4514"/>
    <w:rsid w:val="001C4734"/>
    <w:rsid w:val="001D5BF0"/>
    <w:rsid w:val="001E13D7"/>
    <w:rsid w:val="001E14D6"/>
    <w:rsid w:val="001E7980"/>
    <w:rsid w:val="001F1332"/>
    <w:rsid w:val="001F1A27"/>
    <w:rsid w:val="001F562C"/>
    <w:rsid w:val="0020302B"/>
    <w:rsid w:val="002057F6"/>
    <w:rsid w:val="00206CE6"/>
    <w:rsid w:val="00213684"/>
    <w:rsid w:val="00217B5E"/>
    <w:rsid w:val="00222D1F"/>
    <w:rsid w:val="0022557B"/>
    <w:rsid w:val="00234A83"/>
    <w:rsid w:val="002518F4"/>
    <w:rsid w:val="00252DC1"/>
    <w:rsid w:val="00255A49"/>
    <w:rsid w:val="00261DC9"/>
    <w:rsid w:val="002625C3"/>
    <w:rsid w:val="002635B8"/>
    <w:rsid w:val="00265221"/>
    <w:rsid w:val="00265895"/>
    <w:rsid w:val="00265C86"/>
    <w:rsid w:val="002765FF"/>
    <w:rsid w:val="002769B3"/>
    <w:rsid w:val="00277B37"/>
    <w:rsid w:val="002830CF"/>
    <w:rsid w:val="00283AB6"/>
    <w:rsid w:val="00284026"/>
    <w:rsid w:val="00285688"/>
    <w:rsid w:val="002876F0"/>
    <w:rsid w:val="00290484"/>
    <w:rsid w:val="002A4EE4"/>
    <w:rsid w:val="002B0884"/>
    <w:rsid w:val="002C246E"/>
    <w:rsid w:val="002C3611"/>
    <w:rsid w:val="002C6AE0"/>
    <w:rsid w:val="002C6B37"/>
    <w:rsid w:val="002D1976"/>
    <w:rsid w:val="002E01B7"/>
    <w:rsid w:val="002E5AC3"/>
    <w:rsid w:val="002E7A85"/>
    <w:rsid w:val="002E7E07"/>
    <w:rsid w:val="002E7ECA"/>
    <w:rsid w:val="002F1AA6"/>
    <w:rsid w:val="002F4FDC"/>
    <w:rsid w:val="00300272"/>
    <w:rsid w:val="003017AD"/>
    <w:rsid w:val="00302787"/>
    <w:rsid w:val="00304160"/>
    <w:rsid w:val="0030460D"/>
    <w:rsid w:val="00314DBA"/>
    <w:rsid w:val="0031683E"/>
    <w:rsid w:val="00323137"/>
    <w:rsid w:val="00327E28"/>
    <w:rsid w:val="00330ABE"/>
    <w:rsid w:val="00332213"/>
    <w:rsid w:val="00333267"/>
    <w:rsid w:val="00336BAA"/>
    <w:rsid w:val="00341836"/>
    <w:rsid w:val="0034370C"/>
    <w:rsid w:val="00344063"/>
    <w:rsid w:val="003521C2"/>
    <w:rsid w:val="003532D9"/>
    <w:rsid w:val="00353B30"/>
    <w:rsid w:val="00360267"/>
    <w:rsid w:val="00361230"/>
    <w:rsid w:val="00365313"/>
    <w:rsid w:val="00365F0E"/>
    <w:rsid w:val="00376048"/>
    <w:rsid w:val="003772CF"/>
    <w:rsid w:val="003840FD"/>
    <w:rsid w:val="0038490F"/>
    <w:rsid w:val="00384FA2"/>
    <w:rsid w:val="00385974"/>
    <w:rsid w:val="00394075"/>
    <w:rsid w:val="003964A3"/>
    <w:rsid w:val="003A0B90"/>
    <w:rsid w:val="003A14DD"/>
    <w:rsid w:val="003B05CF"/>
    <w:rsid w:val="003B1D70"/>
    <w:rsid w:val="003B543E"/>
    <w:rsid w:val="003C4998"/>
    <w:rsid w:val="003D0101"/>
    <w:rsid w:val="003D0E4A"/>
    <w:rsid w:val="003D6113"/>
    <w:rsid w:val="003E067D"/>
    <w:rsid w:val="003E0AC5"/>
    <w:rsid w:val="003E6BAF"/>
    <w:rsid w:val="003F5B31"/>
    <w:rsid w:val="003F6B79"/>
    <w:rsid w:val="00410715"/>
    <w:rsid w:val="00410CAE"/>
    <w:rsid w:val="004118BC"/>
    <w:rsid w:val="004167EA"/>
    <w:rsid w:val="00424649"/>
    <w:rsid w:val="0042618A"/>
    <w:rsid w:val="00436E6F"/>
    <w:rsid w:val="00440C1A"/>
    <w:rsid w:val="004412BE"/>
    <w:rsid w:val="00451D5F"/>
    <w:rsid w:val="004574CC"/>
    <w:rsid w:val="004639C7"/>
    <w:rsid w:val="00463A8F"/>
    <w:rsid w:val="00463EA1"/>
    <w:rsid w:val="00464699"/>
    <w:rsid w:val="00466470"/>
    <w:rsid w:val="00466ADE"/>
    <w:rsid w:val="00467D07"/>
    <w:rsid w:val="00470057"/>
    <w:rsid w:val="004705E0"/>
    <w:rsid w:val="004710A9"/>
    <w:rsid w:val="00473B61"/>
    <w:rsid w:val="004748A6"/>
    <w:rsid w:val="0047636D"/>
    <w:rsid w:val="00481036"/>
    <w:rsid w:val="004856F3"/>
    <w:rsid w:val="004934C0"/>
    <w:rsid w:val="004A14B7"/>
    <w:rsid w:val="004B3AAD"/>
    <w:rsid w:val="004B5D0C"/>
    <w:rsid w:val="004C06A8"/>
    <w:rsid w:val="004C5936"/>
    <w:rsid w:val="004C6BC8"/>
    <w:rsid w:val="004D3D79"/>
    <w:rsid w:val="004D45DD"/>
    <w:rsid w:val="004D6062"/>
    <w:rsid w:val="004E16EF"/>
    <w:rsid w:val="004E381E"/>
    <w:rsid w:val="004E6C81"/>
    <w:rsid w:val="004F4D7E"/>
    <w:rsid w:val="004F5F2F"/>
    <w:rsid w:val="004F688C"/>
    <w:rsid w:val="004F782F"/>
    <w:rsid w:val="005059FC"/>
    <w:rsid w:val="00506272"/>
    <w:rsid w:val="00507573"/>
    <w:rsid w:val="005077A0"/>
    <w:rsid w:val="00511BA9"/>
    <w:rsid w:val="00511EA7"/>
    <w:rsid w:val="00513965"/>
    <w:rsid w:val="00520393"/>
    <w:rsid w:val="005319C6"/>
    <w:rsid w:val="005352AB"/>
    <w:rsid w:val="00543813"/>
    <w:rsid w:val="00544634"/>
    <w:rsid w:val="005512CF"/>
    <w:rsid w:val="005528E0"/>
    <w:rsid w:val="00552B9B"/>
    <w:rsid w:val="00552D55"/>
    <w:rsid w:val="005545C1"/>
    <w:rsid w:val="00556152"/>
    <w:rsid w:val="00562467"/>
    <w:rsid w:val="0056699E"/>
    <w:rsid w:val="00571A10"/>
    <w:rsid w:val="00572E5F"/>
    <w:rsid w:val="005801DD"/>
    <w:rsid w:val="005863DC"/>
    <w:rsid w:val="0058669F"/>
    <w:rsid w:val="00586D4A"/>
    <w:rsid w:val="0059127F"/>
    <w:rsid w:val="00592561"/>
    <w:rsid w:val="005A1755"/>
    <w:rsid w:val="005A2E13"/>
    <w:rsid w:val="005A33F9"/>
    <w:rsid w:val="005A3E94"/>
    <w:rsid w:val="005A7ACF"/>
    <w:rsid w:val="005B3E16"/>
    <w:rsid w:val="005C2B3A"/>
    <w:rsid w:val="005C4B0E"/>
    <w:rsid w:val="005D420E"/>
    <w:rsid w:val="005D4FCA"/>
    <w:rsid w:val="005D6B12"/>
    <w:rsid w:val="005E4BE5"/>
    <w:rsid w:val="005E5802"/>
    <w:rsid w:val="005F523D"/>
    <w:rsid w:val="005F5956"/>
    <w:rsid w:val="005F5C86"/>
    <w:rsid w:val="00601229"/>
    <w:rsid w:val="00605898"/>
    <w:rsid w:val="00605904"/>
    <w:rsid w:val="00613581"/>
    <w:rsid w:val="00620641"/>
    <w:rsid w:val="00627A79"/>
    <w:rsid w:val="006309DF"/>
    <w:rsid w:val="006330C2"/>
    <w:rsid w:val="00640707"/>
    <w:rsid w:val="00644ADB"/>
    <w:rsid w:val="006462B4"/>
    <w:rsid w:val="006509D2"/>
    <w:rsid w:val="00654F1E"/>
    <w:rsid w:val="00662296"/>
    <w:rsid w:val="00666777"/>
    <w:rsid w:val="00666EB8"/>
    <w:rsid w:val="006703DA"/>
    <w:rsid w:val="006729B7"/>
    <w:rsid w:val="00676ED6"/>
    <w:rsid w:val="006811C8"/>
    <w:rsid w:val="00681332"/>
    <w:rsid w:val="00682098"/>
    <w:rsid w:val="00686841"/>
    <w:rsid w:val="00691A37"/>
    <w:rsid w:val="0069384D"/>
    <w:rsid w:val="006A2457"/>
    <w:rsid w:val="006A2B8A"/>
    <w:rsid w:val="006A2F8E"/>
    <w:rsid w:val="006A4BDB"/>
    <w:rsid w:val="006A4FA4"/>
    <w:rsid w:val="006A62A2"/>
    <w:rsid w:val="006B2D7A"/>
    <w:rsid w:val="006B34C7"/>
    <w:rsid w:val="006B4E02"/>
    <w:rsid w:val="006C168C"/>
    <w:rsid w:val="006C5F5F"/>
    <w:rsid w:val="006D44AA"/>
    <w:rsid w:val="006D748F"/>
    <w:rsid w:val="006E43E7"/>
    <w:rsid w:val="006E5A22"/>
    <w:rsid w:val="006F2232"/>
    <w:rsid w:val="006F61F9"/>
    <w:rsid w:val="006F741F"/>
    <w:rsid w:val="00700AFE"/>
    <w:rsid w:val="00703382"/>
    <w:rsid w:val="00704BC6"/>
    <w:rsid w:val="00707347"/>
    <w:rsid w:val="00712586"/>
    <w:rsid w:val="00715492"/>
    <w:rsid w:val="007159F2"/>
    <w:rsid w:val="00716FEB"/>
    <w:rsid w:val="00733D31"/>
    <w:rsid w:val="00736AA6"/>
    <w:rsid w:val="0075149A"/>
    <w:rsid w:val="0075296B"/>
    <w:rsid w:val="00753969"/>
    <w:rsid w:val="007634C6"/>
    <w:rsid w:val="00763E0B"/>
    <w:rsid w:val="0076653A"/>
    <w:rsid w:val="00772F0B"/>
    <w:rsid w:val="00775E8C"/>
    <w:rsid w:val="00777C1C"/>
    <w:rsid w:val="00781CC2"/>
    <w:rsid w:val="0078497C"/>
    <w:rsid w:val="007870D2"/>
    <w:rsid w:val="0078743B"/>
    <w:rsid w:val="007A08FB"/>
    <w:rsid w:val="007A2E83"/>
    <w:rsid w:val="007A4D35"/>
    <w:rsid w:val="007B1EB7"/>
    <w:rsid w:val="007B43B0"/>
    <w:rsid w:val="007B7CE3"/>
    <w:rsid w:val="007C2302"/>
    <w:rsid w:val="007C2F1C"/>
    <w:rsid w:val="007C5A64"/>
    <w:rsid w:val="007D3F8C"/>
    <w:rsid w:val="007D6B8E"/>
    <w:rsid w:val="007D7314"/>
    <w:rsid w:val="007E21D6"/>
    <w:rsid w:val="007E4632"/>
    <w:rsid w:val="007E7C1A"/>
    <w:rsid w:val="007F6DD7"/>
    <w:rsid w:val="008011C6"/>
    <w:rsid w:val="008020D4"/>
    <w:rsid w:val="0080245E"/>
    <w:rsid w:val="00811629"/>
    <w:rsid w:val="008178C0"/>
    <w:rsid w:val="00821EA1"/>
    <w:rsid w:val="008224E9"/>
    <w:rsid w:val="00834114"/>
    <w:rsid w:val="00834976"/>
    <w:rsid w:val="0084399F"/>
    <w:rsid w:val="00846811"/>
    <w:rsid w:val="008515A6"/>
    <w:rsid w:val="0085473B"/>
    <w:rsid w:val="00861F6C"/>
    <w:rsid w:val="00864E2B"/>
    <w:rsid w:val="00865D06"/>
    <w:rsid w:val="0086604E"/>
    <w:rsid w:val="00883A54"/>
    <w:rsid w:val="00884847"/>
    <w:rsid w:val="00885A47"/>
    <w:rsid w:val="00893111"/>
    <w:rsid w:val="008944B4"/>
    <w:rsid w:val="008A4200"/>
    <w:rsid w:val="008B0E0E"/>
    <w:rsid w:val="008B27C3"/>
    <w:rsid w:val="008B5DF8"/>
    <w:rsid w:val="008C140E"/>
    <w:rsid w:val="008C33A1"/>
    <w:rsid w:val="008C7A70"/>
    <w:rsid w:val="008D18B0"/>
    <w:rsid w:val="008D2AB1"/>
    <w:rsid w:val="008D37C8"/>
    <w:rsid w:val="008D47E7"/>
    <w:rsid w:val="008F0588"/>
    <w:rsid w:val="008F0EEA"/>
    <w:rsid w:val="008F34E6"/>
    <w:rsid w:val="008F697A"/>
    <w:rsid w:val="008F7D8A"/>
    <w:rsid w:val="00900518"/>
    <w:rsid w:val="00906CAD"/>
    <w:rsid w:val="009103A5"/>
    <w:rsid w:val="00912B8F"/>
    <w:rsid w:val="00915325"/>
    <w:rsid w:val="00922585"/>
    <w:rsid w:val="009334E9"/>
    <w:rsid w:val="00936D7C"/>
    <w:rsid w:val="00936E0E"/>
    <w:rsid w:val="00941625"/>
    <w:rsid w:val="0094794E"/>
    <w:rsid w:val="00947A5F"/>
    <w:rsid w:val="00952622"/>
    <w:rsid w:val="00960252"/>
    <w:rsid w:val="00961440"/>
    <w:rsid w:val="0096219D"/>
    <w:rsid w:val="0096419A"/>
    <w:rsid w:val="009641AF"/>
    <w:rsid w:val="00965848"/>
    <w:rsid w:val="009673E7"/>
    <w:rsid w:val="00972F1C"/>
    <w:rsid w:val="00982A02"/>
    <w:rsid w:val="00983129"/>
    <w:rsid w:val="0098382A"/>
    <w:rsid w:val="00986F08"/>
    <w:rsid w:val="00987EEF"/>
    <w:rsid w:val="00990B11"/>
    <w:rsid w:val="00995D4B"/>
    <w:rsid w:val="009A3B46"/>
    <w:rsid w:val="009A3F3C"/>
    <w:rsid w:val="009A44B6"/>
    <w:rsid w:val="009A68A8"/>
    <w:rsid w:val="009B0AD2"/>
    <w:rsid w:val="009B0E4B"/>
    <w:rsid w:val="009B12ED"/>
    <w:rsid w:val="009C188C"/>
    <w:rsid w:val="009C5046"/>
    <w:rsid w:val="009C54A7"/>
    <w:rsid w:val="009C7D46"/>
    <w:rsid w:val="009D16E7"/>
    <w:rsid w:val="009D3B11"/>
    <w:rsid w:val="009D4E48"/>
    <w:rsid w:val="009D7900"/>
    <w:rsid w:val="009E4550"/>
    <w:rsid w:val="009E6E92"/>
    <w:rsid w:val="009E77CE"/>
    <w:rsid w:val="009F18E8"/>
    <w:rsid w:val="009F770A"/>
    <w:rsid w:val="00A10150"/>
    <w:rsid w:val="00A148BD"/>
    <w:rsid w:val="00A17300"/>
    <w:rsid w:val="00A22DEB"/>
    <w:rsid w:val="00A25BDF"/>
    <w:rsid w:val="00A31A10"/>
    <w:rsid w:val="00A36770"/>
    <w:rsid w:val="00A403BC"/>
    <w:rsid w:val="00A4437D"/>
    <w:rsid w:val="00A44597"/>
    <w:rsid w:val="00A4782A"/>
    <w:rsid w:val="00A52F1D"/>
    <w:rsid w:val="00A53A2B"/>
    <w:rsid w:val="00A61E66"/>
    <w:rsid w:val="00A6666A"/>
    <w:rsid w:val="00A668BF"/>
    <w:rsid w:val="00A7046C"/>
    <w:rsid w:val="00A72728"/>
    <w:rsid w:val="00A72CDD"/>
    <w:rsid w:val="00A77670"/>
    <w:rsid w:val="00A77729"/>
    <w:rsid w:val="00A8060A"/>
    <w:rsid w:val="00A80658"/>
    <w:rsid w:val="00A83FAA"/>
    <w:rsid w:val="00A85168"/>
    <w:rsid w:val="00A85486"/>
    <w:rsid w:val="00A87850"/>
    <w:rsid w:val="00A9501E"/>
    <w:rsid w:val="00A95E88"/>
    <w:rsid w:val="00AA336D"/>
    <w:rsid w:val="00AA49F6"/>
    <w:rsid w:val="00AA59C7"/>
    <w:rsid w:val="00AA638A"/>
    <w:rsid w:val="00AB023C"/>
    <w:rsid w:val="00AB1D9A"/>
    <w:rsid w:val="00AC5800"/>
    <w:rsid w:val="00AD36C3"/>
    <w:rsid w:val="00AD4CF5"/>
    <w:rsid w:val="00AD614B"/>
    <w:rsid w:val="00AD6B21"/>
    <w:rsid w:val="00AD6BD7"/>
    <w:rsid w:val="00AE1346"/>
    <w:rsid w:val="00AE1EA5"/>
    <w:rsid w:val="00AE2BA8"/>
    <w:rsid w:val="00AE6642"/>
    <w:rsid w:val="00AE698E"/>
    <w:rsid w:val="00AF0EFC"/>
    <w:rsid w:val="00AF2015"/>
    <w:rsid w:val="00AF2075"/>
    <w:rsid w:val="00AF3622"/>
    <w:rsid w:val="00AF3892"/>
    <w:rsid w:val="00AF49A0"/>
    <w:rsid w:val="00AF6584"/>
    <w:rsid w:val="00AF69F6"/>
    <w:rsid w:val="00B05695"/>
    <w:rsid w:val="00B0796F"/>
    <w:rsid w:val="00B07989"/>
    <w:rsid w:val="00B122E6"/>
    <w:rsid w:val="00B123B3"/>
    <w:rsid w:val="00B1356A"/>
    <w:rsid w:val="00B14133"/>
    <w:rsid w:val="00B176F8"/>
    <w:rsid w:val="00B22CDE"/>
    <w:rsid w:val="00B42B30"/>
    <w:rsid w:val="00B4553E"/>
    <w:rsid w:val="00B461A0"/>
    <w:rsid w:val="00B47625"/>
    <w:rsid w:val="00B5415F"/>
    <w:rsid w:val="00B628C7"/>
    <w:rsid w:val="00B64494"/>
    <w:rsid w:val="00B65F12"/>
    <w:rsid w:val="00B6799E"/>
    <w:rsid w:val="00B700B5"/>
    <w:rsid w:val="00B71778"/>
    <w:rsid w:val="00B80567"/>
    <w:rsid w:val="00B806C0"/>
    <w:rsid w:val="00B85C4A"/>
    <w:rsid w:val="00B90925"/>
    <w:rsid w:val="00B92A4C"/>
    <w:rsid w:val="00B936C3"/>
    <w:rsid w:val="00BA1090"/>
    <w:rsid w:val="00BA495C"/>
    <w:rsid w:val="00BA7447"/>
    <w:rsid w:val="00BB0299"/>
    <w:rsid w:val="00BB172B"/>
    <w:rsid w:val="00BC56B6"/>
    <w:rsid w:val="00BC7A8E"/>
    <w:rsid w:val="00BE42B8"/>
    <w:rsid w:val="00BF17A7"/>
    <w:rsid w:val="00BF7210"/>
    <w:rsid w:val="00C032FF"/>
    <w:rsid w:val="00C10AF5"/>
    <w:rsid w:val="00C14EB4"/>
    <w:rsid w:val="00C163D8"/>
    <w:rsid w:val="00C211A8"/>
    <w:rsid w:val="00C22DD9"/>
    <w:rsid w:val="00C31149"/>
    <w:rsid w:val="00C31289"/>
    <w:rsid w:val="00C3193D"/>
    <w:rsid w:val="00C31945"/>
    <w:rsid w:val="00C31FBB"/>
    <w:rsid w:val="00C3358A"/>
    <w:rsid w:val="00C34515"/>
    <w:rsid w:val="00C34D58"/>
    <w:rsid w:val="00C37D18"/>
    <w:rsid w:val="00C416FD"/>
    <w:rsid w:val="00C4355B"/>
    <w:rsid w:val="00C512E6"/>
    <w:rsid w:val="00C624ED"/>
    <w:rsid w:val="00C7230B"/>
    <w:rsid w:val="00C832F1"/>
    <w:rsid w:val="00C8429C"/>
    <w:rsid w:val="00C84491"/>
    <w:rsid w:val="00C91245"/>
    <w:rsid w:val="00C926A9"/>
    <w:rsid w:val="00C93CD8"/>
    <w:rsid w:val="00C96CB5"/>
    <w:rsid w:val="00CA03A0"/>
    <w:rsid w:val="00CA21F0"/>
    <w:rsid w:val="00CA28A6"/>
    <w:rsid w:val="00CA35CB"/>
    <w:rsid w:val="00CA396E"/>
    <w:rsid w:val="00CA3F31"/>
    <w:rsid w:val="00CA5C5D"/>
    <w:rsid w:val="00CA6AD7"/>
    <w:rsid w:val="00CB0674"/>
    <w:rsid w:val="00CB0EBE"/>
    <w:rsid w:val="00CB387B"/>
    <w:rsid w:val="00CC11C5"/>
    <w:rsid w:val="00CC1239"/>
    <w:rsid w:val="00CC14BE"/>
    <w:rsid w:val="00CC44AA"/>
    <w:rsid w:val="00CC523F"/>
    <w:rsid w:val="00CD0C1A"/>
    <w:rsid w:val="00CD29B9"/>
    <w:rsid w:val="00CD5485"/>
    <w:rsid w:val="00CE0E26"/>
    <w:rsid w:val="00CE605F"/>
    <w:rsid w:val="00CE6A90"/>
    <w:rsid w:val="00CF009C"/>
    <w:rsid w:val="00CF2942"/>
    <w:rsid w:val="00CF3D48"/>
    <w:rsid w:val="00CF7FBB"/>
    <w:rsid w:val="00D03DD4"/>
    <w:rsid w:val="00D04D91"/>
    <w:rsid w:val="00D051E1"/>
    <w:rsid w:val="00D05BBD"/>
    <w:rsid w:val="00D065B0"/>
    <w:rsid w:val="00D06C14"/>
    <w:rsid w:val="00D11408"/>
    <w:rsid w:val="00D15473"/>
    <w:rsid w:val="00D23A60"/>
    <w:rsid w:val="00D258DC"/>
    <w:rsid w:val="00D3019E"/>
    <w:rsid w:val="00D35033"/>
    <w:rsid w:val="00D357B9"/>
    <w:rsid w:val="00D4050C"/>
    <w:rsid w:val="00D46315"/>
    <w:rsid w:val="00D5052E"/>
    <w:rsid w:val="00D53A8B"/>
    <w:rsid w:val="00D639BB"/>
    <w:rsid w:val="00D64EDC"/>
    <w:rsid w:val="00D658A9"/>
    <w:rsid w:val="00D659A5"/>
    <w:rsid w:val="00D722D5"/>
    <w:rsid w:val="00D73B89"/>
    <w:rsid w:val="00D7576D"/>
    <w:rsid w:val="00D82441"/>
    <w:rsid w:val="00D83747"/>
    <w:rsid w:val="00D84387"/>
    <w:rsid w:val="00D84B34"/>
    <w:rsid w:val="00D904FD"/>
    <w:rsid w:val="00D923D7"/>
    <w:rsid w:val="00D95595"/>
    <w:rsid w:val="00DA199A"/>
    <w:rsid w:val="00DA1B0B"/>
    <w:rsid w:val="00DA4C42"/>
    <w:rsid w:val="00DA66DC"/>
    <w:rsid w:val="00DB00FD"/>
    <w:rsid w:val="00DC1056"/>
    <w:rsid w:val="00DC1065"/>
    <w:rsid w:val="00DC6059"/>
    <w:rsid w:val="00DC68E6"/>
    <w:rsid w:val="00DC7FAA"/>
    <w:rsid w:val="00DD29C3"/>
    <w:rsid w:val="00DD39D9"/>
    <w:rsid w:val="00DD761E"/>
    <w:rsid w:val="00DE7540"/>
    <w:rsid w:val="00DF4710"/>
    <w:rsid w:val="00DF756E"/>
    <w:rsid w:val="00E001BB"/>
    <w:rsid w:val="00E01392"/>
    <w:rsid w:val="00E02EEF"/>
    <w:rsid w:val="00E061BD"/>
    <w:rsid w:val="00E0660C"/>
    <w:rsid w:val="00E0728F"/>
    <w:rsid w:val="00E13100"/>
    <w:rsid w:val="00E13D4B"/>
    <w:rsid w:val="00E14BD3"/>
    <w:rsid w:val="00E15DE0"/>
    <w:rsid w:val="00E22DD8"/>
    <w:rsid w:val="00E24E8F"/>
    <w:rsid w:val="00E25CF6"/>
    <w:rsid w:val="00E302E4"/>
    <w:rsid w:val="00E33017"/>
    <w:rsid w:val="00E34024"/>
    <w:rsid w:val="00E35111"/>
    <w:rsid w:val="00E37AFE"/>
    <w:rsid w:val="00E44DB7"/>
    <w:rsid w:val="00E46893"/>
    <w:rsid w:val="00E52214"/>
    <w:rsid w:val="00E52A18"/>
    <w:rsid w:val="00E57099"/>
    <w:rsid w:val="00E570A1"/>
    <w:rsid w:val="00E602B3"/>
    <w:rsid w:val="00E64E7E"/>
    <w:rsid w:val="00E70DF6"/>
    <w:rsid w:val="00E710E6"/>
    <w:rsid w:val="00E715CF"/>
    <w:rsid w:val="00E76263"/>
    <w:rsid w:val="00E91845"/>
    <w:rsid w:val="00E92BF5"/>
    <w:rsid w:val="00E97929"/>
    <w:rsid w:val="00EA4DDF"/>
    <w:rsid w:val="00EB50FD"/>
    <w:rsid w:val="00ED4F17"/>
    <w:rsid w:val="00ED690B"/>
    <w:rsid w:val="00EF09B8"/>
    <w:rsid w:val="00EF63CD"/>
    <w:rsid w:val="00EF7202"/>
    <w:rsid w:val="00F01054"/>
    <w:rsid w:val="00F04CBD"/>
    <w:rsid w:val="00F06049"/>
    <w:rsid w:val="00F11023"/>
    <w:rsid w:val="00F12AF7"/>
    <w:rsid w:val="00F12CFC"/>
    <w:rsid w:val="00F13ED4"/>
    <w:rsid w:val="00F160B7"/>
    <w:rsid w:val="00F16859"/>
    <w:rsid w:val="00F17316"/>
    <w:rsid w:val="00F203B9"/>
    <w:rsid w:val="00F22B51"/>
    <w:rsid w:val="00F26690"/>
    <w:rsid w:val="00F27A17"/>
    <w:rsid w:val="00F30C79"/>
    <w:rsid w:val="00F3556D"/>
    <w:rsid w:val="00F423AA"/>
    <w:rsid w:val="00F4714D"/>
    <w:rsid w:val="00F52CAA"/>
    <w:rsid w:val="00F52FC5"/>
    <w:rsid w:val="00F554BE"/>
    <w:rsid w:val="00F6156B"/>
    <w:rsid w:val="00F66EB4"/>
    <w:rsid w:val="00F7142F"/>
    <w:rsid w:val="00F73996"/>
    <w:rsid w:val="00F7578C"/>
    <w:rsid w:val="00F801D2"/>
    <w:rsid w:val="00F81200"/>
    <w:rsid w:val="00F86FF5"/>
    <w:rsid w:val="00F87940"/>
    <w:rsid w:val="00F919E5"/>
    <w:rsid w:val="00F91E1E"/>
    <w:rsid w:val="00FA0DD3"/>
    <w:rsid w:val="00FA57CB"/>
    <w:rsid w:val="00FB0359"/>
    <w:rsid w:val="00FC0C7E"/>
    <w:rsid w:val="00FC0DB6"/>
    <w:rsid w:val="00FC503E"/>
    <w:rsid w:val="00FC617C"/>
    <w:rsid w:val="00FC7C8A"/>
    <w:rsid w:val="00FD06DE"/>
    <w:rsid w:val="00FD143E"/>
    <w:rsid w:val="00FD4309"/>
    <w:rsid w:val="00FD4B85"/>
    <w:rsid w:val="00FD57F2"/>
    <w:rsid w:val="00FD72DD"/>
    <w:rsid w:val="00FE4186"/>
    <w:rsid w:val="00FE77E8"/>
    <w:rsid w:val="00FF0D3F"/>
    <w:rsid w:val="00FF0D45"/>
    <w:rsid w:val="00FF1B5B"/>
    <w:rsid w:val="00FF25D3"/>
    <w:rsid w:val="00FF4C5C"/>
    <w:rsid w:val="013021E1"/>
    <w:rsid w:val="020411DA"/>
    <w:rsid w:val="02581346"/>
    <w:rsid w:val="03773C2D"/>
    <w:rsid w:val="04561A95"/>
    <w:rsid w:val="07C91660"/>
    <w:rsid w:val="09FC4E8C"/>
    <w:rsid w:val="0A1E4E03"/>
    <w:rsid w:val="0B5C4020"/>
    <w:rsid w:val="0D0E115E"/>
    <w:rsid w:val="0D5F5183"/>
    <w:rsid w:val="0D8238FA"/>
    <w:rsid w:val="0DD203DE"/>
    <w:rsid w:val="107E65FB"/>
    <w:rsid w:val="12305924"/>
    <w:rsid w:val="12DF7FF7"/>
    <w:rsid w:val="13B251F2"/>
    <w:rsid w:val="140E6E5E"/>
    <w:rsid w:val="14282034"/>
    <w:rsid w:val="149522B6"/>
    <w:rsid w:val="14F50E56"/>
    <w:rsid w:val="16E82A20"/>
    <w:rsid w:val="18DA283C"/>
    <w:rsid w:val="19456052"/>
    <w:rsid w:val="1B7224B7"/>
    <w:rsid w:val="1BFE210A"/>
    <w:rsid w:val="1C536B8E"/>
    <w:rsid w:val="1C5E5533"/>
    <w:rsid w:val="1D8E0B74"/>
    <w:rsid w:val="1E9A01C0"/>
    <w:rsid w:val="209D08DE"/>
    <w:rsid w:val="20EF0E4F"/>
    <w:rsid w:val="21AE4866"/>
    <w:rsid w:val="23953F30"/>
    <w:rsid w:val="23F31521"/>
    <w:rsid w:val="25325AEE"/>
    <w:rsid w:val="253D7261"/>
    <w:rsid w:val="26CF1663"/>
    <w:rsid w:val="28101DD7"/>
    <w:rsid w:val="283B05A7"/>
    <w:rsid w:val="2A573E05"/>
    <w:rsid w:val="2AB729DE"/>
    <w:rsid w:val="2D7B4196"/>
    <w:rsid w:val="2D8C1F00"/>
    <w:rsid w:val="32D92DF9"/>
    <w:rsid w:val="36050AA1"/>
    <w:rsid w:val="362D6178"/>
    <w:rsid w:val="38824F38"/>
    <w:rsid w:val="390B331D"/>
    <w:rsid w:val="3BBA6D4D"/>
    <w:rsid w:val="3C0E4427"/>
    <w:rsid w:val="3E3D0FF4"/>
    <w:rsid w:val="3EBB5EAC"/>
    <w:rsid w:val="3F897F8F"/>
    <w:rsid w:val="3FA96941"/>
    <w:rsid w:val="40805A26"/>
    <w:rsid w:val="41347641"/>
    <w:rsid w:val="41E73751"/>
    <w:rsid w:val="43420DE2"/>
    <w:rsid w:val="44852C1E"/>
    <w:rsid w:val="459B27C5"/>
    <w:rsid w:val="45AD686E"/>
    <w:rsid w:val="487F4341"/>
    <w:rsid w:val="497A30FC"/>
    <w:rsid w:val="4DB52955"/>
    <w:rsid w:val="4E395334"/>
    <w:rsid w:val="4F2D30F6"/>
    <w:rsid w:val="4F3D4971"/>
    <w:rsid w:val="4FD11EAA"/>
    <w:rsid w:val="5060129E"/>
    <w:rsid w:val="52F9152E"/>
    <w:rsid w:val="53C90F08"/>
    <w:rsid w:val="53DD2CA6"/>
    <w:rsid w:val="545505C1"/>
    <w:rsid w:val="54843081"/>
    <w:rsid w:val="559D6DFA"/>
    <w:rsid w:val="55FF3023"/>
    <w:rsid w:val="56E733A1"/>
    <w:rsid w:val="57E53637"/>
    <w:rsid w:val="58701BA4"/>
    <w:rsid w:val="58A031A0"/>
    <w:rsid w:val="59203ACC"/>
    <w:rsid w:val="59B63CDD"/>
    <w:rsid w:val="5A2B3006"/>
    <w:rsid w:val="5A493244"/>
    <w:rsid w:val="5AB0419C"/>
    <w:rsid w:val="5AC661A1"/>
    <w:rsid w:val="5CCE4E64"/>
    <w:rsid w:val="5E4775F9"/>
    <w:rsid w:val="5F5875E4"/>
    <w:rsid w:val="60432042"/>
    <w:rsid w:val="62FE6FC6"/>
    <w:rsid w:val="659E4CBD"/>
    <w:rsid w:val="66B30655"/>
    <w:rsid w:val="67F85E08"/>
    <w:rsid w:val="685D143A"/>
    <w:rsid w:val="69B10C5F"/>
    <w:rsid w:val="6A043133"/>
    <w:rsid w:val="6BD7080D"/>
    <w:rsid w:val="6DF901E4"/>
    <w:rsid w:val="6F2B69B4"/>
    <w:rsid w:val="6F7C2E7B"/>
    <w:rsid w:val="6FBA72C7"/>
    <w:rsid w:val="70DE326D"/>
    <w:rsid w:val="70F058CE"/>
    <w:rsid w:val="7375030D"/>
    <w:rsid w:val="737F118B"/>
    <w:rsid w:val="7386566D"/>
    <w:rsid w:val="738E4832"/>
    <w:rsid w:val="739451D5"/>
    <w:rsid w:val="742835D1"/>
    <w:rsid w:val="748E2FD4"/>
    <w:rsid w:val="74AD5A71"/>
    <w:rsid w:val="75653293"/>
    <w:rsid w:val="75FC78DB"/>
    <w:rsid w:val="76861545"/>
    <w:rsid w:val="770353C5"/>
    <w:rsid w:val="78361BE9"/>
    <w:rsid w:val="79264E3F"/>
    <w:rsid w:val="7A7C01D3"/>
    <w:rsid w:val="7B750D01"/>
    <w:rsid w:val="7F192494"/>
    <w:rsid w:val="7FD91C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4">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5">
    <w:name w:val="heading 2"/>
    <w:basedOn w:val="1"/>
    <w:next w:val="1"/>
    <w:qFormat/>
    <w:uiPriority w:val="0"/>
    <w:pPr>
      <w:keepNext/>
      <w:keepLines/>
      <w:spacing w:before="260" w:after="260" w:line="416" w:lineRule="auto"/>
      <w:outlineLvl w:val="1"/>
    </w:pPr>
    <w:rPr>
      <w:rFonts w:eastAsia="黑体"/>
      <w:b/>
      <w:bCs/>
      <w:sz w:val="32"/>
      <w:szCs w:val="32"/>
    </w:rPr>
  </w:style>
  <w:style w:type="paragraph" w:styleId="6">
    <w:name w:val="heading 3"/>
    <w:basedOn w:val="1"/>
    <w:next w:val="1"/>
    <w:link w:val="48"/>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eastAsia="黑体"/>
      <w:b/>
      <w:bCs/>
      <w:sz w:val="28"/>
      <w:szCs w:val="28"/>
    </w:rPr>
  </w:style>
  <w:style w:type="character" w:default="1" w:styleId="22">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36"/>
    <w:qFormat/>
    <w:uiPriority w:val="0"/>
    <w:pPr>
      <w:spacing w:after="120"/>
    </w:pPr>
  </w:style>
  <w:style w:type="paragraph" w:styleId="3">
    <w:name w:val="Body Text First Indent"/>
    <w:basedOn w:val="2"/>
    <w:next w:val="1"/>
    <w:qFormat/>
    <w:uiPriority w:val="0"/>
    <w:pPr>
      <w:ind w:firstLine="420" w:firstLineChars="100"/>
    </w:pPr>
    <w:rPr>
      <w:rFonts w:ascii="Calibri" w:hAnsi="Calibri"/>
      <w:szCs w:val="22"/>
    </w:rPr>
  </w:style>
  <w:style w:type="paragraph" w:styleId="8">
    <w:name w:val="Normal Indent"/>
    <w:basedOn w:val="1"/>
    <w:link w:val="41"/>
    <w:qFormat/>
    <w:uiPriority w:val="0"/>
    <w:pPr>
      <w:widowControl w:val="0"/>
      <w:kinsoku/>
      <w:autoSpaceDE/>
      <w:autoSpaceDN/>
      <w:adjustRightInd/>
      <w:snapToGrid/>
      <w:ind w:firstLine="420" w:firstLineChars="200"/>
      <w:jc w:val="both"/>
      <w:textAlignment w:val="auto"/>
    </w:pPr>
    <w:rPr>
      <w:rFonts w:ascii="Times New Roman" w:hAnsi="Times New Roman" w:eastAsia="宋体" w:cs="Times New Roman"/>
      <w:snapToGrid/>
      <w:color w:val="auto"/>
      <w:kern w:val="2"/>
      <w:szCs w:val="24"/>
    </w:rPr>
  </w:style>
  <w:style w:type="paragraph" w:styleId="9">
    <w:name w:val="Body Text 3"/>
    <w:basedOn w:val="1"/>
    <w:qFormat/>
    <w:uiPriority w:val="0"/>
    <w:rPr>
      <w:rFonts w:ascii="宋体"/>
      <w:sz w:val="24"/>
      <w:szCs w:val="20"/>
    </w:rPr>
  </w:style>
  <w:style w:type="paragraph" w:styleId="10">
    <w:name w:val="toc 3"/>
    <w:basedOn w:val="1"/>
    <w:next w:val="1"/>
    <w:unhideWhenUsed/>
    <w:qFormat/>
    <w:uiPriority w:val="39"/>
    <w:pPr>
      <w:ind w:left="840" w:leftChars="400"/>
    </w:pPr>
  </w:style>
  <w:style w:type="paragraph" w:styleId="11">
    <w:name w:val="Plain Text"/>
    <w:basedOn w:val="1"/>
    <w:qFormat/>
    <w:uiPriority w:val="0"/>
    <w:rPr>
      <w:rFonts w:ascii="宋体" w:hAnsi="Courier New"/>
      <w:szCs w:val="20"/>
    </w:rPr>
  </w:style>
  <w:style w:type="paragraph" w:styleId="12">
    <w:name w:val="Date"/>
    <w:basedOn w:val="1"/>
    <w:next w:val="1"/>
    <w:link w:val="38"/>
    <w:semiHidden/>
    <w:unhideWhenUsed/>
    <w:qFormat/>
    <w:uiPriority w:val="0"/>
    <w:pPr>
      <w:ind w:left="100" w:leftChars="2500"/>
    </w:pPr>
  </w:style>
  <w:style w:type="paragraph" w:styleId="13">
    <w:name w:val="Balloon Text"/>
    <w:basedOn w:val="1"/>
    <w:link w:val="30"/>
    <w:qFormat/>
    <w:uiPriority w:val="0"/>
    <w:rPr>
      <w:sz w:val="18"/>
      <w:szCs w:val="18"/>
    </w:rPr>
  </w:style>
  <w:style w:type="paragraph" w:styleId="14">
    <w:name w:val="footer"/>
    <w:basedOn w:val="1"/>
    <w:link w:val="29"/>
    <w:qFormat/>
    <w:uiPriority w:val="99"/>
    <w:pPr>
      <w:tabs>
        <w:tab w:val="center" w:pos="4153"/>
        <w:tab w:val="right" w:pos="8306"/>
      </w:tabs>
    </w:pPr>
    <w:rPr>
      <w:sz w:val="18"/>
      <w:szCs w:val="18"/>
    </w:rPr>
  </w:style>
  <w:style w:type="paragraph" w:styleId="15">
    <w:name w:val="header"/>
    <w:basedOn w:val="1"/>
    <w:link w:val="28"/>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unhideWhenUsed/>
    <w:qFormat/>
    <w:uiPriority w:val="39"/>
  </w:style>
  <w:style w:type="paragraph" w:styleId="17">
    <w:name w:val="footnote text"/>
    <w:basedOn w:val="1"/>
    <w:qFormat/>
    <w:uiPriority w:val="0"/>
    <w:rPr>
      <w:rFonts w:eastAsia="仿宋_GB2312"/>
      <w:sz w:val="18"/>
      <w:szCs w:val="20"/>
    </w:rPr>
  </w:style>
  <w:style w:type="paragraph" w:styleId="18">
    <w:name w:val="toc 2"/>
    <w:basedOn w:val="1"/>
    <w:next w:val="1"/>
    <w:unhideWhenUsed/>
    <w:qFormat/>
    <w:uiPriority w:val="39"/>
    <w:pPr>
      <w:ind w:left="420" w:leftChars="200"/>
    </w:pPr>
  </w:style>
  <w:style w:type="paragraph" w:styleId="19">
    <w:name w:val="Normal (Web)"/>
    <w:basedOn w:val="1"/>
    <w:qFormat/>
    <w:uiPriority w:val="0"/>
    <w:pPr>
      <w:spacing w:before="100" w:beforeAutospacing="1" w:after="100" w:afterAutospacing="1"/>
    </w:pPr>
    <w:rPr>
      <w:rFonts w:cs="Times New Roman"/>
      <w:sz w:val="24"/>
    </w:rPr>
  </w:style>
  <w:style w:type="paragraph" w:styleId="20">
    <w:name w:val="Title"/>
    <w:basedOn w:val="1"/>
    <w:next w:val="1"/>
    <w:link w:val="40"/>
    <w:qFormat/>
    <w:uiPriority w:val="0"/>
    <w:pPr>
      <w:widowControl w:val="0"/>
      <w:kinsoku/>
      <w:autoSpaceDE/>
      <w:autoSpaceDN/>
      <w:adjustRightInd/>
      <w:snapToGrid/>
      <w:spacing w:before="240" w:after="60"/>
      <w:jc w:val="center"/>
      <w:textAlignment w:val="auto"/>
      <w:outlineLvl w:val="0"/>
    </w:pPr>
    <w:rPr>
      <w:rFonts w:ascii="Cambria" w:hAnsi="Cambria" w:eastAsia="Cambria" w:cs="Times New Roman"/>
      <w:b/>
      <w:bCs/>
      <w:snapToGrid/>
      <w:color w:val="auto"/>
      <w:kern w:val="2"/>
      <w:sz w:val="32"/>
      <w:szCs w:val="32"/>
    </w:rPr>
  </w:style>
  <w:style w:type="character" w:styleId="23">
    <w:name w:val="Strong"/>
    <w:basedOn w:val="22"/>
    <w:qFormat/>
    <w:uiPriority w:val="0"/>
    <w:rPr>
      <w:b/>
      <w:bCs/>
    </w:rPr>
  </w:style>
  <w:style w:type="character" w:styleId="24">
    <w:name w:val="page number"/>
    <w:basedOn w:val="22"/>
    <w:qFormat/>
    <w:uiPriority w:val="0"/>
  </w:style>
  <w:style w:type="character" w:styleId="25">
    <w:name w:val="Hyperlink"/>
    <w:qFormat/>
    <w:uiPriority w:val="99"/>
    <w:rPr>
      <w:color w:val="333333"/>
      <w:u w:val="none"/>
    </w:rPr>
  </w:style>
  <w:style w:type="character" w:styleId="26">
    <w:name w:val="footnote reference"/>
    <w:qFormat/>
    <w:uiPriority w:val="0"/>
    <w:rPr>
      <w:rFonts w:ascii="Calibri" w:hAnsi="Calibri" w:eastAsia="宋体" w:cs="Times New Roman"/>
      <w:vertAlign w:val="superscript"/>
    </w:rPr>
  </w:style>
  <w:style w:type="table" w:customStyle="1" w:styleId="27">
    <w:name w:val="Table Normal"/>
    <w:unhideWhenUsed/>
    <w:qFormat/>
    <w:uiPriority w:val="0"/>
    <w:tblPr>
      <w:tblCellMar>
        <w:top w:w="0" w:type="dxa"/>
        <w:left w:w="0" w:type="dxa"/>
        <w:bottom w:w="0" w:type="dxa"/>
        <w:right w:w="0" w:type="dxa"/>
      </w:tblCellMar>
    </w:tblPr>
  </w:style>
  <w:style w:type="character" w:customStyle="1" w:styleId="28">
    <w:name w:val="页眉 Char"/>
    <w:basedOn w:val="22"/>
    <w:link w:val="15"/>
    <w:qFormat/>
    <w:uiPriority w:val="99"/>
    <w:rPr>
      <w:rFonts w:eastAsia="Arial"/>
      <w:snapToGrid w:val="0"/>
      <w:color w:val="000000"/>
      <w:sz w:val="18"/>
      <w:szCs w:val="18"/>
    </w:rPr>
  </w:style>
  <w:style w:type="character" w:customStyle="1" w:styleId="29">
    <w:name w:val="页脚 Char"/>
    <w:basedOn w:val="22"/>
    <w:link w:val="14"/>
    <w:qFormat/>
    <w:uiPriority w:val="99"/>
    <w:rPr>
      <w:rFonts w:eastAsia="Arial"/>
      <w:snapToGrid w:val="0"/>
      <w:color w:val="000000"/>
      <w:sz w:val="18"/>
      <w:szCs w:val="18"/>
    </w:rPr>
  </w:style>
  <w:style w:type="character" w:customStyle="1" w:styleId="30">
    <w:name w:val="批注框文本 Char"/>
    <w:basedOn w:val="22"/>
    <w:link w:val="13"/>
    <w:qFormat/>
    <w:uiPriority w:val="0"/>
    <w:rPr>
      <w:rFonts w:eastAsia="Arial"/>
      <w:snapToGrid w:val="0"/>
      <w:color w:val="000000"/>
      <w:sz w:val="18"/>
      <w:szCs w:val="18"/>
    </w:rPr>
  </w:style>
  <w:style w:type="paragraph" w:styleId="31">
    <w:name w:val="List Paragraph"/>
    <w:basedOn w:val="1"/>
    <w:unhideWhenUsed/>
    <w:qFormat/>
    <w:uiPriority w:val="99"/>
    <w:pPr>
      <w:ind w:firstLine="420" w:firstLineChars="200"/>
    </w:pPr>
  </w:style>
  <w:style w:type="paragraph" w:customStyle="1" w:styleId="32">
    <w:name w:val="Table Paragraph"/>
    <w:basedOn w:val="1"/>
    <w:unhideWhenUsed/>
    <w:qFormat/>
    <w:uiPriority w:val="1"/>
    <w:pPr>
      <w:widowControl w:val="0"/>
      <w:kinsoku/>
      <w:autoSpaceDE/>
      <w:autoSpaceDN/>
      <w:adjustRightInd/>
      <w:snapToGrid/>
      <w:jc w:val="both"/>
      <w:textAlignment w:val="auto"/>
    </w:pPr>
    <w:rPr>
      <w:rFonts w:hint="eastAsia" w:ascii="Times New Roman" w:hAnsi="Times New Roman" w:eastAsia="宋体" w:cs="Times New Roman"/>
      <w:snapToGrid/>
      <w:color w:val="auto"/>
      <w:kern w:val="2"/>
      <w:sz w:val="24"/>
      <w:szCs w:val="24"/>
    </w:rPr>
  </w:style>
  <w:style w:type="paragraph" w:customStyle="1" w:styleId="33">
    <w:name w:val="[Normal]"/>
    <w:unhideWhenUsed/>
    <w:qFormat/>
    <w:uiPriority w:val="0"/>
    <w:rPr>
      <w:rFonts w:hint="eastAsia" w:ascii="宋体" w:hAnsi="宋体" w:eastAsia="宋体" w:cs="Times New Roman"/>
      <w:sz w:val="24"/>
      <w:lang w:val="zh-CN" w:eastAsia="zh-CN" w:bidi="ar-SA"/>
    </w:rPr>
  </w:style>
  <w:style w:type="paragraph" w:customStyle="1" w:styleId="34">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35">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character" w:customStyle="1" w:styleId="36">
    <w:name w:val="正文文本 Char"/>
    <w:basedOn w:val="22"/>
    <w:link w:val="2"/>
    <w:qFormat/>
    <w:uiPriority w:val="99"/>
    <w:rPr>
      <w:rFonts w:eastAsia="Arial"/>
      <w:snapToGrid w:val="0"/>
      <w:color w:val="000000"/>
      <w:sz w:val="21"/>
      <w:szCs w:val="21"/>
    </w:rPr>
  </w:style>
  <w:style w:type="paragraph" w:customStyle="1" w:styleId="37">
    <w:name w:val="Other|1"/>
    <w:basedOn w:val="1"/>
    <w:qFormat/>
    <w:uiPriority w:val="0"/>
    <w:pPr>
      <w:widowControl w:val="0"/>
      <w:kinsoku/>
      <w:autoSpaceDE/>
      <w:autoSpaceDN/>
      <w:adjustRightInd/>
      <w:snapToGrid/>
      <w:jc w:val="both"/>
      <w:textAlignment w:val="auto"/>
    </w:pPr>
    <w:rPr>
      <w:rFonts w:ascii="宋体" w:hAnsi="宋体" w:eastAsia="宋体" w:cs="宋体"/>
      <w:snapToGrid/>
      <w:color w:val="auto"/>
      <w:kern w:val="2"/>
      <w:sz w:val="17"/>
      <w:szCs w:val="17"/>
      <w:lang w:val="zh-TW" w:eastAsia="zh-TW" w:bidi="zh-TW"/>
    </w:rPr>
  </w:style>
  <w:style w:type="character" w:customStyle="1" w:styleId="38">
    <w:name w:val="日期 Char"/>
    <w:basedOn w:val="22"/>
    <w:link w:val="12"/>
    <w:semiHidden/>
    <w:qFormat/>
    <w:uiPriority w:val="0"/>
    <w:rPr>
      <w:rFonts w:eastAsia="Arial"/>
      <w:snapToGrid w:val="0"/>
      <w:color w:val="000000"/>
      <w:sz w:val="21"/>
      <w:szCs w:val="21"/>
    </w:rPr>
  </w:style>
  <w:style w:type="paragraph" w:customStyle="1" w:styleId="39">
    <w:name w:val="TOC 标题1"/>
    <w:basedOn w:val="4"/>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376092" w:themeColor="accent1" w:themeShade="BF"/>
      <w:kern w:val="0"/>
      <w:sz w:val="32"/>
      <w:szCs w:val="32"/>
    </w:rPr>
  </w:style>
  <w:style w:type="character" w:customStyle="1" w:styleId="40">
    <w:name w:val="标题 Char"/>
    <w:basedOn w:val="22"/>
    <w:link w:val="20"/>
    <w:qFormat/>
    <w:uiPriority w:val="0"/>
    <w:rPr>
      <w:rFonts w:ascii="Cambria" w:hAnsi="Cambria" w:eastAsia="Cambria" w:cs="Times New Roman"/>
      <w:b/>
      <w:bCs/>
      <w:kern w:val="2"/>
      <w:sz w:val="32"/>
      <w:szCs w:val="32"/>
    </w:rPr>
  </w:style>
  <w:style w:type="character" w:customStyle="1" w:styleId="41">
    <w:name w:val="正文缩进 Char"/>
    <w:link w:val="8"/>
    <w:qFormat/>
    <w:uiPriority w:val="0"/>
    <w:rPr>
      <w:rFonts w:ascii="Times New Roman" w:hAnsi="Times New Roman" w:eastAsia="宋体" w:cs="Times New Roman"/>
      <w:kern w:val="2"/>
      <w:sz w:val="21"/>
      <w:szCs w:val="24"/>
    </w:rPr>
  </w:style>
  <w:style w:type="paragraph" w:customStyle="1" w:styleId="42">
    <w:name w:val="样式 正文文本"/>
    <w:basedOn w:val="1"/>
    <w:qFormat/>
    <w:uiPriority w:val="0"/>
    <w:pPr>
      <w:spacing w:line="400" w:lineRule="exact"/>
      <w:ind w:firstLine="200" w:firstLineChars="200"/>
    </w:pPr>
    <w:rPr>
      <w:rFonts w:eastAsia="宋体" w:cs="宋体"/>
      <w:szCs w:val="20"/>
    </w:rPr>
  </w:style>
  <w:style w:type="paragraph" w:customStyle="1" w:styleId="43">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样式 样式1 + 首行缩进:  2 字符"/>
    <w:basedOn w:val="1"/>
    <w:qFormat/>
    <w:uiPriority w:val="0"/>
    <w:pPr>
      <w:widowControl w:val="0"/>
      <w:kinsoku/>
      <w:autoSpaceDE/>
      <w:autoSpaceDN/>
      <w:adjustRightInd/>
      <w:snapToGrid/>
      <w:spacing w:line="360" w:lineRule="exact"/>
      <w:ind w:firstLine="420" w:firstLineChars="200"/>
      <w:jc w:val="both"/>
      <w:textAlignment w:val="auto"/>
    </w:pPr>
    <w:rPr>
      <w:rFonts w:eastAsia="宋体" w:cs="宋体"/>
      <w:snapToGrid/>
      <w:color w:val="auto"/>
      <w:kern w:val="2"/>
      <w:szCs w:val="20"/>
    </w:rPr>
  </w:style>
  <w:style w:type="paragraph" w:customStyle="1" w:styleId="45">
    <w:name w:val="TOC 标题2"/>
    <w:basedOn w:val="4"/>
    <w:next w:val="1"/>
    <w:unhideWhenUsed/>
    <w:qFormat/>
    <w:uiPriority w:val="39"/>
    <w:pPr>
      <w:kinsoku/>
      <w:autoSpaceDE/>
      <w:autoSpaceDN/>
      <w:adjustRightInd/>
      <w:snapToGrid/>
      <w:spacing w:before="480" w:after="0" w:line="276" w:lineRule="auto"/>
      <w:textAlignment w:val="auto"/>
      <w:outlineLvl w:val="9"/>
    </w:pPr>
    <w:rPr>
      <w:rFonts w:asciiTheme="majorHAnsi" w:hAnsiTheme="majorHAnsi" w:eastAsiaTheme="majorEastAsia" w:cstheme="majorBidi"/>
      <w:snapToGrid/>
      <w:color w:val="376092" w:themeColor="accent1" w:themeShade="BF"/>
      <w:kern w:val="0"/>
      <w:sz w:val="28"/>
      <w:szCs w:val="28"/>
    </w:rPr>
  </w:style>
  <w:style w:type="paragraph" w:customStyle="1" w:styleId="46">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47">
    <w:name w:val="标题 1 Char"/>
    <w:link w:val="4"/>
    <w:qFormat/>
    <w:uiPriority w:val="0"/>
    <w:rPr>
      <w:rFonts w:eastAsia="Arial"/>
      <w:b/>
      <w:bCs/>
      <w:snapToGrid w:val="0"/>
      <w:color w:val="000000"/>
      <w:kern w:val="44"/>
      <w:sz w:val="44"/>
      <w:szCs w:val="44"/>
    </w:rPr>
  </w:style>
  <w:style w:type="character" w:customStyle="1" w:styleId="48">
    <w:name w:val="标题 3 Char"/>
    <w:link w:val="6"/>
    <w:qFormat/>
    <w:uiPriority w:val="0"/>
    <w:rPr>
      <w:rFonts w:eastAsia="Arial"/>
      <w:b/>
      <w:bCs/>
      <w:snapToGrid w:val="0"/>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27C00B-E0B9-4AE5-8D7B-F03BB6EFAF09}">
  <ds:schemaRefs/>
</ds:datastoreItem>
</file>

<file path=docProps/app.xml><?xml version="1.0" encoding="utf-8"?>
<Properties xmlns="http://schemas.openxmlformats.org/officeDocument/2006/extended-properties" xmlns:vt="http://schemas.openxmlformats.org/officeDocument/2006/docPropsVTypes">
  <Template>Normal.dotm</Template>
  <Pages>104</Pages>
  <Words>59853</Words>
  <Characters>64683</Characters>
  <Lines>575</Lines>
  <Paragraphs>162</Paragraphs>
  <TotalTime>4</TotalTime>
  <ScaleCrop>false</ScaleCrop>
  <LinksUpToDate>false</LinksUpToDate>
  <CharactersWithSpaces>72879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2022-07-21T02:35:00Z</dcterms:created>
  <dc:creator>吕锋</dc:creator>
  <cp:lastModifiedBy>西西柚</cp:lastModifiedBy>
  <cp:lastPrinted>2023-08-04T00:05:00Z</cp:lastPrinted>
  <dcterms:modified xsi:type="dcterms:W3CDTF">2023-08-04T07:53:28Z</dcterms:modified>
  <dc:title>台州市建设工程</dc:title>
  <cp:revision>464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2022-05-12T15:58:42Z</vt:filetime>
  </property>
  <property fmtid="{D5CDD505-2E9C-101B-9397-08002B2CF9AE}" pid="4" name="KSOProductBuildVer">
    <vt:lpwstr>2052-11.1.0.14309</vt:lpwstr>
  </property>
  <property fmtid="{D5CDD505-2E9C-101B-9397-08002B2CF9AE}" pid="5" name="ICV">
    <vt:lpwstr>138D79328D9749DBA3CD6D11B66445E8_13</vt:lpwstr>
  </property>
</Properties>
</file>