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宋体" w:hAnsi="宋体" w:eastAsia="宋体" w:cs="宋体"/>
          <w:bCs/>
          <w:color w:val="auto"/>
          <w:sz w:val="60"/>
          <w:szCs w:val="60"/>
        </w:rPr>
      </w:pPr>
      <w:bookmarkStart w:id="0" w:name="_Toc197855002"/>
      <w:bookmarkStart w:id="1" w:name="_Toc279656821"/>
      <w:bookmarkStart w:id="2" w:name="_Toc197855084"/>
      <w:bookmarkStart w:id="3" w:name="_Toc288556308"/>
      <w:bookmarkStart w:id="4" w:name="_Toc197855060"/>
      <w:bookmarkStart w:id="5" w:name="_Toc197855124"/>
      <w:bookmarkStart w:id="6" w:name="_Toc260052801"/>
      <w:bookmarkStart w:id="7" w:name="_Toc194913689"/>
      <w:bookmarkStart w:id="8" w:name="_Toc194913661"/>
      <w:bookmarkStart w:id="9" w:name="_Toc279155481"/>
      <w:bookmarkStart w:id="10" w:name="_Toc197855230"/>
      <w:bookmarkStart w:id="11" w:name="_Toc345680005"/>
    </w:p>
    <w:tbl>
      <w:tblPr>
        <w:tblStyle w:val="52"/>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0" w:hRule="atLeast"/>
        </w:trPr>
        <w:tc>
          <w:tcPr>
            <w:tcW w:w="945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color w:val="auto"/>
                <w:kern w:val="36"/>
                <w:sz w:val="52"/>
                <w:szCs w:val="52"/>
              </w:rPr>
            </w:pPr>
          </w:p>
          <w:p>
            <w:pPr>
              <w:jc w:val="center"/>
              <w:rPr>
                <w:rFonts w:hint="eastAsia" w:ascii="宋体" w:hAnsi="宋体" w:eastAsia="宋体" w:cs="宋体"/>
                <w:color w:val="auto"/>
                <w:sz w:val="44"/>
                <w:szCs w:val="44"/>
                <w:lang w:eastAsia="zh-CN"/>
              </w:rPr>
            </w:pPr>
            <w:r>
              <w:rPr>
                <w:rFonts w:hint="eastAsia" w:ascii="宋体" w:hAnsi="宋体" w:eastAsia="宋体" w:cs="宋体"/>
                <w:b/>
                <w:bCs/>
                <w:color w:val="auto"/>
                <w:kern w:val="36"/>
                <w:sz w:val="44"/>
                <w:szCs w:val="44"/>
                <w:lang w:eastAsia="zh-CN"/>
              </w:rPr>
              <w:t>三门县沙柳街道上下线上岙道口提升改造工程</w:t>
            </w:r>
          </w:p>
          <w:p>
            <w:pPr>
              <w:jc w:val="center"/>
              <w:rPr>
                <w:rFonts w:hint="eastAsia" w:ascii="宋体" w:hAnsi="宋体" w:eastAsia="宋体" w:cs="宋体"/>
                <w:color w:val="auto"/>
                <w:sz w:val="72"/>
                <w:szCs w:val="72"/>
              </w:rPr>
            </w:pPr>
          </w:p>
          <w:p>
            <w:pPr>
              <w:jc w:val="center"/>
              <w:rPr>
                <w:rFonts w:hint="eastAsia" w:ascii="宋体" w:hAnsi="宋体" w:eastAsia="宋体" w:cs="宋体"/>
                <w:color w:val="auto"/>
                <w:sz w:val="84"/>
              </w:rPr>
            </w:pPr>
            <w:r>
              <w:rPr>
                <w:rFonts w:hint="eastAsia" w:ascii="宋体" w:hAnsi="宋体" w:eastAsia="宋体" w:cs="宋体"/>
                <w:color w:val="auto"/>
                <w:sz w:val="72"/>
                <w:szCs w:val="72"/>
              </w:rPr>
              <w:t>施工招标文件</w:t>
            </w:r>
          </w:p>
          <w:p>
            <w:pPr>
              <w:spacing w:line="360" w:lineRule="auto"/>
              <w:jc w:val="center"/>
              <w:rPr>
                <w:rFonts w:hint="eastAsia" w:ascii="宋体" w:hAnsi="宋体" w:eastAsia="宋体" w:cs="宋体"/>
                <w:b/>
                <w:bCs/>
                <w:color w:val="auto"/>
                <w:sz w:val="36"/>
                <w:szCs w:val="36"/>
              </w:rPr>
            </w:pPr>
          </w:p>
          <w:p>
            <w:pPr>
              <w:spacing w:line="360" w:lineRule="auto"/>
              <w:jc w:val="center"/>
              <w:rPr>
                <w:rFonts w:hint="eastAsia" w:ascii="宋体" w:hAnsi="宋体" w:eastAsia="宋体" w:cs="宋体"/>
                <w:b/>
                <w:color w:val="auto"/>
                <w:sz w:val="36"/>
                <w:szCs w:val="36"/>
              </w:rPr>
            </w:pPr>
            <w:r>
              <w:rPr>
                <w:rFonts w:hint="eastAsia" w:ascii="宋体" w:hAnsi="宋体" w:eastAsia="宋体" w:cs="宋体"/>
                <w:b/>
                <w:bCs/>
                <w:color w:val="auto"/>
                <w:sz w:val="36"/>
                <w:szCs w:val="36"/>
              </w:rPr>
              <w:t>备案登记号：三招建备【20</w:t>
            </w:r>
            <w:r>
              <w:rPr>
                <w:rFonts w:hint="eastAsia" w:ascii="宋体" w:hAnsi="宋体" w:eastAsia="宋体" w:cs="宋体"/>
                <w:b/>
                <w:bCs/>
                <w:color w:val="auto"/>
                <w:sz w:val="36"/>
                <w:szCs w:val="36"/>
                <w:lang w:val="en-US" w:eastAsia="zh-CN"/>
              </w:rPr>
              <w:t>21</w:t>
            </w:r>
            <w:r>
              <w:rPr>
                <w:rFonts w:hint="eastAsia" w:ascii="宋体" w:hAnsi="宋体" w:eastAsia="宋体" w:cs="宋体"/>
                <w:b/>
                <w:bCs/>
                <w:color w:val="auto"/>
                <w:sz w:val="36"/>
                <w:szCs w:val="36"/>
              </w:rPr>
              <w:t>】-</w:t>
            </w:r>
            <w:r>
              <w:rPr>
                <w:rFonts w:hint="eastAsia" w:ascii="宋体" w:hAnsi="宋体" w:eastAsia="宋体" w:cs="宋体"/>
                <w:b/>
                <w:bCs/>
                <w:color w:val="auto"/>
                <w:sz w:val="36"/>
                <w:szCs w:val="36"/>
                <w:lang w:val="en-US" w:eastAsia="zh-CN"/>
              </w:rPr>
              <w:t>050号</w:t>
            </w:r>
          </w:p>
          <w:p>
            <w:pPr>
              <w:spacing w:line="360" w:lineRule="auto"/>
              <w:rPr>
                <w:rFonts w:hint="eastAsia" w:ascii="宋体" w:hAnsi="宋体" w:eastAsia="宋体" w:cs="宋体"/>
                <w:b/>
                <w:color w:val="auto"/>
                <w:sz w:val="32"/>
              </w:rPr>
            </w:pPr>
          </w:p>
          <w:p>
            <w:pPr>
              <w:spacing w:line="360" w:lineRule="auto"/>
              <w:rPr>
                <w:rFonts w:hint="eastAsia" w:ascii="宋体" w:hAnsi="宋体" w:eastAsia="宋体" w:cs="宋体"/>
                <w:b/>
                <w:color w:val="auto"/>
                <w:sz w:val="32"/>
              </w:rPr>
            </w:pPr>
          </w:p>
          <w:p>
            <w:pPr>
              <w:spacing w:line="360" w:lineRule="auto"/>
              <w:rPr>
                <w:rFonts w:hint="eastAsia" w:ascii="宋体" w:hAnsi="宋体" w:eastAsia="宋体" w:cs="宋体"/>
                <w:b/>
                <w:color w:val="auto"/>
                <w:sz w:val="32"/>
              </w:rPr>
            </w:pPr>
          </w:p>
          <w:p>
            <w:pPr>
              <w:spacing w:line="360" w:lineRule="auto"/>
              <w:rPr>
                <w:rFonts w:hint="eastAsia" w:ascii="宋体" w:hAnsi="宋体" w:eastAsia="宋体" w:cs="宋体"/>
                <w:b/>
                <w:color w:val="auto"/>
                <w:sz w:val="32"/>
              </w:rPr>
            </w:pPr>
          </w:p>
          <w:p>
            <w:pPr>
              <w:spacing w:line="360" w:lineRule="auto"/>
              <w:rPr>
                <w:rFonts w:hint="eastAsia" w:ascii="宋体" w:hAnsi="宋体" w:eastAsia="宋体" w:cs="宋体"/>
                <w:b/>
                <w:color w:val="auto"/>
                <w:sz w:val="32"/>
              </w:rPr>
            </w:pPr>
          </w:p>
          <w:p>
            <w:pPr>
              <w:spacing w:line="360" w:lineRule="auto"/>
              <w:rPr>
                <w:rFonts w:hint="eastAsia" w:ascii="宋体" w:hAnsi="宋体" w:eastAsia="宋体" w:cs="宋体"/>
                <w:b/>
                <w:color w:val="auto"/>
                <w:sz w:val="32"/>
              </w:rPr>
            </w:pPr>
          </w:p>
          <w:p>
            <w:pPr>
              <w:spacing w:line="360" w:lineRule="auto"/>
              <w:rPr>
                <w:rFonts w:hint="eastAsia" w:ascii="宋体" w:hAnsi="宋体" w:eastAsia="宋体" w:cs="宋体"/>
                <w:b/>
                <w:color w:val="auto"/>
                <w:sz w:val="32"/>
              </w:rPr>
            </w:pPr>
          </w:p>
          <w:p>
            <w:pPr>
              <w:spacing w:line="360" w:lineRule="auto"/>
              <w:rPr>
                <w:rFonts w:hint="eastAsia" w:ascii="宋体" w:hAnsi="宋体" w:eastAsia="宋体" w:cs="宋体"/>
                <w:b/>
                <w:color w:val="auto"/>
                <w:sz w:val="32"/>
              </w:rPr>
            </w:pPr>
          </w:p>
          <w:p>
            <w:pPr>
              <w:spacing w:line="360" w:lineRule="auto"/>
              <w:ind w:firstLine="2393" w:firstLineChars="745"/>
              <w:rPr>
                <w:rFonts w:hint="eastAsia" w:ascii="宋体" w:hAnsi="宋体" w:eastAsia="宋体" w:cs="宋体"/>
                <w:b/>
                <w:bCs/>
                <w:color w:val="auto"/>
                <w:sz w:val="32"/>
                <w:szCs w:val="32"/>
                <w:lang w:eastAsia="zh-CN"/>
              </w:rPr>
            </w:pPr>
            <w:r>
              <w:rPr>
                <w:rFonts w:hint="eastAsia" w:ascii="宋体" w:hAnsi="宋体" w:eastAsia="宋体" w:cs="宋体"/>
                <w:b/>
                <w:color w:val="auto"/>
                <w:sz w:val="32"/>
                <w:szCs w:val="32"/>
              </w:rPr>
              <w:t>招 标 人：</w:t>
            </w:r>
            <w:r>
              <w:rPr>
                <w:rFonts w:hint="eastAsia" w:ascii="宋体" w:hAnsi="宋体" w:eastAsia="宋体" w:cs="宋体"/>
                <w:b/>
                <w:bCs/>
                <w:color w:val="auto"/>
                <w:sz w:val="32"/>
                <w:szCs w:val="32"/>
                <w:lang w:eastAsia="zh-CN"/>
              </w:rPr>
              <w:t>三门县人民政府沙柳街道办事处</w:t>
            </w:r>
          </w:p>
          <w:p>
            <w:pPr>
              <w:spacing w:line="360" w:lineRule="auto"/>
              <w:ind w:firstLine="2393" w:firstLineChars="745"/>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招标代理：</w:t>
            </w:r>
            <w:r>
              <w:rPr>
                <w:rFonts w:hint="eastAsia" w:ascii="宋体" w:hAnsi="宋体" w:eastAsia="宋体" w:cs="宋体"/>
                <w:b/>
                <w:bCs/>
                <w:color w:val="auto"/>
                <w:sz w:val="32"/>
                <w:szCs w:val="32"/>
                <w:lang w:eastAsia="zh-CN"/>
              </w:rPr>
              <w:t>台州景珩建设管理有限公司</w:t>
            </w:r>
          </w:p>
          <w:p>
            <w:pPr>
              <w:spacing w:line="360" w:lineRule="auto"/>
              <w:ind w:firstLine="2393" w:firstLineChars="745"/>
              <w:rPr>
                <w:rFonts w:hint="eastAsia" w:ascii="宋体" w:hAnsi="宋体" w:eastAsia="宋体" w:cs="宋体"/>
                <w:b/>
                <w:bCs/>
                <w:color w:val="auto"/>
                <w:sz w:val="32"/>
                <w:szCs w:val="32"/>
              </w:rPr>
            </w:pPr>
            <w:r>
              <w:rPr>
                <w:rFonts w:hint="eastAsia" w:ascii="宋体" w:hAnsi="宋体" w:eastAsia="宋体" w:cs="宋体"/>
                <w:b/>
                <w:bCs/>
                <w:color w:val="auto"/>
                <w:sz w:val="32"/>
                <w:szCs w:val="32"/>
              </w:rPr>
              <w:t>行业主管部门：三门县交通运输局</w:t>
            </w:r>
          </w:p>
          <w:p>
            <w:pPr>
              <w:spacing w:line="600" w:lineRule="exact"/>
              <w:jc w:val="center"/>
              <w:rPr>
                <w:rFonts w:hint="eastAsia" w:ascii="宋体" w:hAnsi="宋体" w:eastAsia="宋体" w:cs="宋体"/>
                <w:b/>
                <w:bCs/>
                <w:color w:val="auto"/>
                <w:sz w:val="32"/>
                <w:szCs w:val="32"/>
              </w:rPr>
            </w:pPr>
            <w:r>
              <w:rPr>
                <w:color w:val="auto"/>
              </w:rPr>
              <w:fldChar w:fldCharType="begin"/>
            </w:r>
            <w:r>
              <w:rPr>
                <w:rFonts w:hint="eastAsia" w:ascii="宋体" w:hAnsi="宋体" w:eastAsia="宋体" w:cs="宋体"/>
                <w:b/>
                <w:bCs/>
                <w:color w:val="auto"/>
                <w:sz w:val="32"/>
                <w:szCs w:val="32"/>
              </w:rPr>
              <w:instrText xml:space="preserve">DATE \@ "EEEE年O月"</w:instrText>
            </w:r>
            <w:r>
              <w:rPr>
                <w:color w:val="auto"/>
              </w:rPr>
              <w:fldChar w:fldCharType="separate"/>
            </w:r>
            <w:r>
              <w:rPr>
                <w:rFonts w:hint="eastAsia" w:ascii="宋体" w:hAnsi="宋体" w:eastAsia="宋体" w:cs="宋体"/>
                <w:b/>
                <w:bCs/>
                <w:color w:val="auto"/>
                <w:sz w:val="32"/>
                <w:szCs w:val="32"/>
              </w:rPr>
              <w:t>二〇二一年四月</w:t>
            </w:r>
            <w:r>
              <w:rPr>
                <w:color w:val="auto"/>
              </w:rPr>
              <w:fldChar w:fldCharType="end"/>
            </w:r>
          </w:p>
          <w:p>
            <w:pPr>
              <w:spacing w:line="400" w:lineRule="exact"/>
              <w:jc w:val="center"/>
              <w:rPr>
                <w:rFonts w:hint="eastAsia" w:ascii="宋体" w:hAnsi="宋体" w:eastAsia="宋体" w:cs="宋体"/>
                <w:bCs/>
                <w:color w:val="auto"/>
                <w:sz w:val="44"/>
                <w:szCs w:val="20"/>
              </w:rPr>
            </w:pPr>
          </w:p>
          <w:p>
            <w:pPr>
              <w:spacing w:line="400" w:lineRule="exact"/>
              <w:jc w:val="center"/>
              <w:rPr>
                <w:rFonts w:hint="eastAsia" w:ascii="宋体" w:hAnsi="宋体" w:eastAsia="宋体" w:cs="宋体"/>
                <w:bCs/>
                <w:color w:val="auto"/>
                <w:sz w:val="44"/>
                <w:szCs w:val="20"/>
              </w:rPr>
            </w:pPr>
          </w:p>
          <w:p>
            <w:pPr>
              <w:spacing w:line="640" w:lineRule="exact"/>
              <w:jc w:val="center"/>
              <w:rPr>
                <w:rFonts w:hint="eastAsia" w:ascii="宋体" w:hAnsi="宋体" w:eastAsia="宋体" w:cs="宋体"/>
                <w:bCs/>
                <w:color w:val="auto"/>
                <w:sz w:val="44"/>
                <w:szCs w:val="20"/>
              </w:rPr>
            </w:pPr>
          </w:p>
          <w:p>
            <w:pPr>
              <w:spacing w:line="640" w:lineRule="exact"/>
              <w:jc w:val="center"/>
              <w:rPr>
                <w:rFonts w:hint="eastAsia" w:ascii="宋体" w:hAnsi="宋体" w:eastAsia="宋体" w:cs="宋体"/>
                <w:color w:val="auto"/>
                <w:sz w:val="32"/>
                <w:szCs w:val="32"/>
              </w:rPr>
            </w:pPr>
            <w:r>
              <w:rPr>
                <w:rFonts w:hint="eastAsia" w:ascii="宋体" w:hAnsi="宋体" w:eastAsia="宋体" w:cs="宋体"/>
                <w:bCs/>
                <w:color w:val="auto"/>
                <w:sz w:val="44"/>
                <w:szCs w:val="20"/>
              </w:rPr>
              <w:t>三   门   县</w:t>
            </w:r>
          </w:p>
          <w:p>
            <w:pPr>
              <w:spacing w:line="1100" w:lineRule="exact"/>
              <w:jc w:val="center"/>
              <w:rPr>
                <w:rFonts w:hint="eastAsia" w:ascii="宋体" w:hAnsi="宋体" w:eastAsia="宋体" w:cs="宋体"/>
                <w:bCs/>
                <w:color w:val="auto"/>
                <w:spacing w:val="120"/>
                <w:sz w:val="44"/>
                <w:szCs w:val="20"/>
              </w:rPr>
            </w:pPr>
            <w:r>
              <w:rPr>
                <w:rFonts w:hint="eastAsia" w:ascii="宋体" w:hAnsi="宋体" w:eastAsia="宋体" w:cs="宋体"/>
                <w:bCs/>
                <w:color w:val="auto"/>
                <w:spacing w:val="120"/>
                <w:sz w:val="44"/>
                <w:szCs w:val="20"/>
              </w:rPr>
              <w:t>建设工程招标文件</w:t>
            </w:r>
          </w:p>
          <w:p>
            <w:pPr>
              <w:spacing w:before="240" w:beforeLines="100" w:line="440" w:lineRule="exact"/>
              <w:rPr>
                <w:rFonts w:hint="eastAsia" w:ascii="宋体" w:hAnsi="宋体" w:eastAsia="宋体" w:cs="宋体"/>
                <w:bCs/>
                <w:color w:val="auto"/>
                <w:sz w:val="32"/>
                <w:szCs w:val="20"/>
              </w:rPr>
            </w:pPr>
            <w:r>
              <w:rPr>
                <w:rFonts w:hint="eastAsia" w:ascii="宋体" w:hAnsi="宋体" w:eastAsia="宋体" w:cs="宋体"/>
                <w:bCs/>
                <w:color w:val="auto"/>
                <w:sz w:val="32"/>
                <w:szCs w:val="20"/>
              </w:rPr>
              <w:t xml:space="preserve">             备案登记号：三招建备【20</w:t>
            </w:r>
            <w:r>
              <w:rPr>
                <w:rFonts w:hint="eastAsia" w:ascii="宋体" w:hAnsi="宋体" w:eastAsia="宋体" w:cs="宋体"/>
                <w:bCs/>
                <w:color w:val="auto"/>
                <w:sz w:val="32"/>
                <w:szCs w:val="20"/>
                <w:lang w:val="en-US" w:eastAsia="zh-CN"/>
              </w:rPr>
              <w:t>21</w:t>
            </w:r>
            <w:r>
              <w:rPr>
                <w:rFonts w:hint="eastAsia" w:ascii="宋体" w:hAnsi="宋体" w:eastAsia="宋体" w:cs="宋体"/>
                <w:bCs/>
                <w:color w:val="auto"/>
                <w:sz w:val="32"/>
                <w:szCs w:val="20"/>
              </w:rPr>
              <w:t>】-</w:t>
            </w:r>
            <w:r>
              <w:rPr>
                <w:rFonts w:hint="eastAsia" w:ascii="宋体" w:hAnsi="宋体" w:eastAsia="宋体" w:cs="宋体"/>
                <w:bCs/>
                <w:color w:val="auto"/>
                <w:sz w:val="32"/>
                <w:szCs w:val="20"/>
                <w:lang w:val="en-US" w:eastAsia="zh-CN"/>
              </w:rPr>
              <w:t xml:space="preserve"> 050</w:t>
            </w:r>
            <w:r>
              <w:rPr>
                <w:rFonts w:hint="eastAsia" w:ascii="宋体" w:hAnsi="宋体" w:eastAsia="宋体" w:cs="宋体"/>
                <w:bCs/>
                <w:color w:val="auto"/>
                <w:sz w:val="32"/>
                <w:szCs w:val="20"/>
              </w:rPr>
              <w:t>号</w:t>
            </w:r>
          </w:p>
          <w:p>
            <w:pPr>
              <w:spacing w:line="640" w:lineRule="exact"/>
              <w:rPr>
                <w:rFonts w:hint="eastAsia" w:ascii="宋体" w:hAnsi="宋体" w:eastAsia="宋体" w:cs="宋体"/>
                <w:bCs/>
                <w:color w:val="auto"/>
              </w:rPr>
            </w:pPr>
          </w:p>
          <w:p>
            <w:pPr>
              <w:ind w:left="2560" w:hanging="2560" w:hangingChars="800"/>
              <w:jc w:val="left"/>
              <w:rPr>
                <w:rFonts w:hint="eastAsia" w:ascii="宋体" w:hAnsi="宋体" w:eastAsia="宋体" w:cs="宋体"/>
                <w:bCs/>
                <w:color w:val="auto"/>
                <w:sz w:val="32"/>
                <w:szCs w:val="20"/>
              </w:rPr>
            </w:pPr>
            <w:r>
              <w:rPr>
                <w:rFonts w:hint="eastAsia" w:ascii="宋体" w:hAnsi="宋体" w:eastAsia="宋体" w:cs="宋体"/>
                <w:bCs/>
                <w:color w:val="auto"/>
                <w:sz w:val="32"/>
                <w:szCs w:val="20"/>
              </w:rPr>
              <w:t xml:space="preserve">   </w:t>
            </w:r>
            <w:r>
              <w:rPr>
                <w:rFonts w:hint="eastAsia" w:ascii="宋体" w:hAnsi="宋体" w:eastAsia="宋体" w:cs="宋体"/>
                <w:bCs/>
                <w:color w:val="auto"/>
                <w:sz w:val="32"/>
                <w:szCs w:val="20"/>
                <w:lang w:val="en-US" w:eastAsia="zh-CN"/>
              </w:rPr>
              <w:t xml:space="preserve">    </w:t>
            </w:r>
            <w:r>
              <w:rPr>
                <w:rFonts w:hint="eastAsia" w:ascii="宋体" w:hAnsi="宋体" w:eastAsia="宋体" w:cs="宋体"/>
                <w:bCs/>
                <w:color w:val="auto"/>
                <w:sz w:val="32"/>
                <w:szCs w:val="20"/>
              </w:rPr>
              <w:t>项目名称：</w:t>
            </w:r>
            <w:r>
              <w:rPr>
                <w:rFonts w:hint="eastAsia" w:ascii="宋体" w:hAnsi="宋体" w:eastAsia="宋体" w:cs="宋体"/>
                <w:bCs/>
                <w:color w:val="auto"/>
                <w:sz w:val="32"/>
                <w:szCs w:val="20"/>
                <w:lang w:eastAsia="zh-CN"/>
              </w:rPr>
              <w:t>三门县沙柳街道上下线上岙道口提升改造工程</w:t>
            </w:r>
            <w:r>
              <w:rPr>
                <w:rFonts w:hint="eastAsia" w:ascii="宋体" w:hAnsi="宋体" w:eastAsia="宋体" w:cs="宋体"/>
                <w:bCs/>
                <w:color w:val="auto"/>
                <w:sz w:val="32"/>
                <w:szCs w:val="20"/>
              </w:rPr>
              <w:t xml:space="preserve">       </w:t>
            </w:r>
          </w:p>
          <w:p>
            <w:pPr>
              <w:rPr>
                <w:rFonts w:hint="eastAsia" w:ascii="宋体" w:hAnsi="宋体" w:eastAsia="宋体" w:cs="宋体"/>
                <w:bCs/>
                <w:color w:val="auto"/>
                <w:sz w:val="32"/>
                <w:szCs w:val="20"/>
              </w:rPr>
            </w:pPr>
          </w:p>
          <w:p>
            <w:pPr>
              <w:spacing w:line="640" w:lineRule="exact"/>
              <w:ind w:left="210" w:firstLine="860" w:firstLineChars="269"/>
              <w:rPr>
                <w:rFonts w:hint="eastAsia" w:ascii="宋体" w:hAnsi="宋体" w:eastAsia="宋体" w:cs="宋体"/>
                <w:bCs/>
                <w:color w:val="auto"/>
                <w:sz w:val="32"/>
                <w:szCs w:val="20"/>
              </w:rPr>
            </w:pPr>
          </w:p>
          <w:p>
            <w:pPr>
              <w:spacing w:line="360" w:lineRule="auto"/>
              <w:ind w:firstLine="1104" w:firstLineChars="345"/>
              <w:rPr>
                <w:rFonts w:hint="eastAsia" w:ascii="宋体" w:hAnsi="宋体" w:eastAsia="宋体" w:cs="宋体"/>
                <w:bCs/>
                <w:color w:val="auto"/>
                <w:sz w:val="32"/>
                <w:szCs w:val="20"/>
              </w:rPr>
            </w:pPr>
            <w:r>
              <w:rPr>
                <w:rFonts w:hint="eastAsia" w:ascii="宋体" w:hAnsi="宋体" w:eastAsia="宋体" w:cs="宋体"/>
                <w:bCs/>
                <w:color w:val="auto"/>
                <w:sz w:val="32"/>
                <w:szCs w:val="20"/>
              </w:rPr>
              <w:t>招 标 人：</w:t>
            </w:r>
            <w:r>
              <w:rPr>
                <w:rFonts w:hint="eastAsia" w:ascii="宋体" w:hAnsi="宋体" w:eastAsia="宋体" w:cs="宋体"/>
                <w:bCs/>
                <w:color w:val="auto"/>
                <w:sz w:val="32"/>
                <w:szCs w:val="20"/>
                <w:lang w:eastAsia="zh-CN"/>
              </w:rPr>
              <w:t>三门县人民政府沙柳街道办事处</w:t>
            </w:r>
            <w:r>
              <w:rPr>
                <w:rFonts w:hint="eastAsia" w:ascii="宋体" w:hAnsi="宋体" w:eastAsia="宋体" w:cs="宋体"/>
                <w:bCs/>
                <w:color w:val="auto"/>
                <w:sz w:val="32"/>
                <w:szCs w:val="20"/>
              </w:rPr>
              <w:t>（盖章）</w:t>
            </w:r>
          </w:p>
          <w:p>
            <w:pPr>
              <w:spacing w:line="640" w:lineRule="exact"/>
              <w:ind w:left="210" w:firstLine="860" w:firstLineChars="269"/>
              <w:rPr>
                <w:rFonts w:hint="eastAsia" w:ascii="宋体" w:hAnsi="宋体" w:eastAsia="宋体" w:cs="宋体"/>
                <w:bCs/>
                <w:color w:val="auto"/>
                <w:sz w:val="32"/>
                <w:szCs w:val="20"/>
                <w:lang w:eastAsia="zh-CN"/>
              </w:rPr>
            </w:pPr>
            <w:r>
              <w:rPr>
                <w:rFonts w:hint="eastAsia" w:ascii="宋体" w:hAnsi="宋体" w:eastAsia="宋体" w:cs="宋体"/>
                <w:bCs/>
                <w:color w:val="auto"/>
                <w:sz w:val="32"/>
                <w:szCs w:val="20"/>
              </w:rPr>
              <w:t>联 系 人：</w:t>
            </w:r>
            <w:r>
              <w:rPr>
                <w:rFonts w:hint="eastAsia" w:ascii="宋体" w:hAnsi="宋体" w:eastAsia="宋体" w:cs="宋体"/>
                <w:bCs/>
                <w:color w:val="auto"/>
                <w:sz w:val="32"/>
                <w:szCs w:val="20"/>
                <w:lang w:eastAsia="zh-CN"/>
              </w:rPr>
              <w:t>何其军</w:t>
            </w:r>
          </w:p>
          <w:p>
            <w:pPr>
              <w:spacing w:line="640" w:lineRule="exact"/>
              <w:ind w:left="210" w:firstLine="860" w:firstLineChars="269"/>
              <w:rPr>
                <w:rFonts w:hint="eastAsia" w:ascii="宋体" w:hAnsi="宋体" w:eastAsia="宋体" w:cs="宋体"/>
                <w:bCs/>
                <w:color w:val="auto"/>
                <w:sz w:val="32"/>
                <w:szCs w:val="20"/>
              </w:rPr>
            </w:pPr>
            <w:r>
              <w:rPr>
                <w:rFonts w:hint="eastAsia" w:ascii="宋体" w:hAnsi="宋体" w:eastAsia="宋体" w:cs="宋体"/>
                <w:bCs/>
                <w:color w:val="auto"/>
                <w:sz w:val="32"/>
                <w:szCs w:val="20"/>
              </w:rPr>
              <w:t xml:space="preserve">联系电话: </w:t>
            </w:r>
            <w:r>
              <w:rPr>
                <w:rFonts w:hint="eastAsia" w:ascii="宋体" w:hAnsi="宋体" w:eastAsia="宋体" w:cs="宋体"/>
                <w:bCs/>
                <w:color w:val="auto"/>
                <w:sz w:val="32"/>
                <w:szCs w:val="20"/>
                <w:lang w:val="en-US" w:eastAsia="zh-CN"/>
              </w:rPr>
              <w:t>15267621072</w:t>
            </w:r>
            <w:r>
              <w:rPr>
                <w:rFonts w:hint="eastAsia" w:ascii="宋体" w:hAnsi="宋体" w:eastAsia="宋体" w:cs="宋体"/>
                <w:bCs/>
                <w:color w:val="auto"/>
                <w:sz w:val="32"/>
                <w:szCs w:val="20"/>
              </w:rPr>
              <w:t xml:space="preserve">     </w:t>
            </w:r>
          </w:p>
          <w:p>
            <w:pPr>
              <w:spacing w:line="640" w:lineRule="exact"/>
              <w:ind w:left="210" w:firstLine="860" w:firstLineChars="269"/>
              <w:rPr>
                <w:rFonts w:hint="eastAsia" w:ascii="宋体" w:hAnsi="宋体" w:eastAsia="宋体" w:cs="宋体"/>
                <w:bCs/>
                <w:color w:val="auto"/>
                <w:sz w:val="32"/>
                <w:szCs w:val="20"/>
              </w:rPr>
            </w:pPr>
          </w:p>
          <w:p>
            <w:pPr>
              <w:spacing w:line="640" w:lineRule="exact"/>
              <w:ind w:left="210" w:firstLine="860" w:firstLineChars="269"/>
              <w:rPr>
                <w:rFonts w:hint="eastAsia" w:ascii="宋体" w:hAnsi="宋体" w:eastAsia="宋体" w:cs="宋体"/>
                <w:bCs/>
                <w:color w:val="auto"/>
                <w:sz w:val="32"/>
                <w:szCs w:val="20"/>
              </w:rPr>
            </w:pPr>
            <w:r>
              <w:rPr>
                <w:rFonts w:hint="eastAsia" w:ascii="宋体" w:hAnsi="宋体" w:eastAsia="宋体" w:cs="宋体"/>
                <w:bCs/>
                <w:color w:val="auto"/>
                <w:sz w:val="32"/>
                <w:szCs w:val="20"/>
              </w:rPr>
              <w:t>招标代理：</w:t>
            </w:r>
            <w:r>
              <w:rPr>
                <w:rFonts w:hint="eastAsia" w:ascii="宋体" w:hAnsi="宋体" w:eastAsia="宋体" w:cs="宋体"/>
                <w:bCs/>
                <w:color w:val="auto"/>
                <w:sz w:val="32"/>
                <w:szCs w:val="20"/>
                <w:lang w:eastAsia="zh-CN"/>
              </w:rPr>
              <w:t>台州景珩建设管理有限公司</w:t>
            </w:r>
            <w:r>
              <w:rPr>
                <w:rFonts w:hint="eastAsia" w:ascii="宋体" w:hAnsi="宋体" w:eastAsia="宋体" w:cs="宋体"/>
                <w:bCs/>
                <w:color w:val="auto"/>
                <w:sz w:val="32"/>
                <w:szCs w:val="20"/>
              </w:rPr>
              <w:t>（盖章）</w:t>
            </w:r>
          </w:p>
          <w:p>
            <w:pPr>
              <w:spacing w:line="640" w:lineRule="exact"/>
              <w:ind w:left="210" w:firstLine="860" w:firstLineChars="269"/>
              <w:rPr>
                <w:rFonts w:hint="eastAsia" w:ascii="宋体" w:hAnsi="宋体" w:eastAsia="宋体" w:cs="宋体"/>
                <w:bCs/>
                <w:color w:val="auto"/>
                <w:sz w:val="32"/>
                <w:szCs w:val="20"/>
                <w:lang w:eastAsia="zh-CN"/>
              </w:rPr>
            </w:pPr>
            <w:r>
              <w:rPr>
                <w:rFonts w:hint="eastAsia" w:ascii="宋体" w:hAnsi="宋体" w:eastAsia="宋体" w:cs="宋体"/>
                <w:bCs/>
                <w:color w:val="auto"/>
                <w:sz w:val="32"/>
                <w:szCs w:val="20"/>
              </w:rPr>
              <w:t>联 系 人：</w:t>
            </w:r>
            <w:r>
              <w:rPr>
                <w:rFonts w:hint="eastAsia" w:ascii="宋体" w:hAnsi="宋体" w:eastAsia="宋体" w:cs="宋体"/>
                <w:bCs/>
                <w:color w:val="auto"/>
                <w:sz w:val="32"/>
                <w:szCs w:val="20"/>
                <w:lang w:eastAsia="zh-CN"/>
              </w:rPr>
              <w:t>吴春莲</w:t>
            </w:r>
          </w:p>
          <w:p>
            <w:pPr>
              <w:spacing w:line="640" w:lineRule="exact"/>
              <w:ind w:left="210" w:firstLine="860" w:firstLineChars="269"/>
              <w:rPr>
                <w:rFonts w:hint="eastAsia" w:ascii="宋体" w:hAnsi="宋体" w:eastAsia="宋体" w:cs="宋体"/>
                <w:bCs/>
                <w:color w:val="auto"/>
                <w:sz w:val="32"/>
                <w:szCs w:val="20"/>
                <w:lang w:eastAsia="zh-CN"/>
              </w:rPr>
            </w:pPr>
            <w:r>
              <w:rPr>
                <w:rFonts w:hint="eastAsia" w:ascii="宋体" w:hAnsi="宋体" w:eastAsia="宋体" w:cs="宋体"/>
                <w:bCs/>
                <w:color w:val="auto"/>
                <w:sz w:val="32"/>
                <w:szCs w:val="20"/>
              </w:rPr>
              <w:t>联系电话：</w:t>
            </w:r>
            <w:r>
              <w:rPr>
                <w:rFonts w:hint="eastAsia" w:ascii="宋体" w:hAnsi="宋体" w:eastAsia="宋体" w:cs="宋体"/>
                <w:bCs/>
                <w:color w:val="auto"/>
                <w:sz w:val="32"/>
                <w:szCs w:val="20"/>
                <w:lang w:eastAsia="zh-CN"/>
              </w:rPr>
              <w:t>0576-83519809</w:t>
            </w:r>
          </w:p>
          <w:p>
            <w:pPr>
              <w:spacing w:line="640" w:lineRule="exact"/>
              <w:ind w:left="210" w:firstLine="860" w:firstLineChars="269"/>
              <w:rPr>
                <w:rFonts w:hint="eastAsia" w:ascii="宋体" w:hAnsi="宋体" w:eastAsia="宋体" w:cs="宋体"/>
                <w:bCs/>
                <w:color w:val="auto"/>
                <w:sz w:val="32"/>
                <w:szCs w:val="20"/>
              </w:rPr>
            </w:pPr>
          </w:p>
          <w:p>
            <w:pPr>
              <w:spacing w:line="640" w:lineRule="exact"/>
              <w:ind w:left="210" w:firstLine="860" w:firstLineChars="269"/>
              <w:rPr>
                <w:rFonts w:hint="eastAsia" w:ascii="宋体" w:hAnsi="宋体" w:eastAsia="宋体" w:cs="宋体"/>
                <w:bCs/>
                <w:color w:val="auto"/>
                <w:sz w:val="32"/>
                <w:szCs w:val="20"/>
              </w:rPr>
            </w:pPr>
          </w:p>
          <w:p>
            <w:pPr>
              <w:spacing w:line="640" w:lineRule="exact"/>
              <w:ind w:left="210" w:firstLine="860" w:firstLineChars="269"/>
              <w:rPr>
                <w:rFonts w:hint="eastAsia" w:ascii="宋体" w:hAnsi="宋体" w:eastAsia="宋体" w:cs="宋体"/>
                <w:bCs/>
                <w:color w:val="auto"/>
                <w:sz w:val="32"/>
                <w:szCs w:val="20"/>
              </w:rPr>
            </w:pPr>
            <w:r>
              <w:rPr>
                <w:rFonts w:hint="eastAsia" w:ascii="宋体" w:hAnsi="宋体" w:eastAsia="宋体" w:cs="宋体"/>
                <w:bCs/>
                <w:color w:val="auto"/>
                <w:sz w:val="32"/>
                <w:szCs w:val="20"/>
              </w:rPr>
              <w:t>行业主管部门：三门县交通运输局（盖章）</w:t>
            </w:r>
          </w:p>
          <w:p>
            <w:pPr>
              <w:spacing w:line="640" w:lineRule="exact"/>
              <w:ind w:left="210" w:firstLine="860" w:firstLineChars="269"/>
              <w:rPr>
                <w:rFonts w:hint="eastAsia" w:ascii="宋体" w:hAnsi="宋体" w:eastAsia="宋体" w:cs="宋体"/>
                <w:bCs/>
                <w:color w:val="auto"/>
                <w:sz w:val="32"/>
                <w:szCs w:val="20"/>
              </w:rPr>
            </w:pPr>
          </w:p>
          <w:p>
            <w:pPr>
              <w:spacing w:line="640" w:lineRule="exact"/>
              <w:rPr>
                <w:rFonts w:hint="eastAsia" w:ascii="宋体" w:hAnsi="宋体" w:eastAsia="宋体" w:cs="宋体"/>
                <w:bCs/>
                <w:color w:val="auto"/>
              </w:rPr>
            </w:pPr>
          </w:p>
          <w:p>
            <w:pPr>
              <w:jc w:val="center"/>
              <w:rPr>
                <w:rFonts w:ascii="宋体" w:hAnsi="宋体" w:eastAsia="宋体" w:cs="宋体"/>
                <w:b/>
                <w:bCs/>
                <w:color w:val="auto"/>
                <w:sz w:val="44"/>
                <w:szCs w:val="20"/>
              </w:rPr>
            </w:pPr>
            <w:r>
              <w:rPr>
                <w:rFonts w:hint="eastAsia" w:ascii="宋体" w:hAnsi="宋体" w:eastAsia="宋体" w:cs="宋体"/>
                <w:bCs/>
                <w:color w:val="auto"/>
                <w:sz w:val="32"/>
                <w:szCs w:val="20"/>
              </w:rPr>
              <w:t>二〇二</w:t>
            </w:r>
            <w:r>
              <w:rPr>
                <w:rFonts w:hint="eastAsia" w:ascii="宋体" w:hAnsi="宋体" w:eastAsia="宋体" w:cs="宋体"/>
                <w:bCs/>
                <w:color w:val="auto"/>
                <w:sz w:val="32"/>
                <w:szCs w:val="20"/>
                <w:lang w:eastAsia="zh-CN"/>
              </w:rPr>
              <w:t>一</w:t>
            </w:r>
            <w:r>
              <w:rPr>
                <w:rFonts w:hint="eastAsia" w:ascii="宋体" w:hAnsi="宋体" w:eastAsia="宋体" w:cs="宋体"/>
                <w:bCs/>
                <w:color w:val="auto"/>
                <w:sz w:val="32"/>
                <w:szCs w:val="20"/>
              </w:rPr>
              <w:t>年</w:t>
            </w:r>
            <w:r>
              <w:rPr>
                <w:rFonts w:hint="eastAsia" w:ascii="宋体" w:hAnsi="宋体" w:eastAsia="宋体" w:cs="宋体"/>
                <w:bCs/>
                <w:color w:val="auto"/>
                <w:sz w:val="32"/>
                <w:szCs w:val="20"/>
                <w:lang w:eastAsia="zh-CN"/>
              </w:rPr>
              <w:t>四</w:t>
            </w:r>
            <w:r>
              <w:rPr>
                <w:rFonts w:hint="eastAsia" w:ascii="宋体" w:hAnsi="宋体" w:eastAsia="宋体" w:cs="宋体"/>
                <w:bCs/>
                <w:color w:val="auto"/>
                <w:sz w:val="32"/>
                <w:szCs w:val="20"/>
              </w:rPr>
              <w:t>月</w:t>
            </w:r>
          </w:p>
        </w:tc>
      </w:tr>
      <w:bookmarkEnd w:id="0"/>
      <w:bookmarkEnd w:id="1"/>
      <w:bookmarkEnd w:id="2"/>
      <w:bookmarkEnd w:id="3"/>
      <w:bookmarkEnd w:id="4"/>
      <w:bookmarkEnd w:id="5"/>
      <w:bookmarkEnd w:id="6"/>
      <w:bookmarkEnd w:id="7"/>
      <w:bookmarkEnd w:id="8"/>
      <w:bookmarkEnd w:id="9"/>
      <w:bookmarkEnd w:id="10"/>
      <w:bookmarkEnd w:id="11"/>
    </w:tbl>
    <w:p>
      <w:pPr>
        <w:rPr>
          <w:rFonts w:hint="eastAsia" w:ascii="宋体" w:hAnsi="宋体" w:eastAsia="宋体" w:cs="宋体"/>
          <w:color w:val="auto"/>
          <w:sz w:val="48"/>
          <w:szCs w:val="48"/>
        </w:rPr>
      </w:pPr>
    </w:p>
    <w:p>
      <w:pPr>
        <w:jc w:val="center"/>
        <w:rPr>
          <w:rFonts w:hint="eastAsia" w:ascii="宋体" w:hAnsi="宋体" w:eastAsia="宋体" w:cs="宋体"/>
          <w:color w:val="auto"/>
          <w:sz w:val="48"/>
          <w:szCs w:val="48"/>
        </w:rPr>
      </w:pPr>
      <w:r>
        <w:rPr>
          <w:rFonts w:hint="eastAsia" w:ascii="宋体" w:hAnsi="宋体" w:eastAsia="宋体" w:cs="宋体"/>
          <w:color w:val="auto"/>
          <w:sz w:val="48"/>
          <w:szCs w:val="48"/>
        </w:rPr>
        <w:br w:type="page"/>
      </w:r>
      <w:r>
        <w:rPr>
          <w:rFonts w:hint="eastAsia" w:ascii="宋体" w:hAnsi="宋体" w:eastAsia="宋体" w:cs="宋体"/>
          <w:color w:val="auto"/>
          <w:sz w:val="48"/>
          <w:szCs w:val="48"/>
        </w:rPr>
        <w:t>说 明</w:t>
      </w:r>
    </w:p>
    <w:p>
      <w:pPr>
        <w:spacing w:line="420" w:lineRule="exact"/>
        <w:rPr>
          <w:rFonts w:hint="eastAsia" w:ascii="宋体" w:hAnsi="宋体" w:eastAsia="宋体" w:cs="宋体"/>
          <w:color w:val="auto"/>
          <w:sz w:val="24"/>
        </w:rPr>
      </w:pPr>
    </w:p>
    <w:p>
      <w:pPr>
        <w:spacing w:line="420" w:lineRule="exact"/>
        <w:ind w:firstLine="489"/>
        <w:rPr>
          <w:rFonts w:hint="eastAsia" w:ascii="宋体" w:hAnsi="宋体" w:eastAsia="宋体" w:cs="宋体"/>
          <w:color w:val="auto"/>
          <w:szCs w:val="21"/>
        </w:rPr>
      </w:pPr>
      <w:r>
        <w:rPr>
          <w:rFonts w:hint="eastAsia" w:ascii="宋体" w:hAnsi="宋体" w:eastAsia="宋体" w:cs="宋体"/>
          <w:color w:val="auto"/>
          <w:szCs w:val="21"/>
        </w:rPr>
        <w:t>一、</w:t>
      </w:r>
      <w:r>
        <w:rPr>
          <w:rFonts w:hint="eastAsia" w:ascii="宋体" w:hAnsi="宋体" w:eastAsia="宋体" w:cs="宋体"/>
          <w:color w:val="auto"/>
          <w:szCs w:val="21"/>
          <w:u w:val="single"/>
          <w:lang w:eastAsia="zh-CN"/>
        </w:rPr>
        <w:t>三门县沙柳街道上下线上岙道口提升改造工程</w:t>
      </w:r>
      <w:r>
        <w:rPr>
          <w:rFonts w:hint="eastAsia" w:ascii="宋体" w:hAnsi="宋体" w:eastAsia="宋体" w:cs="宋体"/>
          <w:color w:val="auto"/>
          <w:szCs w:val="21"/>
        </w:rPr>
        <w:t>施工招标文件以《中华人民共和国招标投标法》、《中华人民共和国招标投标法实施条例》、《浙江省招标投标条例》、中华人民共和国《标准施工招标文件》（2007年版）、交通运输部《公路工程标准施工招标文件》（2009年版）、《浙江省公路工程施工招标文件范本》（2015年版）、台州市交通运输局关于转发《修订&lt;浙江省公路工程施工招标文件范本&gt;（2015年版）等招标文件范本部分内容》的通知和浙江省人民政府浙政发〔2009〕22号《浙江省人民政府关于严格规范国有投资工程建设项目招标投标活动的意见》为依据，结合本项目的特点和实际需要编制而成。</w:t>
      </w:r>
    </w:p>
    <w:p>
      <w:pPr>
        <w:spacing w:line="420" w:lineRule="exact"/>
        <w:ind w:firstLine="489"/>
        <w:rPr>
          <w:rFonts w:hint="eastAsia" w:ascii="宋体" w:hAnsi="宋体" w:eastAsia="宋体" w:cs="宋体"/>
          <w:color w:val="auto"/>
          <w:szCs w:val="21"/>
        </w:rPr>
      </w:pPr>
      <w:r>
        <w:rPr>
          <w:rFonts w:hint="eastAsia" w:ascii="宋体" w:hAnsi="宋体" w:eastAsia="宋体" w:cs="宋体"/>
          <w:color w:val="auto"/>
          <w:szCs w:val="21"/>
        </w:rPr>
        <w:t>招标文件不加修改地引用了《标准施工招标文件》和《公路工程标准施工招标文件》中的“投标人须知”、“评标办法”、“通用合同条款”、“A.公路工程专用合同条款”正文。</w:t>
      </w:r>
    </w:p>
    <w:p>
      <w:pPr>
        <w:spacing w:line="420" w:lineRule="exact"/>
        <w:ind w:firstLine="489"/>
        <w:rPr>
          <w:rFonts w:hint="eastAsia" w:ascii="宋体" w:hAnsi="宋体" w:eastAsia="宋体" w:cs="宋体"/>
          <w:color w:val="auto"/>
          <w:szCs w:val="21"/>
        </w:rPr>
      </w:pPr>
      <w:r>
        <w:rPr>
          <w:rFonts w:hint="eastAsia" w:ascii="宋体" w:hAnsi="宋体" w:eastAsia="宋体" w:cs="宋体"/>
          <w:color w:val="auto"/>
          <w:szCs w:val="21"/>
        </w:rPr>
        <w:t>二、《标准施工招标文件》、《公路工程标准施工招标文件》中“投标人须知”、“评标办法”、“通用合同条款”、“A.公路工程专用合同条款”是必须遵循的通用条款和规定，针对本项目的具体特点和实际情况：</w:t>
      </w:r>
    </w:p>
    <w:p>
      <w:pPr>
        <w:spacing w:line="420" w:lineRule="exact"/>
        <w:ind w:firstLine="489"/>
        <w:rPr>
          <w:rFonts w:hint="eastAsia" w:ascii="宋体" w:hAnsi="宋体" w:eastAsia="宋体" w:cs="宋体"/>
          <w:color w:val="auto"/>
          <w:szCs w:val="21"/>
        </w:rPr>
      </w:pPr>
      <w:r>
        <w:rPr>
          <w:rFonts w:hint="eastAsia" w:ascii="宋体" w:hAnsi="宋体" w:eastAsia="宋体" w:cs="宋体"/>
          <w:color w:val="auto"/>
          <w:szCs w:val="21"/>
        </w:rPr>
        <w:t>在“投标人须知前附表”和“评标办法前附表”中对“投标人须知”、“评标办法”进行了补充、细化。</w:t>
      </w:r>
    </w:p>
    <w:p>
      <w:pPr>
        <w:spacing w:line="420" w:lineRule="exact"/>
        <w:ind w:firstLine="489"/>
        <w:rPr>
          <w:rFonts w:hint="eastAsia" w:ascii="宋体" w:hAnsi="宋体" w:eastAsia="宋体" w:cs="宋体"/>
          <w:color w:val="auto"/>
          <w:szCs w:val="21"/>
        </w:rPr>
      </w:pPr>
      <w:r>
        <w:rPr>
          <w:rFonts w:hint="eastAsia" w:ascii="宋体" w:hAnsi="宋体" w:eastAsia="宋体" w:cs="宋体"/>
          <w:color w:val="auto"/>
          <w:szCs w:val="21"/>
        </w:rPr>
        <w:t>在“B.项目专用合同条款”中，对“通用合同条款”、“A.公路工程专用合同条款”进行了补充、细化或约定。</w:t>
      </w:r>
    </w:p>
    <w:p>
      <w:pPr>
        <w:spacing w:line="420" w:lineRule="exact"/>
        <w:ind w:firstLine="489"/>
        <w:rPr>
          <w:rFonts w:hint="eastAsia" w:ascii="宋体" w:hAnsi="宋体" w:eastAsia="宋体" w:cs="宋体"/>
          <w:color w:val="auto"/>
          <w:szCs w:val="21"/>
        </w:rPr>
      </w:pPr>
      <w:r>
        <w:rPr>
          <w:rFonts w:hint="eastAsia" w:ascii="宋体" w:hAnsi="宋体" w:eastAsia="宋体" w:cs="宋体"/>
          <w:color w:val="auto"/>
          <w:szCs w:val="21"/>
        </w:rPr>
        <w:t xml:space="preserve">三、招标文件中的“通用技术规范”直接引用了《公路工程标准施工招标文件》（下册）技术规范。 </w:t>
      </w:r>
    </w:p>
    <w:p>
      <w:pPr>
        <w:spacing w:line="420" w:lineRule="exact"/>
        <w:ind w:firstLine="489"/>
        <w:rPr>
          <w:rFonts w:hint="eastAsia" w:ascii="宋体" w:hAnsi="宋体" w:eastAsia="宋体" w:cs="宋体"/>
          <w:color w:val="auto"/>
          <w:szCs w:val="21"/>
        </w:rPr>
      </w:pPr>
      <w:r>
        <w:rPr>
          <w:rFonts w:hint="eastAsia" w:ascii="宋体" w:hAnsi="宋体" w:eastAsia="宋体" w:cs="宋体"/>
          <w:color w:val="auto"/>
          <w:szCs w:val="21"/>
        </w:rPr>
        <w:t>根据本项目的具体特点和实际需要，在“项目专用技术规范”中对“通用技术规范”进行了补充和修改。</w:t>
      </w:r>
    </w:p>
    <w:p>
      <w:pPr>
        <w:spacing w:line="420" w:lineRule="exact"/>
        <w:ind w:firstLine="489"/>
        <w:rPr>
          <w:rFonts w:hint="eastAsia" w:ascii="宋体" w:hAnsi="宋体" w:eastAsia="宋体" w:cs="宋体"/>
          <w:color w:val="auto"/>
          <w:szCs w:val="21"/>
        </w:rPr>
      </w:pPr>
      <w:r>
        <w:rPr>
          <w:rFonts w:hint="eastAsia" w:ascii="宋体" w:hAnsi="宋体" w:eastAsia="宋体" w:cs="宋体"/>
          <w:color w:val="auto"/>
          <w:szCs w:val="21"/>
        </w:rPr>
        <w:t>四、投标人应按招标文件的要求认真编制投标文件，完整地响应招标文件的规定和内容，避免投标文件因不能通过评审而被拒绝。</w:t>
      </w:r>
    </w:p>
    <w:p>
      <w:pPr>
        <w:spacing w:line="420" w:lineRule="exact"/>
        <w:ind w:firstLine="489"/>
        <w:rPr>
          <w:rFonts w:hint="eastAsia" w:ascii="宋体" w:hAnsi="宋体" w:eastAsia="宋体" w:cs="宋体"/>
          <w:color w:val="auto"/>
          <w:szCs w:val="21"/>
        </w:rPr>
      </w:pPr>
      <w:r>
        <w:rPr>
          <w:rFonts w:hint="eastAsia" w:ascii="宋体" w:hAnsi="宋体" w:eastAsia="宋体" w:cs="宋体"/>
          <w:color w:val="auto"/>
          <w:szCs w:val="21"/>
        </w:rPr>
        <w:t>五、《公路工程标准施工招标文件》（下册）由投标人自备。</w:t>
      </w:r>
    </w:p>
    <w:p>
      <w:pPr>
        <w:jc w:val="center"/>
        <w:rPr>
          <w:rFonts w:hint="eastAsia" w:ascii="宋体" w:hAnsi="宋体" w:eastAsia="宋体" w:cs="宋体"/>
          <w:color w:val="auto"/>
          <w:sz w:val="24"/>
        </w:rPr>
      </w:pPr>
    </w:p>
    <w:p>
      <w:pPr>
        <w:spacing w:line="400" w:lineRule="exact"/>
        <w:ind w:firstLine="480" w:firstLineChars="200"/>
        <w:jc w:val="center"/>
        <w:rPr>
          <w:rFonts w:hint="eastAsia" w:ascii="宋体" w:hAnsi="宋体" w:eastAsia="宋体" w:cs="宋体"/>
          <w:color w:val="auto"/>
          <w:sz w:val="36"/>
          <w:szCs w:val="36"/>
        </w:rPr>
      </w:pPr>
      <w:r>
        <w:rPr>
          <w:rFonts w:hint="eastAsia" w:ascii="宋体" w:hAnsi="宋体" w:eastAsia="宋体" w:cs="宋体"/>
          <w:color w:val="auto"/>
          <w:sz w:val="24"/>
        </w:rPr>
        <w:br w:type="page"/>
      </w:r>
      <w:r>
        <w:rPr>
          <w:rFonts w:hint="eastAsia" w:ascii="宋体" w:hAnsi="宋体" w:eastAsia="宋体" w:cs="宋体"/>
          <w:color w:val="auto"/>
          <w:sz w:val="36"/>
          <w:szCs w:val="36"/>
          <w:lang w:val="zh-CN"/>
        </w:rPr>
        <w:t>目  录</w:t>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TOC \o "1-2" \h \z \u </w:instrText>
      </w:r>
      <w:r>
        <w:rPr>
          <w:rFonts w:ascii="宋体" w:hAnsi="宋体" w:eastAsia="宋体" w:cs="宋体"/>
          <w:color w:val="auto"/>
        </w:rPr>
        <w:fldChar w:fldCharType="separate"/>
      </w:r>
      <w:r>
        <w:rPr>
          <w:rFonts w:ascii="宋体" w:hAnsi="宋体" w:eastAsia="宋体" w:cs="宋体"/>
          <w:color w:val="auto"/>
        </w:rPr>
        <w:fldChar w:fldCharType="begin"/>
      </w:r>
      <w:r>
        <w:rPr>
          <w:rFonts w:ascii="宋体" w:hAnsi="宋体" w:eastAsia="宋体" w:cs="宋体"/>
          <w:color w:val="auto"/>
        </w:rPr>
        <w:instrText xml:space="preserve"> HYPERLINK \l _Toc18878 </w:instrText>
      </w:r>
      <w:r>
        <w:rPr>
          <w:rFonts w:ascii="宋体" w:hAnsi="宋体" w:eastAsia="宋体" w:cs="宋体"/>
          <w:color w:val="auto"/>
        </w:rPr>
        <w:fldChar w:fldCharType="separate"/>
      </w:r>
      <w:r>
        <w:rPr>
          <w:rFonts w:hint="eastAsia" w:ascii="宋体" w:hAnsi="宋体"/>
          <w:color w:val="auto"/>
          <w:szCs w:val="72"/>
        </w:rPr>
        <w:t>第  一  卷</w:t>
      </w:r>
      <w:r>
        <w:rPr>
          <w:color w:val="auto"/>
        </w:rPr>
        <w:tab/>
      </w:r>
      <w:r>
        <w:rPr>
          <w:color w:val="auto"/>
        </w:rPr>
        <w:fldChar w:fldCharType="begin"/>
      </w:r>
      <w:r>
        <w:rPr>
          <w:color w:val="auto"/>
        </w:rPr>
        <w:instrText xml:space="preserve"> PAGEREF _Toc18878 </w:instrText>
      </w:r>
      <w:r>
        <w:rPr>
          <w:color w:val="auto"/>
        </w:rPr>
        <w:fldChar w:fldCharType="separate"/>
      </w:r>
      <w:r>
        <w:rPr>
          <w:color w:val="auto"/>
        </w:rPr>
        <w:t>8</w:t>
      </w:r>
      <w:r>
        <w:rPr>
          <w:color w:val="auto"/>
        </w:rPr>
        <w:fldChar w:fldCharType="end"/>
      </w:r>
      <w:r>
        <w:rPr>
          <w:rFonts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_Toc16991 </w:instrText>
      </w:r>
      <w:r>
        <w:rPr>
          <w:rFonts w:hint="eastAsia" w:ascii="宋体" w:hAnsi="宋体" w:eastAsia="宋体" w:cs="宋体"/>
          <w:color w:val="auto"/>
        </w:rPr>
        <w:fldChar w:fldCharType="separate"/>
      </w:r>
      <w:r>
        <w:rPr>
          <w:rFonts w:hint="eastAsia" w:ascii="宋体" w:hAnsi="宋体"/>
          <w:color w:val="auto"/>
          <w:szCs w:val="30"/>
        </w:rPr>
        <w:t>投标人须知前附表</w:t>
      </w:r>
      <w:r>
        <w:rPr>
          <w:color w:val="auto"/>
        </w:rPr>
        <w:tab/>
      </w:r>
      <w:r>
        <w:rPr>
          <w:color w:val="auto"/>
        </w:rPr>
        <w:fldChar w:fldCharType="begin"/>
      </w:r>
      <w:r>
        <w:rPr>
          <w:color w:val="auto"/>
        </w:rPr>
        <w:instrText xml:space="preserve"> PAGEREF _Toc16991 </w:instrText>
      </w:r>
      <w:r>
        <w:rPr>
          <w:color w:val="auto"/>
        </w:rPr>
        <w:fldChar w:fldCharType="separate"/>
      </w:r>
      <w:r>
        <w:rPr>
          <w:color w:val="auto"/>
        </w:rPr>
        <w:t>10</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_Toc26559 </w:instrText>
      </w:r>
      <w:r>
        <w:rPr>
          <w:rFonts w:hint="eastAsia" w:ascii="宋体" w:hAnsi="宋体" w:eastAsia="宋体" w:cs="宋体"/>
          <w:color w:val="auto"/>
        </w:rPr>
        <w:fldChar w:fldCharType="separate"/>
      </w:r>
      <w:r>
        <w:rPr>
          <w:rFonts w:hint="eastAsia" w:ascii="宋体" w:hAnsi="宋体"/>
          <w:color w:val="auto"/>
          <w:szCs w:val="24"/>
        </w:rPr>
        <w:t>附录1   资格审查条件(资质最低条件)</w:t>
      </w:r>
      <w:r>
        <w:rPr>
          <w:color w:val="auto"/>
        </w:rPr>
        <w:tab/>
      </w:r>
      <w:r>
        <w:rPr>
          <w:color w:val="auto"/>
        </w:rPr>
        <w:fldChar w:fldCharType="begin"/>
      </w:r>
      <w:r>
        <w:rPr>
          <w:color w:val="auto"/>
        </w:rPr>
        <w:instrText xml:space="preserve"> PAGEREF _Toc26559 </w:instrText>
      </w:r>
      <w:r>
        <w:rPr>
          <w:color w:val="auto"/>
        </w:rPr>
        <w:fldChar w:fldCharType="separate"/>
      </w:r>
      <w:r>
        <w:rPr>
          <w:color w:val="auto"/>
        </w:rPr>
        <w:t>17</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_Toc7782 </w:instrText>
      </w:r>
      <w:r>
        <w:rPr>
          <w:rFonts w:hint="eastAsia" w:ascii="宋体" w:hAnsi="宋体" w:eastAsia="宋体" w:cs="宋体"/>
          <w:color w:val="auto"/>
        </w:rPr>
        <w:fldChar w:fldCharType="separate"/>
      </w:r>
      <w:r>
        <w:rPr>
          <w:rFonts w:hint="eastAsia" w:ascii="宋体" w:hAnsi="宋体"/>
          <w:color w:val="auto"/>
          <w:szCs w:val="24"/>
        </w:rPr>
        <w:t>附录2   资格审查条件(财务最低要求)</w:t>
      </w:r>
      <w:r>
        <w:rPr>
          <w:color w:val="auto"/>
        </w:rPr>
        <w:tab/>
      </w:r>
      <w:r>
        <w:rPr>
          <w:color w:val="auto"/>
        </w:rPr>
        <w:fldChar w:fldCharType="begin"/>
      </w:r>
      <w:r>
        <w:rPr>
          <w:color w:val="auto"/>
        </w:rPr>
        <w:instrText xml:space="preserve"> PAGEREF _Toc7782 </w:instrText>
      </w:r>
      <w:r>
        <w:rPr>
          <w:color w:val="auto"/>
        </w:rPr>
        <w:fldChar w:fldCharType="separate"/>
      </w:r>
      <w:r>
        <w:rPr>
          <w:color w:val="auto"/>
        </w:rPr>
        <w:t>17</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_Toc9095 </w:instrText>
      </w:r>
      <w:r>
        <w:rPr>
          <w:rFonts w:hint="eastAsia" w:ascii="宋体" w:hAnsi="宋体" w:eastAsia="宋体" w:cs="宋体"/>
          <w:color w:val="auto"/>
        </w:rPr>
        <w:fldChar w:fldCharType="separate"/>
      </w:r>
      <w:r>
        <w:rPr>
          <w:rFonts w:hint="eastAsia" w:ascii="宋体" w:hAnsi="宋体"/>
          <w:color w:val="auto"/>
          <w:szCs w:val="24"/>
        </w:rPr>
        <w:t>附录3   资格审查条件(业绩最低要求)</w:t>
      </w:r>
      <w:r>
        <w:rPr>
          <w:color w:val="auto"/>
        </w:rPr>
        <w:tab/>
      </w:r>
      <w:r>
        <w:rPr>
          <w:color w:val="auto"/>
        </w:rPr>
        <w:fldChar w:fldCharType="begin"/>
      </w:r>
      <w:r>
        <w:rPr>
          <w:color w:val="auto"/>
        </w:rPr>
        <w:instrText xml:space="preserve"> PAGEREF _Toc9095 </w:instrText>
      </w:r>
      <w:r>
        <w:rPr>
          <w:color w:val="auto"/>
        </w:rPr>
        <w:fldChar w:fldCharType="separate"/>
      </w:r>
      <w:r>
        <w:rPr>
          <w:color w:val="auto"/>
        </w:rPr>
        <w:t>18</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_Toc146 </w:instrText>
      </w:r>
      <w:r>
        <w:rPr>
          <w:rFonts w:hint="eastAsia" w:ascii="宋体" w:hAnsi="宋体" w:eastAsia="宋体" w:cs="宋体"/>
          <w:color w:val="auto"/>
        </w:rPr>
        <w:fldChar w:fldCharType="separate"/>
      </w:r>
      <w:r>
        <w:rPr>
          <w:rFonts w:hint="eastAsia" w:ascii="宋体" w:hAnsi="宋体"/>
          <w:color w:val="auto"/>
          <w:szCs w:val="24"/>
        </w:rPr>
        <w:t>附录4   资格审查条件(信誉最低要求)</w:t>
      </w:r>
      <w:r>
        <w:rPr>
          <w:color w:val="auto"/>
        </w:rPr>
        <w:tab/>
      </w:r>
      <w:r>
        <w:rPr>
          <w:color w:val="auto"/>
        </w:rPr>
        <w:fldChar w:fldCharType="begin"/>
      </w:r>
      <w:r>
        <w:rPr>
          <w:color w:val="auto"/>
        </w:rPr>
        <w:instrText xml:space="preserve"> PAGEREF _Toc146 </w:instrText>
      </w:r>
      <w:r>
        <w:rPr>
          <w:color w:val="auto"/>
        </w:rPr>
        <w:fldChar w:fldCharType="separate"/>
      </w:r>
      <w:r>
        <w:rPr>
          <w:color w:val="auto"/>
        </w:rPr>
        <w:t>18</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_Toc11545 </w:instrText>
      </w:r>
      <w:r>
        <w:rPr>
          <w:rFonts w:hint="eastAsia" w:ascii="宋体" w:hAnsi="宋体" w:eastAsia="宋体" w:cs="宋体"/>
          <w:color w:val="auto"/>
        </w:rPr>
        <w:fldChar w:fldCharType="separate"/>
      </w:r>
      <w:r>
        <w:rPr>
          <w:rFonts w:hint="eastAsia" w:ascii="宋体" w:hAnsi="宋体"/>
          <w:color w:val="auto"/>
          <w:szCs w:val="24"/>
        </w:rPr>
        <w:t>附录5   资格审查条件(项目经理和项目总工最低要求)</w:t>
      </w:r>
      <w:r>
        <w:rPr>
          <w:color w:val="auto"/>
        </w:rPr>
        <w:tab/>
      </w:r>
      <w:r>
        <w:rPr>
          <w:color w:val="auto"/>
        </w:rPr>
        <w:fldChar w:fldCharType="begin"/>
      </w:r>
      <w:r>
        <w:rPr>
          <w:color w:val="auto"/>
        </w:rPr>
        <w:instrText xml:space="preserve"> PAGEREF _Toc11545 </w:instrText>
      </w:r>
      <w:r>
        <w:rPr>
          <w:color w:val="auto"/>
        </w:rPr>
        <w:fldChar w:fldCharType="separate"/>
      </w:r>
      <w:r>
        <w:rPr>
          <w:color w:val="auto"/>
        </w:rPr>
        <w:t>19</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_Toc445 </w:instrText>
      </w:r>
      <w:r>
        <w:rPr>
          <w:rFonts w:hint="eastAsia" w:ascii="宋体" w:hAnsi="宋体" w:eastAsia="宋体" w:cs="宋体"/>
          <w:color w:val="auto"/>
        </w:rPr>
        <w:fldChar w:fldCharType="separate"/>
      </w:r>
      <w:r>
        <w:rPr>
          <w:rFonts w:hint="eastAsia" w:ascii="宋体" w:hAnsi="宋体"/>
          <w:color w:val="auto"/>
          <w:szCs w:val="28"/>
        </w:rPr>
        <w:t>1. 总则</w:t>
      </w:r>
      <w:r>
        <w:rPr>
          <w:color w:val="auto"/>
        </w:rPr>
        <w:tab/>
      </w:r>
      <w:r>
        <w:rPr>
          <w:color w:val="auto"/>
        </w:rPr>
        <w:fldChar w:fldCharType="begin"/>
      </w:r>
      <w:r>
        <w:rPr>
          <w:color w:val="auto"/>
        </w:rPr>
        <w:instrText xml:space="preserve"> PAGEREF _Toc445 </w:instrText>
      </w:r>
      <w:r>
        <w:rPr>
          <w:color w:val="auto"/>
        </w:rPr>
        <w:fldChar w:fldCharType="separate"/>
      </w:r>
      <w:r>
        <w:rPr>
          <w:color w:val="auto"/>
        </w:rPr>
        <w:t>20</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_Toc17813 </w:instrText>
      </w:r>
      <w:r>
        <w:rPr>
          <w:rFonts w:hint="eastAsia" w:ascii="宋体" w:hAnsi="宋体" w:eastAsia="宋体" w:cs="宋体"/>
          <w:color w:val="auto"/>
        </w:rPr>
        <w:fldChar w:fldCharType="separate"/>
      </w:r>
      <w:r>
        <w:rPr>
          <w:rFonts w:hint="eastAsia" w:ascii="宋体" w:hAnsi="宋体"/>
          <w:color w:val="auto"/>
          <w:szCs w:val="21"/>
        </w:rPr>
        <w:t>1.1 项目概况</w:t>
      </w:r>
      <w:r>
        <w:rPr>
          <w:color w:val="auto"/>
        </w:rPr>
        <w:tab/>
      </w:r>
      <w:r>
        <w:rPr>
          <w:color w:val="auto"/>
        </w:rPr>
        <w:fldChar w:fldCharType="begin"/>
      </w:r>
      <w:r>
        <w:rPr>
          <w:color w:val="auto"/>
        </w:rPr>
        <w:instrText xml:space="preserve"> PAGEREF _Toc17813 </w:instrText>
      </w:r>
      <w:r>
        <w:rPr>
          <w:color w:val="auto"/>
        </w:rPr>
        <w:fldChar w:fldCharType="separate"/>
      </w:r>
      <w:r>
        <w:rPr>
          <w:color w:val="auto"/>
        </w:rPr>
        <w:t>20</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_Toc881 </w:instrText>
      </w:r>
      <w:r>
        <w:rPr>
          <w:rFonts w:hint="eastAsia" w:ascii="宋体" w:hAnsi="宋体" w:eastAsia="宋体" w:cs="宋体"/>
          <w:color w:val="auto"/>
        </w:rPr>
        <w:fldChar w:fldCharType="separate"/>
      </w:r>
      <w:r>
        <w:rPr>
          <w:rFonts w:hint="eastAsia" w:ascii="宋体" w:hAnsi="宋体"/>
          <w:color w:val="auto"/>
          <w:szCs w:val="21"/>
        </w:rPr>
        <w:t>1.2 资金来源和落实情况</w:t>
      </w:r>
      <w:r>
        <w:rPr>
          <w:color w:val="auto"/>
        </w:rPr>
        <w:tab/>
      </w:r>
      <w:r>
        <w:rPr>
          <w:color w:val="auto"/>
        </w:rPr>
        <w:fldChar w:fldCharType="begin"/>
      </w:r>
      <w:r>
        <w:rPr>
          <w:color w:val="auto"/>
        </w:rPr>
        <w:instrText xml:space="preserve"> PAGEREF _Toc881 </w:instrText>
      </w:r>
      <w:r>
        <w:rPr>
          <w:color w:val="auto"/>
        </w:rPr>
        <w:fldChar w:fldCharType="separate"/>
      </w:r>
      <w:r>
        <w:rPr>
          <w:color w:val="auto"/>
        </w:rPr>
        <w:t>20</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_Toc417 </w:instrText>
      </w:r>
      <w:r>
        <w:rPr>
          <w:rFonts w:hint="eastAsia" w:ascii="宋体" w:hAnsi="宋体" w:eastAsia="宋体" w:cs="宋体"/>
          <w:color w:val="auto"/>
        </w:rPr>
        <w:fldChar w:fldCharType="separate"/>
      </w:r>
      <w:r>
        <w:rPr>
          <w:rFonts w:hint="eastAsia" w:ascii="宋体" w:hAnsi="宋体"/>
          <w:color w:val="auto"/>
          <w:szCs w:val="21"/>
        </w:rPr>
        <w:t>1.3 招标范围、计划工期和质量要求</w:t>
      </w:r>
      <w:r>
        <w:rPr>
          <w:color w:val="auto"/>
        </w:rPr>
        <w:tab/>
      </w:r>
      <w:r>
        <w:rPr>
          <w:color w:val="auto"/>
        </w:rPr>
        <w:fldChar w:fldCharType="begin"/>
      </w:r>
      <w:r>
        <w:rPr>
          <w:color w:val="auto"/>
        </w:rPr>
        <w:instrText xml:space="preserve"> PAGEREF _Toc417 </w:instrText>
      </w:r>
      <w:r>
        <w:rPr>
          <w:color w:val="auto"/>
        </w:rPr>
        <w:fldChar w:fldCharType="separate"/>
      </w:r>
      <w:r>
        <w:rPr>
          <w:color w:val="auto"/>
        </w:rPr>
        <w:t>20</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_Toc9206 </w:instrText>
      </w:r>
      <w:r>
        <w:rPr>
          <w:rFonts w:hint="eastAsia" w:ascii="宋体" w:hAnsi="宋体" w:eastAsia="宋体" w:cs="宋体"/>
          <w:color w:val="auto"/>
        </w:rPr>
        <w:fldChar w:fldCharType="separate"/>
      </w:r>
      <w:r>
        <w:rPr>
          <w:rFonts w:hint="eastAsia" w:ascii="宋体" w:hAnsi="宋体"/>
          <w:color w:val="auto"/>
          <w:szCs w:val="21"/>
        </w:rPr>
        <w:t>1.4 投标人资格要求</w:t>
      </w:r>
      <w:r>
        <w:rPr>
          <w:color w:val="auto"/>
        </w:rPr>
        <w:tab/>
      </w:r>
      <w:r>
        <w:rPr>
          <w:color w:val="auto"/>
        </w:rPr>
        <w:fldChar w:fldCharType="begin"/>
      </w:r>
      <w:r>
        <w:rPr>
          <w:color w:val="auto"/>
        </w:rPr>
        <w:instrText xml:space="preserve"> PAGEREF _Toc9206 </w:instrText>
      </w:r>
      <w:r>
        <w:rPr>
          <w:color w:val="auto"/>
        </w:rPr>
        <w:fldChar w:fldCharType="separate"/>
      </w:r>
      <w:r>
        <w:rPr>
          <w:color w:val="auto"/>
        </w:rPr>
        <w:t>20</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_Toc22965 </w:instrText>
      </w:r>
      <w:r>
        <w:rPr>
          <w:rFonts w:hint="eastAsia" w:ascii="宋体" w:hAnsi="宋体" w:eastAsia="宋体" w:cs="宋体"/>
          <w:color w:val="auto"/>
        </w:rPr>
        <w:fldChar w:fldCharType="separate"/>
      </w:r>
      <w:r>
        <w:rPr>
          <w:rFonts w:hint="eastAsia" w:ascii="宋体" w:hAnsi="宋体"/>
          <w:color w:val="auto"/>
          <w:szCs w:val="21"/>
        </w:rPr>
        <w:t>1.5 费用承担</w:t>
      </w:r>
      <w:r>
        <w:rPr>
          <w:color w:val="auto"/>
        </w:rPr>
        <w:tab/>
      </w:r>
      <w:r>
        <w:rPr>
          <w:color w:val="auto"/>
        </w:rPr>
        <w:fldChar w:fldCharType="begin"/>
      </w:r>
      <w:r>
        <w:rPr>
          <w:color w:val="auto"/>
        </w:rPr>
        <w:instrText xml:space="preserve"> PAGEREF _Toc22965 </w:instrText>
      </w:r>
      <w:r>
        <w:rPr>
          <w:color w:val="auto"/>
        </w:rPr>
        <w:fldChar w:fldCharType="separate"/>
      </w:r>
      <w:r>
        <w:rPr>
          <w:color w:val="auto"/>
        </w:rPr>
        <w:t>21</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_Toc18415 </w:instrText>
      </w:r>
      <w:r>
        <w:rPr>
          <w:rFonts w:hint="eastAsia" w:ascii="宋体" w:hAnsi="宋体" w:eastAsia="宋体" w:cs="宋体"/>
          <w:color w:val="auto"/>
        </w:rPr>
        <w:fldChar w:fldCharType="separate"/>
      </w:r>
      <w:r>
        <w:rPr>
          <w:rFonts w:hint="eastAsia" w:ascii="宋体" w:hAnsi="宋体"/>
          <w:color w:val="auto"/>
          <w:szCs w:val="21"/>
        </w:rPr>
        <w:t>1.6 保密</w:t>
      </w:r>
      <w:r>
        <w:rPr>
          <w:color w:val="auto"/>
        </w:rPr>
        <w:tab/>
      </w:r>
      <w:r>
        <w:rPr>
          <w:color w:val="auto"/>
        </w:rPr>
        <w:fldChar w:fldCharType="begin"/>
      </w:r>
      <w:r>
        <w:rPr>
          <w:color w:val="auto"/>
        </w:rPr>
        <w:instrText xml:space="preserve"> PAGEREF _Toc18415 </w:instrText>
      </w:r>
      <w:r>
        <w:rPr>
          <w:color w:val="auto"/>
        </w:rPr>
        <w:fldChar w:fldCharType="separate"/>
      </w:r>
      <w:r>
        <w:rPr>
          <w:color w:val="auto"/>
        </w:rPr>
        <w:t>21</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_Toc24013 </w:instrText>
      </w:r>
      <w:r>
        <w:rPr>
          <w:rFonts w:hint="eastAsia" w:ascii="宋体" w:hAnsi="宋体" w:eastAsia="宋体" w:cs="宋体"/>
          <w:color w:val="auto"/>
        </w:rPr>
        <w:fldChar w:fldCharType="separate"/>
      </w:r>
      <w:r>
        <w:rPr>
          <w:rFonts w:hint="eastAsia" w:ascii="宋体" w:hAnsi="宋体"/>
          <w:color w:val="auto"/>
          <w:szCs w:val="21"/>
        </w:rPr>
        <w:t>1.7 语言文字</w:t>
      </w:r>
      <w:r>
        <w:rPr>
          <w:color w:val="auto"/>
        </w:rPr>
        <w:tab/>
      </w:r>
      <w:r>
        <w:rPr>
          <w:color w:val="auto"/>
        </w:rPr>
        <w:fldChar w:fldCharType="begin"/>
      </w:r>
      <w:r>
        <w:rPr>
          <w:color w:val="auto"/>
        </w:rPr>
        <w:instrText xml:space="preserve"> PAGEREF _Toc24013 </w:instrText>
      </w:r>
      <w:r>
        <w:rPr>
          <w:color w:val="auto"/>
        </w:rPr>
        <w:fldChar w:fldCharType="separate"/>
      </w:r>
      <w:r>
        <w:rPr>
          <w:color w:val="auto"/>
        </w:rPr>
        <w:t>21</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_Toc3522 </w:instrText>
      </w:r>
      <w:r>
        <w:rPr>
          <w:rFonts w:hint="eastAsia" w:ascii="宋体" w:hAnsi="宋体" w:eastAsia="宋体" w:cs="宋体"/>
          <w:color w:val="auto"/>
        </w:rPr>
        <w:fldChar w:fldCharType="separate"/>
      </w:r>
      <w:r>
        <w:rPr>
          <w:rFonts w:hint="eastAsia" w:ascii="宋体" w:hAnsi="宋体"/>
          <w:color w:val="auto"/>
          <w:szCs w:val="21"/>
        </w:rPr>
        <w:t>1.8 计量单位</w:t>
      </w:r>
      <w:r>
        <w:rPr>
          <w:color w:val="auto"/>
        </w:rPr>
        <w:tab/>
      </w:r>
      <w:r>
        <w:rPr>
          <w:color w:val="auto"/>
        </w:rPr>
        <w:fldChar w:fldCharType="begin"/>
      </w:r>
      <w:r>
        <w:rPr>
          <w:color w:val="auto"/>
        </w:rPr>
        <w:instrText xml:space="preserve"> PAGEREF _Toc3522 </w:instrText>
      </w:r>
      <w:r>
        <w:rPr>
          <w:color w:val="auto"/>
        </w:rPr>
        <w:fldChar w:fldCharType="separate"/>
      </w:r>
      <w:r>
        <w:rPr>
          <w:color w:val="auto"/>
        </w:rPr>
        <w:t>21</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_Toc12199 </w:instrText>
      </w:r>
      <w:r>
        <w:rPr>
          <w:rFonts w:hint="eastAsia" w:ascii="宋体" w:hAnsi="宋体" w:eastAsia="宋体" w:cs="宋体"/>
          <w:color w:val="auto"/>
        </w:rPr>
        <w:fldChar w:fldCharType="separate"/>
      </w:r>
      <w:r>
        <w:rPr>
          <w:rFonts w:hint="eastAsia" w:ascii="宋体" w:hAnsi="宋体"/>
          <w:color w:val="auto"/>
          <w:szCs w:val="21"/>
        </w:rPr>
        <w:t>1.9 踏勘现场</w:t>
      </w:r>
      <w:r>
        <w:rPr>
          <w:color w:val="auto"/>
        </w:rPr>
        <w:tab/>
      </w:r>
      <w:r>
        <w:rPr>
          <w:color w:val="auto"/>
        </w:rPr>
        <w:fldChar w:fldCharType="begin"/>
      </w:r>
      <w:r>
        <w:rPr>
          <w:color w:val="auto"/>
        </w:rPr>
        <w:instrText xml:space="preserve"> PAGEREF _Toc12199 </w:instrText>
      </w:r>
      <w:r>
        <w:rPr>
          <w:color w:val="auto"/>
        </w:rPr>
        <w:fldChar w:fldCharType="separate"/>
      </w:r>
      <w:r>
        <w:rPr>
          <w:color w:val="auto"/>
        </w:rPr>
        <w:t>21</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_Toc24926 </w:instrText>
      </w:r>
      <w:r>
        <w:rPr>
          <w:rFonts w:hint="eastAsia" w:ascii="宋体" w:hAnsi="宋体" w:eastAsia="宋体" w:cs="宋体"/>
          <w:color w:val="auto"/>
        </w:rPr>
        <w:fldChar w:fldCharType="separate"/>
      </w:r>
      <w:r>
        <w:rPr>
          <w:rFonts w:hint="eastAsia" w:ascii="宋体" w:hAnsi="宋体"/>
          <w:color w:val="auto"/>
          <w:szCs w:val="21"/>
        </w:rPr>
        <w:t>1.11 分包</w:t>
      </w:r>
      <w:r>
        <w:rPr>
          <w:color w:val="auto"/>
        </w:rPr>
        <w:tab/>
      </w:r>
      <w:r>
        <w:rPr>
          <w:color w:val="auto"/>
        </w:rPr>
        <w:fldChar w:fldCharType="begin"/>
      </w:r>
      <w:r>
        <w:rPr>
          <w:color w:val="auto"/>
        </w:rPr>
        <w:instrText xml:space="preserve"> PAGEREF _Toc24926 </w:instrText>
      </w:r>
      <w:r>
        <w:rPr>
          <w:color w:val="auto"/>
        </w:rPr>
        <w:fldChar w:fldCharType="separate"/>
      </w:r>
      <w:r>
        <w:rPr>
          <w:color w:val="auto"/>
        </w:rPr>
        <w:t>21</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_Toc16375 </w:instrText>
      </w:r>
      <w:r>
        <w:rPr>
          <w:rFonts w:hint="eastAsia" w:ascii="宋体" w:hAnsi="宋体" w:eastAsia="宋体" w:cs="宋体"/>
          <w:color w:val="auto"/>
        </w:rPr>
        <w:fldChar w:fldCharType="separate"/>
      </w:r>
      <w:r>
        <w:rPr>
          <w:rFonts w:hint="eastAsia" w:ascii="宋体" w:hAnsi="宋体"/>
          <w:color w:val="auto"/>
          <w:szCs w:val="21"/>
        </w:rPr>
        <w:t>1.12 偏离</w:t>
      </w:r>
      <w:r>
        <w:rPr>
          <w:color w:val="auto"/>
        </w:rPr>
        <w:tab/>
      </w:r>
      <w:r>
        <w:rPr>
          <w:color w:val="auto"/>
        </w:rPr>
        <w:fldChar w:fldCharType="begin"/>
      </w:r>
      <w:r>
        <w:rPr>
          <w:color w:val="auto"/>
        </w:rPr>
        <w:instrText xml:space="preserve"> PAGEREF _Toc16375 </w:instrText>
      </w:r>
      <w:r>
        <w:rPr>
          <w:color w:val="auto"/>
        </w:rPr>
        <w:fldChar w:fldCharType="separate"/>
      </w:r>
      <w:r>
        <w:rPr>
          <w:color w:val="auto"/>
        </w:rPr>
        <w:t>21</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_Toc23329 </w:instrText>
      </w:r>
      <w:r>
        <w:rPr>
          <w:rFonts w:hint="eastAsia" w:ascii="宋体" w:hAnsi="宋体" w:eastAsia="宋体" w:cs="宋体"/>
          <w:color w:val="auto"/>
        </w:rPr>
        <w:fldChar w:fldCharType="separate"/>
      </w:r>
      <w:r>
        <w:rPr>
          <w:rFonts w:hint="eastAsia" w:ascii="宋体" w:hAnsi="宋体"/>
          <w:color w:val="auto"/>
          <w:szCs w:val="21"/>
        </w:rPr>
        <w:t>2. 招标文件</w:t>
      </w:r>
      <w:r>
        <w:rPr>
          <w:color w:val="auto"/>
        </w:rPr>
        <w:tab/>
      </w:r>
      <w:r>
        <w:rPr>
          <w:color w:val="auto"/>
        </w:rPr>
        <w:fldChar w:fldCharType="begin"/>
      </w:r>
      <w:r>
        <w:rPr>
          <w:color w:val="auto"/>
        </w:rPr>
        <w:instrText xml:space="preserve"> PAGEREF _Toc23329 </w:instrText>
      </w:r>
      <w:r>
        <w:rPr>
          <w:color w:val="auto"/>
        </w:rPr>
        <w:fldChar w:fldCharType="separate"/>
      </w:r>
      <w:r>
        <w:rPr>
          <w:color w:val="auto"/>
        </w:rPr>
        <w:t>22</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_Toc28216 </w:instrText>
      </w:r>
      <w:r>
        <w:rPr>
          <w:rFonts w:hint="eastAsia" w:ascii="宋体" w:hAnsi="宋体" w:eastAsia="宋体" w:cs="宋体"/>
          <w:color w:val="auto"/>
        </w:rPr>
        <w:fldChar w:fldCharType="separate"/>
      </w:r>
      <w:r>
        <w:rPr>
          <w:rFonts w:hint="eastAsia" w:ascii="宋体" w:hAnsi="宋体"/>
          <w:color w:val="auto"/>
          <w:szCs w:val="21"/>
        </w:rPr>
        <w:t>2.1 招标文件的组成</w:t>
      </w:r>
      <w:r>
        <w:rPr>
          <w:color w:val="auto"/>
        </w:rPr>
        <w:tab/>
      </w:r>
      <w:r>
        <w:rPr>
          <w:color w:val="auto"/>
        </w:rPr>
        <w:fldChar w:fldCharType="begin"/>
      </w:r>
      <w:r>
        <w:rPr>
          <w:color w:val="auto"/>
        </w:rPr>
        <w:instrText xml:space="preserve"> PAGEREF _Toc28216 </w:instrText>
      </w:r>
      <w:r>
        <w:rPr>
          <w:color w:val="auto"/>
        </w:rPr>
        <w:fldChar w:fldCharType="separate"/>
      </w:r>
      <w:r>
        <w:rPr>
          <w:color w:val="auto"/>
        </w:rPr>
        <w:t>22</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_Toc10978 </w:instrText>
      </w:r>
      <w:r>
        <w:rPr>
          <w:rFonts w:hint="eastAsia" w:ascii="宋体" w:hAnsi="宋体" w:eastAsia="宋体" w:cs="宋体"/>
          <w:color w:val="auto"/>
        </w:rPr>
        <w:fldChar w:fldCharType="separate"/>
      </w:r>
      <w:r>
        <w:rPr>
          <w:rFonts w:hint="eastAsia" w:ascii="宋体" w:hAnsi="宋体"/>
          <w:color w:val="auto"/>
          <w:szCs w:val="21"/>
        </w:rPr>
        <w:t>3. 投标文件</w:t>
      </w:r>
      <w:r>
        <w:rPr>
          <w:color w:val="auto"/>
        </w:rPr>
        <w:tab/>
      </w:r>
      <w:r>
        <w:rPr>
          <w:color w:val="auto"/>
        </w:rPr>
        <w:fldChar w:fldCharType="begin"/>
      </w:r>
      <w:r>
        <w:rPr>
          <w:color w:val="auto"/>
        </w:rPr>
        <w:instrText xml:space="preserve"> PAGEREF _Toc10978 </w:instrText>
      </w:r>
      <w:r>
        <w:rPr>
          <w:color w:val="auto"/>
        </w:rPr>
        <w:fldChar w:fldCharType="separate"/>
      </w:r>
      <w:r>
        <w:rPr>
          <w:color w:val="auto"/>
        </w:rPr>
        <w:t>22</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_Toc26626 </w:instrText>
      </w:r>
      <w:r>
        <w:rPr>
          <w:rFonts w:hint="eastAsia" w:ascii="宋体" w:hAnsi="宋体" w:eastAsia="宋体" w:cs="宋体"/>
          <w:color w:val="auto"/>
        </w:rPr>
        <w:fldChar w:fldCharType="separate"/>
      </w:r>
      <w:r>
        <w:rPr>
          <w:rFonts w:hint="eastAsia" w:ascii="宋体" w:hAnsi="宋体"/>
          <w:color w:val="auto"/>
          <w:szCs w:val="21"/>
        </w:rPr>
        <w:t>3.1 投标文件的组成</w:t>
      </w:r>
      <w:r>
        <w:rPr>
          <w:color w:val="auto"/>
        </w:rPr>
        <w:tab/>
      </w:r>
      <w:r>
        <w:rPr>
          <w:color w:val="auto"/>
        </w:rPr>
        <w:fldChar w:fldCharType="begin"/>
      </w:r>
      <w:r>
        <w:rPr>
          <w:color w:val="auto"/>
        </w:rPr>
        <w:instrText xml:space="preserve"> PAGEREF _Toc26626 </w:instrText>
      </w:r>
      <w:r>
        <w:rPr>
          <w:color w:val="auto"/>
        </w:rPr>
        <w:fldChar w:fldCharType="separate"/>
      </w:r>
      <w:r>
        <w:rPr>
          <w:color w:val="auto"/>
        </w:rPr>
        <w:t>22</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_Toc6263 </w:instrText>
      </w:r>
      <w:r>
        <w:rPr>
          <w:rFonts w:hint="eastAsia" w:ascii="宋体" w:hAnsi="宋体" w:eastAsia="宋体" w:cs="宋体"/>
          <w:color w:val="auto"/>
        </w:rPr>
        <w:fldChar w:fldCharType="separate"/>
      </w:r>
      <w:r>
        <w:rPr>
          <w:rFonts w:hint="eastAsia" w:ascii="宋体" w:hAnsi="宋体"/>
          <w:color w:val="auto"/>
          <w:szCs w:val="21"/>
        </w:rPr>
        <w:t>3.2 投标报价</w:t>
      </w:r>
      <w:r>
        <w:rPr>
          <w:color w:val="auto"/>
        </w:rPr>
        <w:tab/>
      </w:r>
      <w:r>
        <w:rPr>
          <w:color w:val="auto"/>
        </w:rPr>
        <w:fldChar w:fldCharType="begin"/>
      </w:r>
      <w:r>
        <w:rPr>
          <w:color w:val="auto"/>
        </w:rPr>
        <w:instrText xml:space="preserve"> PAGEREF _Toc6263 </w:instrText>
      </w:r>
      <w:r>
        <w:rPr>
          <w:color w:val="auto"/>
        </w:rPr>
        <w:fldChar w:fldCharType="separate"/>
      </w:r>
      <w:r>
        <w:rPr>
          <w:color w:val="auto"/>
        </w:rPr>
        <w:t>22</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_Toc19467 </w:instrText>
      </w:r>
      <w:r>
        <w:rPr>
          <w:rFonts w:hint="eastAsia" w:ascii="宋体" w:hAnsi="宋体" w:eastAsia="宋体" w:cs="宋体"/>
          <w:color w:val="auto"/>
        </w:rPr>
        <w:fldChar w:fldCharType="separate"/>
      </w:r>
      <w:r>
        <w:rPr>
          <w:rFonts w:hint="eastAsia" w:ascii="宋体" w:hAnsi="宋体"/>
          <w:color w:val="auto"/>
          <w:szCs w:val="21"/>
        </w:rPr>
        <w:t>3.3 投标有效期</w:t>
      </w:r>
      <w:r>
        <w:rPr>
          <w:color w:val="auto"/>
        </w:rPr>
        <w:tab/>
      </w:r>
      <w:r>
        <w:rPr>
          <w:color w:val="auto"/>
        </w:rPr>
        <w:fldChar w:fldCharType="begin"/>
      </w:r>
      <w:r>
        <w:rPr>
          <w:color w:val="auto"/>
        </w:rPr>
        <w:instrText xml:space="preserve"> PAGEREF _Toc19467 </w:instrText>
      </w:r>
      <w:r>
        <w:rPr>
          <w:color w:val="auto"/>
        </w:rPr>
        <w:fldChar w:fldCharType="separate"/>
      </w:r>
      <w:r>
        <w:rPr>
          <w:color w:val="auto"/>
        </w:rPr>
        <w:t>23</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_Toc11558 </w:instrText>
      </w:r>
      <w:r>
        <w:rPr>
          <w:rFonts w:hint="eastAsia" w:ascii="宋体" w:hAnsi="宋体" w:eastAsia="宋体" w:cs="宋体"/>
          <w:color w:val="auto"/>
        </w:rPr>
        <w:fldChar w:fldCharType="separate"/>
      </w:r>
      <w:r>
        <w:rPr>
          <w:rFonts w:hint="eastAsia" w:ascii="宋体" w:hAnsi="宋体"/>
          <w:color w:val="auto"/>
          <w:szCs w:val="21"/>
        </w:rPr>
        <w:t>3.4 投标保证金</w:t>
      </w:r>
      <w:r>
        <w:rPr>
          <w:color w:val="auto"/>
        </w:rPr>
        <w:tab/>
      </w:r>
      <w:r>
        <w:rPr>
          <w:color w:val="auto"/>
        </w:rPr>
        <w:fldChar w:fldCharType="begin"/>
      </w:r>
      <w:r>
        <w:rPr>
          <w:color w:val="auto"/>
        </w:rPr>
        <w:instrText xml:space="preserve"> PAGEREF _Toc11558 </w:instrText>
      </w:r>
      <w:r>
        <w:rPr>
          <w:color w:val="auto"/>
        </w:rPr>
        <w:fldChar w:fldCharType="separate"/>
      </w:r>
      <w:r>
        <w:rPr>
          <w:color w:val="auto"/>
        </w:rPr>
        <w:t>23</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_Toc30272 </w:instrText>
      </w:r>
      <w:r>
        <w:rPr>
          <w:rFonts w:hint="eastAsia" w:ascii="宋体" w:hAnsi="宋体" w:eastAsia="宋体" w:cs="宋体"/>
          <w:color w:val="auto"/>
        </w:rPr>
        <w:fldChar w:fldCharType="separate"/>
      </w:r>
      <w:r>
        <w:rPr>
          <w:rFonts w:hint="eastAsia" w:ascii="宋体" w:hAnsi="宋体"/>
          <w:color w:val="auto"/>
          <w:szCs w:val="21"/>
        </w:rPr>
        <w:t>3.5 资格审查资料</w:t>
      </w:r>
      <w:r>
        <w:rPr>
          <w:color w:val="auto"/>
        </w:rPr>
        <w:tab/>
      </w:r>
      <w:r>
        <w:rPr>
          <w:color w:val="auto"/>
        </w:rPr>
        <w:fldChar w:fldCharType="begin"/>
      </w:r>
      <w:r>
        <w:rPr>
          <w:color w:val="auto"/>
        </w:rPr>
        <w:instrText xml:space="preserve"> PAGEREF _Toc30272 </w:instrText>
      </w:r>
      <w:r>
        <w:rPr>
          <w:color w:val="auto"/>
        </w:rPr>
        <w:fldChar w:fldCharType="separate"/>
      </w:r>
      <w:r>
        <w:rPr>
          <w:color w:val="auto"/>
        </w:rPr>
        <w:t>23</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_Toc30178 </w:instrText>
      </w:r>
      <w:r>
        <w:rPr>
          <w:rFonts w:hint="eastAsia" w:ascii="宋体" w:hAnsi="宋体" w:eastAsia="宋体" w:cs="宋体"/>
          <w:color w:val="auto"/>
        </w:rPr>
        <w:fldChar w:fldCharType="separate"/>
      </w:r>
      <w:r>
        <w:rPr>
          <w:rFonts w:hint="eastAsia" w:ascii="宋体" w:hAnsi="宋体"/>
          <w:color w:val="auto"/>
          <w:szCs w:val="21"/>
        </w:rPr>
        <w:t>3.6 备选投标方案</w:t>
      </w:r>
      <w:r>
        <w:rPr>
          <w:color w:val="auto"/>
        </w:rPr>
        <w:tab/>
      </w:r>
      <w:r>
        <w:rPr>
          <w:color w:val="auto"/>
        </w:rPr>
        <w:fldChar w:fldCharType="begin"/>
      </w:r>
      <w:r>
        <w:rPr>
          <w:color w:val="auto"/>
        </w:rPr>
        <w:instrText xml:space="preserve"> PAGEREF _Toc30178 </w:instrText>
      </w:r>
      <w:r>
        <w:rPr>
          <w:color w:val="auto"/>
        </w:rPr>
        <w:fldChar w:fldCharType="separate"/>
      </w:r>
      <w:r>
        <w:rPr>
          <w:color w:val="auto"/>
        </w:rPr>
        <w:t>24</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_Toc17817 </w:instrText>
      </w:r>
      <w:r>
        <w:rPr>
          <w:rFonts w:hint="eastAsia" w:ascii="宋体" w:hAnsi="宋体" w:eastAsia="宋体" w:cs="宋体"/>
          <w:color w:val="auto"/>
        </w:rPr>
        <w:fldChar w:fldCharType="separate"/>
      </w:r>
      <w:r>
        <w:rPr>
          <w:rFonts w:hint="eastAsia" w:ascii="宋体" w:hAnsi="宋体"/>
          <w:color w:val="auto"/>
          <w:szCs w:val="21"/>
        </w:rPr>
        <w:t>3.7 投标文件的编制</w:t>
      </w:r>
      <w:r>
        <w:rPr>
          <w:color w:val="auto"/>
        </w:rPr>
        <w:tab/>
      </w:r>
      <w:r>
        <w:rPr>
          <w:color w:val="auto"/>
        </w:rPr>
        <w:fldChar w:fldCharType="begin"/>
      </w:r>
      <w:r>
        <w:rPr>
          <w:color w:val="auto"/>
        </w:rPr>
        <w:instrText xml:space="preserve"> PAGEREF _Toc17817 </w:instrText>
      </w:r>
      <w:r>
        <w:rPr>
          <w:color w:val="auto"/>
        </w:rPr>
        <w:fldChar w:fldCharType="separate"/>
      </w:r>
      <w:r>
        <w:rPr>
          <w:color w:val="auto"/>
        </w:rPr>
        <w:t>24</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_Toc3149 </w:instrText>
      </w:r>
      <w:r>
        <w:rPr>
          <w:rFonts w:hint="eastAsia" w:ascii="宋体" w:hAnsi="宋体" w:eastAsia="宋体" w:cs="宋体"/>
          <w:color w:val="auto"/>
        </w:rPr>
        <w:fldChar w:fldCharType="separate"/>
      </w:r>
      <w:r>
        <w:rPr>
          <w:rFonts w:hint="eastAsia" w:ascii="宋体" w:hAnsi="宋体"/>
          <w:color w:val="auto"/>
          <w:szCs w:val="21"/>
        </w:rPr>
        <w:t>4. 投标</w:t>
      </w:r>
      <w:r>
        <w:rPr>
          <w:color w:val="auto"/>
        </w:rPr>
        <w:tab/>
      </w:r>
      <w:r>
        <w:rPr>
          <w:color w:val="auto"/>
        </w:rPr>
        <w:fldChar w:fldCharType="begin"/>
      </w:r>
      <w:r>
        <w:rPr>
          <w:color w:val="auto"/>
        </w:rPr>
        <w:instrText xml:space="preserve"> PAGEREF _Toc3149 </w:instrText>
      </w:r>
      <w:r>
        <w:rPr>
          <w:color w:val="auto"/>
        </w:rPr>
        <w:fldChar w:fldCharType="separate"/>
      </w:r>
      <w:r>
        <w:rPr>
          <w:color w:val="auto"/>
        </w:rPr>
        <w:t>24</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_Toc29075 </w:instrText>
      </w:r>
      <w:r>
        <w:rPr>
          <w:rFonts w:hint="eastAsia" w:ascii="宋体" w:hAnsi="宋体" w:eastAsia="宋体" w:cs="宋体"/>
          <w:color w:val="auto"/>
        </w:rPr>
        <w:fldChar w:fldCharType="separate"/>
      </w:r>
      <w:r>
        <w:rPr>
          <w:rFonts w:hint="eastAsia" w:ascii="宋体" w:hAnsi="宋体"/>
          <w:color w:val="auto"/>
          <w:szCs w:val="21"/>
        </w:rPr>
        <w:t>4.1 投标文件的密封和标记</w:t>
      </w:r>
      <w:r>
        <w:rPr>
          <w:color w:val="auto"/>
        </w:rPr>
        <w:tab/>
      </w:r>
      <w:r>
        <w:rPr>
          <w:color w:val="auto"/>
        </w:rPr>
        <w:fldChar w:fldCharType="begin"/>
      </w:r>
      <w:r>
        <w:rPr>
          <w:color w:val="auto"/>
        </w:rPr>
        <w:instrText xml:space="preserve"> PAGEREF _Toc29075 </w:instrText>
      </w:r>
      <w:r>
        <w:rPr>
          <w:color w:val="auto"/>
        </w:rPr>
        <w:fldChar w:fldCharType="separate"/>
      </w:r>
      <w:r>
        <w:rPr>
          <w:color w:val="auto"/>
        </w:rPr>
        <w:t>24</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_Toc17611 </w:instrText>
      </w:r>
      <w:r>
        <w:rPr>
          <w:rFonts w:hint="eastAsia" w:ascii="宋体" w:hAnsi="宋体" w:eastAsia="宋体" w:cs="宋体"/>
          <w:color w:val="auto"/>
        </w:rPr>
        <w:fldChar w:fldCharType="separate"/>
      </w:r>
      <w:r>
        <w:rPr>
          <w:rFonts w:hint="eastAsia" w:ascii="宋体" w:hAnsi="宋体"/>
          <w:color w:val="auto"/>
          <w:szCs w:val="21"/>
        </w:rPr>
        <w:t>4.2 投标文件的递交</w:t>
      </w:r>
      <w:r>
        <w:rPr>
          <w:color w:val="auto"/>
        </w:rPr>
        <w:tab/>
      </w:r>
      <w:r>
        <w:rPr>
          <w:color w:val="auto"/>
        </w:rPr>
        <w:fldChar w:fldCharType="begin"/>
      </w:r>
      <w:r>
        <w:rPr>
          <w:color w:val="auto"/>
        </w:rPr>
        <w:instrText xml:space="preserve"> PAGEREF _Toc17611 </w:instrText>
      </w:r>
      <w:r>
        <w:rPr>
          <w:color w:val="auto"/>
        </w:rPr>
        <w:fldChar w:fldCharType="separate"/>
      </w:r>
      <w:r>
        <w:rPr>
          <w:color w:val="auto"/>
        </w:rPr>
        <w:t>24</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_Toc29815 </w:instrText>
      </w:r>
      <w:r>
        <w:rPr>
          <w:rFonts w:hint="eastAsia" w:ascii="宋体" w:hAnsi="宋体" w:eastAsia="宋体" w:cs="宋体"/>
          <w:color w:val="auto"/>
        </w:rPr>
        <w:fldChar w:fldCharType="separate"/>
      </w:r>
      <w:r>
        <w:rPr>
          <w:rFonts w:hint="eastAsia" w:ascii="宋体" w:hAnsi="宋体"/>
          <w:color w:val="auto"/>
          <w:szCs w:val="21"/>
        </w:rPr>
        <w:t>4.3 投标文件的修改与撤回</w:t>
      </w:r>
      <w:r>
        <w:rPr>
          <w:color w:val="auto"/>
        </w:rPr>
        <w:tab/>
      </w:r>
      <w:r>
        <w:rPr>
          <w:color w:val="auto"/>
        </w:rPr>
        <w:fldChar w:fldCharType="begin"/>
      </w:r>
      <w:r>
        <w:rPr>
          <w:color w:val="auto"/>
        </w:rPr>
        <w:instrText xml:space="preserve"> PAGEREF _Toc29815 </w:instrText>
      </w:r>
      <w:r>
        <w:rPr>
          <w:color w:val="auto"/>
        </w:rPr>
        <w:fldChar w:fldCharType="separate"/>
      </w:r>
      <w:r>
        <w:rPr>
          <w:color w:val="auto"/>
        </w:rPr>
        <w:t>24</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_Toc4652 </w:instrText>
      </w:r>
      <w:r>
        <w:rPr>
          <w:rFonts w:hint="eastAsia" w:ascii="宋体" w:hAnsi="宋体" w:eastAsia="宋体" w:cs="宋体"/>
          <w:color w:val="auto"/>
        </w:rPr>
        <w:fldChar w:fldCharType="separate"/>
      </w:r>
      <w:r>
        <w:rPr>
          <w:rFonts w:hint="eastAsia" w:ascii="宋体" w:hAnsi="宋体"/>
          <w:color w:val="auto"/>
          <w:szCs w:val="21"/>
        </w:rPr>
        <w:t>5. 开标</w:t>
      </w:r>
      <w:r>
        <w:rPr>
          <w:color w:val="auto"/>
        </w:rPr>
        <w:tab/>
      </w:r>
      <w:r>
        <w:rPr>
          <w:color w:val="auto"/>
        </w:rPr>
        <w:fldChar w:fldCharType="begin"/>
      </w:r>
      <w:r>
        <w:rPr>
          <w:color w:val="auto"/>
        </w:rPr>
        <w:instrText xml:space="preserve"> PAGEREF _Toc4652 </w:instrText>
      </w:r>
      <w:r>
        <w:rPr>
          <w:color w:val="auto"/>
        </w:rPr>
        <w:fldChar w:fldCharType="separate"/>
      </w:r>
      <w:r>
        <w:rPr>
          <w:color w:val="auto"/>
        </w:rPr>
        <w:t>24</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_Toc30931 </w:instrText>
      </w:r>
      <w:r>
        <w:rPr>
          <w:rFonts w:hint="eastAsia" w:ascii="宋体" w:hAnsi="宋体" w:eastAsia="宋体" w:cs="宋体"/>
          <w:color w:val="auto"/>
        </w:rPr>
        <w:fldChar w:fldCharType="separate"/>
      </w:r>
      <w:r>
        <w:rPr>
          <w:rFonts w:hint="eastAsia" w:ascii="宋体" w:hAnsi="宋体"/>
          <w:color w:val="auto"/>
          <w:szCs w:val="21"/>
        </w:rPr>
        <w:t>5.1 开标时间和地点</w:t>
      </w:r>
      <w:r>
        <w:rPr>
          <w:color w:val="auto"/>
        </w:rPr>
        <w:tab/>
      </w:r>
      <w:r>
        <w:rPr>
          <w:color w:val="auto"/>
        </w:rPr>
        <w:fldChar w:fldCharType="begin"/>
      </w:r>
      <w:r>
        <w:rPr>
          <w:color w:val="auto"/>
        </w:rPr>
        <w:instrText xml:space="preserve"> PAGEREF _Toc30931 </w:instrText>
      </w:r>
      <w:r>
        <w:rPr>
          <w:color w:val="auto"/>
        </w:rPr>
        <w:fldChar w:fldCharType="separate"/>
      </w:r>
      <w:r>
        <w:rPr>
          <w:color w:val="auto"/>
        </w:rPr>
        <w:t>24</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_Toc29627 </w:instrText>
      </w:r>
      <w:r>
        <w:rPr>
          <w:rFonts w:hint="eastAsia" w:ascii="宋体" w:hAnsi="宋体" w:eastAsia="宋体" w:cs="宋体"/>
          <w:color w:val="auto"/>
        </w:rPr>
        <w:fldChar w:fldCharType="separate"/>
      </w:r>
      <w:r>
        <w:rPr>
          <w:rFonts w:hint="eastAsia" w:ascii="宋体" w:hAnsi="宋体"/>
          <w:color w:val="auto"/>
          <w:szCs w:val="21"/>
        </w:rPr>
        <w:t>5.2 开标程序</w:t>
      </w:r>
      <w:r>
        <w:rPr>
          <w:color w:val="auto"/>
        </w:rPr>
        <w:tab/>
      </w:r>
      <w:r>
        <w:rPr>
          <w:color w:val="auto"/>
        </w:rPr>
        <w:fldChar w:fldCharType="begin"/>
      </w:r>
      <w:r>
        <w:rPr>
          <w:color w:val="auto"/>
        </w:rPr>
        <w:instrText xml:space="preserve"> PAGEREF _Toc29627 </w:instrText>
      </w:r>
      <w:r>
        <w:rPr>
          <w:color w:val="auto"/>
        </w:rPr>
        <w:fldChar w:fldCharType="separate"/>
      </w:r>
      <w:r>
        <w:rPr>
          <w:color w:val="auto"/>
        </w:rPr>
        <w:t>25</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_Toc27608 </w:instrText>
      </w:r>
      <w:r>
        <w:rPr>
          <w:rFonts w:hint="eastAsia" w:ascii="宋体" w:hAnsi="宋体" w:eastAsia="宋体" w:cs="宋体"/>
          <w:color w:val="auto"/>
        </w:rPr>
        <w:fldChar w:fldCharType="separate"/>
      </w:r>
      <w:r>
        <w:rPr>
          <w:rFonts w:hint="eastAsia" w:ascii="宋体" w:hAnsi="宋体"/>
          <w:bCs w:val="0"/>
          <w:color w:val="auto"/>
          <w:kern w:val="2"/>
          <w:szCs w:val="21"/>
        </w:rPr>
        <w:t>开标程序：见投标人须知前附表。</w:t>
      </w:r>
      <w:r>
        <w:rPr>
          <w:color w:val="auto"/>
        </w:rPr>
        <w:tab/>
      </w:r>
      <w:r>
        <w:rPr>
          <w:color w:val="auto"/>
        </w:rPr>
        <w:fldChar w:fldCharType="begin"/>
      </w:r>
      <w:r>
        <w:rPr>
          <w:color w:val="auto"/>
        </w:rPr>
        <w:instrText xml:space="preserve"> PAGEREF _Toc27608 </w:instrText>
      </w:r>
      <w:r>
        <w:rPr>
          <w:color w:val="auto"/>
        </w:rPr>
        <w:fldChar w:fldCharType="separate"/>
      </w:r>
      <w:r>
        <w:rPr>
          <w:color w:val="auto"/>
        </w:rPr>
        <w:t>25</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_Toc10422 </w:instrText>
      </w:r>
      <w:r>
        <w:rPr>
          <w:rFonts w:hint="eastAsia" w:ascii="宋体" w:hAnsi="宋体" w:eastAsia="宋体" w:cs="宋体"/>
          <w:color w:val="auto"/>
        </w:rPr>
        <w:fldChar w:fldCharType="separate"/>
      </w:r>
      <w:r>
        <w:rPr>
          <w:rFonts w:hint="eastAsia" w:ascii="宋体" w:hAnsi="宋体"/>
          <w:color w:val="auto"/>
          <w:szCs w:val="21"/>
        </w:rPr>
        <w:t>6. 评标</w:t>
      </w:r>
      <w:r>
        <w:rPr>
          <w:color w:val="auto"/>
        </w:rPr>
        <w:tab/>
      </w:r>
      <w:r>
        <w:rPr>
          <w:color w:val="auto"/>
        </w:rPr>
        <w:fldChar w:fldCharType="begin"/>
      </w:r>
      <w:r>
        <w:rPr>
          <w:color w:val="auto"/>
        </w:rPr>
        <w:instrText xml:space="preserve"> PAGEREF _Toc10422 </w:instrText>
      </w:r>
      <w:r>
        <w:rPr>
          <w:color w:val="auto"/>
        </w:rPr>
        <w:fldChar w:fldCharType="separate"/>
      </w:r>
      <w:r>
        <w:rPr>
          <w:color w:val="auto"/>
        </w:rPr>
        <w:t>25</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_Toc9072 </w:instrText>
      </w:r>
      <w:r>
        <w:rPr>
          <w:rFonts w:hint="eastAsia" w:ascii="宋体" w:hAnsi="宋体" w:eastAsia="宋体" w:cs="宋体"/>
          <w:color w:val="auto"/>
        </w:rPr>
        <w:fldChar w:fldCharType="separate"/>
      </w:r>
      <w:r>
        <w:rPr>
          <w:rFonts w:hint="eastAsia" w:ascii="宋体" w:hAnsi="宋体"/>
          <w:color w:val="auto"/>
          <w:szCs w:val="21"/>
        </w:rPr>
        <w:t>6.1 评标委员会</w:t>
      </w:r>
      <w:r>
        <w:rPr>
          <w:color w:val="auto"/>
        </w:rPr>
        <w:tab/>
      </w:r>
      <w:r>
        <w:rPr>
          <w:color w:val="auto"/>
        </w:rPr>
        <w:fldChar w:fldCharType="begin"/>
      </w:r>
      <w:r>
        <w:rPr>
          <w:color w:val="auto"/>
        </w:rPr>
        <w:instrText xml:space="preserve"> PAGEREF _Toc9072 </w:instrText>
      </w:r>
      <w:r>
        <w:rPr>
          <w:color w:val="auto"/>
        </w:rPr>
        <w:fldChar w:fldCharType="separate"/>
      </w:r>
      <w:r>
        <w:rPr>
          <w:color w:val="auto"/>
        </w:rPr>
        <w:t>25</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_Toc31856 </w:instrText>
      </w:r>
      <w:r>
        <w:rPr>
          <w:rFonts w:hint="eastAsia" w:ascii="宋体" w:hAnsi="宋体" w:eastAsia="宋体" w:cs="宋体"/>
          <w:color w:val="auto"/>
        </w:rPr>
        <w:fldChar w:fldCharType="separate"/>
      </w:r>
      <w:r>
        <w:rPr>
          <w:rFonts w:hint="eastAsia" w:ascii="宋体" w:hAnsi="宋体"/>
          <w:color w:val="auto"/>
          <w:szCs w:val="21"/>
        </w:rPr>
        <w:t>6.2 评标原则</w:t>
      </w:r>
      <w:r>
        <w:rPr>
          <w:color w:val="auto"/>
        </w:rPr>
        <w:tab/>
      </w:r>
      <w:r>
        <w:rPr>
          <w:color w:val="auto"/>
        </w:rPr>
        <w:fldChar w:fldCharType="begin"/>
      </w:r>
      <w:r>
        <w:rPr>
          <w:color w:val="auto"/>
        </w:rPr>
        <w:instrText xml:space="preserve"> PAGEREF _Toc31856 </w:instrText>
      </w:r>
      <w:r>
        <w:rPr>
          <w:color w:val="auto"/>
        </w:rPr>
        <w:fldChar w:fldCharType="separate"/>
      </w:r>
      <w:r>
        <w:rPr>
          <w:color w:val="auto"/>
        </w:rPr>
        <w:t>25</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_Toc15954 </w:instrText>
      </w:r>
      <w:r>
        <w:rPr>
          <w:rFonts w:hint="eastAsia" w:ascii="宋体" w:hAnsi="宋体" w:eastAsia="宋体" w:cs="宋体"/>
          <w:color w:val="auto"/>
        </w:rPr>
        <w:fldChar w:fldCharType="separate"/>
      </w:r>
      <w:r>
        <w:rPr>
          <w:rFonts w:hint="eastAsia" w:ascii="宋体" w:hAnsi="宋体"/>
          <w:color w:val="auto"/>
          <w:szCs w:val="21"/>
        </w:rPr>
        <w:t>6.3 评标</w:t>
      </w:r>
      <w:r>
        <w:rPr>
          <w:color w:val="auto"/>
        </w:rPr>
        <w:tab/>
      </w:r>
      <w:r>
        <w:rPr>
          <w:color w:val="auto"/>
        </w:rPr>
        <w:fldChar w:fldCharType="begin"/>
      </w:r>
      <w:r>
        <w:rPr>
          <w:color w:val="auto"/>
        </w:rPr>
        <w:instrText xml:space="preserve"> PAGEREF _Toc15954 </w:instrText>
      </w:r>
      <w:r>
        <w:rPr>
          <w:color w:val="auto"/>
        </w:rPr>
        <w:fldChar w:fldCharType="separate"/>
      </w:r>
      <w:r>
        <w:rPr>
          <w:color w:val="auto"/>
        </w:rPr>
        <w:t>25</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_Toc22711 </w:instrText>
      </w:r>
      <w:r>
        <w:rPr>
          <w:rFonts w:hint="eastAsia" w:ascii="宋体" w:hAnsi="宋体" w:eastAsia="宋体" w:cs="宋体"/>
          <w:color w:val="auto"/>
        </w:rPr>
        <w:fldChar w:fldCharType="separate"/>
      </w:r>
      <w:r>
        <w:rPr>
          <w:rFonts w:hint="eastAsia" w:ascii="宋体" w:hAnsi="宋体"/>
          <w:color w:val="auto"/>
          <w:szCs w:val="21"/>
        </w:rPr>
        <w:t>7. 合同授予</w:t>
      </w:r>
      <w:r>
        <w:rPr>
          <w:color w:val="auto"/>
        </w:rPr>
        <w:tab/>
      </w:r>
      <w:r>
        <w:rPr>
          <w:color w:val="auto"/>
        </w:rPr>
        <w:fldChar w:fldCharType="begin"/>
      </w:r>
      <w:r>
        <w:rPr>
          <w:color w:val="auto"/>
        </w:rPr>
        <w:instrText xml:space="preserve"> PAGEREF _Toc22711 </w:instrText>
      </w:r>
      <w:r>
        <w:rPr>
          <w:color w:val="auto"/>
        </w:rPr>
        <w:fldChar w:fldCharType="separate"/>
      </w:r>
      <w:r>
        <w:rPr>
          <w:color w:val="auto"/>
        </w:rPr>
        <w:t>25</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_Toc21849 </w:instrText>
      </w:r>
      <w:r>
        <w:rPr>
          <w:rFonts w:hint="eastAsia" w:ascii="宋体" w:hAnsi="宋体" w:eastAsia="宋体" w:cs="宋体"/>
          <w:color w:val="auto"/>
        </w:rPr>
        <w:fldChar w:fldCharType="separate"/>
      </w:r>
      <w:r>
        <w:rPr>
          <w:rFonts w:hint="eastAsia" w:ascii="宋体" w:hAnsi="宋体"/>
          <w:color w:val="auto"/>
          <w:szCs w:val="21"/>
        </w:rPr>
        <w:t>7.1 定标方式</w:t>
      </w:r>
      <w:r>
        <w:rPr>
          <w:color w:val="auto"/>
        </w:rPr>
        <w:tab/>
      </w:r>
      <w:r>
        <w:rPr>
          <w:color w:val="auto"/>
        </w:rPr>
        <w:fldChar w:fldCharType="begin"/>
      </w:r>
      <w:r>
        <w:rPr>
          <w:color w:val="auto"/>
        </w:rPr>
        <w:instrText xml:space="preserve"> PAGEREF _Toc21849 </w:instrText>
      </w:r>
      <w:r>
        <w:rPr>
          <w:color w:val="auto"/>
        </w:rPr>
        <w:fldChar w:fldCharType="separate"/>
      </w:r>
      <w:r>
        <w:rPr>
          <w:color w:val="auto"/>
        </w:rPr>
        <w:t>25</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_Toc30769 </w:instrText>
      </w:r>
      <w:r>
        <w:rPr>
          <w:rFonts w:hint="eastAsia" w:ascii="宋体" w:hAnsi="宋体" w:eastAsia="宋体" w:cs="宋体"/>
          <w:color w:val="auto"/>
        </w:rPr>
        <w:fldChar w:fldCharType="separate"/>
      </w:r>
      <w:r>
        <w:rPr>
          <w:rFonts w:hint="eastAsia" w:ascii="宋体" w:hAnsi="宋体"/>
          <w:color w:val="auto"/>
          <w:szCs w:val="21"/>
        </w:rPr>
        <w:t>7.2 中标通知</w:t>
      </w:r>
      <w:r>
        <w:rPr>
          <w:color w:val="auto"/>
        </w:rPr>
        <w:tab/>
      </w:r>
      <w:r>
        <w:rPr>
          <w:color w:val="auto"/>
        </w:rPr>
        <w:fldChar w:fldCharType="begin"/>
      </w:r>
      <w:r>
        <w:rPr>
          <w:color w:val="auto"/>
        </w:rPr>
        <w:instrText xml:space="preserve"> PAGEREF _Toc30769 </w:instrText>
      </w:r>
      <w:r>
        <w:rPr>
          <w:color w:val="auto"/>
        </w:rPr>
        <w:fldChar w:fldCharType="separate"/>
      </w:r>
      <w:r>
        <w:rPr>
          <w:color w:val="auto"/>
        </w:rPr>
        <w:t>25</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_Toc4325 </w:instrText>
      </w:r>
      <w:r>
        <w:rPr>
          <w:rFonts w:hint="eastAsia" w:ascii="宋体" w:hAnsi="宋体" w:eastAsia="宋体" w:cs="宋体"/>
          <w:color w:val="auto"/>
        </w:rPr>
        <w:fldChar w:fldCharType="separate"/>
      </w:r>
      <w:r>
        <w:rPr>
          <w:rFonts w:hint="eastAsia" w:ascii="宋体" w:hAnsi="宋体"/>
          <w:color w:val="auto"/>
          <w:szCs w:val="21"/>
        </w:rPr>
        <w:t>7.3 履约担保</w:t>
      </w:r>
      <w:r>
        <w:rPr>
          <w:color w:val="auto"/>
        </w:rPr>
        <w:tab/>
      </w:r>
      <w:r>
        <w:rPr>
          <w:color w:val="auto"/>
        </w:rPr>
        <w:fldChar w:fldCharType="begin"/>
      </w:r>
      <w:r>
        <w:rPr>
          <w:color w:val="auto"/>
        </w:rPr>
        <w:instrText xml:space="preserve"> PAGEREF _Toc4325 </w:instrText>
      </w:r>
      <w:r>
        <w:rPr>
          <w:color w:val="auto"/>
        </w:rPr>
        <w:fldChar w:fldCharType="separate"/>
      </w:r>
      <w:r>
        <w:rPr>
          <w:color w:val="auto"/>
        </w:rPr>
        <w:t>25</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_Toc8390 </w:instrText>
      </w:r>
      <w:r>
        <w:rPr>
          <w:rFonts w:hint="eastAsia" w:ascii="宋体" w:hAnsi="宋体" w:eastAsia="宋体" w:cs="宋体"/>
          <w:color w:val="auto"/>
        </w:rPr>
        <w:fldChar w:fldCharType="separate"/>
      </w:r>
      <w:r>
        <w:rPr>
          <w:rFonts w:hint="eastAsia" w:ascii="宋体" w:hAnsi="宋体"/>
          <w:color w:val="auto"/>
          <w:szCs w:val="21"/>
        </w:rPr>
        <w:t>7.4 签订合同</w:t>
      </w:r>
      <w:r>
        <w:rPr>
          <w:color w:val="auto"/>
        </w:rPr>
        <w:tab/>
      </w:r>
      <w:r>
        <w:rPr>
          <w:color w:val="auto"/>
        </w:rPr>
        <w:fldChar w:fldCharType="begin"/>
      </w:r>
      <w:r>
        <w:rPr>
          <w:color w:val="auto"/>
        </w:rPr>
        <w:instrText xml:space="preserve"> PAGEREF _Toc8390 </w:instrText>
      </w:r>
      <w:r>
        <w:rPr>
          <w:color w:val="auto"/>
        </w:rPr>
        <w:fldChar w:fldCharType="separate"/>
      </w:r>
      <w:r>
        <w:rPr>
          <w:color w:val="auto"/>
        </w:rPr>
        <w:t>25</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_Toc2588 </w:instrText>
      </w:r>
      <w:r>
        <w:rPr>
          <w:rFonts w:hint="eastAsia" w:ascii="宋体" w:hAnsi="宋体" w:eastAsia="宋体" w:cs="宋体"/>
          <w:color w:val="auto"/>
        </w:rPr>
        <w:fldChar w:fldCharType="separate"/>
      </w:r>
      <w:r>
        <w:rPr>
          <w:rFonts w:hint="eastAsia" w:ascii="宋体" w:hAnsi="宋体"/>
          <w:color w:val="auto"/>
          <w:szCs w:val="21"/>
        </w:rPr>
        <w:t>8. 重新招标和不再招标</w:t>
      </w:r>
      <w:r>
        <w:rPr>
          <w:color w:val="auto"/>
        </w:rPr>
        <w:tab/>
      </w:r>
      <w:r>
        <w:rPr>
          <w:color w:val="auto"/>
        </w:rPr>
        <w:fldChar w:fldCharType="begin"/>
      </w:r>
      <w:r>
        <w:rPr>
          <w:color w:val="auto"/>
        </w:rPr>
        <w:instrText xml:space="preserve"> PAGEREF _Toc2588 </w:instrText>
      </w:r>
      <w:r>
        <w:rPr>
          <w:color w:val="auto"/>
        </w:rPr>
        <w:fldChar w:fldCharType="separate"/>
      </w:r>
      <w:r>
        <w:rPr>
          <w:color w:val="auto"/>
        </w:rPr>
        <w:t>26</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_Toc20062 </w:instrText>
      </w:r>
      <w:r>
        <w:rPr>
          <w:rFonts w:hint="eastAsia" w:ascii="宋体" w:hAnsi="宋体" w:eastAsia="宋体" w:cs="宋体"/>
          <w:color w:val="auto"/>
        </w:rPr>
        <w:fldChar w:fldCharType="separate"/>
      </w:r>
      <w:r>
        <w:rPr>
          <w:rFonts w:hint="eastAsia" w:ascii="宋体" w:hAnsi="宋体"/>
          <w:color w:val="auto"/>
          <w:szCs w:val="21"/>
        </w:rPr>
        <w:t>8.1 重新招标</w:t>
      </w:r>
      <w:r>
        <w:rPr>
          <w:color w:val="auto"/>
        </w:rPr>
        <w:tab/>
      </w:r>
      <w:r>
        <w:rPr>
          <w:color w:val="auto"/>
        </w:rPr>
        <w:fldChar w:fldCharType="begin"/>
      </w:r>
      <w:r>
        <w:rPr>
          <w:color w:val="auto"/>
        </w:rPr>
        <w:instrText xml:space="preserve"> PAGEREF _Toc20062 </w:instrText>
      </w:r>
      <w:r>
        <w:rPr>
          <w:color w:val="auto"/>
        </w:rPr>
        <w:fldChar w:fldCharType="separate"/>
      </w:r>
      <w:r>
        <w:rPr>
          <w:color w:val="auto"/>
        </w:rPr>
        <w:t>26</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_Toc24377 </w:instrText>
      </w:r>
      <w:r>
        <w:rPr>
          <w:rFonts w:hint="eastAsia" w:ascii="宋体" w:hAnsi="宋体" w:eastAsia="宋体" w:cs="宋体"/>
          <w:color w:val="auto"/>
        </w:rPr>
        <w:fldChar w:fldCharType="separate"/>
      </w:r>
      <w:r>
        <w:rPr>
          <w:rFonts w:hint="eastAsia" w:ascii="宋体" w:hAnsi="宋体"/>
          <w:color w:val="auto"/>
          <w:szCs w:val="21"/>
        </w:rPr>
        <w:t>8.2 不再招标</w:t>
      </w:r>
      <w:r>
        <w:rPr>
          <w:color w:val="auto"/>
        </w:rPr>
        <w:tab/>
      </w:r>
      <w:r>
        <w:rPr>
          <w:color w:val="auto"/>
        </w:rPr>
        <w:fldChar w:fldCharType="begin"/>
      </w:r>
      <w:r>
        <w:rPr>
          <w:color w:val="auto"/>
        </w:rPr>
        <w:instrText xml:space="preserve"> PAGEREF _Toc24377 </w:instrText>
      </w:r>
      <w:r>
        <w:rPr>
          <w:color w:val="auto"/>
        </w:rPr>
        <w:fldChar w:fldCharType="separate"/>
      </w:r>
      <w:r>
        <w:rPr>
          <w:color w:val="auto"/>
        </w:rPr>
        <w:t>26</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_Toc14452 </w:instrText>
      </w:r>
      <w:r>
        <w:rPr>
          <w:rFonts w:hint="eastAsia" w:ascii="宋体" w:hAnsi="宋体" w:eastAsia="宋体" w:cs="宋体"/>
          <w:color w:val="auto"/>
        </w:rPr>
        <w:fldChar w:fldCharType="separate"/>
      </w:r>
      <w:r>
        <w:rPr>
          <w:rFonts w:hint="eastAsia" w:ascii="宋体" w:hAnsi="宋体"/>
          <w:color w:val="auto"/>
          <w:szCs w:val="21"/>
        </w:rPr>
        <w:t>9. 纪律和监督</w:t>
      </w:r>
      <w:r>
        <w:rPr>
          <w:color w:val="auto"/>
        </w:rPr>
        <w:tab/>
      </w:r>
      <w:r>
        <w:rPr>
          <w:color w:val="auto"/>
        </w:rPr>
        <w:fldChar w:fldCharType="begin"/>
      </w:r>
      <w:r>
        <w:rPr>
          <w:color w:val="auto"/>
        </w:rPr>
        <w:instrText xml:space="preserve"> PAGEREF _Toc14452 </w:instrText>
      </w:r>
      <w:r>
        <w:rPr>
          <w:color w:val="auto"/>
        </w:rPr>
        <w:fldChar w:fldCharType="separate"/>
      </w:r>
      <w:r>
        <w:rPr>
          <w:color w:val="auto"/>
        </w:rPr>
        <w:t>26</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_Toc23374 </w:instrText>
      </w:r>
      <w:r>
        <w:rPr>
          <w:rFonts w:hint="eastAsia" w:ascii="宋体" w:hAnsi="宋体" w:eastAsia="宋体" w:cs="宋体"/>
          <w:color w:val="auto"/>
        </w:rPr>
        <w:fldChar w:fldCharType="separate"/>
      </w:r>
      <w:r>
        <w:rPr>
          <w:rFonts w:hint="eastAsia" w:ascii="宋体" w:hAnsi="宋体"/>
          <w:color w:val="auto"/>
          <w:szCs w:val="21"/>
        </w:rPr>
        <w:t>9.1 对发包人的纪律要求</w:t>
      </w:r>
      <w:r>
        <w:rPr>
          <w:color w:val="auto"/>
        </w:rPr>
        <w:tab/>
      </w:r>
      <w:r>
        <w:rPr>
          <w:color w:val="auto"/>
        </w:rPr>
        <w:fldChar w:fldCharType="begin"/>
      </w:r>
      <w:r>
        <w:rPr>
          <w:color w:val="auto"/>
        </w:rPr>
        <w:instrText xml:space="preserve"> PAGEREF _Toc23374 </w:instrText>
      </w:r>
      <w:r>
        <w:rPr>
          <w:color w:val="auto"/>
        </w:rPr>
        <w:fldChar w:fldCharType="separate"/>
      </w:r>
      <w:r>
        <w:rPr>
          <w:color w:val="auto"/>
        </w:rPr>
        <w:t>26</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_Toc12619 </w:instrText>
      </w:r>
      <w:r>
        <w:rPr>
          <w:rFonts w:hint="eastAsia" w:ascii="宋体" w:hAnsi="宋体" w:eastAsia="宋体" w:cs="宋体"/>
          <w:color w:val="auto"/>
        </w:rPr>
        <w:fldChar w:fldCharType="separate"/>
      </w:r>
      <w:r>
        <w:rPr>
          <w:rFonts w:hint="eastAsia" w:ascii="宋体" w:hAnsi="宋体"/>
          <w:color w:val="auto"/>
          <w:szCs w:val="21"/>
        </w:rPr>
        <w:t>9.2 对投标人的纪律要求</w:t>
      </w:r>
      <w:r>
        <w:rPr>
          <w:color w:val="auto"/>
        </w:rPr>
        <w:tab/>
      </w:r>
      <w:r>
        <w:rPr>
          <w:color w:val="auto"/>
        </w:rPr>
        <w:fldChar w:fldCharType="begin"/>
      </w:r>
      <w:r>
        <w:rPr>
          <w:color w:val="auto"/>
        </w:rPr>
        <w:instrText xml:space="preserve"> PAGEREF _Toc12619 </w:instrText>
      </w:r>
      <w:r>
        <w:rPr>
          <w:color w:val="auto"/>
        </w:rPr>
        <w:fldChar w:fldCharType="separate"/>
      </w:r>
      <w:r>
        <w:rPr>
          <w:color w:val="auto"/>
        </w:rPr>
        <w:t>26</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_Toc21799 </w:instrText>
      </w:r>
      <w:r>
        <w:rPr>
          <w:rFonts w:hint="eastAsia" w:ascii="宋体" w:hAnsi="宋体" w:eastAsia="宋体" w:cs="宋体"/>
          <w:color w:val="auto"/>
        </w:rPr>
        <w:fldChar w:fldCharType="separate"/>
      </w:r>
      <w:r>
        <w:rPr>
          <w:rFonts w:hint="eastAsia" w:ascii="宋体" w:hAnsi="宋体"/>
          <w:color w:val="auto"/>
          <w:szCs w:val="21"/>
        </w:rPr>
        <w:t>9.3 对评标委员会成员的纪律要求</w:t>
      </w:r>
      <w:r>
        <w:rPr>
          <w:color w:val="auto"/>
        </w:rPr>
        <w:tab/>
      </w:r>
      <w:r>
        <w:rPr>
          <w:color w:val="auto"/>
        </w:rPr>
        <w:fldChar w:fldCharType="begin"/>
      </w:r>
      <w:r>
        <w:rPr>
          <w:color w:val="auto"/>
        </w:rPr>
        <w:instrText xml:space="preserve"> PAGEREF _Toc21799 </w:instrText>
      </w:r>
      <w:r>
        <w:rPr>
          <w:color w:val="auto"/>
        </w:rPr>
        <w:fldChar w:fldCharType="separate"/>
      </w:r>
      <w:r>
        <w:rPr>
          <w:color w:val="auto"/>
        </w:rPr>
        <w:t>26</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_Toc5066 </w:instrText>
      </w:r>
      <w:r>
        <w:rPr>
          <w:rFonts w:hint="eastAsia" w:ascii="宋体" w:hAnsi="宋体" w:eastAsia="宋体" w:cs="宋体"/>
          <w:color w:val="auto"/>
        </w:rPr>
        <w:fldChar w:fldCharType="separate"/>
      </w:r>
      <w:r>
        <w:rPr>
          <w:rFonts w:hint="eastAsia" w:ascii="宋体" w:hAnsi="宋体"/>
          <w:color w:val="auto"/>
          <w:szCs w:val="21"/>
        </w:rPr>
        <w:t>9.4 对与评标活动有关的工作人员的纪律要求</w:t>
      </w:r>
      <w:r>
        <w:rPr>
          <w:color w:val="auto"/>
        </w:rPr>
        <w:tab/>
      </w:r>
      <w:r>
        <w:rPr>
          <w:color w:val="auto"/>
        </w:rPr>
        <w:fldChar w:fldCharType="begin"/>
      </w:r>
      <w:r>
        <w:rPr>
          <w:color w:val="auto"/>
        </w:rPr>
        <w:instrText xml:space="preserve"> PAGEREF _Toc5066 </w:instrText>
      </w:r>
      <w:r>
        <w:rPr>
          <w:color w:val="auto"/>
        </w:rPr>
        <w:fldChar w:fldCharType="separate"/>
      </w:r>
      <w:r>
        <w:rPr>
          <w:color w:val="auto"/>
        </w:rPr>
        <w:t>26</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_Toc17965 </w:instrText>
      </w:r>
      <w:r>
        <w:rPr>
          <w:rFonts w:hint="eastAsia" w:ascii="宋体" w:hAnsi="宋体" w:eastAsia="宋体" w:cs="宋体"/>
          <w:color w:val="auto"/>
        </w:rPr>
        <w:fldChar w:fldCharType="separate"/>
      </w:r>
      <w:r>
        <w:rPr>
          <w:rFonts w:hint="eastAsia" w:ascii="宋体" w:hAnsi="宋体"/>
          <w:color w:val="auto"/>
          <w:szCs w:val="21"/>
        </w:rPr>
        <w:t>9.5 投诉</w:t>
      </w:r>
      <w:r>
        <w:rPr>
          <w:color w:val="auto"/>
        </w:rPr>
        <w:tab/>
      </w:r>
      <w:r>
        <w:rPr>
          <w:color w:val="auto"/>
        </w:rPr>
        <w:fldChar w:fldCharType="begin"/>
      </w:r>
      <w:r>
        <w:rPr>
          <w:color w:val="auto"/>
        </w:rPr>
        <w:instrText xml:space="preserve"> PAGEREF _Toc17965 </w:instrText>
      </w:r>
      <w:r>
        <w:rPr>
          <w:color w:val="auto"/>
        </w:rPr>
        <w:fldChar w:fldCharType="separate"/>
      </w:r>
      <w:r>
        <w:rPr>
          <w:color w:val="auto"/>
        </w:rPr>
        <w:t>26</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_Toc23886 </w:instrText>
      </w:r>
      <w:r>
        <w:rPr>
          <w:rFonts w:hint="eastAsia" w:ascii="宋体" w:hAnsi="宋体" w:eastAsia="宋体" w:cs="宋体"/>
          <w:color w:val="auto"/>
        </w:rPr>
        <w:fldChar w:fldCharType="separate"/>
      </w:r>
      <w:r>
        <w:rPr>
          <w:rFonts w:hint="eastAsia" w:ascii="宋体" w:hAnsi="宋体"/>
          <w:color w:val="auto"/>
          <w:szCs w:val="21"/>
        </w:rPr>
        <w:t>10. 需要补充的其他内容</w:t>
      </w:r>
      <w:r>
        <w:rPr>
          <w:color w:val="auto"/>
        </w:rPr>
        <w:tab/>
      </w:r>
      <w:r>
        <w:rPr>
          <w:color w:val="auto"/>
        </w:rPr>
        <w:fldChar w:fldCharType="begin"/>
      </w:r>
      <w:r>
        <w:rPr>
          <w:color w:val="auto"/>
        </w:rPr>
        <w:instrText xml:space="preserve"> PAGEREF _Toc23886 </w:instrText>
      </w:r>
      <w:r>
        <w:rPr>
          <w:color w:val="auto"/>
        </w:rPr>
        <w:fldChar w:fldCharType="separate"/>
      </w:r>
      <w:r>
        <w:rPr>
          <w:color w:val="auto"/>
        </w:rPr>
        <w:t>26</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_Toc24955 </w:instrText>
      </w:r>
      <w:r>
        <w:rPr>
          <w:rFonts w:hint="eastAsia" w:ascii="宋体" w:hAnsi="宋体" w:eastAsia="宋体" w:cs="宋体"/>
          <w:color w:val="auto"/>
        </w:rPr>
        <w:fldChar w:fldCharType="separate"/>
      </w:r>
      <w:r>
        <w:rPr>
          <w:rFonts w:hint="eastAsia" w:ascii="宋体" w:hAnsi="宋体"/>
          <w:color w:val="auto"/>
          <w:szCs w:val="24"/>
        </w:rPr>
        <w:t>附表一：开标记录表</w:t>
      </w:r>
      <w:r>
        <w:rPr>
          <w:color w:val="auto"/>
        </w:rPr>
        <w:tab/>
      </w:r>
      <w:r>
        <w:rPr>
          <w:color w:val="auto"/>
        </w:rPr>
        <w:fldChar w:fldCharType="begin"/>
      </w:r>
      <w:r>
        <w:rPr>
          <w:color w:val="auto"/>
        </w:rPr>
        <w:instrText xml:space="preserve"> PAGEREF _Toc24955 </w:instrText>
      </w:r>
      <w:r>
        <w:rPr>
          <w:color w:val="auto"/>
        </w:rPr>
        <w:fldChar w:fldCharType="separate"/>
      </w:r>
      <w:r>
        <w:rPr>
          <w:color w:val="auto"/>
        </w:rPr>
        <w:t>27</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_Toc15091 </w:instrText>
      </w:r>
      <w:r>
        <w:rPr>
          <w:rFonts w:hint="eastAsia" w:ascii="宋体" w:hAnsi="宋体" w:eastAsia="宋体" w:cs="宋体"/>
          <w:color w:val="auto"/>
        </w:rPr>
        <w:fldChar w:fldCharType="separate"/>
      </w:r>
      <w:r>
        <w:rPr>
          <w:rFonts w:hint="eastAsia" w:ascii="宋体" w:hAnsi="宋体"/>
          <w:color w:val="auto"/>
          <w:szCs w:val="24"/>
        </w:rPr>
        <w:t>附表二：问题澄清通知</w:t>
      </w:r>
      <w:r>
        <w:rPr>
          <w:color w:val="auto"/>
        </w:rPr>
        <w:tab/>
      </w:r>
      <w:r>
        <w:rPr>
          <w:color w:val="auto"/>
        </w:rPr>
        <w:fldChar w:fldCharType="begin"/>
      </w:r>
      <w:r>
        <w:rPr>
          <w:color w:val="auto"/>
        </w:rPr>
        <w:instrText xml:space="preserve"> PAGEREF _Toc15091 </w:instrText>
      </w:r>
      <w:r>
        <w:rPr>
          <w:color w:val="auto"/>
        </w:rPr>
        <w:fldChar w:fldCharType="separate"/>
      </w:r>
      <w:r>
        <w:rPr>
          <w:color w:val="auto"/>
        </w:rPr>
        <w:t>28</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_Toc29828 </w:instrText>
      </w:r>
      <w:r>
        <w:rPr>
          <w:rFonts w:hint="eastAsia" w:ascii="宋体" w:hAnsi="宋体" w:eastAsia="宋体" w:cs="宋体"/>
          <w:color w:val="auto"/>
        </w:rPr>
        <w:fldChar w:fldCharType="separate"/>
      </w:r>
      <w:r>
        <w:rPr>
          <w:rFonts w:hint="eastAsia" w:ascii="宋体" w:hAnsi="宋体"/>
          <w:color w:val="auto"/>
          <w:szCs w:val="24"/>
        </w:rPr>
        <w:t>附表三：问题的澄清</w:t>
      </w:r>
      <w:r>
        <w:rPr>
          <w:color w:val="auto"/>
        </w:rPr>
        <w:tab/>
      </w:r>
      <w:r>
        <w:rPr>
          <w:color w:val="auto"/>
        </w:rPr>
        <w:fldChar w:fldCharType="begin"/>
      </w:r>
      <w:r>
        <w:rPr>
          <w:color w:val="auto"/>
        </w:rPr>
        <w:instrText xml:space="preserve"> PAGEREF _Toc29828 </w:instrText>
      </w:r>
      <w:r>
        <w:rPr>
          <w:color w:val="auto"/>
        </w:rPr>
        <w:fldChar w:fldCharType="separate"/>
      </w:r>
      <w:r>
        <w:rPr>
          <w:color w:val="auto"/>
        </w:rPr>
        <w:t>29</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_Toc19991 </w:instrText>
      </w:r>
      <w:r>
        <w:rPr>
          <w:rFonts w:hint="eastAsia" w:ascii="宋体" w:hAnsi="宋体" w:eastAsia="宋体" w:cs="宋体"/>
          <w:color w:val="auto"/>
        </w:rPr>
        <w:fldChar w:fldCharType="separate"/>
      </w:r>
      <w:r>
        <w:rPr>
          <w:rFonts w:hint="eastAsia" w:ascii="宋体" w:hAnsi="宋体"/>
          <w:color w:val="auto"/>
          <w:szCs w:val="24"/>
        </w:rPr>
        <w:t>附表四：中标通知书</w:t>
      </w:r>
      <w:r>
        <w:rPr>
          <w:color w:val="auto"/>
        </w:rPr>
        <w:tab/>
      </w:r>
      <w:r>
        <w:rPr>
          <w:color w:val="auto"/>
        </w:rPr>
        <w:fldChar w:fldCharType="begin"/>
      </w:r>
      <w:r>
        <w:rPr>
          <w:color w:val="auto"/>
        </w:rPr>
        <w:instrText xml:space="preserve"> PAGEREF _Toc19991 </w:instrText>
      </w:r>
      <w:r>
        <w:rPr>
          <w:color w:val="auto"/>
        </w:rPr>
        <w:fldChar w:fldCharType="separate"/>
      </w:r>
      <w:r>
        <w:rPr>
          <w:color w:val="auto"/>
        </w:rPr>
        <w:t>30</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_Toc26104 </w:instrText>
      </w:r>
      <w:r>
        <w:rPr>
          <w:rFonts w:hint="eastAsia" w:ascii="宋体" w:hAnsi="宋体" w:eastAsia="宋体" w:cs="宋体"/>
          <w:color w:val="auto"/>
        </w:rPr>
        <w:fldChar w:fldCharType="separate"/>
      </w:r>
      <w:r>
        <w:rPr>
          <w:rFonts w:hint="eastAsia" w:ascii="宋体" w:hAnsi="宋体"/>
          <w:color w:val="auto"/>
          <w:szCs w:val="24"/>
        </w:rPr>
        <w:t>附表五：中标结果通知书</w:t>
      </w:r>
      <w:r>
        <w:rPr>
          <w:color w:val="auto"/>
        </w:rPr>
        <w:tab/>
      </w:r>
      <w:r>
        <w:rPr>
          <w:color w:val="auto"/>
        </w:rPr>
        <w:fldChar w:fldCharType="begin"/>
      </w:r>
      <w:r>
        <w:rPr>
          <w:color w:val="auto"/>
        </w:rPr>
        <w:instrText xml:space="preserve"> PAGEREF _Toc26104 </w:instrText>
      </w:r>
      <w:r>
        <w:rPr>
          <w:color w:val="auto"/>
        </w:rPr>
        <w:fldChar w:fldCharType="separate"/>
      </w:r>
      <w:r>
        <w:rPr>
          <w:color w:val="auto"/>
        </w:rPr>
        <w:t>31</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_Toc18997 </w:instrText>
      </w:r>
      <w:r>
        <w:rPr>
          <w:rFonts w:hint="eastAsia" w:ascii="宋体" w:hAnsi="宋体" w:eastAsia="宋体" w:cs="宋体"/>
          <w:color w:val="auto"/>
        </w:rPr>
        <w:fldChar w:fldCharType="separate"/>
      </w:r>
      <w:r>
        <w:rPr>
          <w:rFonts w:hint="eastAsia" w:ascii="宋体" w:hAnsi="宋体"/>
          <w:color w:val="auto"/>
          <w:szCs w:val="24"/>
        </w:rPr>
        <w:t>附表六：确认通知</w:t>
      </w:r>
      <w:r>
        <w:rPr>
          <w:color w:val="auto"/>
        </w:rPr>
        <w:tab/>
      </w:r>
      <w:r>
        <w:rPr>
          <w:color w:val="auto"/>
        </w:rPr>
        <w:fldChar w:fldCharType="begin"/>
      </w:r>
      <w:r>
        <w:rPr>
          <w:color w:val="auto"/>
        </w:rPr>
        <w:instrText xml:space="preserve"> PAGEREF _Toc18997 </w:instrText>
      </w:r>
      <w:r>
        <w:rPr>
          <w:color w:val="auto"/>
        </w:rPr>
        <w:fldChar w:fldCharType="separate"/>
      </w:r>
      <w:r>
        <w:rPr>
          <w:color w:val="auto"/>
        </w:rPr>
        <w:t>32</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_Toc3279 </w:instrText>
      </w:r>
      <w:r>
        <w:rPr>
          <w:rFonts w:hint="eastAsia" w:ascii="宋体" w:hAnsi="宋体" w:eastAsia="宋体" w:cs="宋体"/>
          <w:color w:val="auto"/>
        </w:rPr>
        <w:fldChar w:fldCharType="separate"/>
      </w:r>
      <w:r>
        <w:rPr>
          <w:rFonts w:hint="eastAsia" w:ascii="宋体" w:hAnsi="宋体"/>
          <w:color w:val="auto"/>
          <w:szCs w:val="30"/>
        </w:rPr>
        <w:t>第三章 评标办法（合理区间抽取定价法）</w:t>
      </w:r>
      <w:r>
        <w:rPr>
          <w:color w:val="auto"/>
        </w:rPr>
        <w:tab/>
      </w:r>
      <w:r>
        <w:rPr>
          <w:color w:val="auto"/>
        </w:rPr>
        <w:fldChar w:fldCharType="begin"/>
      </w:r>
      <w:r>
        <w:rPr>
          <w:color w:val="auto"/>
        </w:rPr>
        <w:instrText xml:space="preserve"> PAGEREF _Toc3279 </w:instrText>
      </w:r>
      <w:r>
        <w:rPr>
          <w:color w:val="auto"/>
        </w:rPr>
        <w:fldChar w:fldCharType="separate"/>
      </w:r>
      <w:r>
        <w:rPr>
          <w:color w:val="auto"/>
        </w:rPr>
        <w:t>34</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_Toc24128 </w:instrText>
      </w:r>
      <w:r>
        <w:rPr>
          <w:rFonts w:hint="eastAsia" w:ascii="宋体" w:hAnsi="宋体" w:eastAsia="宋体" w:cs="宋体"/>
          <w:color w:val="auto"/>
        </w:rPr>
        <w:fldChar w:fldCharType="separate"/>
      </w:r>
      <w:r>
        <w:rPr>
          <w:rFonts w:hint="eastAsia" w:ascii="宋体" w:hAnsi="宋体"/>
          <w:color w:val="auto"/>
          <w:szCs w:val="30"/>
        </w:rPr>
        <w:t>评标办法前附表</w:t>
      </w:r>
      <w:r>
        <w:rPr>
          <w:color w:val="auto"/>
        </w:rPr>
        <w:tab/>
      </w:r>
      <w:r>
        <w:rPr>
          <w:color w:val="auto"/>
        </w:rPr>
        <w:fldChar w:fldCharType="begin"/>
      </w:r>
      <w:r>
        <w:rPr>
          <w:color w:val="auto"/>
        </w:rPr>
        <w:instrText xml:space="preserve"> PAGEREF _Toc24128 </w:instrText>
      </w:r>
      <w:r>
        <w:rPr>
          <w:color w:val="auto"/>
        </w:rPr>
        <w:fldChar w:fldCharType="separate"/>
      </w:r>
      <w:r>
        <w:rPr>
          <w:color w:val="auto"/>
        </w:rPr>
        <w:t>34</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_Toc10397 </w:instrText>
      </w:r>
      <w:r>
        <w:rPr>
          <w:rFonts w:hint="eastAsia" w:ascii="宋体" w:hAnsi="宋体" w:eastAsia="宋体" w:cs="宋体"/>
          <w:color w:val="auto"/>
        </w:rPr>
        <w:fldChar w:fldCharType="separate"/>
      </w:r>
      <w:r>
        <w:rPr>
          <w:rFonts w:hint="eastAsia" w:ascii="宋体" w:hAnsi="宋体"/>
          <w:color w:val="auto"/>
          <w:szCs w:val="24"/>
        </w:rPr>
        <w:t>1. 评标方法</w:t>
      </w:r>
      <w:r>
        <w:rPr>
          <w:color w:val="auto"/>
        </w:rPr>
        <w:tab/>
      </w:r>
      <w:r>
        <w:rPr>
          <w:color w:val="auto"/>
        </w:rPr>
        <w:fldChar w:fldCharType="begin"/>
      </w:r>
      <w:r>
        <w:rPr>
          <w:color w:val="auto"/>
        </w:rPr>
        <w:instrText xml:space="preserve"> PAGEREF _Toc10397 </w:instrText>
      </w:r>
      <w:r>
        <w:rPr>
          <w:color w:val="auto"/>
        </w:rPr>
        <w:fldChar w:fldCharType="separate"/>
      </w:r>
      <w:r>
        <w:rPr>
          <w:color w:val="auto"/>
        </w:rPr>
        <w:t>37</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_Toc11814 </w:instrText>
      </w:r>
      <w:r>
        <w:rPr>
          <w:rFonts w:hint="eastAsia" w:ascii="宋体" w:hAnsi="宋体" w:eastAsia="宋体" w:cs="宋体"/>
          <w:color w:val="auto"/>
        </w:rPr>
        <w:fldChar w:fldCharType="separate"/>
      </w:r>
      <w:r>
        <w:rPr>
          <w:rFonts w:hint="eastAsia" w:ascii="宋体" w:hAnsi="宋体"/>
          <w:color w:val="auto"/>
          <w:szCs w:val="24"/>
        </w:rPr>
        <w:t>2. 评审标准</w:t>
      </w:r>
      <w:r>
        <w:rPr>
          <w:color w:val="auto"/>
        </w:rPr>
        <w:tab/>
      </w:r>
      <w:r>
        <w:rPr>
          <w:color w:val="auto"/>
        </w:rPr>
        <w:fldChar w:fldCharType="begin"/>
      </w:r>
      <w:r>
        <w:rPr>
          <w:color w:val="auto"/>
        </w:rPr>
        <w:instrText xml:space="preserve"> PAGEREF _Toc11814 </w:instrText>
      </w:r>
      <w:r>
        <w:rPr>
          <w:color w:val="auto"/>
        </w:rPr>
        <w:fldChar w:fldCharType="separate"/>
      </w:r>
      <w:r>
        <w:rPr>
          <w:color w:val="auto"/>
        </w:rPr>
        <w:t>37</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_Toc19872 </w:instrText>
      </w:r>
      <w:r>
        <w:rPr>
          <w:rFonts w:hint="eastAsia" w:ascii="宋体" w:hAnsi="宋体" w:eastAsia="宋体" w:cs="宋体"/>
          <w:color w:val="auto"/>
        </w:rPr>
        <w:fldChar w:fldCharType="separate"/>
      </w:r>
      <w:r>
        <w:rPr>
          <w:rFonts w:hint="eastAsia" w:ascii="宋体" w:hAnsi="宋体"/>
          <w:color w:val="auto"/>
          <w:szCs w:val="24"/>
        </w:rPr>
        <w:t>2.1 初步评审标准</w:t>
      </w:r>
      <w:r>
        <w:rPr>
          <w:color w:val="auto"/>
        </w:rPr>
        <w:tab/>
      </w:r>
      <w:r>
        <w:rPr>
          <w:color w:val="auto"/>
        </w:rPr>
        <w:fldChar w:fldCharType="begin"/>
      </w:r>
      <w:r>
        <w:rPr>
          <w:color w:val="auto"/>
        </w:rPr>
        <w:instrText xml:space="preserve"> PAGEREF _Toc19872 </w:instrText>
      </w:r>
      <w:r>
        <w:rPr>
          <w:color w:val="auto"/>
        </w:rPr>
        <w:fldChar w:fldCharType="separate"/>
      </w:r>
      <w:r>
        <w:rPr>
          <w:color w:val="auto"/>
        </w:rPr>
        <w:t>37</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_Toc1317 </w:instrText>
      </w:r>
      <w:r>
        <w:rPr>
          <w:rFonts w:hint="eastAsia" w:ascii="宋体" w:hAnsi="宋体" w:eastAsia="宋体" w:cs="宋体"/>
          <w:color w:val="auto"/>
        </w:rPr>
        <w:fldChar w:fldCharType="separate"/>
      </w:r>
      <w:r>
        <w:rPr>
          <w:rFonts w:hint="eastAsia" w:ascii="宋体" w:hAnsi="宋体"/>
          <w:color w:val="auto"/>
          <w:szCs w:val="24"/>
        </w:rPr>
        <w:t>2.2 分值构成与评分标准</w:t>
      </w:r>
      <w:r>
        <w:rPr>
          <w:color w:val="auto"/>
        </w:rPr>
        <w:tab/>
      </w:r>
      <w:r>
        <w:rPr>
          <w:color w:val="auto"/>
        </w:rPr>
        <w:fldChar w:fldCharType="begin"/>
      </w:r>
      <w:r>
        <w:rPr>
          <w:color w:val="auto"/>
        </w:rPr>
        <w:instrText xml:space="preserve"> PAGEREF _Toc1317 </w:instrText>
      </w:r>
      <w:r>
        <w:rPr>
          <w:color w:val="auto"/>
        </w:rPr>
        <w:fldChar w:fldCharType="separate"/>
      </w:r>
      <w:r>
        <w:rPr>
          <w:color w:val="auto"/>
        </w:rPr>
        <w:t>37</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_Toc27175 </w:instrText>
      </w:r>
      <w:r>
        <w:rPr>
          <w:rFonts w:hint="eastAsia" w:ascii="宋体" w:hAnsi="宋体" w:eastAsia="宋体" w:cs="宋体"/>
          <w:color w:val="auto"/>
        </w:rPr>
        <w:fldChar w:fldCharType="separate"/>
      </w:r>
      <w:r>
        <w:rPr>
          <w:rFonts w:hint="eastAsia" w:ascii="宋体" w:hAnsi="宋体"/>
          <w:color w:val="auto"/>
          <w:szCs w:val="24"/>
        </w:rPr>
        <w:t>3. 评标程序</w:t>
      </w:r>
      <w:r>
        <w:rPr>
          <w:color w:val="auto"/>
        </w:rPr>
        <w:tab/>
      </w:r>
      <w:r>
        <w:rPr>
          <w:color w:val="auto"/>
        </w:rPr>
        <w:fldChar w:fldCharType="begin"/>
      </w:r>
      <w:r>
        <w:rPr>
          <w:color w:val="auto"/>
        </w:rPr>
        <w:instrText xml:space="preserve"> PAGEREF _Toc27175 </w:instrText>
      </w:r>
      <w:r>
        <w:rPr>
          <w:color w:val="auto"/>
        </w:rPr>
        <w:fldChar w:fldCharType="separate"/>
      </w:r>
      <w:r>
        <w:rPr>
          <w:color w:val="auto"/>
        </w:rPr>
        <w:t>37</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_Toc28700 </w:instrText>
      </w:r>
      <w:r>
        <w:rPr>
          <w:rFonts w:hint="eastAsia" w:ascii="宋体" w:hAnsi="宋体" w:eastAsia="宋体" w:cs="宋体"/>
          <w:color w:val="auto"/>
        </w:rPr>
        <w:fldChar w:fldCharType="separate"/>
      </w:r>
      <w:r>
        <w:rPr>
          <w:rFonts w:hint="eastAsia" w:ascii="宋体" w:hAnsi="宋体"/>
          <w:color w:val="auto"/>
          <w:szCs w:val="24"/>
        </w:rPr>
        <w:t>3.1 初步评审</w:t>
      </w:r>
      <w:r>
        <w:rPr>
          <w:color w:val="auto"/>
        </w:rPr>
        <w:tab/>
      </w:r>
      <w:r>
        <w:rPr>
          <w:color w:val="auto"/>
        </w:rPr>
        <w:fldChar w:fldCharType="begin"/>
      </w:r>
      <w:r>
        <w:rPr>
          <w:color w:val="auto"/>
        </w:rPr>
        <w:instrText xml:space="preserve"> PAGEREF _Toc28700 </w:instrText>
      </w:r>
      <w:r>
        <w:rPr>
          <w:color w:val="auto"/>
        </w:rPr>
        <w:fldChar w:fldCharType="separate"/>
      </w:r>
      <w:r>
        <w:rPr>
          <w:color w:val="auto"/>
        </w:rPr>
        <w:t>37</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_Toc30785 </w:instrText>
      </w:r>
      <w:r>
        <w:rPr>
          <w:rFonts w:hint="eastAsia" w:ascii="宋体" w:hAnsi="宋体" w:eastAsia="宋体" w:cs="宋体"/>
          <w:color w:val="auto"/>
        </w:rPr>
        <w:fldChar w:fldCharType="separate"/>
      </w:r>
      <w:r>
        <w:rPr>
          <w:rFonts w:hint="eastAsia" w:ascii="宋体" w:hAnsi="宋体"/>
          <w:color w:val="auto"/>
          <w:szCs w:val="24"/>
        </w:rPr>
        <w:t>3.2  详细评审</w:t>
      </w:r>
      <w:r>
        <w:rPr>
          <w:color w:val="auto"/>
        </w:rPr>
        <w:tab/>
      </w:r>
      <w:r>
        <w:rPr>
          <w:color w:val="auto"/>
        </w:rPr>
        <w:fldChar w:fldCharType="begin"/>
      </w:r>
      <w:r>
        <w:rPr>
          <w:color w:val="auto"/>
        </w:rPr>
        <w:instrText xml:space="preserve"> PAGEREF _Toc30785 </w:instrText>
      </w:r>
      <w:r>
        <w:rPr>
          <w:color w:val="auto"/>
        </w:rPr>
        <w:fldChar w:fldCharType="separate"/>
      </w:r>
      <w:r>
        <w:rPr>
          <w:color w:val="auto"/>
        </w:rPr>
        <w:t>37</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_Toc9974 </w:instrText>
      </w:r>
      <w:r>
        <w:rPr>
          <w:rFonts w:hint="eastAsia" w:ascii="宋体" w:hAnsi="宋体" w:eastAsia="宋体" w:cs="宋体"/>
          <w:color w:val="auto"/>
        </w:rPr>
        <w:fldChar w:fldCharType="separate"/>
      </w:r>
      <w:r>
        <w:rPr>
          <w:rFonts w:hint="eastAsia" w:ascii="宋体" w:hAnsi="宋体"/>
          <w:color w:val="auto"/>
          <w:szCs w:val="24"/>
        </w:rPr>
        <w:t>3.3  投标文件的澄清和补正</w:t>
      </w:r>
      <w:r>
        <w:rPr>
          <w:color w:val="auto"/>
        </w:rPr>
        <w:tab/>
      </w:r>
      <w:r>
        <w:rPr>
          <w:color w:val="auto"/>
        </w:rPr>
        <w:fldChar w:fldCharType="begin"/>
      </w:r>
      <w:r>
        <w:rPr>
          <w:color w:val="auto"/>
        </w:rPr>
        <w:instrText xml:space="preserve"> PAGEREF _Toc9974 </w:instrText>
      </w:r>
      <w:r>
        <w:rPr>
          <w:color w:val="auto"/>
        </w:rPr>
        <w:fldChar w:fldCharType="separate"/>
      </w:r>
      <w:r>
        <w:rPr>
          <w:color w:val="auto"/>
        </w:rPr>
        <w:t>37</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_Toc17879 </w:instrText>
      </w:r>
      <w:r>
        <w:rPr>
          <w:rFonts w:hint="eastAsia" w:ascii="宋体" w:hAnsi="宋体" w:eastAsia="宋体" w:cs="宋体"/>
          <w:color w:val="auto"/>
        </w:rPr>
        <w:fldChar w:fldCharType="separate"/>
      </w:r>
      <w:r>
        <w:rPr>
          <w:rFonts w:hint="eastAsia" w:ascii="宋体" w:hAnsi="宋体"/>
          <w:color w:val="auto"/>
          <w:szCs w:val="24"/>
        </w:rPr>
        <w:t>3.4  评标结果</w:t>
      </w:r>
      <w:r>
        <w:rPr>
          <w:color w:val="auto"/>
        </w:rPr>
        <w:tab/>
      </w:r>
      <w:r>
        <w:rPr>
          <w:color w:val="auto"/>
        </w:rPr>
        <w:fldChar w:fldCharType="begin"/>
      </w:r>
      <w:r>
        <w:rPr>
          <w:color w:val="auto"/>
        </w:rPr>
        <w:instrText xml:space="preserve"> PAGEREF _Toc17879 </w:instrText>
      </w:r>
      <w:r>
        <w:rPr>
          <w:color w:val="auto"/>
        </w:rPr>
        <w:fldChar w:fldCharType="separate"/>
      </w:r>
      <w:r>
        <w:rPr>
          <w:color w:val="auto"/>
        </w:rPr>
        <w:t>38</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_Toc9957 </w:instrText>
      </w:r>
      <w:r>
        <w:rPr>
          <w:rFonts w:hint="eastAsia" w:ascii="宋体" w:hAnsi="宋体" w:eastAsia="宋体" w:cs="宋体"/>
          <w:color w:val="auto"/>
        </w:rPr>
        <w:fldChar w:fldCharType="separate"/>
      </w:r>
      <w:r>
        <w:rPr>
          <w:rFonts w:hint="eastAsia" w:ascii="宋体" w:hAnsi="宋体"/>
          <w:color w:val="auto"/>
          <w:szCs w:val="48"/>
        </w:rPr>
        <w:t>第四章  合同条款及格式</w:t>
      </w:r>
      <w:r>
        <w:rPr>
          <w:color w:val="auto"/>
        </w:rPr>
        <w:tab/>
      </w:r>
      <w:r>
        <w:rPr>
          <w:color w:val="auto"/>
        </w:rPr>
        <w:fldChar w:fldCharType="begin"/>
      </w:r>
      <w:r>
        <w:rPr>
          <w:color w:val="auto"/>
        </w:rPr>
        <w:instrText xml:space="preserve"> PAGEREF _Toc9957 </w:instrText>
      </w:r>
      <w:r>
        <w:rPr>
          <w:color w:val="auto"/>
        </w:rPr>
        <w:fldChar w:fldCharType="separate"/>
      </w:r>
      <w:r>
        <w:rPr>
          <w:color w:val="auto"/>
        </w:rPr>
        <w:t>39</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_Toc20123 </w:instrText>
      </w:r>
      <w:r>
        <w:rPr>
          <w:rFonts w:hint="eastAsia" w:ascii="宋体" w:hAnsi="宋体" w:eastAsia="宋体" w:cs="宋体"/>
          <w:color w:val="auto"/>
        </w:rPr>
        <w:fldChar w:fldCharType="separate"/>
      </w:r>
      <w:r>
        <w:rPr>
          <w:rFonts w:hint="eastAsia" w:ascii="宋体" w:hAnsi="宋体"/>
          <w:color w:val="auto"/>
          <w:szCs w:val="28"/>
        </w:rPr>
        <w:t>第一节  通用合同条款</w:t>
      </w:r>
      <w:r>
        <w:rPr>
          <w:color w:val="auto"/>
        </w:rPr>
        <w:tab/>
      </w:r>
      <w:r>
        <w:rPr>
          <w:color w:val="auto"/>
        </w:rPr>
        <w:fldChar w:fldCharType="begin"/>
      </w:r>
      <w:r>
        <w:rPr>
          <w:color w:val="auto"/>
        </w:rPr>
        <w:instrText xml:space="preserve"> PAGEREF _Toc20123 </w:instrText>
      </w:r>
      <w:r>
        <w:rPr>
          <w:color w:val="auto"/>
        </w:rPr>
        <w:fldChar w:fldCharType="separate"/>
      </w:r>
      <w:r>
        <w:rPr>
          <w:color w:val="auto"/>
        </w:rPr>
        <w:t>40</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_Toc11019 </w:instrText>
      </w:r>
      <w:r>
        <w:rPr>
          <w:rFonts w:hint="eastAsia" w:ascii="宋体" w:hAnsi="宋体" w:eastAsia="宋体" w:cs="宋体"/>
          <w:color w:val="auto"/>
        </w:rPr>
        <w:fldChar w:fldCharType="separate"/>
      </w:r>
      <w:r>
        <w:rPr>
          <w:rFonts w:hint="eastAsia" w:ascii="宋体" w:hAnsi="宋体"/>
          <w:color w:val="auto"/>
          <w:szCs w:val="28"/>
        </w:rPr>
        <w:t>第二节 专用合同条款</w:t>
      </w:r>
      <w:r>
        <w:rPr>
          <w:color w:val="auto"/>
        </w:rPr>
        <w:tab/>
      </w:r>
      <w:r>
        <w:rPr>
          <w:color w:val="auto"/>
        </w:rPr>
        <w:fldChar w:fldCharType="begin"/>
      </w:r>
      <w:r>
        <w:rPr>
          <w:color w:val="auto"/>
        </w:rPr>
        <w:instrText xml:space="preserve"> PAGEREF _Toc11019 </w:instrText>
      </w:r>
      <w:r>
        <w:rPr>
          <w:color w:val="auto"/>
        </w:rPr>
        <w:fldChar w:fldCharType="separate"/>
      </w:r>
      <w:r>
        <w:rPr>
          <w:color w:val="auto"/>
        </w:rPr>
        <w:t>41</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_Toc15989 </w:instrText>
      </w:r>
      <w:r>
        <w:rPr>
          <w:rFonts w:hint="eastAsia" w:ascii="宋体" w:hAnsi="宋体" w:eastAsia="宋体" w:cs="宋体"/>
          <w:color w:val="auto"/>
        </w:rPr>
        <w:fldChar w:fldCharType="separate"/>
      </w:r>
      <w:r>
        <w:rPr>
          <w:rFonts w:hint="eastAsia" w:ascii="宋体" w:hAnsi="宋体"/>
          <w:color w:val="auto"/>
          <w:szCs w:val="28"/>
        </w:rPr>
        <w:t>1. 一般约定</w:t>
      </w:r>
      <w:r>
        <w:rPr>
          <w:color w:val="auto"/>
        </w:rPr>
        <w:tab/>
      </w:r>
      <w:r>
        <w:rPr>
          <w:color w:val="auto"/>
        </w:rPr>
        <w:fldChar w:fldCharType="begin"/>
      </w:r>
      <w:r>
        <w:rPr>
          <w:color w:val="auto"/>
        </w:rPr>
        <w:instrText xml:space="preserve"> PAGEREF _Toc15989 </w:instrText>
      </w:r>
      <w:r>
        <w:rPr>
          <w:color w:val="auto"/>
        </w:rPr>
        <w:fldChar w:fldCharType="separate"/>
      </w:r>
      <w:r>
        <w:rPr>
          <w:color w:val="auto"/>
        </w:rPr>
        <w:t>46</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_Toc24504 </w:instrText>
      </w:r>
      <w:r>
        <w:rPr>
          <w:rFonts w:hint="eastAsia" w:ascii="宋体" w:hAnsi="宋体" w:eastAsia="宋体" w:cs="宋体"/>
          <w:color w:val="auto"/>
        </w:rPr>
        <w:fldChar w:fldCharType="separate"/>
      </w:r>
      <w:r>
        <w:rPr>
          <w:rFonts w:hint="eastAsia" w:ascii="宋体" w:hAnsi="宋体"/>
          <w:color w:val="auto"/>
          <w:szCs w:val="21"/>
        </w:rPr>
        <w:t>1.1 词语定义</w:t>
      </w:r>
      <w:r>
        <w:rPr>
          <w:color w:val="auto"/>
        </w:rPr>
        <w:tab/>
      </w:r>
      <w:r>
        <w:rPr>
          <w:color w:val="auto"/>
        </w:rPr>
        <w:fldChar w:fldCharType="begin"/>
      </w:r>
      <w:r>
        <w:rPr>
          <w:color w:val="auto"/>
        </w:rPr>
        <w:instrText xml:space="preserve"> PAGEREF _Toc24504 </w:instrText>
      </w:r>
      <w:r>
        <w:rPr>
          <w:color w:val="auto"/>
        </w:rPr>
        <w:fldChar w:fldCharType="separate"/>
      </w:r>
      <w:r>
        <w:rPr>
          <w:color w:val="auto"/>
        </w:rPr>
        <w:t>46</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_Toc10326 </w:instrText>
      </w:r>
      <w:r>
        <w:rPr>
          <w:rFonts w:hint="eastAsia" w:ascii="宋体" w:hAnsi="宋体" w:eastAsia="宋体" w:cs="宋体"/>
          <w:color w:val="auto"/>
        </w:rPr>
        <w:fldChar w:fldCharType="separate"/>
      </w:r>
      <w:r>
        <w:rPr>
          <w:rFonts w:hint="eastAsia" w:ascii="宋体" w:hAnsi="宋体"/>
          <w:color w:val="auto"/>
          <w:szCs w:val="21"/>
        </w:rPr>
        <w:t>1.4 合同文件的优先顺序</w:t>
      </w:r>
      <w:r>
        <w:rPr>
          <w:color w:val="auto"/>
        </w:rPr>
        <w:tab/>
      </w:r>
      <w:r>
        <w:rPr>
          <w:color w:val="auto"/>
        </w:rPr>
        <w:fldChar w:fldCharType="begin"/>
      </w:r>
      <w:r>
        <w:rPr>
          <w:color w:val="auto"/>
        </w:rPr>
        <w:instrText xml:space="preserve"> PAGEREF _Toc10326 </w:instrText>
      </w:r>
      <w:r>
        <w:rPr>
          <w:color w:val="auto"/>
        </w:rPr>
        <w:fldChar w:fldCharType="separate"/>
      </w:r>
      <w:r>
        <w:rPr>
          <w:color w:val="auto"/>
        </w:rPr>
        <w:t>46</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_Toc19575 </w:instrText>
      </w:r>
      <w:r>
        <w:rPr>
          <w:rFonts w:hint="eastAsia" w:ascii="宋体" w:hAnsi="宋体" w:eastAsia="宋体" w:cs="宋体"/>
          <w:color w:val="auto"/>
        </w:rPr>
        <w:fldChar w:fldCharType="separate"/>
      </w:r>
      <w:r>
        <w:rPr>
          <w:rFonts w:hint="eastAsia" w:ascii="宋体" w:hAnsi="宋体"/>
          <w:color w:val="auto"/>
          <w:szCs w:val="21"/>
        </w:rPr>
        <w:t>1.6 图纸和承包人文件</w:t>
      </w:r>
      <w:r>
        <w:rPr>
          <w:color w:val="auto"/>
        </w:rPr>
        <w:tab/>
      </w:r>
      <w:r>
        <w:rPr>
          <w:color w:val="auto"/>
        </w:rPr>
        <w:fldChar w:fldCharType="begin"/>
      </w:r>
      <w:r>
        <w:rPr>
          <w:color w:val="auto"/>
        </w:rPr>
        <w:instrText xml:space="preserve"> PAGEREF _Toc19575 </w:instrText>
      </w:r>
      <w:r>
        <w:rPr>
          <w:color w:val="auto"/>
        </w:rPr>
        <w:fldChar w:fldCharType="separate"/>
      </w:r>
      <w:r>
        <w:rPr>
          <w:color w:val="auto"/>
        </w:rPr>
        <w:t>46</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_Toc7317 </w:instrText>
      </w:r>
      <w:r>
        <w:rPr>
          <w:rFonts w:hint="eastAsia" w:ascii="宋体" w:hAnsi="宋体" w:eastAsia="宋体" w:cs="宋体"/>
          <w:color w:val="auto"/>
        </w:rPr>
        <w:fldChar w:fldCharType="separate"/>
      </w:r>
      <w:r>
        <w:rPr>
          <w:rFonts w:hint="eastAsia" w:ascii="宋体" w:hAnsi="宋体"/>
          <w:color w:val="auto"/>
          <w:szCs w:val="21"/>
        </w:rPr>
        <w:t>1.7 联络</w:t>
      </w:r>
      <w:r>
        <w:rPr>
          <w:color w:val="auto"/>
        </w:rPr>
        <w:tab/>
      </w:r>
      <w:r>
        <w:rPr>
          <w:color w:val="auto"/>
        </w:rPr>
        <w:fldChar w:fldCharType="begin"/>
      </w:r>
      <w:r>
        <w:rPr>
          <w:color w:val="auto"/>
        </w:rPr>
        <w:instrText xml:space="preserve"> PAGEREF _Toc7317 </w:instrText>
      </w:r>
      <w:r>
        <w:rPr>
          <w:color w:val="auto"/>
        </w:rPr>
        <w:fldChar w:fldCharType="separate"/>
      </w:r>
      <w:r>
        <w:rPr>
          <w:color w:val="auto"/>
        </w:rPr>
        <w:t>47</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_Toc4972 </w:instrText>
      </w:r>
      <w:r>
        <w:rPr>
          <w:rFonts w:hint="eastAsia" w:ascii="宋体" w:hAnsi="宋体" w:eastAsia="宋体" w:cs="宋体"/>
          <w:color w:val="auto"/>
        </w:rPr>
        <w:fldChar w:fldCharType="separate"/>
      </w:r>
      <w:r>
        <w:rPr>
          <w:rFonts w:hint="eastAsia" w:ascii="宋体" w:hAnsi="宋体"/>
          <w:color w:val="auto"/>
          <w:szCs w:val="28"/>
        </w:rPr>
        <w:t>4. 承包人</w:t>
      </w:r>
      <w:r>
        <w:rPr>
          <w:color w:val="auto"/>
        </w:rPr>
        <w:tab/>
      </w:r>
      <w:r>
        <w:rPr>
          <w:color w:val="auto"/>
        </w:rPr>
        <w:fldChar w:fldCharType="begin"/>
      </w:r>
      <w:r>
        <w:rPr>
          <w:color w:val="auto"/>
        </w:rPr>
        <w:instrText xml:space="preserve"> PAGEREF _Toc4972 </w:instrText>
      </w:r>
      <w:r>
        <w:rPr>
          <w:color w:val="auto"/>
        </w:rPr>
        <w:fldChar w:fldCharType="separate"/>
      </w:r>
      <w:r>
        <w:rPr>
          <w:color w:val="auto"/>
        </w:rPr>
        <w:t>47</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_Toc25410 </w:instrText>
      </w:r>
      <w:r>
        <w:rPr>
          <w:rFonts w:hint="eastAsia" w:ascii="宋体" w:hAnsi="宋体" w:eastAsia="宋体" w:cs="宋体"/>
          <w:color w:val="auto"/>
        </w:rPr>
        <w:fldChar w:fldCharType="separate"/>
      </w:r>
      <w:r>
        <w:rPr>
          <w:rFonts w:hint="eastAsia" w:ascii="宋体" w:hAnsi="宋体"/>
          <w:color w:val="auto"/>
          <w:szCs w:val="21"/>
        </w:rPr>
        <w:t>4.1 承包人的一般义务</w:t>
      </w:r>
      <w:r>
        <w:rPr>
          <w:color w:val="auto"/>
        </w:rPr>
        <w:tab/>
      </w:r>
      <w:r>
        <w:rPr>
          <w:color w:val="auto"/>
        </w:rPr>
        <w:fldChar w:fldCharType="begin"/>
      </w:r>
      <w:r>
        <w:rPr>
          <w:color w:val="auto"/>
        </w:rPr>
        <w:instrText xml:space="preserve"> PAGEREF _Toc25410 </w:instrText>
      </w:r>
      <w:r>
        <w:rPr>
          <w:color w:val="auto"/>
        </w:rPr>
        <w:fldChar w:fldCharType="separate"/>
      </w:r>
      <w:r>
        <w:rPr>
          <w:color w:val="auto"/>
        </w:rPr>
        <w:t>47</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_Toc22751 </w:instrText>
      </w:r>
      <w:r>
        <w:rPr>
          <w:rFonts w:hint="eastAsia" w:ascii="宋体" w:hAnsi="宋体" w:eastAsia="宋体" w:cs="宋体"/>
          <w:color w:val="auto"/>
        </w:rPr>
        <w:fldChar w:fldCharType="separate"/>
      </w:r>
      <w:r>
        <w:rPr>
          <w:rFonts w:hint="eastAsia" w:ascii="宋体" w:hAnsi="宋体"/>
          <w:color w:val="auto"/>
          <w:szCs w:val="21"/>
        </w:rPr>
        <w:t>4.3 分包</w:t>
      </w:r>
      <w:r>
        <w:rPr>
          <w:color w:val="auto"/>
        </w:rPr>
        <w:tab/>
      </w:r>
      <w:r>
        <w:rPr>
          <w:color w:val="auto"/>
        </w:rPr>
        <w:fldChar w:fldCharType="begin"/>
      </w:r>
      <w:r>
        <w:rPr>
          <w:color w:val="auto"/>
        </w:rPr>
        <w:instrText xml:space="preserve"> PAGEREF _Toc22751 </w:instrText>
      </w:r>
      <w:r>
        <w:rPr>
          <w:color w:val="auto"/>
        </w:rPr>
        <w:fldChar w:fldCharType="separate"/>
      </w:r>
      <w:r>
        <w:rPr>
          <w:color w:val="auto"/>
        </w:rPr>
        <w:t>51</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_Toc537 </w:instrText>
      </w:r>
      <w:r>
        <w:rPr>
          <w:rFonts w:hint="eastAsia" w:ascii="宋体" w:hAnsi="宋体" w:eastAsia="宋体" w:cs="宋体"/>
          <w:color w:val="auto"/>
        </w:rPr>
        <w:fldChar w:fldCharType="separate"/>
      </w:r>
      <w:r>
        <w:rPr>
          <w:rFonts w:hint="eastAsia" w:ascii="宋体" w:hAnsi="宋体"/>
          <w:color w:val="auto"/>
          <w:szCs w:val="21"/>
        </w:rPr>
        <w:t>4.6 承包人人员的管理</w:t>
      </w:r>
      <w:r>
        <w:rPr>
          <w:color w:val="auto"/>
        </w:rPr>
        <w:tab/>
      </w:r>
      <w:r>
        <w:rPr>
          <w:color w:val="auto"/>
        </w:rPr>
        <w:fldChar w:fldCharType="begin"/>
      </w:r>
      <w:r>
        <w:rPr>
          <w:color w:val="auto"/>
        </w:rPr>
        <w:instrText xml:space="preserve"> PAGEREF _Toc537 </w:instrText>
      </w:r>
      <w:r>
        <w:rPr>
          <w:color w:val="auto"/>
        </w:rPr>
        <w:fldChar w:fldCharType="separate"/>
      </w:r>
      <w:r>
        <w:rPr>
          <w:color w:val="auto"/>
        </w:rPr>
        <w:t>51</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_Toc31720 </w:instrText>
      </w:r>
      <w:r>
        <w:rPr>
          <w:rFonts w:hint="eastAsia" w:ascii="宋体" w:hAnsi="宋体" w:eastAsia="宋体" w:cs="宋体"/>
          <w:color w:val="auto"/>
        </w:rPr>
        <w:fldChar w:fldCharType="separate"/>
      </w:r>
      <w:r>
        <w:rPr>
          <w:rFonts w:hint="eastAsia" w:ascii="宋体" w:hAnsi="宋体"/>
          <w:color w:val="auto"/>
          <w:szCs w:val="21"/>
        </w:rPr>
        <w:t>4.8 保障承包人人员的合法权益</w:t>
      </w:r>
      <w:r>
        <w:rPr>
          <w:color w:val="auto"/>
        </w:rPr>
        <w:tab/>
      </w:r>
      <w:r>
        <w:rPr>
          <w:color w:val="auto"/>
        </w:rPr>
        <w:fldChar w:fldCharType="begin"/>
      </w:r>
      <w:r>
        <w:rPr>
          <w:color w:val="auto"/>
        </w:rPr>
        <w:instrText xml:space="preserve"> PAGEREF _Toc31720 </w:instrText>
      </w:r>
      <w:r>
        <w:rPr>
          <w:color w:val="auto"/>
        </w:rPr>
        <w:fldChar w:fldCharType="separate"/>
      </w:r>
      <w:r>
        <w:rPr>
          <w:color w:val="auto"/>
        </w:rPr>
        <w:t>52</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_Toc13046 </w:instrText>
      </w:r>
      <w:r>
        <w:rPr>
          <w:rFonts w:hint="eastAsia" w:ascii="宋体" w:hAnsi="宋体" w:eastAsia="宋体" w:cs="宋体"/>
          <w:color w:val="auto"/>
        </w:rPr>
        <w:fldChar w:fldCharType="separate"/>
      </w:r>
      <w:r>
        <w:rPr>
          <w:rFonts w:hint="eastAsia" w:ascii="宋体" w:hAnsi="宋体"/>
          <w:color w:val="auto"/>
          <w:szCs w:val="21"/>
        </w:rPr>
        <w:t>4.11 不利物质条件</w:t>
      </w:r>
      <w:r>
        <w:rPr>
          <w:color w:val="auto"/>
        </w:rPr>
        <w:tab/>
      </w:r>
      <w:r>
        <w:rPr>
          <w:color w:val="auto"/>
        </w:rPr>
        <w:fldChar w:fldCharType="begin"/>
      </w:r>
      <w:r>
        <w:rPr>
          <w:color w:val="auto"/>
        </w:rPr>
        <w:instrText xml:space="preserve"> PAGEREF _Toc13046 </w:instrText>
      </w:r>
      <w:r>
        <w:rPr>
          <w:color w:val="auto"/>
        </w:rPr>
        <w:fldChar w:fldCharType="separate"/>
      </w:r>
      <w:r>
        <w:rPr>
          <w:color w:val="auto"/>
        </w:rPr>
        <w:t>52</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_Toc20877 </w:instrText>
      </w:r>
      <w:r>
        <w:rPr>
          <w:rFonts w:hint="eastAsia" w:ascii="宋体" w:hAnsi="宋体" w:eastAsia="宋体" w:cs="宋体"/>
          <w:color w:val="auto"/>
        </w:rPr>
        <w:fldChar w:fldCharType="separate"/>
      </w:r>
      <w:r>
        <w:rPr>
          <w:rFonts w:hint="eastAsia" w:ascii="宋体" w:hAnsi="宋体"/>
          <w:color w:val="auto"/>
          <w:szCs w:val="28"/>
        </w:rPr>
        <w:t>6. 施工设备和临时设施</w:t>
      </w:r>
      <w:r>
        <w:rPr>
          <w:color w:val="auto"/>
        </w:rPr>
        <w:tab/>
      </w:r>
      <w:r>
        <w:rPr>
          <w:color w:val="auto"/>
        </w:rPr>
        <w:fldChar w:fldCharType="begin"/>
      </w:r>
      <w:r>
        <w:rPr>
          <w:color w:val="auto"/>
        </w:rPr>
        <w:instrText xml:space="preserve"> PAGEREF _Toc20877 </w:instrText>
      </w:r>
      <w:r>
        <w:rPr>
          <w:color w:val="auto"/>
        </w:rPr>
        <w:fldChar w:fldCharType="separate"/>
      </w:r>
      <w:r>
        <w:rPr>
          <w:color w:val="auto"/>
        </w:rPr>
        <w:t>52</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_Toc22263 </w:instrText>
      </w:r>
      <w:r>
        <w:rPr>
          <w:rFonts w:hint="eastAsia" w:ascii="宋体" w:hAnsi="宋体" w:eastAsia="宋体" w:cs="宋体"/>
          <w:color w:val="auto"/>
        </w:rPr>
        <w:fldChar w:fldCharType="separate"/>
      </w:r>
      <w:r>
        <w:rPr>
          <w:rFonts w:hint="eastAsia" w:ascii="宋体" w:hAnsi="宋体"/>
          <w:color w:val="auto"/>
          <w:szCs w:val="21"/>
        </w:rPr>
        <w:t>6.3 要求承包人增加或更换施工设备</w:t>
      </w:r>
      <w:r>
        <w:rPr>
          <w:color w:val="auto"/>
        </w:rPr>
        <w:tab/>
      </w:r>
      <w:r>
        <w:rPr>
          <w:color w:val="auto"/>
        </w:rPr>
        <w:fldChar w:fldCharType="begin"/>
      </w:r>
      <w:r>
        <w:rPr>
          <w:color w:val="auto"/>
        </w:rPr>
        <w:instrText xml:space="preserve"> PAGEREF _Toc22263 </w:instrText>
      </w:r>
      <w:r>
        <w:rPr>
          <w:color w:val="auto"/>
        </w:rPr>
        <w:fldChar w:fldCharType="separate"/>
      </w:r>
      <w:r>
        <w:rPr>
          <w:color w:val="auto"/>
        </w:rPr>
        <w:t>52</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_Toc24027 </w:instrText>
      </w:r>
      <w:r>
        <w:rPr>
          <w:rFonts w:hint="eastAsia" w:ascii="宋体" w:hAnsi="宋体" w:eastAsia="宋体" w:cs="宋体"/>
          <w:color w:val="auto"/>
        </w:rPr>
        <w:fldChar w:fldCharType="separate"/>
      </w:r>
      <w:r>
        <w:rPr>
          <w:rFonts w:hint="eastAsia" w:ascii="宋体" w:hAnsi="宋体"/>
          <w:color w:val="auto"/>
          <w:szCs w:val="28"/>
        </w:rPr>
        <w:t>7. 交通运输</w:t>
      </w:r>
      <w:r>
        <w:rPr>
          <w:color w:val="auto"/>
        </w:rPr>
        <w:tab/>
      </w:r>
      <w:r>
        <w:rPr>
          <w:color w:val="auto"/>
        </w:rPr>
        <w:fldChar w:fldCharType="begin"/>
      </w:r>
      <w:r>
        <w:rPr>
          <w:color w:val="auto"/>
        </w:rPr>
        <w:instrText xml:space="preserve"> PAGEREF _Toc24027 </w:instrText>
      </w:r>
      <w:r>
        <w:rPr>
          <w:color w:val="auto"/>
        </w:rPr>
        <w:fldChar w:fldCharType="separate"/>
      </w:r>
      <w:r>
        <w:rPr>
          <w:color w:val="auto"/>
        </w:rPr>
        <w:t>52</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_Toc5047 </w:instrText>
      </w:r>
      <w:r>
        <w:rPr>
          <w:rFonts w:hint="eastAsia" w:ascii="宋体" w:hAnsi="宋体" w:eastAsia="宋体" w:cs="宋体"/>
          <w:color w:val="auto"/>
        </w:rPr>
        <w:fldChar w:fldCharType="separate"/>
      </w:r>
      <w:r>
        <w:rPr>
          <w:rFonts w:hint="eastAsia" w:ascii="宋体" w:hAnsi="宋体"/>
          <w:color w:val="auto"/>
          <w:szCs w:val="21"/>
        </w:rPr>
        <w:t>7.2 场内施工道路</w:t>
      </w:r>
      <w:r>
        <w:rPr>
          <w:color w:val="auto"/>
        </w:rPr>
        <w:tab/>
      </w:r>
      <w:r>
        <w:rPr>
          <w:color w:val="auto"/>
        </w:rPr>
        <w:fldChar w:fldCharType="begin"/>
      </w:r>
      <w:r>
        <w:rPr>
          <w:color w:val="auto"/>
        </w:rPr>
        <w:instrText xml:space="preserve"> PAGEREF _Toc5047 </w:instrText>
      </w:r>
      <w:r>
        <w:rPr>
          <w:color w:val="auto"/>
        </w:rPr>
        <w:fldChar w:fldCharType="separate"/>
      </w:r>
      <w:r>
        <w:rPr>
          <w:color w:val="auto"/>
        </w:rPr>
        <w:t>52</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_Toc8896 </w:instrText>
      </w:r>
      <w:r>
        <w:rPr>
          <w:rFonts w:hint="eastAsia" w:ascii="宋体" w:hAnsi="宋体" w:eastAsia="宋体" w:cs="宋体"/>
          <w:color w:val="auto"/>
        </w:rPr>
        <w:fldChar w:fldCharType="separate"/>
      </w:r>
      <w:r>
        <w:rPr>
          <w:rFonts w:hint="eastAsia" w:ascii="宋体" w:hAnsi="宋体"/>
          <w:color w:val="auto"/>
          <w:szCs w:val="28"/>
        </w:rPr>
        <w:t>9. 施工安全、治安保卫和环境保护</w:t>
      </w:r>
      <w:r>
        <w:rPr>
          <w:color w:val="auto"/>
        </w:rPr>
        <w:tab/>
      </w:r>
      <w:r>
        <w:rPr>
          <w:color w:val="auto"/>
        </w:rPr>
        <w:fldChar w:fldCharType="begin"/>
      </w:r>
      <w:r>
        <w:rPr>
          <w:color w:val="auto"/>
        </w:rPr>
        <w:instrText xml:space="preserve"> PAGEREF _Toc8896 </w:instrText>
      </w:r>
      <w:r>
        <w:rPr>
          <w:color w:val="auto"/>
        </w:rPr>
        <w:fldChar w:fldCharType="separate"/>
      </w:r>
      <w:r>
        <w:rPr>
          <w:color w:val="auto"/>
        </w:rPr>
        <w:t>53</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_Toc29501 </w:instrText>
      </w:r>
      <w:r>
        <w:rPr>
          <w:rFonts w:hint="eastAsia" w:ascii="宋体" w:hAnsi="宋体" w:eastAsia="宋体" w:cs="宋体"/>
          <w:color w:val="auto"/>
        </w:rPr>
        <w:fldChar w:fldCharType="separate"/>
      </w:r>
      <w:r>
        <w:rPr>
          <w:rFonts w:hint="eastAsia" w:ascii="宋体" w:hAnsi="宋体"/>
          <w:color w:val="auto"/>
          <w:szCs w:val="21"/>
        </w:rPr>
        <w:t>9.2 承包人的施工安全责任</w:t>
      </w:r>
      <w:r>
        <w:rPr>
          <w:color w:val="auto"/>
        </w:rPr>
        <w:tab/>
      </w:r>
      <w:r>
        <w:rPr>
          <w:color w:val="auto"/>
        </w:rPr>
        <w:fldChar w:fldCharType="begin"/>
      </w:r>
      <w:r>
        <w:rPr>
          <w:color w:val="auto"/>
        </w:rPr>
        <w:instrText xml:space="preserve"> PAGEREF _Toc29501 </w:instrText>
      </w:r>
      <w:r>
        <w:rPr>
          <w:color w:val="auto"/>
        </w:rPr>
        <w:fldChar w:fldCharType="separate"/>
      </w:r>
      <w:r>
        <w:rPr>
          <w:color w:val="auto"/>
        </w:rPr>
        <w:t>53</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_Toc6829 </w:instrText>
      </w:r>
      <w:r>
        <w:rPr>
          <w:rFonts w:hint="eastAsia" w:ascii="宋体" w:hAnsi="宋体" w:eastAsia="宋体" w:cs="宋体"/>
          <w:color w:val="auto"/>
        </w:rPr>
        <w:fldChar w:fldCharType="separate"/>
      </w:r>
      <w:r>
        <w:rPr>
          <w:rFonts w:hint="eastAsia" w:ascii="宋体" w:hAnsi="宋体"/>
          <w:color w:val="auto"/>
          <w:szCs w:val="21"/>
        </w:rPr>
        <w:t>9.4 环境保护</w:t>
      </w:r>
      <w:r>
        <w:rPr>
          <w:color w:val="auto"/>
        </w:rPr>
        <w:tab/>
      </w:r>
      <w:r>
        <w:rPr>
          <w:color w:val="auto"/>
        </w:rPr>
        <w:fldChar w:fldCharType="begin"/>
      </w:r>
      <w:r>
        <w:rPr>
          <w:color w:val="auto"/>
        </w:rPr>
        <w:instrText xml:space="preserve"> PAGEREF _Toc6829 </w:instrText>
      </w:r>
      <w:r>
        <w:rPr>
          <w:color w:val="auto"/>
        </w:rPr>
        <w:fldChar w:fldCharType="separate"/>
      </w:r>
      <w:r>
        <w:rPr>
          <w:color w:val="auto"/>
        </w:rPr>
        <w:t>54</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_Toc25755 </w:instrText>
      </w:r>
      <w:r>
        <w:rPr>
          <w:rFonts w:hint="eastAsia" w:ascii="宋体" w:hAnsi="宋体" w:eastAsia="宋体" w:cs="宋体"/>
          <w:color w:val="auto"/>
        </w:rPr>
        <w:fldChar w:fldCharType="separate"/>
      </w:r>
      <w:r>
        <w:rPr>
          <w:rFonts w:hint="eastAsia" w:ascii="宋体" w:hAnsi="宋体"/>
          <w:color w:val="auto"/>
          <w:szCs w:val="28"/>
        </w:rPr>
        <w:t>10. 进度计划</w:t>
      </w:r>
      <w:r>
        <w:rPr>
          <w:color w:val="auto"/>
        </w:rPr>
        <w:tab/>
      </w:r>
      <w:r>
        <w:rPr>
          <w:color w:val="auto"/>
        </w:rPr>
        <w:fldChar w:fldCharType="begin"/>
      </w:r>
      <w:r>
        <w:rPr>
          <w:color w:val="auto"/>
        </w:rPr>
        <w:instrText xml:space="preserve"> PAGEREF _Toc25755 </w:instrText>
      </w:r>
      <w:r>
        <w:rPr>
          <w:color w:val="auto"/>
        </w:rPr>
        <w:fldChar w:fldCharType="separate"/>
      </w:r>
      <w:r>
        <w:rPr>
          <w:color w:val="auto"/>
        </w:rPr>
        <w:t>54</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_Toc25926 </w:instrText>
      </w:r>
      <w:r>
        <w:rPr>
          <w:rFonts w:hint="eastAsia" w:ascii="宋体" w:hAnsi="宋体" w:eastAsia="宋体" w:cs="宋体"/>
          <w:color w:val="auto"/>
        </w:rPr>
        <w:fldChar w:fldCharType="separate"/>
      </w:r>
      <w:r>
        <w:rPr>
          <w:rFonts w:hint="eastAsia" w:ascii="宋体" w:hAnsi="宋体"/>
          <w:color w:val="auto"/>
          <w:szCs w:val="21"/>
        </w:rPr>
        <w:t>10.1 合同进度计划</w:t>
      </w:r>
      <w:r>
        <w:rPr>
          <w:color w:val="auto"/>
        </w:rPr>
        <w:tab/>
      </w:r>
      <w:r>
        <w:rPr>
          <w:color w:val="auto"/>
        </w:rPr>
        <w:fldChar w:fldCharType="begin"/>
      </w:r>
      <w:r>
        <w:rPr>
          <w:color w:val="auto"/>
        </w:rPr>
        <w:instrText xml:space="preserve"> PAGEREF _Toc25926 </w:instrText>
      </w:r>
      <w:r>
        <w:rPr>
          <w:color w:val="auto"/>
        </w:rPr>
        <w:fldChar w:fldCharType="separate"/>
      </w:r>
      <w:r>
        <w:rPr>
          <w:color w:val="auto"/>
        </w:rPr>
        <w:t>54</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_Toc10834 </w:instrText>
      </w:r>
      <w:r>
        <w:rPr>
          <w:rFonts w:hint="eastAsia" w:ascii="宋体" w:hAnsi="宋体" w:eastAsia="宋体" w:cs="宋体"/>
          <w:color w:val="auto"/>
        </w:rPr>
        <w:fldChar w:fldCharType="separate"/>
      </w:r>
      <w:r>
        <w:rPr>
          <w:rFonts w:hint="eastAsia" w:ascii="宋体" w:hAnsi="宋体"/>
          <w:color w:val="auto"/>
          <w:szCs w:val="21"/>
        </w:rPr>
        <w:t>10.5 季度计划、月度计划、旬计划</w:t>
      </w:r>
      <w:r>
        <w:rPr>
          <w:color w:val="auto"/>
        </w:rPr>
        <w:tab/>
      </w:r>
      <w:r>
        <w:rPr>
          <w:color w:val="auto"/>
        </w:rPr>
        <w:fldChar w:fldCharType="begin"/>
      </w:r>
      <w:r>
        <w:rPr>
          <w:color w:val="auto"/>
        </w:rPr>
        <w:instrText xml:space="preserve"> PAGEREF _Toc10834 </w:instrText>
      </w:r>
      <w:r>
        <w:rPr>
          <w:color w:val="auto"/>
        </w:rPr>
        <w:fldChar w:fldCharType="separate"/>
      </w:r>
      <w:r>
        <w:rPr>
          <w:color w:val="auto"/>
        </w:rPr>
        <w:t>54</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_Toc7861 </w:instrText>
      </w:r>
      <w:r>
        <w:rPr>
          <w:rFonts w:hint="eastAsia" w:ascii="宋体" w:hAnsi="宋体" w:eastAsia="宋体" w:cs="宋体"/>
          <w:color w:val="auto"/>
        </w:rPr>
        <w:fldChar w:fldCharType="separate"/>
      </w:r>
      <w:r>
        <w:rPr>
          <w:rFonts w:hint="eastAsia" w:ascii="宋体" w:hAnsi="宋体"/>
          <w:color w:val="auto"/>
          <w:szCs w:val="28"/>
        </w:rPr>
        <w:t>11. 开工和交工</w:t>
      </w:r>
      <w:r>
        <w:rPr>
          <w:color w:val="auto"/>
        </w:rPr>
        <w:tab/>
      </w:r>
      <w:r>
        <w:rPr>
          <w:color w:val="auto"/>
        </w:rPr>
        <w:fldChar w:fldCharType="begin"/>
      </w:r>
      <w:r>
        <w:rPr>
          <w:color w:val="auto"/>
        </w:rPr>
        <w:instrText xml:space="preserve"> PAGEREF _Toc7861 </w:instrText>
      </w:r>
      <w:r>
        <w:rPr>
          <w:color w:val="auto"/>
        </w:rPr>
        <w:fldChar w:fldCharType="separate"/>
      </w:r>
      <w:r>
        <w:rPr>
          <w:color w:val="auto"/>
        </w:rPr>
        <w:t>55</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_Toc27885 </w:instrText>
      </w:r>
      <w:r>
        <w:rPr>
          <w:rFonts w:hint="eastAsia" w:ascii="宋体" w:hAnsi="宋体" w:eastAsia="宋体" w:cs="宋体"/>
          <w:color w:val="auto"/>
        </w:rPr>
        <w:fldChar w:fldCharType="separate"/>
      </w:r>
      <w:r>
        <w:rPr>
          <w:rFonts w:hint="eastAsia" w:ascii="宋体" w:hAnsi="宋体"/>
          <w:color w:val="auto"/>
          <w:szCs w:val="21"/>
        </w:rPr>
        <w:t>11.4 异常恶劣的气候条件</w:t>
      </w:r>
      <w:r>
        <w:rPr>
          <w:color w:val="auto"/>
        </w:rPr>
        <w:tab/>
      </w:r>
      <w:r>
        <w:rPr>
          <w:color w:val="auto"/>
        </w:rPr>
        <w:fldChar w:fldCharType="begin"/>
      </w:r>
      <w:r>
        <w:rPr>
          <w:color w:val="auto"/>
        </w:rPr>
        <w:instrText xml:space="preserve"> PAGEREF _Toc27885 </w:instrText>
      </w:r>
      <w:r>
        <w:rPr>
          <w:color w:val="auto"/>
        </w:rPr>
        <w:fldChar w:fldCharType="separate"/>
      </w:r>
      <w:r>
        <w:rPr>
          <w:color w:val="auto"/>
        </w:rPr>
        <w:t>55</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_Toc24141 </w:instrText>
      </w:r>
      <w:r>
        <w:rPr>
          <w:rFonts w:hint="eastAsia" w:ascii="宋体" w:hAnsi="宋体" w:eastAsia="宋体" w:cs="宋体"/>
          <w:color w:val="auto"/>
        </w:rPr>
        <w:fldChar w:fldCharType="separate"/>
      </w:r>
      <w:r>
        <w:rPr>
          <w:rFonts w:hint="eastAsia" w:ascii="宋体" w:hAnsi="宋体"/>
          <w:color w:val="auto"/>
          <w:szCs w:val="28"/>
        </w:rPr>
        <w:t>12. 暂停施工</w:t>
      </w:r>
      <w:r>
        <w:rPr>
          <w:color w:val="auto"/>
        </w:rPr>
        <w:tab/>
      </w:r>
      <w:r>
        <w:rPr>
          <w:color w:val="auto"/>
        </w:rPr>
        <w:fldChar w:fldCharType="begin"/>
      </w:r>
      <w:r>
        <w:rPr>
          <w:color w:val="auto"/>
        </w:rPr>
        <w:instrText xml:space="preserve"> PAGEREF _Toc24141 </w:instrText>
      </w:r>
      <w:r>
        <w:rPr>
          <w:color w:val="auto"/>
        </w:rPr>
        <w:fldChar w:fldCharType="separate"/>
      </w:r>
      <w:r>
        <w:rPr>
          <w:color w:val="auto"/>
        </w:rPr>
        <w:t>55</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_Toc7038 </w:instrText>
      </w:r>
      <w:r>
        <w:rPr>
          <w:rFonts w:hint="eastAsia" w:ascii="宋体" w:hAnsi="宋体" w:eastAsia="宋体" w:cs="宋体"/>
          <w:color w:val="auto"/>
        </w:rPr>
        <w:fldChar w:fldCharType="separate"/>
      </w:r>
      <w:r>
        <w:rPr>
          <w:rFonts w:hint="eastAsia" w:ascii="宋体" w:hAnsi="宋体"/>
          <w:color w:val="auto"/>
          <w:szCs w:val="21"/>
        </w:rPr>
        <w:t>12.1 承包人暂停施工的责任</w:t>
      </w:r>
      <w:r>
        <w:rPr>
          <w:color w:val="auto"/>
        </w:rPr>
        <w:tab/>
      </w:r>
      <w:r>
        <w:rPr>
          <w:color w:val="auto"/>
        </w:rPr>
        <w:fldChar w:fldCharType="begin"/>
      </w:r>
      <w:r>
        <w:rPr>
          <w:color w:val="auto"/>
        </w:rPr>
        <w:instrText xml:space="preserve"> PAGEREF _Toc7038 </w:instrText>
      </w:r>
      <w:r>
        <w:rPr>
          <w:color w:val="auto"/>
        </w:rPr>
        <w:fldChar w:fldCharType="separate"/>
      </w:r>
      <w:r>
        <w:rPr>
          <w:color w:val="auto"/>
        </w:rPr>
        <w:t>55</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_Toc32684 </w:instrText>
      </w:r>
      <w:r>
        <w:rPr>
          <w:rFonts w:hint="eastAsia" w:ascii="宋体" w:hAnsi="宋体" w:eastAsia="宋体" w:cs="宋体"/>
          <w:color w:val="auto"/>
        </w:rPr>
        <w:fldChar w:fldCharType="separate"/>
      </w:r>
      <w:r>
        <w:rPr>
          <w:rFonts w:hint="eastAsia" w:ascii="宋体" w:hAnsi="宋体"/>
          <w:color w:val="auto"/>
          <w:szCs w:val="28"/>
        </w:rPr>
        <w:t>13. 工程质量</w:t>
      </w:r>
      <w:r>
        <w:rPr>
          <w:color w:val="auto"/>
        </w:rPr>
        <w:tab/>
      </w:r>
      <w:r>
        <w:rPr>
          <w:color w:val="auto"/>
        </w:rPr>
        <w:fldChar w:fldCharType="begin"/>
      </w:r>
      <w:r>
        <w:rPr>
          <w:color w:val="auto"/>
        </w:rPr>
        <w:instrText xml:space="preserve"> PAGEREF _Toc32684 </w:instrText>
      </w:r>
      <w:r>
        <w:rPr>
          <w:color w:val="auto"/>
        </w:rPr>
        <w:fldChar w:fldCharType="separate"/>
      </w:r>
      <w:r>
        <w:rPr>
          <w:color w:val="auto"/>
        </w:rPr>
        <w:t>55</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_Toc20692 </w:instrText>
      </w:r>
      <w:r>
        <w:rPr>
          <w:rFonts w:hint="eastAsia" w:ascii="宋体" w:hAnsi="宋体" w:eastAsia="宋体" w:cs="宋体"/>
          <w:color w:val="auto"/>
        </w:rPr>
        <w:fldChar w:fldCharType="separate"/>
      </w:r>
      <w:r>
        <w:rPr>
          <w:rFonts w:hint="eastAsia" w:ascii="宋体" w:hAnsi="宋体"/>
          <w:color w:val="auto"/>
          <w:szCs w:val="21"/>
        </w:rPr>
        <w:t>13.1 工程质量要求</w:t>
      </w:r>
      <w:r>
        <w:rPr>
          <w:color w:val="auto"/>
        </w:rPr>
        <w:tab/>
      </w:r>
      <w:r>
        <w:rPr>
          <w:color w:val="auto"/>
        </w:rPr>
        <w:fldChar w:fldCharType="begin"/>
      </w:r>
      <w:r>
        <w:rPr>
          <w:color w:val="auto"/>
        </w:rPr>
        <w:instrText xml:space="preserve"> PAGEREF _Toc20692 </w:instrText>
      </w:r>
      <w:r>
        <w:rPr>
          <w:color w:val="auto"/>
        </w:rPr>
        <w:fldChar w:fldCharType="separate"/>
      </w:r>
      <w:r>
        <w:rPr>
          <w:color w:val="auto"/>
        </w:rPr>
        <w:t>55</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_Toc12663 </w:instrText>
      </w:r>
      <w:r>
        <w:rPr>
          <w:rFonts w:hint="eastAsia" w:ascii="宋体" w:hAnsi="宋体" w:eastAsia="宋体" w:cs="宋体"/>
          <w:color w:val="auto"/>
        </w:rPr>
        <w:fldChar w:fldCharType="separate"/>
      </w:r>
      <w:r>
        <w:rPr>
          <w:rFonts w:hint="eastAsia" w:ascii="宋体" w:hAnsi="宋体"/>
          <w:color w:val="auto"/>
          <w:szCs w:val="21"/>
        </w:rPr>
        <w:t>13.2 承包人的质量管理</w:t>
      </w:r>
      <w:r>
        <w:rPr>
          <w:color w:val="auto"/>
        </w:rPr>
        <w:tab/>
      </w:r>
      <w:r>
        <w:rPr>
          <w:color w:val="auto"/>
        </w:rPr>
        <w:fldChar w:fldCharType="begin"/>
      </w:r>
      <w:r>
        <w:rPr>
          <w:color w:val="auto"/>
        </w:rPr>
        <w:instrText xml:space="preserve"> PAGEREF _Toc12663 </w:instrText>
      </w:r>
      <w:r>
        <w:rPr>
          <w:color w:val="auto"/>
        </w:rPr>
        <w:fldChar w:fldCharType="separate"/>
      </w:r>
      <w:r>
        <w:rPr>
          <w:color w:val="auto"/>
        </w:rPr>
        <w:t>56</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_Toc27564 </w:instrText>
      </w:r>
      <w:r>
        <w:rPr>
          <w:rFonts w:hint="eastAsia" w:ascii="宋体" w:hAnsi="宋体" w:eastAsia="宋体" w:cs="宋体"/>
          <w:color w:val="auto"/>
        </w:rPr>
        <w:fldChar w:fldCharType="separate"/>
      </w:r>
      <w:r>
        <w:rPr>
          <w:rFonts w:hint="eastAsia" w:ascii="宋体" w:hAnsi="宋体"/>
          <w:color w:val="auto"/>
          <w:szCs w:val="21"/>
        </w:rPr>
        <w:t>13.5 工程隐蔽部位覆盖前的检查</w:t>
      </w:r>
      <w:r>
        <w:rPr>
          <w:color w:val="auto"/>
        </w:rPr>
        <w:tab/>
      </w:r>
      <w:r>
        <w:rPr>
          <w:color w:val="auto"/>
        </w:rPr>
        <w:fldChar w:fldCharType="begin"/>
      </w:r>
      <w:r>
        <w:rPr>
          <w:color w:val="auto"/>
        </w:rPr>
        <w:instrText xml:space="preserve"> PAGEREF _Toc27564 </w:instrText>
      </w:r>
      <w:r>
        <w:rPr>
          <w:color w:val="auto"/>
        </w:rPr>
        <w:fldChar w:fldCharType="separate"/>
      </w:r>
      <w:r>
        <w:rPr>
          <w:color w:val="auto"/>
        </w:rPr>
        <w:t>56</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_Toc24417 </w:instrText>
      </w:r>
      <w:r>
        <w:rPr>
          <w:rFonts w:hint="eastAsia" w:ascii="宋体" w:hAnsi="宋体" w:eastAsia="宋体" w:cs="宋体"/>
          <w:color w:val="auto"/>
        </w:rPr>
        <w:fldChar w:fldCharType="separate"/>
      </w:r>
      <w:r>
        <w:rPr>
          <w:rFonts w:hint="eastAsia" w:ascii="宋体" w:hAnsi="宋体"/>
          <w:color w:val="auto"/>
          <w:szCs w:val="21"/>
        </w:rPr>
        <w:t>13.7 质量抽检</w:t>
      </w:r>
      <w:r>
        <w:rPr>
          <w:color w:val="auto"/>
        </w:rPr>
        <w:tab/>
      </w:r>
      <w:r>
        <w:rPr>
          <w:color w:val="auto"/>
        </w:rPr>
        <w:fldChar w:fldCharType="begin"/>
      </w:r>
      <w:r>
        <w:rPr>
          <w:color w:val="auto"/>
        </w:rPr>
        <w:instrText xml:space="preserve"> PAGEREF _Toc24417 </w:instrText>
      </w:r>
      <w:r>
        <w:rPr>
          <w:color w:val="auto"/>
        </w:rPr>
        <w:fldChar w:fldCharType="separate"/>
      </w:r>
      <w:r>
        <w:rPr>
          <w:color w:val="auto"/>
        </w:rPr>
        <w:t>56</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_Toc14640 </w:instrText>
      </w:r>
      <w:r>
        <w:rPr>
          <w:rFonts w:hint="eastAsia" w:ascii="宋体" w:hAnsi="宋体" w:eastAsia="宋体" w:cs="宋体"/>
          <w:color w:val="auto"/>
        </w:rPr>
        <w:fldChar w:fldCharType="separate"/>
      </w:r>
      <w:r>
        <w:rPr>
          <w:rFonts w:hint="eastAsia" w:ascii="宋体" w:hAnsi="宋体"/>
          <w:color w:val="auto"/>
          <w:szCs w:val="28"/>
        </w:rPr>
        <w:t>14. 试验和检验</w:t>
      </w:r>
      <w:r>
        <w:rPr>
          <w:color w:val="auto"/>
        </w:rPr>
        <w:tab/>
      </w:r>
      <w:r>
        <w:rPr>
          <w:color w:val="auto"/>
        </w:rPr>
        <w:fldChar w:fldCharType="begin"/>
      </w:r>
      <w:r>
        <w:rPr>
          <w:color w:val="auto"/>
        </w:rPr>
        <w:instrText xml:space="preserve"> PAGEREF _Toc14640 </w:instrText>
      </w:r>
      <w:r>
        <w:rPr>
          <w:color w:val="auto"/>
        </w:rPr>
        <w:fldChar w:fldCharType="separate"/>
      </w:r>
      <w:r>
        <w:rPr>
          <w:color w:val="auto"/>
        </w:rPr>
        <w:t>56</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_Toc31020 </w:instrText>
      </w:r>
      <w:r>
        <w:rPr>
          <w:rFonts w:hint="eastAsia" w:ascii="宋体" w:hAnsi="宋体" w:eastAsia="宋体" w:cs="宋体"/>
          <w:color w:val="auto"/>
        </w:rPr>
        <w:fldChar w:fldCharType="separate"/>
      </w:r>
      <w:r>
        <w:rPr>
          <w:rFonts w:hint="eastAsia" w:ascii="宋体" w:hAnsi="宋体"/>
          <w:color w:val="auto"/>
          <w:szCs w:val="21"/>
        </w:rPr>
        <w:t>14.1 材料、工程设备和工程的试验和检验</w:t>
      </w:r>
      <w:r>
        <w:rPr>
          <w:color w:val="auto"/>
        </w:rPr>
        <w:tab/>
      </w:r>
      <w:r>
        <w:rPr>
          <w:color w:val="auto"/>
        </w:rPr>
        <w:fldChar w:fldCharType="begin"/>
      </w:r>
      <w:r>
        <w:rPr>
          <w:color w:val="auto"/>
        </w:rPr>
        <w:instrText xml:space="preserve"> PAGEREF _Toc31020 </w:instrText>
      </w:r>
      <w:r>
        <w:rPr>
          <w:color w:val="auto"/>
        </w:rPr>
        <w:fldChar w:fldCharType="separate"/>
      </w:r>
      <w:r>
        <w:rPr>
          <w:color w:val="auto"/>
        </w:rPr>
        <w:t>56</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_Toc19567 </w:instrText>
      </w:r>
      <w:r>
        <w:rPr>
          <w:rFonts w:hint="eastAsia" w:ascii="宋体" w:hAnsi="宋体" w:eastAsia="宋体" w:cs="宋体"/>
          <w:color w:val="auto"/>
        </w:rPr>
        <w:fldChar w:fldCharType="separate"/>
      </w:r>
      <w:r>
        <w:rPr>
          <w:rFonts w:hint="eastAsia" w:ascii="宋体" w:hAnsi="宋体"/>
          <w:color w:val="auto"/>
          <w:szCs w:val="28"/>
        </w:rPr>
        <w:t>15. 变更</w:t>
      </w:r>
      <w:r>
        <w:rPr>
          <w:color w:val="auto"/>
        </w:rPr>
        <w:tab/>
      </w:r>
      <w:r>
        <w:rPr>
          <w:color w:val="auto"/>
        </w:rPr>
        <w:fldChar w:fldCharType="begin"/>
      </w:r>
      <w:r>
        <w:rPr>
          <w:color w:val="auto"/>
        </w:rPr>
        <w:instrText xml:space="preserve"> PAGEREF _Toc19567 </w:instrText>
      </w:r>
      <w:r>
        <w:rPr>
          <w:color w:val="auto"/>
        </w:rPr>
        <w:fldChar w:fldCharType="separate"/>
      </w:r>
      <w:r>
        <w:rPr>
          <w:color w:val="auto"/>
        </w:rPr>
        <w:t>56</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_Toc26287 </w:instrText>
      </w:r>
      <w:r>
        <w:rPr>
          <w:rFonts w:hint="eastAsia" w:ascii="宋体" w:hAnsi="宋体" w:eastAsia="宋体" w:cs="宋体"/>
          <w:color w:val="auto"/>
        </w:rPr>
        <w:fldChar w:fldCharType="separate"/>
      </w:r>
      <w:r>
        <w:rPr>
          <w:rFonts w:hint="eastAsia" w:ascii="宋体" w:hAnsi="宋体"/>
          <w:color w:val="auto"/>
          <w:szCs w:val="21"/>
        </w:rPr>
        <w:t>15.3 变更程序</w:t>
      </w:r>
      <w:r>
        <w:rPr>
          <w:color w:val="auto"/>
        </w:rPr>
        <w:tab/>
      </w:r>
      <w:r>
        <w:rPr>
          <w:color w:val="auto"/>
        </w:rPr>
        <w:fldChar w:fldCharType="begin"/>
      </w:r>
      <w:r>
        <w:rPr>
          <w:color w:val="auto"/>
        </w:rPr>
        <w:instrText xml:space="preserve"> PAGEREF _Toc26287 </w:instrText>
      </w:r>
      <w:r>
        <w:rPr>
          <w:color w:val="auto"/>
        </w:rPr>
        <w:fldChar w:fldCharType="separate"/>
      </w:r>
      <w:r>
        <w:rPr>
          <w:color w:val="auto"/>
        </w:rPr>
        <w:t>56</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_Toc12997 </w:instrText>
      </w:r>
      <w:r>
        <w:rPr>
          <w:rFonts w:hint="eastAsia" w:ascii="宋体" w:hAnsi="宋体" w:eastAsia="宋体" w:cs="宋体"/>
          <w:color w:val="auto"/>
        </w:rPr>
        <w:fldChar w:fldCharType="separate"/>
      </w:r>
      <w:r>
        <w:rPr>
          <w:rFonts w:hint="eastAsia" w:ascii="宋体" w:hAnsi="宋体"/>
          <w:color w:val="auto"/>
          <w:szCs w:val="21"/>
        </w:rPr>
        <w:t>15.4 变更的估价原则</w:t>
      </w:r>
      <w:r>
        <w:rPr>
          <w:color w:val="auto"/>
        </w:rPr>
        <w:tab/>
      </w:r>
      <w:r>
        <w:rPr>
          <w:color w:val="auto"/>
        </w:rPr>
        <w:fldChar w:fldCharType="begin"/>
      </w:r>
      <w:r>
        <w:rPr>
          <w:color w:val="auto"/>
        </w:rPr>
        <w:instrText xml:space="preserve"> PAGEREF _Toc12997 </w:instrText>
      </w:r>
      <w:r>
        <w:rPr>
          <w:color w:val="auto"/>
        </w:rPr>
        <w:fldChar w:fldCharType="separate"/>
      </w:r>
      <w:r>
        <w:rPr>
          <w:color w:val="auto"/>
        </w:rPr>
        <w:t>57</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_Toc14644 </w:instrText>
      </w:r>
      <w:r>
        <w:rPr>
          <w:rFonts w:hint="eastAsia" w:ascii="宋体" w:hAnsi="宋体" w:eastAsia="宋体" w:cs="宋体"/>
          <w:color w:val="auto"/>
        </w:rPr>
        <w:fldChar w:fldCharType="separate"/>
      </w:r>
      <w:r>
        <w:rPr>
          <w:rFonts w:hint="eastAsia" w:ascii="宋体" w:hAnsi="宋体"/>
          <w:color w:val="auto"/>
          <w:szCs w:val="28"/>
        </w:rPr>
        <w:t>16. 价格调整</w:t>
      </w:r>
      <w:r>
        <w:rPr>
          <w:color w:val="auto"/>
        </w:rPr>
        <w:tab/>
      </w:r>
      <w:r>
        <w:rPr>
          <w:color w:val="auto"/>
        </w:rPr>
        <w:fldChar w:fldCharType="begin"/>
      </w:r>
      <w:r>
        <w:rPr>
          <w:color w:val="auto"/>
        </w:rPr>
        <w:instrText xml:space="preserve"> PAGEREF _Toc14644 </w:instrText>
      </w:r>
      <w:r>
        <w:rPr>
          <w:color w:val="auto"/>
        </w:rPr>
        <w:fldChar w:fldCharType="separate"/>
      </w:r>
      <w:r>
        <w:rPr>
          <w:color w:val="auto"/>
        </w:rPr>
        <w:t>58</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_Toc29764 </w:instrText>
      </w:r>
      <w:r>
        <w:rPr>
          <w:rFonts w:hint="eastAsia" w:ascii="宋体" w:hAnsi="宋体" w:eastAsia="宋体" w:cs="宋体"/>
          <w:color w:val="auto"/>
        </w:rPr>
        <w:fldChar w:fldCharType="separate"/>
      </w:r>
      <w:r>
        <w:rPr>
          <w:rFonts w:hint="eastAsia" w:ascii="宋体" w:hAnsi="宋体"/>
          <w:color w:val="auto"/>
          <w:szCs w:val="21"/>
        </w:rPr>
        <w:t>16.1 物价波动引起的价格调整</w:t>
      </w:r>
      <w:r>
        <w:rPr>
          <w:color w:val="auto"/>
        </w:rPr>
        <w:tab/>
      </w:r>
      <w:r>
        <w:rPr>
          <w:color w:val="auto"/>
        </w:rPr>
        <w:fldChar w:fldCharType="begin"/>
      </w:r>
      <w:r>
        <w:rPr>
          <w:color w:val="auto"/>
        </w:rPr>
        <w:instrText xml:space="preserve"> PAGEREF _Toc29764 </w:instrText>
      </w:r>
      <w:r>
        <w:rPr>
          <w:color w:val="auto"/>
        </w:rPr>
        <w:fldChar w:fldCharType="separate"/>
      </w:r>
      <w:r>
        <w:rPr>
          <w:color w:val="auto"/>
        </w:rPr>
        <w:t>58</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_Toc27820 </w:instrText>
      </w:r>
      <w:r>
        <w:rPr>
          <w:rFonts w:hint="eastAsia" w:ascii="宋体" w:hAnsi="宋体" w:eastAsia="宋体" w:cs="宋体"/>
          <w:color w:val="auto"/>
        </w:rPr>
        <w:fldChar w:fldCharType="separate"/>
      </w:r>
      <w:r>
        <w:rPr>
          <w:rFonts w:hint="eastAsia" w:ascii="宋体" w:hAnsi="宋体"/>
          <w:color w:val="auto"/>
          <w:szCs w:val="28"/>
        </w:rPr>
        <w:t>17. 计量与支付</w:t>
      </w:r>
      <w:r>
        <w:rPr>
          <w:color w:val="auto"/>
        </w:rPr>
        <w:tab/>
      </w:r>
      <w:r>
        <w:rPr>
          <w:color w:val="auto"/>
        </w:rPr>
        <w:fldChar w:fldCharType="begin"/>
      </w:r>
      <w:r>
        <w:rPr>
          <w:color w:val="auto"/>
        </w:rPr>
        <w:instrText xml:space="preserve"> PAGEREF _Toc27820 </w:instrText>
      </w:r>
      <w:r>
        <w:rPr>
          <w:color w:val="auto"/>
        </w:rPr>
        <w:fldChar w:fldCharType="separate"/>
      </w:r>
      <w:r>
        <w:rPr>
          <w:color w:val="auto"/>
        </w:rPr>
        <w:t>58</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_Toc2203 </w:instrText>
      </w:r>
      <w:r>
        <w:rPr>
          <w:rFonts w:hint="eastAsia" w:ascii="宋体" w:hAnsi="宋体" w:eastAsia="宋体" w:cs="宋体"/>
          <w:color w:val="auto"/>
        </w:rPr>
        <w:fldChar w:fldCharType="separate"/>
      </w:r>
      <w:r>
        <w:rPr>
          <w:rFonts w:hint="eastAsia" w:ascii="宋体" w:hAnsi="宋体"/>
          <w:color w:val="auto"/>
          <w:szCs w:val="21"/>
        </w:rPr>
        <w:t>17.2 预付款：</w:t>
      </w:r>
      <w:r>
        <w:rPr>
          <w:color w:val="auto"/>
        </w:rPr>
        <w:tab/>
      </w:r>
      <w:r>
        <w:rPr>
          <w:color w:val="auto"/>
        </w:rPr>
        <w:fldChar w:fldCharType="begin"/>
      </w:r>
      <w:r>
        <w:rPr>
          <w:color w:val="auto"/>
        </w:rPr>
        <w:instrText xml:space="preserve"> PAGEREF _Toc2203 </w:instrText>
      </w:r>
      <w:r>
        <w:rPr>
          <w:color w:val="auto"/>
        </w:rPr>
        <w:fldChar w:fldCharType="separate"/>
      </w:r>
      <w:r>
        <w:rPr>
          <w:color w:val="auto"/>
        </w:rPr>
        <w:t>58</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_Toc24453 </w:instrText>
      </w:r>
      <w:r>
        <w:rPr>
          <w:rFonts w:hint="eastAsia" w:ascii="宋体" w:hAnsi="宋体" w:eastAsia="宋体" w:cs="宋体"/>
          <w:color w:val="auto"/>
        </w:rPr>
        <w:fldChar w:fldCharType="separate"/>
      </w:r>
      <w:r>
        <w:rPr>
          <w:rFonts w:hint="eastAsia" w:ascii="宋体" w:hAnsi="宋体"/>
          <w:color w:val="auto"/>
          <w:szCs w:val="28"/>
        </w:rPr>
        <w:t>18. 交工验收</w:t>
      </w:r>
      <w:r>
        <w:rPr>
          <w:color w:val="auto"/>
        </w:rPr>
        <w:tab/>
      </w:r>
      <w:r>
        <w:rPr>
          <w:color w:val="auto"/>
        </w:rPr>
        <w:fldChar w:fldCharType="begin"/>
      </w:r>
      <w:r>
        <w:rPr>
          <w:color w:val="auto"/>
        </w:rPr>
        <w:instrText xml:space="preserve"> PAGEREF _Toc24453 </w:instrText>
      </w:r>
      <w:r>
        <w:rPr>
          <w:color w:val="auto"/>
        </w:rPr>
        <w:fldChar w:fldCharType="separate"/>
      </w:r>
      <w:r>
        <w:rPr>
          <w:color w:val="auto"/>
        </w:rPr>
        <w:t>58</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_Toc27671 </w:instrText>
      </w:r>
      <w:r>
        <w:rPr>
          <w:rFonts w:hint="eastAsia" w:ascii="宋体" w:hAnsi="宋体" w:eastAsia="宋体" w:cs="宋体"/>
          <w:color w:val="auto"/>
        </w:rPr>
        <w:fldChar w:fldCharType="separate"/>
      </w:r>
      <w:r>
        <w:rPr>
          <w:rFonts w:hint="eastAsia" w:ascii="宋体" w:hAnsi="宋体"/>
          <w:color w:val="auto"/>
          <w:szCs w:val="21"/>
        </w:rPr>
        <w:t>18.9 竣工文件</w:t>
      </w:r>
      <w:r>
        <w:rPr>
          <w:color w:val="auto"/>
        </w:rPr>
        <w:tab/>
      </w:r>
      <w:r>
        <w:rPr>
          <w:color w:val="auto"/>
        </w:rPr>
        <w:fldChar w:fldCharType="begin"/>
      </w:r>
      <w:r>
        <w:rPr>
          <w:color w:val="auto"/>
        </w:rPr>
        <w:instrText xml:space="preserve"> PAGEREF _Toc27671 </w:instrText>
      </w:r>
      <w:r>
        <w:rPr>
          <w:color w:val="auto"/>
        </w:rPr>
        <w:fldChar w:fldCharType="separate"/>
      </w:r>
      <w:r>
        <w:rPr>
          <w:color w:val="auto"/>
        </w:rPr>
        <w:t>58</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_Toc7716 </w:instrText>
      </w:r>
      <w:r>
        <w:rPr>
          <w:rFonts w:hint="eastAsia" w:ascii="宋体" w:hAnsi="宋体" w:eastAsia="宋体" w:cs="宋体"/>
          <w:color w:val="auto"/>
        </w:rPr>
        <w:fldChar w:fldCharType="separate"/>
      </w:r>
      <w:r>
        <w:rPr>
          <w:rFonts w:hint="eastAsia" w:ascii="宋体" w:hAnsi="宋体"/>
          <w:color w:val="auto"/>
          <w:szCs w:val="21"/>
        </w:rPr>
        <w:t>18. 10 工程档案管理</w:t>
      </w:r>
      <w:r>
        <w:rPr>
          <w:color w:val="auto"/>
        </w:rPr>
        <w:tab/>
      </w:r>
      <w:r>
        <w:rPr>
          <w:color w:val="auto"/>
        </w:rPr>
        <w:fldChar w:fldCharType="begin"/>
      </w:r>
      <w:r>
        <w:rPr>
          <w:color w:val="auto"/>
        </w:rPr>
        <w:instrText xml:space="preserve"> PAGEREF _Toc7716 </w:instrText>
      </w:r>
      <w:r>
        <w:rPr>
          <w:color w:val="auto"/>
        </w:rPr>
        <w:fldChar w:fldCharType="separate"/>
      </w:r>
      <w:r>
        <w:rPr>
          <w:color w:val="auto"/>
        </w:rPr>
        <w:t>59</w:t>
      </w:r>
      <w:r>
        <w:rPr>
          <w:color w:val="auto"/>
        </w:rPr>
        <w:fldChar w:fldCharType="end"/>
      </w:r>
      <w:r>
        <w:rPr>
          <w:rFonts w:hint="eastAsia" w:ascii="宋体" w:hAnsi="宋体" w:eastAsia="宋体" w:cs="宋体"/>
          <w:color w:val="auto"/>
        </w:rPr>
        <w:fldChar w:fldCharType="end"/>
      </w:r>
    </w:p>
    <w:p>
      <w:pPr>
        <w:pStyle w:val="42"/>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_Toc7588 </w:instrText>
      </w:r>
      <w:r>
        <w:rPr>
          <w:rFonts w:hint="eastAsia" w:ascii="宋体" w:hAnsi="宋体" w:eastAsia="宋体" w:cs="宋体"/>
          <w:color w:val="auto"/>
        </w:rPr>
        <w:fldChar w:fldCharType="separate"/>
      </w:r>
      <w:r>
        <w:rPr>
          <w:rFonts w:hint="eastAsia" w:ascii="宋体" w:hAnsi="宋体" w:eastAsia="宋体"/>
          <w:color w:val="auto"/>
          <w:szCs w:val="21"/>
        </w:rPr>
        <w:t>19.缺陷责任与保修责任</w:t>
      </w:r>
      <w:r>
        <w:rPr>
          <w:color w:val="auto"/>
        </w:rPr>
        <w:tab/>
      </w:r>
      <w:r>
        <w:rPr>
          <w:color w:val="auto"/>
        </w:rPr>
        <w:fldChar w:fldCharType="begin"/>
      </w:r>
      <w:r>
        <w:rPr>
          <w:color w:val="auto"/>
        </w:rPr>
        <w:instrText xml:space="preserve"> PAGEREF _Toc7588 </w:instrText>
      </w:r>
      <w:r>
        <w:rPr>
          <w:color w:val="auto"/>
        </w:rPr>
        <w:fldChar w:fldCharType="separate"/>
      </w:r>
      <w:r>
        <w:rPr>
          <w:color w:val="auto"/>
        </w:rPr>
        <w:t>59</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_Toc18265 </w:instrText>
      </w:r>
      <w:r>
        <w:rPr>
          <w:rFonts w:hint="eastAsia" w:ascii="宋体" w:hAnsi="宋体" w:eastAsia="宋体" w:cs="宋体"/>
          <w:color w:val="auto"/>
        </w:rPr>
        <w:fldChar w:fldCharType="separate"/>
      </w:r>
      <w:r>
        <w:rPr>
          <w:rFonts w:hint="eastAsia" w:ascii="宋体" w:hAnsi="宋体"/>
          <w:color w:val="auto"/>
          <w:szCs w:val="28"/>
        </w:rPr>
        <w:t>20. 保险</w:t>
      </w:r>
      <w:r>
        <w:rPr>
          <w:color w:val="auto"/>
        </w:rPr>
        <w:tab/>
      </w:r>
      <w:r>
        <w:rPr>
          <w:color w:val="auto"/>
        </w:rPr>
        <w:fldChar w:fldCharType="begin"/>
      </w:r>
      <w:r>
        <w:rPr>
          <w:color w:val="auto"/>
        </w:rPr>
        <w:instrText xml:space="preserve"> PAGEREF _Toc18265 </w:instrText>
      </w:r>
      <w:r>
        <w:rPr>
          <w:color w:val="auto"/>
        </w:rPr>
        <w:fldChar w:fldCharType="separate"/>
      </w:r>
      <w:r>
        <w:rPr>
          <w:color w:val="auto"/>
        </w:rPr>
        <w:t>59</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_Toc22024 </w:instrText>
      </w:r>
      <w:r>
        <w:rPr>
          <w:rFonts w:hint="eastAsia" w:ascii="宋体" w:hAnsi="宋体" w:eastAsia="宋体" w:cs="宋体"/>
          <w:color w:val="auto"/>
        </w:rPr>
        <w:fldChar w:fldCharType="separate"/>
      </w:r>
      <w:r>
        <w:rPr>
          <w:rFonts w:hint="eastAsia" w:ascii="宋体" w:hAnsi="宋体"/>
          <w:color w:val="auto"/>
          <w:szCs w:val="21"/>
        </w:rPr>
        <w:t>20.6 对各项保险的一般要求</w:t>
      </w:r>
      <w:r>
        <w:rPr>
          <w:color w:val="auto"/>
        </w:rPr>
        <w:tab/>
      </w:r>
      <w:r>
        <w:rPr>
          <w:color w:val="auto"/>
        </w:rPr>
        <w:fldChar w:fldCharType="begin"/>
      </w:r>
      <w:r>
        <w:rPr>
          <w:color w:val="auto"/>
        </w:rPr>
        <w:instrText xml:space="preserve"> PAGEREF _Toc22024 </w:instrText>
      </w:r>
      <w:r>
        <w:rPr>
          <w:color w:val="auto"/>
        </w:rPr>
        <w:fldChar w:fldCharType="separate"/>
      </w:r>
      <w:r>
        <w:rPr>
          <w:color w:val="auto"/>
        </w:rPr>
        <w:t>59</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_Toc14662 </w:instrText>
      </w:r>
      <w:r>
        <w:rPr>
          <w:rFonts w:hint="eastAsia" w:ascii="宋体" w:hAnsi="宋体" w:eastAsia="宋体" w:cs="宋体"/>
          <w:color w:val="auto"/>
        </w:rPr>
        <w:fldChar w:fldCharType="separate"/>
      </w:r>
      <w:r>
        <w:rPr>
          <w:rFonts w:hint="eastAsia" w:ascii="宋体" w:hAnsi="宋体"/>
          <w:color w:val="auto"/>
          <w:szCs w:val="28"/>
        </w:rPr>
        <w:t>21. 不可抗力</w:t>
      </w:r>
      <w:r>
        <w:rPr>
          <w:color w:val="auto"/>
        </w:rPr>
        <w:tab/>
      </w:r>
      <w:r>
        <w:rPr>
          <w:color w:val="auto"/>
        </w:rPr>
        <w:fldChar w:fldCharType="begin"/>
      </w:r>
      <w:r>
        <w:rPr>
          <w:color w:val="auto"/>
        </w:rPr>
        <w:instrText xml:space="preserve"> PAGEREF _Toc14662 </w:instrText>
      </w:r>
      <w:r>
        <w:rPr>
          <w:color w:val="auto"/>
        </w:rPr>
        <w:fldChar w:fldCharType="separate"/>
      </w:r>
      <w:r>
        <w:rPr>
          <w:color w:val="auto"/>
        </w:rPr>
        <w:t>59</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_Toc2464 </w:instrText>
      </w:r>
      <w:r>
        <w:rPr>
          <w:rFonts w:hint="eastAsia" w:ascii="宋体" w:hAnsi="宋体" w:eastAsia="宋体" w:cs="宋体"/>
          <w:color w:val="auto"/>
        </w:rPr>
        <w:fldChar w:fldCharType="separate"/>
      </w:r>
      <w:r>
        <w:rPr>
          <w:rFonts w:hint="eastAsia" w:ascii="宋体" w:hAnsi="宋体"/>
          <w:color w:val="auto"/>
          <w:szCs w:val="21"/>
        </w:rPr>
        <w:t>21.1 不可抗力的确认</w:t>
      </w:r>
      <w:r>
        <w:rPr>
          <w:color w:val="auto"/>
        </w:rPr>
        <w:tab/>
      </w:r>
      <w:r>
        <w:rPr>
          <w:color w:val="auto"/>
        </w:rPr>
        <w:fldChar w:fldCharType="begin"/>
      </w:r>
      <w:r>
        <w:rPr>
          <w:color w:val="auto"/>
        </w:rPr>
        <w:instrText xml:space="preserve"> PAGEREF _Toc2464 </w:instrText>
      </w:r>
      <w:r>
        <w:rPr>
          <w:color w:val="auto"/>
        </w:rPr>
        <w:fldChar w:fldCharType="separate"/>
      </w:r>
      <w:r>
        <w:rPr>
          <w:color w:val="auto"/>
        </w:rPr>
        <w:t>59</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_Toc29316 </w:instrText>
      </w:r>
      <w:r>
        <w:rPr>
          <w:rFonts w:hint="eastAsia" w:ascii="宋体" w:hAnsi="宋体" w:eastAsia="宋体" w:cs="宋体"/>
          <w:color w:val="auto"/>
        </w:rPr>
        <w:fldChar w:fldCharType="separate"/>
      </w:r>
      <w:r>
        <w:rPr>
          <w:rFonts w:hint="eastAsia" w:ascii="宋体" w:hAnsi="宋体"/>
          <w:color w:val="auto"/>
          <w:szCs w:val="28"/>
        </w:rPr>
        <w:t>22. 违约</w:t>
      </w:r>
      <w:r>
        <w:rPr>
          <w:color w:val="auto"/>
        </w:rPr>
        <w:tab/>
      </w:r>
      <w:r>
        <w:rPr>
          <w:color w:val="auto"/>
        </w:rPr>
        <w:fldChar w:fldCharType="begin"/>
      </w:r>
      <w:r>
        <w:rPr>
          <w:color w:val="auto"/>
        </w:rPr>
        <w:instrText xml:space="preserve"> PAGEREF _Toc29316 </w:instrText>
      </w:r>
      <w:r>
        <w:rPr>
          <w:color w:val="auto"/>
        </w:rPr>
        <w:fldChar w:fldCharType="separate"/>
      </w:r>
      <w:r>
        <w:rPr>
          <w:color w:val="auto"/>
        </w:rPr>
        <w:t>60</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_Toc4462 </w:instrText>
      </w:r>
      <w:r>
        <w:rPr>
          <w:rFonts w:hint="eastAsia" w:ascii="宋体" w:hAnsi="宋体" w:eastAsia="宋体" w:cs="宋体"/>
          <w:color w:val="auto"/>
        </w:rPr>
        <w:fldChar w:fldCharType="separate"/>
      </w:r>
      <w:r>
        <w:rPr>
          <w:rFonts w:hint="eastAsia" w:ascii="宋体" w:hAnsi="宋体"/>
          <w:color w:val="auto"/>
          <w:szCs w:val="21"/>
        </w:rPr>
        <w:t>22.1 承包人违约</w:t>
      </w:r>
      <w:r>
        <w:rPr>
          <w:color w:val="auto"/>
        </w:rPr>
        <w:tab/>
      </w:r>
      <w:r>
        <w:rPr>
          <w:color w:val="auto"/>
        </w:rPr>
        <w:fldChar w:fldCharType="begin"/>
      </w:r>
      <w:r>
        <w:rPr>
          <w:color w:val="auto"/>
        </w:rPr>
        <w:instrText xml:space="preserve"> PAGEREF _Toc4462 </w:instrText>
      </w:r>
      <w:r>
        <w:rPr>
          <w:color w:val="auto"/>
        </w:rPr>
        <w:fldChar w:fldCharType="separate"/>
      </w:r>
      <w:r>
        <w:rPr>
          <w:color w:val="auto"/>
        </w:rPr>
        <w:t>60</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_Toc12700 </w:instrText>
      </w:r>
      <w:r>
        <w:rPr>
          <w:rFonts w:hint="eastAsia" w:ascii="宋体" w:hAnsi="宋体" w:eastAsia="宋体" w:cs="宋体"/>
          <w:color w:val="auto"/>
        </w:rPr>
        <w:fldChar w:fldCharType="separate"/>
      </w:r>
      <w:r>
        <w:rPr>
          <w:rFonts w:hint="eastAsia" w:ascii="宋体" w:hAnsi="宋体"/>
          <w:color w:val="auto"/>
          <w:szCs w:val="21"/>
        </w:rPr>
        <w:t>22.2 发包人违约</w:t>
      </w:r>
      <w:r>
        <w:rPr>
          <w:color w:val="auto"/>
        </w:rPr>
        <w:tab/>
      </w:r>
      <w:r>
        <w:rPr>
          <w:color w:val="auto"/>
        </w:rPr>
        <w:fldChar w:fldCharType="begin"/>
      </w:r>
      <w:r>
        <w:rPr>
          <w:color w:val="auto"/>
        </w:rPr>
        <w:instrText xml:space="preserve"> PAGEREF _Toc12700 </w:instrText>
      </w:r>
      <w:r>
        <w:rPr>
          <w:color w:val="auto"/>
        </w:rPr>
        <w:fldChar w:fldCharType="separate"/>
      </w:r>
      <w:r>
        <w:rPr>
          <w:color w:val="auto"/>
        </w:rPr>
        <w:t>61</w:t>
      </w:r>
      <w:r>
        <w:rPr>
          <w:color w:val="auto"/>
        </w:rPr>
        <w:fldChar w:fldCharType="end"/>
      </w:r>
      <w:r>
        <w:rPr>
          <w:rFonts w:hint="eastAsia" w:ascii="宋体" w:hAnsi="宋体" w:eastAsia="宋体" w:cs="宋体"/>
          <w:color w:val="auto"/>
        </w:rPr>
        <w:fldChar w:fldCharType="end"/>
      </w:r>
    </w:p>
    <w:p>
      <w:pPr>
        <w:pStyle w:val="36"/>
        <w:tabs>
          <w:tab w:val="right" w:pos="2400"/>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_Toc32062 </w:instrText>
      </w:r>
      <w:r>
        <w:rPr>
          <w:rFonts w:hint="eastAsia" w:ascii="宋体" w:hAnsi="宋体" w:eastAsia="宋体" w:cs="宋体"/>
          <w:color w:val="auto"/>
        </w:rPr>
        <w:fldChar w:fldCharType="separate"/>
      </w:r>
      <w:r>
        <w:rPr>
          <w:rFonts w:hint="eastAsia" w:ascii="宋体" w:hAnsi="宋体"/>
          <w:color w:val="auto"/>
          <w:szCs w:val="28"/>
        </w:rPr>
        <w:t>第三节</w:t>
      </w:r>
      <w:r>
        <w:rPr>
          <w:rFonts w:hint="eastAsia" w:ascii="宋体" w:hAnsi="宋体"/>
          <w:color w:val="auto"/>
          <w:szCs w:val="28"/>
        </w:rPr>
        <w:tab/>
      </w:r>
      <w:r>
        <w:rPr>
          <w:rFonts w:hint="eastAsia" w:ascii="宋体" w:hAnsi="宋体"/>
          <w:color w:val="auto"/>
          <w:szCs w:val="28"/>
        </w:rPr>
        <w:t>合同附件格式</w:t>
      </w:r>
      <w:r>
        <w:rPr>
          <w:color w:val="auto"/>
        </w:rPr>
        <w:tab/>
      </w:r>
      <w:r>
        <w:rPr>
          <w:color w:val="auto"/>
        </w:rPr>
        <w:fldChar w:fldCharType="begin"/>
      </w:r>
      <w:r>
        <w:rPr>
          <w:color w:val="auto"/>
        </w:rPr>
        <w:instrText xml:space="preserve"> PAGEREF _Toc32062 </w:instrText>
      </w:r>
      <w:r>
        <w:rPr>
          <w:color w:val="auto"/>
        </w:rPr>
        <w:fldChar w:fldCharType="separate"/>
      </w:r>
      <w:r>
        <w:rPr>
          <w:color w:val="auto"/>
        </w:rPr>
        <w:t>63</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_Toc24604 </w:instrText>
      </w:r>
      <w:r>
        <w:rPr>
          <w:rFonts w:hint="eastAsia" w:ascii="宋体" w:hAnsi="宋体" w:eastAsia="宋体" w:cs="宋体"/>
          <w:color w:val="auto"/>
        </w:rPr>
        <w:fldChar w:fldCharType="separate"/>
      </w:r>
      <w:r>
        <w:rPr>
          <w:rFonts w:hint="eastAsia" w:ascii="宋体" w:hAnsi="宋体"/>
          <w:color w:val="auto"/>
          <w:szCs w:val="30"/>
        </w:rPr>
        <w:t>第五章  工程量清单</w:t>
      </w:r>
      <w:r>
        <w:rPr>
          <w:color w:val="auto"/>
        </w:rPr>
        <w:tab/>
      </w:r>
      <w:r>
        <w:rPr>
          <w:color w:val="auto"/>
        </w:rPr>
        <w:fldChar w:fldCharType="begin"/>
      </w:r>
      <w:r>
        <w:rPr>
          <w:color w:val="auto"/>
        </w:rPr>
        <w:instrText xml:space="preserve"> PAGEREF _Toc24604 </w:instrText>
      </w:r>
      <w:r>
        <w:rPr>
          <w:color w:val="auto"/>
        </w:rPr>
        <w:fldChar w:fldCharType="separate"/>
      </w:r>
      <w:r>
        <w:rPr>
          <w:color w:val="auto"/>
        </w:rPr>
        <w:t>78</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_Toc20545 </w:instrText>
      </w:r>
      <w:r>
        <w:rPr>
          <w:rFonts w:hint="eastAsia" w:ascii="宋体" w:hAnsi="宋体" w:eastAsia="宋体" w:cs="宋体"/>
          <w:color w:val="auto"/>
        </w:rPr>
        <w:fldChar w:fldCharType="separate"/>
      </w:r>
      <w:r>
        <w:rPr>
          <w:rFonts w:hint="eastAsia" w:ascii="宋体" w:hAnsi="宋体"/>
          <w:color w:val="auto"/>
          <w:szCs w:val="72"/>
        </w:rPr>
        <w:t>第  二  卷</w:t>
      </w:r>
      <w:r>
        <w:rPr>
          <w:color w:val="auto"/>
        </w:rPr>
        <w:tab/>
      </w:r>
      <w:r>
        <w:rPr>
          <w:color w:val="auto"/>
        </w:rPr>
        <w:fldChar w:fldCharType="begin"/>
      </w:r>
      <w:r>
        <w:rPr>
          <w:color w:val="auto"/>
        </w:rPr>
        <w:instrText xml:space="preserve"> PAGEREF _Toc20545 </w:instrText>
      </w:r>
      <w:r>
        <w:rPr>
          <w:color w:val="auto"/>
        </w:rPr>
        <w:fldChar w:fldCharType="separate"/>
      </w:r>
      <w:r>
        <w:rPr>
          <w:color w:val="auto"/>
        </w:rPr>
        <w:t>81</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_Toc12676 </w:instrText>
      </w:r>
      <w:r>
        <w:rPr>
          <w:rFonts w:hint="eastAsia" w:ascii="宋体" w:hAnsi="宋体" w:eastAsia="宋体" w:cs="宋体"/>
          <w:color w:val="auto"/>
        </w:rPr>
        <w:fldChar w:fldCharType="separate"/>
      </w:r>
      <w:r>
        <w:rPr>
          <w:rFonts w:hint="eastAsia" w:ascii="宋体" w:hAnsi="宋体"/>
          <w:color w:val="auto"/>
          <w:szCs w:val="72"/>
        </w:rPr>
        <w:t>第  三  卷</w:t>
      </w:r>
      <w:r>
        <w:rPr>
          <w:color w:val="auto"/>
        </w:rPr>
        <w:tab/>
      </w:r>
      <w:r>
        <w:rPr>
          <w:color w:val="auto"/>
        </w:rPr>
        <w:fldChar w:fldCharType="begin"/>
      </w:r>
      <w:r>
        <w:rPr>
          <w:color w:val="auto"/>
        </w:rPr>
        <w:instrText xml:space="preserve"> PAGEREF _Toc12676 </w:instrText>
      </w:r>
      <w:r>
        <w:rPr>
          <w:color w:val="auto"/>
        </w:rPr>
        <w:fldChar w:fldCharType="separate"/>
      </w:r>
      <w:r>
        <w:rPr>
          <w:color w:val="auto"/>
        </w:rPr>
        <w:t>83</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_Toc3803 </w:instrText>
      </w:r>
      <w:r>
        <w:rPr>
          <w:rFonts w:hint="eastAsia" w:ascii="宋体" w:hAnsi="宋体" w:eastAsia="宋体" w:cs="宋体"/>
          <w:color w:val="auto"/>
        </w:rPr>
        <w:fldChar w:fldCharType="separate"/>
      </w:r>
      <w:r>
        <w:rPr>
          <w:rFonts w:hint="eastAsia" w:ascii="宋体" w:hAnsi="宋体"/>
          <w:color w:val="auto"/>
          <w:szCs w:val="72"/>
        </w:rPr>
        <w:t>第  四  卷</w:t>
      </w:r>
      <w:r>
        <w:rPr>
          <w:color w:val="auto"/>
        </w:rPr>
        <w:tab/>
      </w:r>
      <w:r>
        <w:rPr>
          <w:color w:val="auto"/>
        </w:rPr>
        <w:fldChar w:fldCharType="begin"/>
      </w:r>
      <w:r>
        <w:rPr>
          <w:color w:val="auto"/>
        </w:rPr>
        <w:instrText xml:space="preserve"> PAGEREF _Toc3803 </w:instrText>
      </w:r>
      <w:r>
        <w:rPr>
          <w:color w:val="auto"/>
        </w:rPr>
        <w:fldChar w:fldCharType="separate"/>
      </w:r>
      <w:r>
        <w:rPr>
          <w:color w:val="auto"/>
        </w:rPr>
        <w:t>87</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_Toc28900 </w:instrText>
      </w:r>
      <w:r>
        <w:rPr>
          <w:rFonts w:hint="eastAsia" w:ascii="宋体" w:hAnsi="宋体" w:eastAsia="宋体" w:cs="宋体"/>
          <w:color w:val="auto"/>
        </w:rPr>
        <w:fldChar w:fldCharType="separate"/>
      </w:r>
      <w:r>
        <w:rPr>
          <w:rFonts w:hint="eastAsia" w:ascii="宋体" w:hAnsi="宋体"/>
          <w:color w:val="auto"/>
          <w:szCs w:val="30"/>
        </w:rPr>
        <w:t>一、 投标函</w:t>
      </w:r>
      <w:r>
        <w:rPr>
          <w:color w:val="auto"/>
        </w:rPr>
        <w:tab/>
      </w:r>
      <w:r>
        <w:rPr>
          <w:color w:val="auto"/>
        </w:rPr>
        <w:fldChar w:fldCharType="begin"/>
      </w:r>
      <w:r>
        <w:rPr>
          <w:color w:val="auto"/>
        </w:rPr>
        <w:instrText xml:space="preserve"> PAGEREF _Toc28900 </w:instrText>
      </w:r>
      <w:r>
        <w:rPr>
          <w:color w:val="auto"/>
        </w:rPr>
        <w:fldChar w:fldCharType="separate"/>
      </w:r>
      <w:r>
        <w:rPr>
          <w:color w:val="auto"/>
        </w:rPr>
        <w:t>91</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_Toc9294 </w:instrText>
      </w:r>
      <w:r>
        <w:rPr>
          <w:rFonts w:hint="eastAsia" w:ascii="宋体" w:hAnsi="宋体" w:eastAsia="宋体" w:cs="宋体"/>
          <w:color w:val="auto"/>
        </w:rPr>
        <w:fldChar w:fldCharType="separate"/>
      </w:r>
      <w:r>
        <w:rPr>
          <w:rFonts w:hint="eastAsia" w:ascii="宋体" w:hAnsi="宋体"/>
          <w:bCs w:val="0"/>
          <w:color w:val="auto"/>
          <w:lang w:eastAsia="zh-CN"/>
        </w:rPr>
        <w:t>二、</w:t>
      </w:r>
      <w:r>
        <w:rPr>
          <w:rFonts w:hint="eastAsia" w:ascii="宋体" w:hAnsi="宋体"/>
          <w:color w:val="auto"/>
          <w:szCs w:val="30"/>
        </w:rPr>
        <w:t>投标函附录</w:t>
      </w:r>
      <w:r>
        <w:rPr>
          <w:color w:val="auto"/>
        </w:rPr>
        <w:tab/>
      </w:r>
      <w:r>
        <w:rPr>
          <w:color w:val="auto"/>
        </w:rPr>
        <w:fldChar w:fldCharType="begin"/>
      </w:r>
      <w:r>
        <w:rPr>
          <w:color w:val="auto"/>
        </w:rPr>
        <w:instrText xml:space="preserve"> PAGEREF _Toc9294 </w:instrText>
      </w:r>
      <w:r>
        <w:rPr>
          <w:color w:val="auto"/>
        </w:rPr>
        <w:fldChar w:fldCharType="separate"/>
      </w:r>
      <w:r>
        <w:rPr>
          <w:color w:val="auto"/>
        </w:rPr>
        <w:t>92</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_Toc26224 </w:instrText>
      </w:r>
      <w:r>
        <w:rPr>
          <w:rFonts w:hint="eastAsia" w:ascii="宋体" w:hAnsi="宋体" w:eastAsia="宋体" w:cs="宋体"/>
          <w:color w:val="auto"/>
        </w:rPr>
        <w:fldChar w:fldCharType="separate"/>
      </w:r>
      <w:r>
        <w:rPr>
          <w:rFonts w:hint="eastAsia" w:ascii="宋体" w:hAnsi="宋体"/>
          <w:color w:val="auto"/>
          <w:szCs w:val="30"/>
        </w:rPr>
        <w:t>（一）法定代表人身份证明</w:t>
      </w:r>
      <w:r>
        <w:rPr>
          <w:color w:val="auto"/>
        </w:rPr>
        <w:tab/>
      </w:r>
      <w:r>
        <w:rPr>
          <w:color w:val="auto"/>
        </w:rPr>
        <w:fldChar w:fldCharType="begin"/>
      </w:r>
      <w:r>
        <w:rPr>
          <w:color w:val="auto"/>
        </w:rPr>
        <w:instrText xml:space="preserve"> PAGEREF _Toc26224 </w:instrText>
      </w:r>
      <w:r>
        <w:rPr>
          <w:color w:val="auto"/>
        </w:rPr>
        <w:fldChar w:fldCharType="separate"/>
      </w:r>
      <w:r>
        <w:rPr>
          <w:color w:val="auto"/>
        </w:rPr>
        <w:t>93</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_Toc4122 </w:instrText>
      </w:r>
      <w:r>
        <w:rPr>
          <w:rFonts w:hint="eastAsia" w:ascii="宋体" w:hAnsi="宋体" w:eastAsia="宋体" w:cs="宋体"/>
          <w:color w:val="auto"/>
        </w:rPr>
        <w:fldChar w:fldCharType="separate"/>
      </w:r>
      <w:r>
        <w:rPr>
          <w:rFonts w:hint="eastAsia" w:ascii="宋体" w:hAnsi="宋体"/>
          <w:color w:val="auto"/>
          <w:szCs w:val="28"/>
        </w:rPr>
        <w:t>四、投标保证金</w:t>
      </w:r>
      <w:r>
        <w:rPr>
          <w:color w:val="auto"/>
        </w:rPr>
        <w:tab/>
      </w:r>
      <w:r>
        <w:rPr>
          <w:color w:val="auto"/>
        </w:rPr>
        <w:fldChar w:fldCharType="begin"/>
      </w:r>
      <w:r>
        <w:rPr>
          <w:color w:val="auto"/>
        </w:rPr>
        <w:instrText xml:space="preserve"> PAGEREF _Toc4122 </w:instrText>
      </w:r>
      <w:r>
        <w:rPr>
          <w:color w:val="auto"/>
        </w:rPr>
        <w:fldChar w:fldCharType="separate"/>
      </w:r>
      <w:r>
        <w:rPr>
          <w:color w:val="auto"/>
        </w:rPr>
        <w:t>95</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_Toc29530 </w:instrText>
      </w:r>
      <w:r>
        <w:rPr>
          <w:rFonts w:hint="eastAsia" w:ascii="宋体" w:hAnsi="宋体" w:eastAsia="宋体" w:cs="宋体"/>
          <w:color w:val="auto"/>
        </w:rPr>
        <w:fldChar w:fldCharType="separate"/>
      </w:r>
      <w:r>
        <w:rPr>
          <w:rFonts w:hint="eastAsia" w:ascii="宋体" w:hAnsi="宋体"/>
          <w:color w:val="auto"/>
          <w:szCs w:val="30"/>
        </w:rPr>
        <w:t>五、项目管理机构</w:t>
      </w:r>
      <w:r>
        <w:rPr>
          <w:color w:val="auto"/>
        </w:rPr>
        <w:tab/>
      </w:r>
      <w:r>
        <w:rPr>
          <w:color w:val="auto"/>
        </w:rPr>
        <w:fldChar w:fldCharType="begin"/>
      </w:r>
      <w:r>
        <w:rPr>
          <w:color w:val="auto"/>
        </w:rPr>
        <w:instrText xml:space="preserve"> PAGEREF _Toc29530 </w:instrText>
      </w:r>
      <w:r>
        <w:rPr>
          <w:color w:val="auto"/>
        </w:rPr>
        <w:fldChar w:fldCharType="separate"/>
      </w:r>
      <w:r>
        <w:rPr>
          <w:color w:val="auto"/>
        </w:rPr>
        <w:t>96</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_Toc22421 </w:instrText>
      </w:r>
      <w:r>
        <w:rPr>
          <w:rFonts w:hint="eastAsia" w:ascii="宋体" w:hAnsi="宋体" w:eastAsia="宋体" w:cs="宋体"/>
          <w:color w:val="auto"/>
        </w:rPr>
        <w:fldChar w:fldCharType="separate"/>
      </w:r>
      <w:r>
        <w:rPr>
          <w:rFonts w:hint="eastAsia" w:ascii="宋体" w:hAnsi="宋体"/>
          <w:color w:val="auto"/>
          <w:szCs w:val="30"/>
        </w:rPr>
        <w:t>六、拟分包项目情况表</w:t>
      </w:r>
      <w:r>
        <w:rPr>
          <w:color w:val="auto"/>
        </w:rPr>
        <w:tab/>
      </w:r>
      <w:r>
        <w:rPr>
          <w:color w:val="auto"/>
        </w:rPr>
        <w:fldChar w:fldCharType="begin"/>
      </w:r>
      <w:r>
        <w:rPr>
          <w:color w:val="auto"/>
        </w:rPr>
        <w:instrText xml:space="preserve"> PAGEREF _Toc22421 </w:instrText>
      </w:r>
      <w:r>
        <w:rPr>
          <w:color w:val="auto"/>
        </w:rPr>
        <w:fldChar w:fldCharType="separate"/>
      </w:r>
      <w:r>
        <w:rPr>
          <w:color w:val="auto"/>
        </w:rPr>
        <w:t>97</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_Toc13536 </w:instrText>
      </w:r>
      <w:r>
        <w:rPr>
          <w:rFonts w:hint="eastAsia" w:ascii="宋体" w:hAnsi="宋体" w:eastAsia="宋体" w:cs="宋体"/>
          <w:color w:val="auto"/>
        </w:rPr>
        <w:fldChar w:fldCharType="separate"/>
      </w:r>
      <w:r>
        <w:rPr>
          <w:rFonts w:hint="eastAsia" w:ascii="宋体" w:hAnsi="宋体"/>
          <w:color w:val="auto"/>
          <w:szCs w:val="30"/>
        </w:rPr>
        <w:t>七、资格审查资料</w:t>
      </w:r>
      <w:r>
        <w:rPr>
          <w:color w:val="auto"/>
        </w:rPr>
        <w:tab/>
      </w:r>
      <w:r>
        <w:rPr>
          <w:color w:val="auto"/>
        </w:rPr>
        <w:fldChar w:fldCharType="begin"/>
      </w:r>
      <w:r>
        <w:rPr>
          <w:color w:val="auto"/>
        </w:rPr>
        <w:instrText xml:space="preserve"> PAGEREF _Toc13536 </w:instrText>
      </w:r>
      <w:r>
        <w:rPr>
          <w:color w:val="auto"/>
        </w:rPr>
        <w:fldChar w:fldCharType="separate"/>
      </w:r>
      <w:r>
        <w:rPr>
          <w:color w:val="auto"/>
        </w:rPr>
        <w:t>98</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_Toc9021 </w:instrText>
      </w:r>
      <w:r>
        <w:rPr>
          <w:rFonts w:hint="eastAsia" w:ascii="宋体" w:hAnsi="宋体" w:eastAsia="宋体" w:cs="宋体"/>
          <w:color w:val="auto"/>
        </w:rPr>
        <w:fldChar w:fldCharType="separate"/>
      </w:r>
      <w:r>
        <w:rPr>
          <w:rFonts w:hint="eastAsia" w:ascii="宋体" w:hAnsi="宋体"/>
          <w:color w:val="auto"/>
          <w:szCs w:val="30"/>
        </w:rPr>
        <w:t>（一）投标人基本情况表</w:t>
      </w:r>
      <w:r>
        <w:rPr>
          <w:color w:val="auto"/>
        </w:rPr>
        <w:tab/>
      </w:r>
      <w:r>
        <w:rPr>
          <w:color w:val="auto"/>
        </w:rPr>
        <w:fldChar w:fldCharType="begin"/>
      </w:r>
      <w:r>
        <w:rPr>
          <w:color w:val="auto"/>
        </w:rPr>
        <w:instrText xml:space="preserve"> PAGEREF _Toc9021 </w:instrText>
      </w:r>
      <w:r>
        <w:rPr>
          <w:color w:val="auto"/>
        </w:rPr>
        <w:fldChar w:fldCharType="separate"/>
      </w:r>
      <w:r>
        <w:rPr>
          <w:color w:val="auto"/>
        </w:rPr>
        <w:t>98</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_Toc6362 </w:instrText>
      </w:r>
      <w:r>
        <w:rPr>
          <w:rFonts w:hint="eastAsia" w:ascii="宋体" w:hAnsi="宋体" w:eastAsia="宋体" w:cs="宋体"/>
          <w:color w:val="auto"/>
        </w:rPr>
        <w:fldChar w:fldCharType="separate"/>
      </w:r>
      <w:r>
        <w:rPr>
          <w:rFonts w:hint="eastAsia" w:ascii="宋体" w:hAnsi="宋体"/>
          <w:color w:val="auto"/>
          <w:szCs w:val="30"/>
        </w:rPr>
        <w:t>（二）投标人企业组织结构框图</w:t>
      </w:r>
      <w:r>
        <w:rPr>
          <w:color w:val="auto"/>
        </w:rPr>
        <w:tab/>
      </w:r>
      <w:r>
        <w:rPr>
          <w:color w:val="auto"/>
        </w:rPr>
        <w:fldChar w:fldCharType="begin"/>
      </w:r>
      <w:r>
        <w:rPr>
          <w:color w:val="auto"/>
        </w:rPr>
        <w:instrText xml:space="preserve"> PAGEREF _Toc6362 </w:instrText>
      </w:r>
      <w:r>
        <w:rPr>
          <w:color w:val="auto"/>
        </w:rPr>
        <w:fldChar w:fldCharType="separate"/>
      </w:r>
      <w:r>
        <w:rPr>
          <w:color w:val="auto"/>
        </w:rPr>
        <w:t>99</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_Toc15250 </w:instrText>
      </w:r>
      <w:r>
        <w:rPr>
          <w:rFonts w:hint="eastAsia" w:ascii="宋体" w:hAnsi="宋体" w:eastAsia="宋体" w:cs="宋体"/>
          <w:color w:val="auto"/>
        </w:rPr>
        <w:fldChar w:fldCharType="separate"/>
      </w:r>
      <w:r>
        <w:rPr>
          <w:rFonts w:hint="eastAsia" w:ascii="宋体" w:hAnsi="宋体"/>
          <w:color w:val="auto"/>
          <w:szCs w:val="30"/>
        </w:rPr>
        <w:t>（三）拟委任的项目经理和项目总工资历表</w:t>
      </w:r>
      <w:r>
        <w:rPr>
          <w:color w:val="auto"/>
        </w:rPr>
        <w:tab/>
      </w:r>
      <w:r>
        <w:rPr>
          <w:color w:val="auto"/>
        </w:rPr>
        <w:fldChar w:fldCharType="begin"/>
      </w:r>
      <w:r>
        <w:rPr>
          <w:color w:val="auto"/>
        </w:rPr>
        <w:instrText xml:space="preserve"> PAGEREF _Toc15250 </w:instrText>
      </w:r>
      <w:r>
        <w:rPr>
          <w:color w:val="auto"/>
        </w:rPr>
        <w:fldChar w:fldCharType="separate"/>
      </w:r>
      <w:r>
        <w:rPr>
          <w:color w:val="auto"/>
        </w:rPr>
        <w:t>100</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_Toc14255 </w:instrText>
      </w:r>
      <w:r>
        <w:rPr>
          <w:rFonts w:hint="eastAsia" w:ascii="宋体" w:hAnsi="宋体" w:eastAsia="宋体" w:cs="宋体"/>
          <w:color w:val="auto"/>
        </w:rPr>
        <w:fldChar w:fldCharType="separate"/>
      </w:r>
      <w:r>
        <w:rPr>
          <w:rFonts w:hint="eastAsia" w:ascii="宋体" w:hAnsi="宋体"/>
          <w:color w:val="auto"/>
          <w:szCs w:val="30"/>
        </w:rPr>
        <w:t>（四）财务要求</w:t>
      </w:r>
      <w:r>
        <w:rPr>
          <w:color w:val="auto"/>
        </w:rPr>
        <w:tab/>
      </w:r>
      <w:r>
        <w:rPr>
          <w:color w:val="auto"/>
        </w:rPr>
        <w:fldChar w:fldCharType="begin"/>
      </w:r>
      <w:r>
        <w:rPr>
          <w:color w:val="auto"/>
        </w:rPr>
        <w:instrText xml:space="preserve"> PAGEREF _Toc14255 </w:instrText>
      </w:r>
      <w:r>
        <w:rPr>
          <w:color w:val="auto"/>
        </w:rPr>
        <w:fldChar w:fldCharType="separate"/>
      </w:r>
      <w:r>
        <w:rPr>
          <w:color w:val="auto"/>
        </w:rPr>
        <w:t>101</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_Toc2494 </w:instrText>
      </w:r>
      <w:r>
        <w:rPr>
          <w:rFonts w:hint="eastAsia" w:ascii="宋体" w:hAnsi="宋体" w:eastAsia="宋体" w:cs="宋体"/>
          <w:color w:val="auto"/>
        </w:rPr>
        <w:fldChar w:fldCharType="separate"/>
      </w:r>
      <w:r>
        <w:rPr>
          <w:rFonts w:hint="eastAsia" w:ascii="宋体" w:hAnsi="宋体"/>
          <w:color w:val="auto"/>
          <w:szCs w:val="30"/>
        </w:rPr>
        <w:t>（五）诚信信息系统一览表</w:t>
      </w:r>
      <w:r>
        <w:rPr>
          <w:color w:val="auto"/>
        </w:rPr>
        <w:tab/>
      </w:r>
      <w:r>
        <w:rPr>
          <w:color w:val="auto"/>
        </w:rPr>
        <w:fldChar w:fldCharType="begin"/>
      </w:r>
      <w:r>
        <w:rPr>
          <w:color w:val="auto"/>
        </w:rPr>
        <w:instrText xml:space="preserve"> PAGEREF _Toc2494 </w:instrText>
      </w:r>
      <w:r>
        <w:rPr>
          <w:color w:val="auto"/>
        </w:rPr>
        <w:fldChar w:fldCharType="separate"/>
      </w:r>
      <w:r>
        <w:rPr>
          <w:color w:val="auto"/>
        </w:rPr>
        <w:t>103</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_Toc9933 </w:instrText>
      </w:r>
      <w:r>
        <w:rPr>
          <w:rFonts w:hint="eastAsia" w:ascii="宋体" w:hAnsi="宋体" w:eastAsia="宋体" w:cs="宋体"/>
          <w:color w:val="auto"/>
        </w:rPr>
        <w:fldChar w:fldCharType="separate"/>
      </w:r>
      <w:r>
        <w:rPr>
          <w:rFonts w:hint="eastAsia" w:ascii="宋体" w:hAnsi="宋体"/>
          <w:color w:val="auto"/>
          <w:szCs w:val="30"/>
        </w:rPr>
        <w:t>（六）履约行为表</w:t>
      </w:r>
      <w:r>
        <w:rPr>
          <w:color w:val="auto"/>
        </w:rPr>
        <w:tab/>
      </w:r>
      <w:r>
        <w:rPr>
          <w:color w:val="auto"/>
        </w:rPr>
        <w:fldChar w:fldCharType="begin"/>
      </w:r>
      <w:r>
        <w:rPr>
          <w:color w:val="auto"/>
        </w:rPr>
        <w:instrText xml:space="preserve"> PAGEREF _Toc9933 </w:instrText>
      </w:r>
      <w:r>
        <w:rPr>
          <w:color w:val="auto"/>
        </w:rPr>
        <w:fldChar w:fldCharType="separate"/>
      </w:r>
      <w:r>
        <w:rPr>
          <w:color w:val="auto"/>
        </w:rPr>
        <w:t>104</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_Toc8862 </w:instrText>
      </w:r>
      <w:r>
        <w:rPr>
          <w:rFonts w:hint="eastAsia" w:ascii="宋体" w:hAnsi="宋体" w:eastAsia="宋体" w:cs="宋体"/>
          <w:color w:val="auto"/>
        </w:rPr>
        <w:fldChar w:fldCharType="separate"/>
      </w:r>
      <w:r>
        <w:rPr>
          <w:rFonts w:hint="eastAsia" w:ascii="宋体" w:hAnsi="宋体"/>
          <w:color w:val="auto"/>
          <w:szCs w:val="30"/>
        </w:rPr>
        <w:t>八、承  诺  函</w:t>
      </w:r>
      <w:r>
        <w:rPr>
          <w:color w:val="auto"/>
        </w:rPr>
        <w:tab/>
      </w:r>
      <w:r>
        <w:rPr>
          <w:color w:val="auto"/>
        </w:rPr>
        <w:fldChar w:fldCharType="begin"/>
      </w:r>
      <w:r>
        <w:rPr>
          <w:color w:val="auto"/>
        </w:rPr>
        <w:instrText xml:space="preserve"> PAGEREF _Toc8862 </w:instrText>
      </w:r>
      <w:r>
        <w:rPr>
          <w:color w:val="auto"/>
        </w:rPr>
        <w:fldChar w:fldCharType="separate"/>
      </w:r>
      <w:r>
        <w:rPr>
          <w:color w:val="auto"/>
        </w:rPr>
        <w:t>105</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_Toc20513 </w:instrText>
      </w:r>
      <w:r>
        <w:rPr>
          <w:rFonts w:hint="eastAsia" w:ascii="宋体" w:hAnsi="宋体" w:eastAsia="宋体" w:cs="宋体"/>
          <w:color w:val="auto"/>
        </w:rPr>
        <w:fldChar w:fldCharType="separate"/>
      </w:r>
      <w:r>
        <w:rPr>
          <w:rFonts w:hint="eastAsia" w:ascii="宋体" w:hAnsi="宋体"/>
          <w:color w:val="auto"/>
          <w:szCs w:val="30"/>
        </w:rPr>
        <w:t>九、其 他 材 料</w:t>
      </w:r>
      <w:r>
        <w:rPr>
          <w:color w:val="auto"/>
        </w:rPr>
        <w:tab/>
      </w:r>
      <w:r>
        <w:rPr>
          <w:color w:val="auto"/>
        </w:rPr>
        <w:fldChar w:fldCharType="begin"/>
      </w:r>
      <w:r>
        <w:rPr>
          <w:color w:val="auto"/>
        </w:rPr>
        <w:instrText xml:space="preserve"> PAGEREF _Toc20513 </w:instrText>
      </w:r>
      <w:r>
        <w:rPr>
          <w:color w:val="auto"/>
        </w:rPr>
        <w:fldChar w:fldCharType="separate"/>
      </w:r>
      <w:r>
        <w:rPr>
          <w:color w:val="auto"/>
        </w:rPr>
        <w:t>106</w:t>
      </w:r>
      <w:r>
        <w:rPr>
          <w:color w:val="auto"/>
        </w:rPr>
        <w:fldChar w:fldCharType="end"/>
      </w:r>
      <w:r>
        <w:rPr>
          <w:rFonts w:hint="eastAsia" w:ascii="宋体" w:hAnsi="宋体" w:eastAsia="宋体" w:cs="宋体"/>
          <w:color w:val="auto"/>
        </w:rPr>
        <w:fldChar w:fldCharType="end"/>
      </w:r>
    </w:p>
    <w:p>
      <w:pPr>
        <w:pStyle w:val="36"/>
        <w:tabs>
          <w:tab w:val="right" w:leader="dot" w:pos="9412"/>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_Toc22244 </w:instrText>
      </w:r>
      <w:r>
        <w:rPr>
          <w:rFonts w:hint="eastAsia" w:ascii="宋体" w:hAnsi="宋体" w:eastAsia="宋体" w:cs="宋体"/>
          <w:color w:val="auto"/>
        </w:rPr>
        <w:fldChar w:fldCharType="separate"/>
      </w:r>
      <w:r>
        <w:rPr>
          <w:rFonts w:hint="eastAsia" w:ascii="宋体" w:hAnsi="宋体"/>
          <w:color w:val="auto"/>
          <w:szCs w:val="30"/>
        </w:rPr>
        <w:t>附件一、 资格审查资料数据表（主要人员）</w:t>
      </w:r>
      <w:r>
        <w:rPr>
          <w:color w:val="auto"/>
        </w:rPr>
        <w:tab/>
      </w:r>
      <w:r>
        <w:rPr>
          <w:color w:val="auto"/>
        </w:rPr>
        <w:fldChar w:fldCharType="begin"/>
      </w:r>
      <w:r>
        <w:rPr>
          <w:color w:val="auto"/>
        </w:rPr>
        <w:instrText xml:space="preserve"> PAGEREF _Toc22244 </w:instrText>
      </w:r>
      <w:r>
        <w:rPr>
          <w:color w:val="auto"/>
        </w:rPr>
        <w:fldChar w:fldCharType="separate"/>
      </w:r>
      <w:r>
        <w:rPr>
          <w:color w:val="auto"/>
        </w:rPr>
        <w:t>107</w:t>
      </w:r>
      <w:r>
        <w:rPr>
          <w:color w:val="auto"/>
        </w:rPr>
        <w:fldChar w:fldCharType="end"/>
      </w:r>
      <w:r>
        <w:rPr>
          <w:rFonts w:hint="eastAsia" w:ascii="宋体" w:hAnsi="宋体" w:eastAsia="宋体" w:cs="宋体"/>
          <w:color w:val="auto"/>
        </w:rPr>
        <w:fldChar w:fldCharType="end"/>
      </w:r>
    </w:p>
    <w:p>
      <w:pPr>
        <w:rPr>
          <w:rFonts w:ascii="宋体" w:hAnsi="宋体" w:eastAsia="宋体" w:cs="宋体"/>
          <w:color w:val="auto"/>
        </w:rPr>
      </w:pPr>
      <w:r>
        <w:rPr>
          <w:rFonts w:hint="eastAsia" w:ascii="宋体" w:hAnsi="宋体" w:eastAsia="宋体" w:cs="宋体"/>
          <w:color w:val="auto"/>
        </w:rPr>
        <w:fldChar w:fldCharType="end"/>
      </w: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br w:type="page"/>
      </w:r>
    </w:p>
    <w:p>
      <w:pPr>
        <w:rPr>
          <w:rFonts w:hint="eastAsia" w:ascii="宋体" w:hAnsi="宋体" w:eastAsia="宋体" w:cs="宋体"/>
          <w:color w:val="auto"/>
          <w:sz w:val="24"/>
        </w:rPr>
      </w:pPr>
    </w:p>
    <w:p>
      <w:pPr>
        <w:widowControl/>
        <w:spacing w:line="320" w:lineRule="exact"/>
        <w:jc w:val="center"/>
        <w:rPr>
          <w:color w:val="auto"/>
          <w:sz w:val="28"/>
          <w:szCs w:val="28"/>
        </w:rPr>
      </w:pPr>
      <w:r>
        <w:rPr>
          <w:rFonts w:hint="eastAsia"/>
          <w:color w:val="auto"/>
          <w:sz w:val="28"/>
          <w:szCs w:val="28"/>
        </w:rPr>
        <w:t>三门县公共资源交易不见面开标大厅试运行投标人须知</w:t>
      </w:r>
    </w:p>
    <w:p>
      <w:pPr>
        <w:spacing w:line="320" w:lineRule="exact"/>
        <w:ind w:firstLine="420" w:firstLineChars="200"/>
        <w:rPr>
          <w:color w:val="auto"/>
        </w:rPr>
      </w:pPr>
      <w:r>
        <w:rPr>
          <w:rFonts w:hint="eastAsia"/>
          <w:color w:val="auto"/>
        </w:rPr>
        <w:t>1、三门县公共资源交易不见面开标大厅（以下简称：不见面开标系统）登录方式：插入CA锁并登录交易系统—业务办理—开评标—进入不见面开标系统。</w:t>
      </w:r>
    </w:p>
    <w:p>
      <w:pPr>
        <w:spacing w:line="320" w:lineRule="exact"/>
        <w:ind w:firstLine="420" w:firstLineChars="200"/>
        <w:rPr>
          <w:color w:val="auto"/>
        </w:rPr>
      </w:pPr>
      <w:r>
        <w:rPr>
          <w:rFonts w:hint="eastAsia"/>
          <w:color w:val="auto"/>
        </w:rPr>
        <w:t>2、不见面开标系统对投标人终端要求：详见《</w:t>
      </w:r>
      <w:r>
        <w:rPr>
          <w:color w:val="auto"/>
        </w:rPr>
        <w:t>三门县不见面开标大厅投标人操作手册</w:t>
      </w:r>
      <w:r>
        <w:rPr>
          <w:rFonts w:hint="eastAsia"/>
          <w:color w:val="auto"/>
        </w:rPr>
        <w:t>》。</w:t>
      </w:r>
    </w:p>
    <w:p>
      <w:pPr>
        <w:spacing w:line="320" w:lineRule="exact"/>
        <w:ind w:firstLine="420" w:firstLineChars="200"/>
        <w:rPr>
          <w:color w:val="auto"/>
        </w:rPr>
      </w:pPr>
      <w:r>
        <w:rPr>
          <w:rFonts w:hint="eastAsia"/>
          <w:color w:val="auto"/>
        </w:rPr>
        <w:t>特别提示：IE浏览器需安装插件，请按提示自行安装相关插件并按要求进行相关插件的设置。</w:t>
      </w:r>
    </w:p>
    <w:p>
      <w:pPr>
        <w:spacing w:line="320" w:lineRule="exact"/>
        <w:ind w:firstLine="420" w:firstLineChars="200"/>
        <w:rPr>
          <w:color w:val="auto"/>
        </w:rPr>
      </w:pPr>
      <w:r>
        <w:rPr>
          <w:rFonts w:hint="eastAsia"/>
          <w:color w:val="auto"/>
        </w:rPr>
        <w:t>3、不见面开标系统需在“三门县工程建设电子交易平台”注册，未注册的请参照《三门县公共资源电子交易平台企业网上注册登记操作示意卡》自行网上注册并核验通过，见三门县公共资源交易网“下载中心”。</w:t>
      </w:r>
    </w:p>
    <w:p>
      <w:pPr>
        <w:spacing w:line="320" w:lineRule="exact"/>
        <w:ind w:firstLine="420" w:firstLineChars="200"/>
        <w:rPr>
          <w:color w:val="auto"/>
        </w:rPr>
      </w:pPr>
      <w:r>
        <w:rPr>
          <w:rFonts w:hint="eastAsia"/>
          <w:color w:val="auto"/>
        </w:rPr>
        <w:t>4、不见面开标系统需使用数字证书（CA）操作，未取得数字证书（CA）的，请前往“三门县公共资源交易专用数字证书用户自助申报系统”自助办理（网址：http://www.tseal.cn/tcloud/smxztb。</w:t>
      </w:r>
    </w:p>
    <w:p>
      <w:pPr>
        <w:spacing w:line="320" w:lineRule="exact"/>
        <w:ind w:firstLine="412" w:firstLineChars="200"/>
        <w:rPr>
          <w:color w:val="auto"/>
        </w:rPr>
      </w:pPr>
      <w:r>
        <w:rPr>
          <w:rFonts w:hint="eastAsia"/>
          <w:color w:val="auto"/>
          <w:spacing w:val="-2"/>
        </w:rPr>
        <w:t>5、</w:t>
      </w:r>
      <w:r>
        <w:rPr>
          <w:color w:val="auto"/>
          <w:spacing w:val="-2"/>
        </w:rPr>
        <w:t>不见面开标项目投标文件均用专用招投标工具软件编制</w:t>
      </w:r>
      <w:r>
        <w:rPr>
          <w:rFonts w:hint="eastAsia"/>
          <w:color w:val="auto"/>
          <w:spacing w:val="-2"/>
        </w:rPr>
        <w:t>，软件下载地址见网站下载中心，</w:t>
      </w:r>
      <w:r>
        <w:rPr>
          <w:rFonts w:hint="eastAsia"/>
          <w:color w:val="auto"/>
        </w:rPr>
        <w:t>投标工具锁申请地址：</w:t>
      </w:r>
      <w:r>
        <w:rPr>
          <w:color w:val="auto"/>
        </w:rPr>
        <w:fldChar w:fldCharType="begin"/>
      </w:r>
      <w:r>
        <w:rPr>
          <w:color w:val="auto"/>
        </w:rPr>
        <w:instrText xml:space="preserve"> HYPERLINK "http://commkey.pminfo.cn/RegisterRockey/Login/Login.aspx" </w:instrText>
      </w:r>
      <w:r>
        <w:rPr>
          <w:color w:val="auto"/>
        </w:rPr>
        <w:fldChar w:fldCharType="separate"/>
      </w:r>
      <w:r>
        <w:rPr>
          <w:rStyle w:val="59"/>
          <w:color w:val="auto"/>
        </w:rPr>
        <w:t>http://commkey.pminfo.cn/RegisterRockey/Login/Login.aspx</w:t>
      </w:r>
      <w:r>
        <w:rPr>
          <w:rStyle w:val="59"/>
          <w:color w:val="auto"/>
        </w:rPr>
        <w:fldChar w:fldCharType="end"/>
      </w:r>
      <w:r>
        <w:rPr>
          <w:rFonts w:hint="eastAsia"/>
          <w:color w:val="auto"/>
          <w:spacing w:val="-2"/>
        </w:rPr>
        <w:t>。</w:t>
      </w:r>
    </w:p>
    <w:p>
      <w:pPr>
        <w:spacing w:line="320" w:lineRule="exact"/>
        <w:ind w:firstLine="420" w:firstLineChars="200"/>
        <w:rPr>
          <w:rFonts w:hint="eastAsia"/>
          <w:color w:val="auto"/>
        </w:rPr>
      </w:pPr>
      <w:r>
        <w:rPr>
          <w:rFonts w:hint="eastAsia"/>
          <w:color w:val="auto"/>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pPr>
        <w:spacing w:line="320" w:lineRule="exact"/>
        <w:ind w:firstLine="420" w:firstLineChars="200"/>
        <w:rPr>
          <w:rFonts w:hint="eastAsia"/>
          <w:color w:val="auto"/>
        </w:rPr>
      </w:pPr>
      <w:r>
        <w:rPr>
          <w:rFonts w:hint="eastAsia"/>
          <w:color w:val="auto"/>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pPr>
        <w:spacing w:line="320" w:lineRule="exact"/>
        <w:ind w:firstLine="420" w:firstLineChars="200"/>
        <w:rPr>
          <w:color w:val="auto"/>
        </w:rPr>
      </w:pPr>
      <w:r>
        <w:rPr>
          <w:rFonts w:hint="eastAsia"/>
          <w:color w:val="auto"/>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spacing w:line="320" w:lineRule="exact"/>
        <w:ind w:firstLine="420" w:firstLineChars="200"/>
        <w:rPr>
          <w:color w:val="auto"/>
        </w:rPr>
      </w:pPr>
    </w:p>
    <w:p>
      <w:pPr>
        <w:spacing w:line="320" w:lineRule="exact"/>
        <w:ind w:firstLine="420" w:firstLineChars="200"/>
        <w:rPr>
          <w:color w:val="auto"/>
        </w:rPr>
      </w:pPr>
      <w:r>
        <w:rPr>
          <w:rFonts w:hint="eastAsia"/>
          <w:color w:val="auto"/>
        </w:rPr>
        <w:t>重要事项说明：</w:t>
      </w:r>
    </w:p>
    <w:p>
      <w:pPr>
        <w:spacing w:line="320" w:lineRule="exact"/>
        <w:ind w:firstLine="420" w:firstLineChars="200"/>
        <w:rPr>
          <w:color w:val="auto"/>
        </w:rPr>
      </w:pPr>
      <w:r>
        <w:rPr>
          <w:rFonts w:hint="eastAsia"/>
          <w:color w:val="auto"/>
        </w:rPr>
        <w:t>（1）开标项目的时间均以国家授时中心发布的时间为准。</w:t>
      </w:r>
    </w:p>
    <w:p>
      <w:pPr>
        <w:spacing w:line="320" w:lineRule="exact"/>
        <w:ind w:firstLine="420" w:firstLineChars="200"/>
        <w:rPr>
          <w:color w:val="auto"/>
        </w:rPr>
      </w:pPr>
      <w:r>
        <w:rPr>
          <w:rFonts w:hint="eastAsia"/>
          <w:color w:val="auto"/>
        </w:rPr>
        <w:t>（2）投标文件递交截止时间前，各投标人的授权委托人或法人代表应提前进入不见面交易系统进行在线签到，</w:t>
      </w:r>
      <w:r>
        <w:rPr>
          <w:rFonts w:hint="eastAsia" w:ascii="黑体" w:hAnsi="黑体" w:eastAsia="黑体"/>
          <w:b/>
          <w:color w:val="auto"/>
        </w:rPr>
        <w:t>未完成签到的，将无法解密投标文件，并视为放弃投标</w:t>
      </w:r>
      <w:r>
        <w:rPr>
          <w:rFonts w:hint="eastAsia"/>
          <w:color w:val="auto"/>
        </w:rPr>
        <w:t>。</w:t>
      </w:r>
    </w:p>
    <w:p>
      <w:pPr>
        <w:spacing w:line="320" w:lineRule="exact"/>
        <w:ind w:firstLine="420" w:firstLineChars="200"/>
        <w:rPr>
          <w:color w:val="auto"/>
        </w:rPr>
      </w:pPr>
      <w:r>
        <w:rPr>
          <w:rFonts w:hint="eastAsia"/>
          <w:color w:val="auto"/>
        </w:rPr>
        <w:t>（3）投标人未在规定时间内解密、解密失败或解密超时，</w:t>
      </w:r>
      <w:r>
        <w:rPr>
          <w:rFonts w:hint="eastAsia" w:ascii="黑体" w:hAnsi="黑体" w:eastAsia="黑体"/>
          <w:b/>
          <w:color w:val="auto"/>
        </w:rPr>
        <w:t>视为放弃投标</w:t>
      </w:r>
      <w:r>
        <w:rPr>
          <w:rFonts w:hint="eastAsia"/>
          <w:color w:val="auto"/>
        </w:rPr>
        <w:t>。</w:t>
      </w:r>
    </w:p>
    <w:p>
      <w:pPr>
        <w:spacing w:line="320" w:lineRule="exact"/>
        <w:ind w:firstLine="420" w:firstLineChars="200"/>
        <w:rPr>
          <w:color w:val="auto"/>
        </w:rPr>
      </w:pPr>
      <w:r>
        <w:rPr>
          <w:rFonts w:hint="eastAsia"/>
          <w:color w:val="auto"/>
        </w:rPr>
        <w:t>（4）若投标人已申请多把CA锁，请注意使用差别，确保制作上传加密投标文件和开标解密时使用的CA锁是一致的，否则造成解密失败的，由投标人负责。</w:t>
      </w:r>
    </w:p>
    <w:p>
      <w:pPr>
        <w:spacing w:line="320" w:lineRule="exact"/>
        <w:ind w:firstLine="420" w:firstLineChars="200"/>
        <w:rPr>
          <w:rFonts w:hint="eastAsia"/>
          <w:color w:val="auto"/>
        </w:rPr>
      </w:pPr>
      <w:r>
        <w:rPr>
          <w:rFonts w:hint="eastAsia"/>
          <w:color w:val="auto"/>
        </w:rPr>
        <w:t>（5）如有疑问，请咨询品茗公司技术服务电话，技术服务电话：章宏涛，13968512856。QQ“三门交易平台交流群”（群号：</w:t>
      </w:r>
      <w:r>
        <w:rPr>
          <w:color w:val="auto"/>
        </w:rPr>
        <w:t>146117595</w:t>
      </w:r>
      <w:r>
        <w:rPr>
          <w:rFonts w:hint="eastAsia"/>
          <w:color w:val="auto"/>
        </w:rPr>
        <w:t>），进行业务咨询。此群也将作为不见面开标的备用远程交互群。</w:t>
      </w:r>
    </w:p>
    <w:p>
      <w:pPr>
        <w:spacing w:line="320" w:lineRule="exact"/>
        <w:ind w:firstLine="420" w:firstLineChars="200"/>
        <w:rPr>
          <w:rFonts w:hint="eastAsia"/>
          <w:color w:val="auto"/>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pStyle w:val="3"/>
        <w:spacing w:before="0" w:after="0" w:line="240" w:lineRule="auto"/>
        <w:jc w:val="center"/>
        <w:rPr>
          <w:rFonts w:hint="eastAsia" w:ascii="宋体" w:hAnsi="宋体"/>
          <w:color w:val="auto"/>
          <w:sz w:val="72"/>
          <w:szCs w:val="72"/>
        </w:rPr>
      </w:pPr>
      <w:bookmarkStart w:id="12" w:name="_Toc18878"/>
      <w:r>
        <w:rPr>
          <w:rFonts w:hint="eastAsia" w:ascii="宋体" w:hAnsi="宋体"/>
          <w:color w:val="auto"/>
          <w:sz w:val="72"/>
          <w:szCs w:val="72"/>
        </w:rPr>
        <w:t>第  一  卷</w:t>
      </w:r>
      <w:bookmarkEnd w:id="12"/>
    </w:p>
    <w:p>
      <w:pPr>
        <w:rPr>
          <w:rFonts w:hint="eastAsia" w:ascii="宋体" w:hAnsi="宋体" w:eastAsia="宋体" w:cs="宋体"/>
          <w:color w:val="auto"/>
          <w:sz w:val="24"/>
        </w:rPr>
      </w:pPr>
    </w:p>
    <w:p>
      <w:pPr>
        <w:rPr>
          <w:rFonts w:hint="eastAsia" w:ascii="宋体" w:hAnsi="宋体" w:eastAsia="宋体" w:cs="宋体"/>
          <w:color w:val="auto"/>
          <w:sz w:val="24"/>
        </w:rPr>
      </w:pPr>
    </w:p>
    <w:p>
      <w:pPr>
        <w:jc w:val="center"/>
        <w:rPr>
          <w:rFonts w:hint="eastAsia" w:ascii="宋体" w:hAnsi="宋体" w:eastAsia="宋体" w:cs="宋体"/>
          <w:color w:val="auto"/>
          <w:sz w:val="24"/>
        </w:rPr>
      </w:pPr>
      <w:r>
        <w:rPr>
          <w:rFonts w:hint="eastAsia" w:ascii="宋体" w:hAnsi="宋体" w:eastAsia="宋体" w:cs="宋体"/>
          <w:color w:val="auto"/>
          <w:sz w:val="24"/>
        </w:rPr>
        <w:br w:type="page"/>
      </w:r>
    </w:p>
    <w:p>
      <w:pPr>
        <w:jc w:val="center"/>
        <w:rPr>
          <w:rFonts w:hint="eastAsia" w:ascii="宋体" w:hAnsi="宋体" w:eastAsia="宋体" w:cs="宋体"/>
          <w:color w:val="auto"/>
          <w:sz w:val="24"/>
        </w:rPr>
      </w:pPr>
    </w:p>
    <w:p>
      <w:pPr>
        <w:jc w:val="center"/>
        <w:rPr>
          <w:rFonts w:hint="eastAsia" w:ascii="宋体" w:hAnsi="宋体" w:eastAsia="宋体" w:cs="宋体"/>
          <w:color w:val="auto"/>
          <w:sz w:val="24"/>
        </w:rPr>
      </w:pPr>
    </w:p>
    <w:p>
      <w:pPr>
        <w:jc w:val="center"/>
        <w:rPr>
          <w:rFonts w:hint="eastAsia" w:ascii="宋体" w:hAnsi="宋体" w:eastAsia="宋体" w:cs="宋体"/>
          <w:color w:val="auto"/>
          <w:sz w:val="24"/>
        </w:rPr>
      </w:pPr>
    </w:p>
    <w:p>
      <w:pPr>
        <w:jc w:val="center"/>
        <w:rPr>
          <w:rFonts w:ascii="宋体" w:hAnsi="宋体" w:eastAsia="宋体" w:cs="宋体"/>
          <w:color w:val="auto"/>
          <w:sz w:val="32"/>
          <w:szCs w:val="32"/>
        </w:rPr>
      </w:pPr>
      <w:r>
        <w:rPr>
          <w:rFonts w:hint="eastAsia" w:ascii="宋体" w:hAnsi="宋体" w:eastAsia="宋体" w:cs="宋体"/>
          <w:b/>
          <w:bCs/>
          <w:color w:val="auto"/>
          <w:kern w:val="44"/>
          <w:sz w:val="32"/>
          <w:szCs w:val="32"/>
        </w:rPr>
        <w:t>第一章 招标公告</w:t>
      </w:r>
    </w:p>
    <w:p>
      <w:pPr>
        <w:jc w:val="center"/>
        <w:rPr>
          <w:rFonts w:ascii="宋体" w:hAnsi="宋体" w:eastAsia="宋体" w:cs="宋体"/>
          <w:b/>
          <w:color w:val="auto"/>
          <w:sz w:val="30"/>
          <w:szCs w:val="30"/>
        </w:rPr>
      </w:pPr>
    </w:p>
    <w:p>
      <w:pPr>
        <w:jc w:val="center"/>
        <w:rPr>
          <w:rFonts w:hint="eastAsia" w:ascii="宋体" w:hAnsi="宋体" w:eastAsia="宋体" w:cs="宋体"/>
          <w:color w:val="auto"/>
          <w:lang w:eastAsia="zh-CN"/>
        </w:rPr>
      </w:pPr>
      <w:r>
        <w:rPr>
          <w:rFonts w:hint="eastAsia" w:ascii="宋体" w:hAnsi="宋体" w:eastAsia="宋体" w:cs="宋体"/>
          <w:b/>
          <w:color w:val="auto"/>
          <w:sz w:val="30"/>
          <w:szCs w:val="30"/>
        </w:rPr>
        <w:t xml:space="preserve">详见网上招标公告 </w:t>
      </w:r>
      <w:r>
        <w:rPr>
          <w:rFonts w:hint="eastAsia" w:ascii="宋体" w:hAnsi="宋体" w:eastAsia="宋体" w:cs="宋体"/>
          <w:b/>
          <w:color w:val="auto"/>
          <w:sz w:val="30"/>
          <w:szCs w:val="30"/>
          <w:lang w:eastAsia="zh-CN"/>
        </w:rPr>
        <w:t>http://jyzx.sanmen.gov.cn</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80" w:lineRule="auto"/>
        <w:ind w:left="0" w:right="0" w:firstLine="0"/>
        <w:jc w:val="right"/>
        <w:textAlignment w:val="auto"/>
        <w:rPr>
          <w:rFonts w:hint="default" w:ascii="宋体" w:hAnsi="宋体" w:eastAsia="宋体" w:cs="宋体"/>
          <w:color w:val="auto"/>
          <w:kern w:val="2"/>
          <w:sz w:val="21"/>
          <w:szCs w:val="21"/>
          <w:lang w:val="en-US" w:eastAsia="zh-CN" w:bidi="ar-SA"/>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jc w:val="right"/>
        <w:textAlignment w:val="auto"/>
        <w:rPr>
          <w:rFonts w:hint="default" w:ascii="宋体" w:hAnsi="宋体" w:eastAsia="宋体" w:cs="宋体"/>
          <w:color w:val="auto"/>
          <w:kern w:val="2"/>
          <w:sz w:val="21"/>
          <w:szCs w:val="21"/>
          <w:lang w:val="en-US" w:eastAsia="zh-CN" w:bidi="ar-SA"/>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jc w:val="right"/>
        <w:textAlignment w:val="auto"/>
        <w:rPr>
          <w:rFonts w:hint="default" w:ascii="宋体" w:hAnsi="宋体" w:eastAsia="宋体" w:cs="宋体"/>
          <w:color w:val="auto"/>
          <w:kern w:val="2"/>
          <w:sz w:val="21"/>
          <w:szCs w:val="21"/>
          <w:lang w:val="en-US" w:eastAsia="zh-CN" w:bidi="ar-SA"/>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jc w:val="right"/>
        <w:textAlignment w:val="auto"/>
        <w:rPr>
          <w:rFonts w:hint="default" w:ascii="宋体" w:hAnsi="宋体" w:eastAsia="宋体" w:cs="宋体"/>
          <w:color w:val="auto"/>
          <w:kern w:val="2"/>
          <w:sz w:val="21"/>
          <w:szCs w:val="21"/>
          <w:lang w:val="en-US" w:eastAsia="zh-CN" w:bidi="ar-SA"/>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jc w:val="right"/>
        <w:textAlignment w:val="auto"/>
        <w:rPr>
          <w:rFonts w:hint="default" w:ascii="宋体" w:hAnsi="宋体" w:eastAsia="宋体" w:cs="宋体"/>
          <w:color w:val="auto"/>
          <w:kern w:val="2"/>
          <w:sz w:val="21"/>
          <w:szCs w:val="21"/>
          <w:lang w:val="en-US" w:eastAsia="zh-CN" w:bidi="ar-SA"/>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jc w:val="right"/>
        <w:textAlignment w:val="auto"/>
        <w:rPr>
          <w:rFonts w:hint="default" w:ascii="宋体" w:hAnsi="宋体" w:eastAsia="宋体" w:cs="宋体"/>
          <w:color w:val="auto"/>
          <w:kern w:val="2"/>
          <w:sz w:val="21"/>
          <w:szCs w:val="21"/>
          <w:lang w:val="en-US" w:eastAsia="zh-CN" w:bidi="ar-SA"/>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jc w:val="right"/>
        <w:textAlignment w:val="auto"/>
        <w:rPr>
          <w:rFonts w:hint="default" w:ascii="宋体" w:hAnsi="宋体" w:eastAsia="宋体" w:cs="宋体"/>
          <w:color w:val="auto"/>
          <w:kern w:val="2"/>
          <w:sz w:val="21"/>
          <w:szCs w:val="21"/>
          <w:lang w:val="en-US" w:eastAsia="zh-CN" w:bidi="ar-SA"/>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jc w:val="right"/>
        <w:textAlignment w:val="auto"/>
        <w:rPr>
          <w:rFonts w:hint="default" w:ascii="宋体" w:hAnsi="宋体" w:eastAsia="宋体" w:cs="宋体"/>
          <w:color w:val="auto"/>
          <w:kern w:val="2"/>
          <w:sz w:val="21"/>
          <w:szCs w:val="21"/>
          <w:lang w:val="en-US" w:eastAsia="zh-CN" w:bidi="ar-SA"/>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jc w:val="right"/>
        <w:textAlignment w:val="auto"/>
        <w:rPr>
          <w:rFonts w:hint="default" w:ascii="宋体" w:hAnsi="宋体" w:eastAsia="宋体" w:cs="宋体"/>
          <w:color w:val="auto"/>
          <w:kern w:val="2"/>
          <w:sz w:val="21"/>
          <w:szCs w:val="21"/>
          <w:lang w:val="en-US" w:eastAsia="zh-CN" w:bidi="ar-SA"/>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jc w:val="right"/>
        <w:textAlignment w:val="auto"/>
        <w:rPr>
          <w:rFonts w:hint="default" w:ascii="宋体" w:hAnsi="宋体" w:eastAsia="宋体" w:cs="宋体"/>
          <w:color w:val="auto"/>
          <w:kern w:val="2"/>
          <w:sz w:val="21"/>
          <w:szCs w:val="21"/>
          <w:lang w:val="en-US" w:eastAsia="zh-CN" w:bidi="ar-SA"/>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jc w:val="right"/>
        <w:textAlignment w:val="auto"/>
        <w:rPr>
          <w:rFonts w:hint="default" w:ascii="宋体" w:hAnsi="宋体" w:eastAsia="宋体" w:cs="宋体"/>
          <w:color w:val="auto"/>
          <w:kern w:val="2"/>
          <w:sz w:val="21"/>
          <w:szCs w:val="21"/>
          <w:lang w:val="en-US" w:eastAsia="zh-CN" w:bidi="ar-SA"/>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jc w:val="right"/>
        <w:textAlignment w:val="auto"/>
        <w:rPr>
          <w:rFonts w:hint="default" w:ascii="宋体" w:hAnsi="宋体" w:eastAsia="宋体" w:cs="宋体"/>
          <w:color w:val="auto"/>
          <w:kern w:val="2"/>
          <w:sz w:val="21"/>
          <w:szCs w:val="21"/>
          <w:lang w:val="en-US" w:eastAsia="zh-CN" w:bidi="ar-SA"/>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jc w:val="right"/>
        <w:textAlignment w:val="auto"/>
        <w:rPr>
          <w:rFonts w:hint="default" w:ascii="宋体" w:hAnsi="宋体" w:eastAsia="宋体" w:cs="宋体"/>
          <w:color w:val="auto"/>
          <w:kern w:val="2"/>
          <w:sz w:val="21"/>
          <w:szCs w:val="21"/>
          <w:lang w:val="en-US" w:eastAsia="zh-CN" w:bidi="ar-SA"/>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jc w:val="right"/>
        <w:textAlignment w:val="auto"/>
        <w:rPr>
          <w:rFonts w:hint="default" w:ascii="宋体" w:hAnsi="宋体" w:eastAsia="宋体" w:cs="宋体"/>
          <w:color w:val="auto"/>
          <w:kern w:val="2"/>
          <w:sz w:val="21"/>
          <w:szCs w:val="21"/>
          <w:lang w:val="en-US" w:eastAsia="zh-CN" w:bidi="ar-SA"/>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jc w:val="right"/>
        <w:textAlignment w:val="auto"/>
        <w:rPr>
          <w:rFonts w:hint="default" w:ascii="宋体" w:hAnsi="宋体" w:eastAsia="宋体" w:cs="宋体"/>
          <w:color w:val="auto"/>
          <w:kern w:val="2"/>
          <w:sz w:val="21"/>
          <w:szCs w:val="21"/>
          <w:lang w:val="en-US" w:eastAsia="zh-CN" w:bidi="ar-SA"/>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jc w:val="right"/>
        <w:textAlignment w:val="auto"/>
        <w:rPr>
          <w:rFonts w:hint="default" w:ascii="宋体" w:hAnsi="宋体" w:eastAsia="宋体" w:cs="宋体"/>
          <w:color w:val="auto"/>
          <w:kern w:val="2"/>
          <w:sz w:val="21"/>
          <w:szCs w:val="21"/>
          <w:lang w:val="en-US" w:eastAsia="zh-CN" w:bidi="ar-SA"/>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jc w:val="right"/>
        <w:textAlignment w:val="auto"/>
        <w:rPr>
          <w:rFonts w:hint="default" w:ascii="宋体" w:hAnsi="宋体" w:eastAsia="宋体" w:cs="宋体"/>
          <w:color w:val="auto"/>
          <w:kern w:val="2"/>
          <w:sz w:val="21"/>
          <w:szCs w:val="21"/>
          <w:lang w:val="en-US" w:eastAsia="zh-CN" w:bidi="ar-SA"/>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jc w:val="right"/>
        <w:textAlignment w:val="auto"/>
        <w:rPr>
          <w:rFonts w:hint="default" w:ascii="宋体" w:hAnsi="宋体" w:eastAsia="宋体" w:cs="宋体"/>
          <w:color w:val="auto"/>
          <w:kern w:val="2"/>
          <w:sz w:val="21"/>
          <w:szCs w:val="21"/>
          <w:lang w:val="en-US" w:eastAsia="zh-CN" w:bidi="ar-SA"/>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jc w:val="right"/>
        <w:textAlignment w:val="auto"/>
        <w:rPr>
          <w:rFonts w:hint="default" w:ascii="宋体" w:hAnsi="宋体" w:eastAsia="宋体" w:cs="宋体"/>
          <w:color w:val="auto"/>
          <w:kern w:val="2"/>
          <w:sz w:val="21"/>
          <w:szCs w:val="21"/>
          <w:lang w:val="en-US" w:eastAsia="zh-CN" w:bidi="ar-SA"/>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jc w:val="right"/>
        <w:textAlignment w:val="auto"/>
        <w:rPr>
          <w:rFonts w:hint="default" w:ascii="宋体" w:hAnsi="宋体" w:eastAsia="宋体" w:cs="宋体"/>
          <w:color w:val="auto"/>
          <w:kern w:val="2"/>
          <w:sz w:val="21"/>
          <w:szCs w:val="21"/>
          <w:lang w:val="en-US" w:eastAsia="zh-CN" w:bidi="ar-SA"/>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0"/>
        <w:jc w:val="right"/>
        <w:textAlignment w:val="auto"/>
        <w:rPr>
          <w:rFonts w:hint="default" w:ascii="宋体" w:hAnsi="宋体" w:eastAsia="宋体" w:cs="宋体"/>
          <w:color w:val="auto"/>
          <w:kern w:val="2"/>
          <w:sz w:val="21"/>
          <w:szCs w:val="21"/>
          <w:lang w:val="en-US" w:eastAsia="zh-CN" w:bidi="ar-SA"/>
        </w:rPr>
      </w:pPr>
    </w:p>
    <w:p>
      <w:pPr>
        <w:rPr>
          <w:rFonts w:hint="eastAsia" w:ascii="宋体" w:hAnsi="宋体" w:eastAsia="宋体" w:cs="宋体"/>
          <w:color w:val="auto"/>
          <w:sz w:val="24"/>
        </w:rPr>
      </w:pPr>
    </w:p>
    <w:p>
      <w:pPr>
        <w:rPr>
          <w:rFonts w:hint="eastAsia" w:ascii="宋体" w:hAnsi="宋体" w:eastAsia="宋体" w:cs="宋体"/>
          <w:color w:val="auto"/>
          <w:sz w:val="24"/>
        </w:rPr>
      </w:pPr>
    </w:p>
    <w:p>
      <w:pPr>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第二章  投标人须知</w:t>
      </w:r>
    </w:p>
    <w:p>
      <w:pPr>
        <w:pStyle w:val="3"/>
        <w:spacing w:before="0" w:after="0" w:line="240" w:lineRule="auto"/>
        <w:jc w:val="center"/>
        <w:rPr>
          <w:rFonts w:hint="eastAsia" w:ascii="宋体" w:hAnsi="宋体"/>
          <w:color w:val="auto"/>
          <w:sz w:val="30"/>
          <w:szCs w:val="30"/>
        </w:rPr>
      </w:pPr>
      <w:bookmarkStart w:id="13" w:name="_Toc16991"/>
      <w:r>
        <w:rPr>
          <w:rFonts w:hint="eastAsia" w:ascii="宋体" w:hAnsi="宋体"/>
          <w:color w:val="auto"/>
          <w:sz w:val="30"/>
          <w:szCs w:val="30"/>
        </w:rPr>
        <w:t>投标人须知前附表</w:t>
      </w:r>
      <w:bookmarkEnd w:id="13"/>
    </w:p>
    <w:tbl>
      <w:tblPr>
        <w:tblStyle w:val="52"/>
        <w:tblW w:w="102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21"/>
        <w:gridCol w:w="2585"/>
        <w:gridCol w:w="35"/>
        <w:gridCol w:w="680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821" w:type="dxa"/>
            <w:tcBorders>
              <w:top w:val="single" w:color="000000" w:sz="12"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b/>
                <w:color w:val="auto"/>
                <w:szCs w:val="21"/>
              </w:rPr>
            </w:pPr>
            <w:r>
              <w:rPr>
                <w:rFonts w:hint="eastAsia" w:ascii="宋体" w:hAnsi="宋体" w:eastAsia="宋体" w:cs="宋体"/>
                <w:b/>
                <w:color w:val="auto"/>
                <w:szCs w:val="21"/>
              </w:rPr>
              <w:t>条款号</w:t>
            </w:r>
          </w:p>
        </w:tc>
        <w:tc>
          <w:tcPr>
            <w:tcW w:w="2620" w:type="dxa"/>
            <w:gridSpan w:val="2"/>
            <w:tcBorders>
              <w:top w:val="single" w:color="000000" w:sz="12"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b/>
                <w:color w:val="auto"/>
                <w:szCs w:val="21"/>
              </w:rPr>
            </w:pPr>
            <w:r>
              <w:rPr>
                <w:rFonts w:hint="eastAsia" w:ascii="宋体" w:hAnsi="宋体" w:eastAsia="宋体" w:cs="宋体"/>
                <w:b/>
                <w:color w:val="auto"/>
                <w:szCs w:val="21"/>
              </w:rPr>
              <w:t>条 款 名 称</w:t>
            </w:r>
          </w:p>
        </w:tc>
        <w:tc>
          <w:tcPr>
            <w:tcW w:w="6804" w:type="dxa"/>
            <w:tcBorders>
              <w:top w:val="single" w:color="000000" w:sz="12" w:space="0"/>
              <w:left w:val="single" w:color="000000" w:sz="6" w:space="0"/>
              <w:bottom w:val="single" w:color="000000" w:sz="6" w:space="0"/>
              <w:right w:val="single" w:color="000000" w:sz="12" w:space="0"/>
            </w:tcBorders>
            <w:vAlign w:val="center"/>
          </w:tcPr>
          <w:p>
            <w:pPr>
              <w:spacing w:line="360" w:lineRule="exact"/>
              <w:ind w:left="141" w:leftChars="67"/>
              <w:jc w:val="center"/>
              <w:rPr>
                <w:rFonts w:ascii="宋体" w:hAnsi="宋体" w:eastAsia="宋体" w:cs="宋体"/>
                <w:b/>
                <w:color w:val="auto"/>
                <w:szCs w:val="21"/>
              </w:rPr>
            </w:pPr>
            <w:r>
              <w:rPr>
                <w:rFonts w:hint="eastAsia" w:ascii="宋体" w:hAnsi="宋体" w:eastAsia="宋体" w:cs="宋体"/>
                <w:b/>
                <w:color w:val="auto"/>
                <w:szCs w:val="21"/>
              </w:rPr>
              <w:t>编 列 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1.1.2</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发包人</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hint="eastAsia" w:ascii="宋体" w:hAnsi="宋体" w:eastAsia="宋体" w:cs="宋体"/>
                <w:color w:val="auto"/>
                <w:szCs w:val="21"/>
                <w:lang w:eastAsia="zh-CN"/>
              </w:rPr>
            </w:pPr>
            <w:r>
              <w:rPr>
                <w:rFonts w:hint="eastAsia" w:ascii="宋体" w:hAnsi="宋体" w:eastAsia="宋体" w:cs="宋体"/>
                <w:color w:val="auto"/>
                <w:szCs w:val="21"/>
              </w:rPr>
              <w:t>名    称：</w:t>
            </w:r>
            <w:r>
              <w:rPr>
                <w:rFonts w:hint="eastAsia" w:ascii="宋体" w:hAnsi="宋体" w:eastAsia="宋体" w:cs="宋体"/>
                <w:color w:val="auto"/>
                <w:szCs w:val="21"/>
                <w:lang w:eastAsia="zh-CN"/>
              </w:rPr>
              <w:t>三门县人民政府沙柳街道办事处</w:t>
            </w:r>
          </w:p>
          <w:p>
            <w:pPr>
              <w:spacing w:line="360" w:lineRule="exact"/>
              <w:ind w:left="141" w:leftChars="67"/>
              <w:rPr>
                <w:rFonts w:hint="eastAsia" w:ascii="宋体" w:hAnsi="宋体" w:eastAsia="宋体" w:cs="宋体"/>
                <w:color w:val="auto"/>
                <w:szCs w:val="21"/>
              </w:rPr>
            </w:pPr>
            <w:r>
              <w:rPr>
                <w:rFonts w:hint="eastAsia" w:ascii="宋体" w:hAnsi="宋体" w:eastAsia="宋体" w:cs="宋体"/>
                <w:color w:val="auto"/>
                <w:szCs w:val="21"/>
              </w:rPr>
              <w:t>地    址：三门县</w:t>
            </w:r>
          </w:p>
          <w:p>
            <w:pPr>
              <w:spacing w:line="360" w:lineRule="exact"/>
              <w:ind w:left="141" w:leftChars="67"/>
              <w:rPr>
                <w:rFonts w:hint="default" w:ascii="宋体" w:hAnsi="宋体" w:eastAsia="宋体" w:cs="宋体"/>
                <w:color w:val="auto"/>
                <w:szCs w:val="21"/>
                <w:lang w:val="en-US" w:eastAsia="zh-CN"/>
              </w:rPr>
            </w:pPr>
            <w:r>
              <w:rPr>
                <w:rFonts w:hint="eastAsia" w:ascii="宋体" w:hAnsi="宋体" w:eastAsia="宋体" w:cs="宋体"/>
                <w:color w:val="auto"/>
                <w:szCs w:val="21"/>
              </w:rPr>
              <w:t>邮    编：</w:t>
            </w:r>
            <w:r>
              <w:rPr>
                <w:rFonts w:hint="eastAsia" w:ascii="宋体" w:hAnsi="宋体" w:eastAsia="宋体" w:cs="宋体"/>
                <w:color w:val="auto"/>
                <w:szCs w:val="21"/>
                <w:lang w:val="en-US" w:eastAsia="zh-CN"/>
              </w:rPr>
              <w:t>317100</w:t>
            </w:r>
          </w:p>
          <w:p>
            <w:pPr>
              <w:spacing w:line="360" w:lineRule="exact"/>
              <w:ind w:left="141" w:leftChars="67"/>
              <w:rPr>
                <w:rFonts w:hint="eastAsia" w:ascii="宋体" w:hAnsi="宋体" w:eastAsia="宋体" w:cs="宋体"/>
                <w:b/>
                <w:color w:val="auto"/>
                <w:szCs w:val="21"/>
                <w:lang w:eastAsia="zh-CN"/>
              </w:rPr>
            </w:pPr>
            <w:r>
              <w:rPr>
                <w:rFonts w:hint="eastAsia" w:ascii="宋体" w:hAnsi="宋体" w:eastAsia="宋体" w:cs="宋体"/>
                <w:color w:val="auto"/>
                <w:szCs w:val="21"/>
              </w:rPr>
              <w:t>联 系 人：</w:t>
            </w:r>
            <w:r>
              <w:rPr>
                <w:rFonts w:hint="eastAsia" w:ascii="宋体" w:hAnsi="宋体" w:eastAsia="宋体" w:cs="宋体"/>
                <w:color w:val="auto"/>
                <w:szCs w:val="21"/>
                <w:lang w:eastAsia="zh-CN"/>
              </w:rPr>
              <w:t>何其军</w:t>
            </w:r>
            <w:r>
              <w:rPr>
                <w:rFonts w:hint="eastAsia" w:ascii="宋体" w:hAnsi="宋体" w:eastAsia="宋体" w:cs="宋体"/>
                <w:color w:val="auto"/>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1.1.3</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招标代理机构</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hint="eastAsia" w:ascii="宋体" w:hAnsi="宋体" w:eastAsia="宋体" w:cs="宋体"/>
                <w:color w:val="auto"/>
                <w:szCs w:val="21"/>
                <w:lang w:eastAsia="zh-CN"/>
              </w:rPr>
            </w:pPr>
            <w:r>
              <w:rPr>
                <w:rFonts w:hint="eastAsia" w:ascii="宋体" w:hAnsi="宋体" w:eastAsia="宋体" w:cs="宋体"/>
                <w:color w:val="auto"/>
                <w:szCs w:val="21"/>
              </w:rPr>
              <w:t>名    称：</w:t>
            </w:r>
            <w:r>
              <w:rPr>
                <w:rFonts w:hint="eastAsia" w:ascii="宋体" w:hAnsi="宋体" w:eastAsia="宋体" w:cs="宋体"/>
                <w:color w:val="auto"/>
                <w:szCs w:val="21"/>
                <w:lang w:eastAsia="zh-CN"/>
              </w:rPr>
              <w:t>台州景珩建设管理有限公司</w:t>
            </w:r>
          </w:p>
          <w:p>
            <w:pPr>
              <w:spacing w:line="360" w:lineRule="exact"/>
              <w:ind w:left="141" w:leftChars="67"/>
              <w:rPr>
                <w:rFonts w:hint="eastAsia" w:ascii="宋体" w:hAnsi="宋体" w:eastAsia="宋体" w:cs="宋体"/>
                <w:color w:val="auto"/>
                <w:szCs w:val="21"/>
              </w:rPr>
            </w:pPr>
            <w:r>
              <w:rPr>
                <w:rFonts w:hint="eastAsia" w:ascii="宋体" w:hAnsi="宋体" w:eastAsia="宋体" w:cs="宋体"/>
                <w:color w:val="auto"/>
                <w:szCs w:val="21"/>
              </w:rPr>
              <w:t>地    址：三门县海游街道</w:t>
            </w:r>
            <w:r>
              <w:rPr>
                <w:rFonts w:hint="eastAsia" w:ascii="宋体" w:hAnsi="宋体" w:eastAsia="宋体" w:cs="宋体"/>
                <w:color w:val="auto"/>
                <w:szCs w:val="21"/>
                <w:lang w:eastAsia="zh-CN"/>
              </w:rPr>
              <w:t>西区大道</w:t>
            </w:r>
            <w:r>
              <w:rPr>
                <w:rFonts w:hint="eastAsia" w:ascii="宋体" w:hAnsi="宋体" w:eastAsia="宋体" w:cs="宋体"/>
                <w:color w:val="auto"/>
                <w:szCs w:val="21"/>
                <w:lang w:val="en-US" w:eastAsia="zh-CN"/>
              </w:rPr>
              <w:t xml:space="preserve">89号一单元 </w:t>
            </w:r>
            <w:r>
              <w:rPr>
                <w:rFonts w:hint="eastAsia" w:ascii="宋体" w:hAnsi="宋体" w:eastAsia="宋体" w:cs="宋体"/>
                <w:color w:val="auto"/>
                <w:szCs w:val="21"/>
              </w:rPr>
              <w:t>201室</w:t>
            </w:r>
          </w:p>
          <w:p>
            <w:pPr>
              <w:spacing w:line="360" w:lineRule="exact"/>
              <w:ind w:left="141" w:leftChars="67"/>
              <w:rPr>
                <w:rFonts w:hint="eastAsia" w:ascii="宋体" w:hAnsi="宋体" w:eastAsia="宋体" w:cs="宋体"/>
                <w:color w:val="auto"/>
                <w:szCs w:val="21"/>
              </w:rPr>
            </w:pPr>
            <w:r>
              <w:rPr>
                <w:rFonts w:hint="eastAsia" w:ascii="宋体" w:hAnsi="宋体" w:eastAsia="宋体" w:cs="宋体"/>
                <w:color w:val="auto"/>
                <w:szCs w:val="21"/>
              </w:rPr>
              <w:t>联 系 人：</w:t>
            </w:r>
            <w:r>
              <w:rPr>
                <w:rFonts w:hint="eastAsia" w:ascii="宋体" w:hAnsi="宋体" w:eastAsia="宋体" w:cs="宋体"/>
                <w:color w:val="auto"/>
                <w:szCs w:val="21"/>
                <w:lang w:eastAsia="zh-CN"/>
              </w:rPr>
              <w:t>吴春莲</w:t>
            </w:r>
            <w:r>
              <w:rPr>
                <w:rFonts w:hint="eastAsia" w:ascii="宋体" w:hAnsi="宋体" w:eastAsia="宋体" w:cs="宋体"/>
                <w:color w:val="auto"/>
                <w:szCs w:val="21"/>
              </w:rPr>
              <w:t xml:space="preserve">  </w:t>
            </w:r>
          </w:p>
          <w:p>
            <w:pPr>
              <w:spacing w:line="360" w:lineRule="exact"/>
              <w:ind w:left="141" w:leftChars="67"/>
              <w:rPr>
                <w:rFonts w:ascii="宋体" w:hAnsi="宋体" w:eastAsia="宋体" w:cs="宋体"/>
                <w:b/>
                <w:color w:val="auto"/>
                <w:szCs w:val="21"/>
              </w:rPr>
            </w:pPr>
            <w:r>
              <w:rPr>
                <w:rFonts w:hint="eastAsia" w:ascii="宋体" w:hAnsi="宋体" w:eastAsia="宋体" w:cs="宋体"/>
                <w:color w:val="auto"/>
                <w:szCs w:val="21"/>
              </w:rPr>
              <w:t>电    话：</w:t>
            </w:r>
            <w:r>
              <w:rPr>
                <w:rFonts w:hint="eastAsia" w:ascii="宋体" w:hAnsi="宋体" w:eastAsia="宋体" w:cs="宋体"/>
                <w:color w:val="auto"/>
                <w:szCs w:val="21"/>
                <w:lang w:eastAsia="zh-CN"/>
              </w:rPr>
              <w:t>0576-83519809</w:t>
            </w:r>
            <w:r>
              <w:rPr>
                <w:rFonts w:hint="eastAsia" w:ascii="宋体" w:hAnsi="宋体" w:eastAsia="宋体" w:cs="宋体"/>
                <w:color w:val="auto"/>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1.1.4</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项目名称</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bCs/>
                <w:color w:val="auto"/>
                <w:szCs w:val="21"/>
              </w:rPr>
            </w:pPr>
            <w:r>
              <w:rPr>
                <w:rFonts w:hint="eastAsia" w:ascii="宋体" w:hAnsi="宋体" w:eastAsia="宋体" w:cs="宋体"/>
                <w:color w:val="auto"/>
                <w:szCs w:val="21"/>
                <w:lang w:eastAsia="zh-CN"/>
              </w:rPr>
              <w:t>三门县沙柳街道上下线上岙道口提升改造工程</w:t>
            </w:r>
            <w:r>
              <w:rPr>
                <w:rFonts w:hint="eastAsia" w:ascii="宋体" w:hAnsi="宋体" w:eastAsia="宋体" w:cs="宋体"/>
                <w:color w:val="auto"/>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1.1.5</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建设地点</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bCs/>
                <w:color w:val="auto"/>
                <w:szCs w:val="21"/>
              </w:rPr>
            </w:pPr>
            <w:r>
              <w:rPr>
                <w:rFonts w:hint="eastAsia" w:ascii="宋体" w:hAnsi="宋体" w:eastAsia="宋体" w:cs="宋体"/>
                <w:color w:val="auto"/>
                <w:szCs w:val="21"/>
              </w:rPr>
              <w:t>三门县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1.2.1</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资金来源</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hint="eastAsia" w:ascii="宋体" w:hAnsi="宋体" w:eastAsia="宋体" w:cs="宋体"/>
                <w:bCs/>
                <w:color w:val="auto"/>
                <w:szCs w:val="21"/>
                <w:lang w:eastAsia="zh-CN"/>
              </w:rPr>
            </w:pPr>
            <w:r>
              <w:rPr>
                <w:rFonts w:hint="eastAsia" w:ascii="宋体" w:hAnsi="宋体" w:eastAsia="宋体" w:cs="宋体"/>
                <w:color w:val="auto"/>
                <w:szCs w:val="21"/>
                <w:lang w:eastAsia="zh-CN"/>
              </w:rPr>
              <w:t>财政拔款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1.2.2</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出资比例</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hint="default" w:ascii="宋体" w:hAnsi="宋体" w:eastAsia="宋体" w:cs="宋体"/>
                <w:bCs/>
                <w:color w:val="auto"/>
                <w:szCs w:val="21"/>
                <w:lang w:val="en-US"/>
              </w:rPr>
            </w:pPr>
            <w:r>
              <w:rPr>
                <w:rFonts w:hint="eastAsia" w:ascii="宋体" w:hAnsi="宋体" w:eastAsia="宋体" w:cs="宋体"/>
                <w:bCs/>
                <w:color w:val="auto"/>
                <w:szCs w:val="21"/>
                <w:highlight w:val="none"/>
                <w:lang w:val="en-US"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1.2.3</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资金落实情况</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bCs/>
                <w:color w:val="auto"/>
                <w:szCs w:val="21"/>
              </w:rPr>
            </w:pPr>
            <w:r>
              <w:rPr>
                <w:rFonts w:hint="eastAsia" w:ascii="宋体" w:hAnsi="宋体" w:eastAsia="宋体" w:cs="宋体"/>
                <w:bCs/>
                <w:color w:val="auto"/>
                <w:szCs w:val="21"/>
              </w:rPr>
              <w:t>已落实</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1.3.1</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招标范围</w:t>
            </w:r>
          </w:p>
        </w:tc>
        <w:tc>
          <w:tcPr>
            <w:tcW w:w="6804" w:type="dxa"/>
            <w:tcBorders>
              <w:top w:val="single" w:color="000000" w:sz="6" w:space="0"/>
              <w:left w:val="single" w:color="000000" w:sz="6" w:space="0"/>
              <w:bottom w:val="single" w:color="000000" w:sz="6" w:space="0"/>
              <w:right w:val="single" w:color="000000" w:sz="12" w:space="0"/>
            </w:tcBorders>
            <w:vAlign w:val="center"/>
          </w:tcPr>
          <w:p>
            <w:pPr>
              <w:pStyle w:val="5"/>
              <w:widowControl/>
              <w:spacing w:before="0" w:after="0" w:line="360" w:lineRule="exact"/>
              <w:jc w:val="left"/>
              <w:rPr>
                <w:rFonts w:hint="eastAsia" w:ascii="宋体" w:hAnsi="宋体" w:eastAsia="宋体"/>
                <w:b w:val="0"/>
                <w:bCs w:val="0"/>
                <w:color w:val="auto"/>
                <w:sz w:val="21"/>
                <w:szCs w:val="21"/>
                <w:lang w:eastAsia="zh-CN"/>
              </w:rPr>
            </w:pPr>
            <w:r>
              <w:rPr>
                <w:rFonts w:hint="eastAsia" w:ascii="宋体" w:hAnsi="宋体"/>
                <w:b w:val="0"/>
                <w:color w:val="auto"/>
                <w:sz w:val="21"/>
                <w:szCs w:val="21"/>
              </w:rPr>
              <w:t>本工程位于三门县，</w:t>
            </w:r>
            <w:r>
              <w:rPr>
                <w:rFonts w:hint="eastAsia" w:ascii="宋体" w:hAnsi="宋体"/>
                <w:b w:val="0"/>
                <w:color w:val="auto"/>
                <w:sz w:val="21"/>
                <w:szCs w:val="21"/>
                <w:lang w:val="en-US" w:eastAsia="zh-CN"/>
              </w:rPr>
              <w:t>包括设计图范围内的路基、路面、桥梁、安全设施及绿化等工程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1.3.2</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计划工期</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260" w:lineRule="exact"/>
              <w:ind w:left="141" w:leftChars="67"/>
              <w:rPr>
                <w:rFonts w:ascii="宋体" w:hAnsi="宋体" w:eastAsia="宋体" w:cs="宋体"/>
                <w:color w:val="auto"/>
                <w:szCs w:val="21"/>
              </w:rPr>
            </w:pPr>
            <w:r>
              <w:rPr>
                <w:rFonts w:hint="eastAsia" w:ascii="宋体" w:hAnsi="宋体" w:eastAsia="宋体" w:cs="宋体"/>
                <w:color w:val="auto"/>
                <w:szCs w:val="21"/>
              </w:rPr>
              <w:t>计划工期</w:t>
            </w:r>
            <w:r>
              <w:rPr>
                <w:rFonts w:hint="eastAsia" w:ascii="宋体" w:hAnsi="宋体" w:eastAsia="宋体" w:cs="宋体"/>
                <w:color w:val="auto"/>
                <w:szCs w:val="21"/>
                <w:highlight w:val="none"/>
              </w:rPr>
              <w:t>：不超过</w:t>
            </w:r>
            <w:r>
              <w:rPr>
                <w:rFonts w:hint="eastAsia" w:ascii="宋体" w:hAnsi="宋体" w:eastAsia="宋体" w:cs="宋体"/>
                <w:color w:val="auto"/>
                <w:szCs w:val="21"/>
                <w:highlight w:val="none"/>
                <w:lang w:val="en-US" w:eastAsia="zh-CN"/>
              </w:rPr>
              <w:t>60</w:t>
            </w:r>
            <w:r>
              <w:rPr>
                <w:rFonts w:hint="eastAsia" w:ascii="宋体" w:hAnsi="宋体" w:eastAsia="宋体" w:cs="宋体"/>
                <w:color w:val="auto"/>
                <w:szCs w:val="21"/>
                <w:highlight w:val="none"/>
              </w:rPr>
              <w:t>日历天（投标人</w:t>
            </w:r>
            <w:r>
              <w:rPr>
                <w:rFonts w:hint="eastAsia" w:ascii="宋体" w:hAnsi="宋体" w:eastAsia="宋体" w:cs="宋体"/>
                <w:color w:val="auto"/>
                <w:szCs w:val="21"/>
              </w:rPr>
              <w:t>在投标文件中必须明确工期天数）</w:t>
            </w:r>
          </w:p>
          <w:p>
            <w:pPr>
              <w:spacing w:line="360" w:lineRule="exact"/>
              <w:ind w:left="141" w:leftChars="67"/>
              <w:rPr>
                <w:rFonts w:hint="eastAsia" w:ascii="宋体" w:hAnsi="宋体" w:eastAsia="宋体" w:cs="宋体"/>
                <w:color w:val="auto"/>
                <w:szCs w:val="21"/>
              </w:rPr>
            </w:pPr>
            <w:r>
              <w:rPr>
                <w:rFonts w:hint="eastAsia" w:ascii="宋体" w:hAnsi="宋体" w:eastAsia="宋体" w:cs="宋体"/>
                <w:color w:val="auto"/>
                <w:szCs w:val="21"/>
              </w:rPr>
              <w:t>计划开工日期： 以签发开工令为准</w:t>
            </w:r>
          </w:p>
          <w:p>
            <w:pPr>
              <w:spacing w:line="360" w:lineRule="exact"/>
              <w:ind w:left="141" w:leftChars="67"/>
              <w:rPr>
                <w:rFonts w:hint="eastAsia" w:ascii="宋体" w:hAnsi="宋体" w:eastAsia="宋体" w:cs="宋体"/>
                <w:color w:val="auto"/>
                <w:szCs w:val="21"/>
              </w:rPr>
            </w:pPr>
            <w:r>
              <w:rPr>
                <w:rFonts w:hint="eastAsia" w:ascii="宋体" w:hAnsi="宋体" w:eastAsia="宋体" w:cs="宋体"/>
                <w:color w:val="auto"/>
                <w:szCs w:val="21"/>
              </w:rPr>
              <w:t>计划交（竣）工日期：按开工日期推算</w:t>
            </w:r>
          </w:p>
          <w:p>
            <w:pPr>
              <w:spacing w:line="360" w:lineRule="exact"/>
              <w:ind w:left="141" w:leftChars="67"/>
              <w:rPr>
                <w:rFonts w:ascii="宋体" w:hAnsi="宋体" w:eastAsia="宋体" w:cs="宋体"/>
                <w:color w:val="auto"/>
                <w:szCs w:val="21"/>
              </w:rPr>
            </w:pPr>
            <w:r>
              <w:rPr>
                <w:rFonts w:hint="eastAsia" w:ascii="宋体" w:hAnsi="宋体" w:eastAsia="宋体" w:cs="宋体"/>
                <w:color w:val="auto"/>
                <w:szCs w:val="21"/>
              </w:rPr>
              <w:t>缺陷责任期为12个月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1.3.3</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质量要求</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color w:val="auto"/>
                <w:szCs w:val="21"/>
              </w:rPr>
            </w:pPr>
            <w:r>
              <w:rPr>
                <w:rFonts w:hint="eastAsia" w:ascii="宋体" w:hAnsi="宋体" w:eastAsia="宋体" w:cs="宋体"/>
                <w:color w:val="auto"/>
                <w:szCs w:val="21"/>
              </w:rPr>
              <w:t>标段工程交（竣）工验收的质量评定：</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90分</w:t>
            </w:r>
            <w:r>
              <w:rPr>
                <w:rFonts w:hint="eastAsia" w:ascii="宋体" w:hAnsi="宋体" w:eastAsia="宋体" w:cs="宋体"/>
                <w:color w:val="auto"/>
                <w:szCs w:val="21"/>
                <w:u w:val="single"/>
              </w:rPr>
              <w:t>及以上。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1.4.1</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宋体"/>
                <w:color w:val="auto"/>
                <w:szCs w:val="21"/>
              </w:rPr>
            </w:pPr>
            <w:r>
              <w:rPr>
                <w:rFonts w:hint="eastAsia" w:ascii="宋体" w:hAnsi="宋体" w:eastAsia="宋体" w:cs="宋体"/>
                <w:color w:val="auto"/>
                <w:szCs w:val="21"/>
              </w:rPr>
              <w:t>投标人资质条件、能力和信誉</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color w:val="auto"/>
                <w:szCs w:val="21"/>
              </w:rPr>
            </w:pPr>
            <w:r>
              <w:rPr>
                <w:rFonts w:hint="eastAsia" w:ascii="宋体" w:hAnsi="宋体" w:eastAsia="宋体" w:cs="宋体"/>
                <w:color w:val="auto"/>
                <w:szCs w:val="21"/>
              </w:rPr>
              <w:t>资质条件：见附录1</w:t>
            </w:r>
          </w:p>
          <w:p>
            <w:pPr>
              <w:spacing w:line="360" w:lineRule="exact"/>
              <w:ind w:left="141" w:leftChars="67"/>
              <w:rPr>
                <w:rFonts w:hint="eastAsia" w:ascii="宋体" w:hAnsi="宋体" w:eastAsia="宋体" w:cs="宋体"/>
                <w:color w:val="auto"/>
                <w:szCs w:val="21"/>
              </w:rPr>
            </w:pPr>
            <w:r>
              <w:rPr>
                <w:rFonts w:hint="eastAsia" w:ascii="宋体" w:hAnsi="宋体" w:eastAsia="宋体" w:cs="宋体"/>
                <w:color w:val="auto"/>
                <w:szCs w:val="21"/>
              </w:rPr>
              <w:t>财务要求：见附录2</w:t>
            </w:r>
          </w:p>
          <w:p>
            <w:pPr>
              <w:spacing w:line="360" w:lineRule="exact"/>
              <w:ind w:left="141" w:leftChars="67"/>
              <w:rPr>
                <w:rFonts w:hint="eastAsia" w:ascii="宋体" w:hAnsi="宋体" w:eastAsia="宋体" w:cs="宋体"/>
                <w:color w:val="auto"/>
                <w:szCs w:val="21"/>
              </w:rPr>
            </w:pPr>
            <w:r>
              <w:rPr>
                <w:rFonts w:hint="eastAsia" w:ascii="宋体" w:hAnsi="宋体" w:eastAsia="宋体" w:cs="宋体"/>
                <w:color w:val="auto"/>
                <w:szCs w:val="21"/>
              </w:rPr>
              <w:t>业绩要求：见附录3</w:t>
            </w:r>
          </w:p>
          <w:p>
            <w:pPr>
              <w:spacing w:line="360" w:lineRule="exact"/>
              <w:ind w:left="141" w:leftChars="67"/>
              <w:rPr>
                <w:rFonts w:hint="eastAsia" w:ascii="宋体" w:hAnsi="宋体" w:eastAsia="宋体" w:cs="宋体"/>
                <w:color w:val="auto"/>
                <w:szCs w:val="21"/>
              </w:rPr>
            </w:pPr>
            <w:r>
              <w:rPr>
                <w:rFonts w:hint="eastAsia" w:ascii="宋体" w:hAnsi="宋体" w:eastAsia="宋体" w:cs="宋体"/>
                <w:color w:val="auto"/>
                <w:szCs w:val="21"/>
              </w:rPr>
              <w:t>信誉要求：见附录4</w:t>
            </w:r>
          </w:p>
          <w:p>
            <w:pPr>
              <w:spacing w:line="360" w:lineRule="exact"/>
              <w:ind w:left="141" w:leftChars="67"/>
              <w:rPr>
                <w:rFonts w:hint="eastAsia" w:ascii="宋体" w:hAnsi="宋体" w:eastAsia="宋体" w:cs="宋体"/>
                <w:color w:val="auto"/>
                <w:szCs w:val="21"/>
              </w:rPr>
            </w:pPr>
            <w:r>
              <w:rPr>
                <w:rFonts w:hint="eastAsia" w:ascii="宋体" w:hAnsi="宋体" w:eastAsia="宋体" w:cs="宋体"/>
                <w:color w:val="auto"/>
                <w:szCs w:val="21"/>
              </w:rPr>
              <w:t>项目经理和项目总工资格：见附录5</w:t>
            </w:r>
          </w:p>
          <w:p>
            <w:pPr>
              <w:spacing w:line="360" w:lineRule="exact"/>
              <w:ind w:left="141" w:leftChars="67"/>
              <w:rPr>
                <w:rFonts w:ascii="宋体" w:hAnsi="宋体" w:eastAsia="宋体" w:cs="宋体"/>
                <w:color w:val="auto"/>
                <w:szCs w:val="21"/>
              </w:rPr>
            </w:pPr>
            <w:r>
              <w:rPr>
                <w:rFonts w:hint="eastAsia" w:ascii="宋体" w:hAnsi="宋体" w:eastAsia="宋体" w:cs="宋体"/>
                <w:color w:val="auto"/>
                <w:szCs w:val="21"/>
              </w:rPr>
              <w:t>其他要求：无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1.4.2</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宋体" w:hAnsi="宋体" w:eastAsia="宋体" w:cs="宋体"/>
                <w:color w:val="auto"/>
                <w:szCs w:val="21"/>
              </w:rPr>
            </w:pPr>
            <w:r>
              <w:rPr>
                <w:rFonts w:hint="eastAsia" w:ascii="宋体" w:hAnsi="宋体" w:eastAsia="宋体" w:cs="宋体"/>
                <w:color w:val="auto"/>
                <w:szCs w:val="21"/>
              </w:rPr>
              <w:t>是否接受联合体投标</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color w:val="auto"/>
                <w:szCs w:val="21"/>
              </w:rPr>
            </w:pPr>
            <w:r>
              <w:rPr>
                <w:rFonts w:hint="eastAsia" w:ascii="宋体" w:hAnsi="宋体" w:eastAsia="宋体" w:cs="宋体"/>
                <w:color w:val="auto"/>
                <w:szCs w:val="21"/>
              </w:rPr>
              <w:t>不接受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1.9.1</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踏勘现场</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color w:val="auto"/>
                <w:szCs w:val="21"/>
              </w:rPr>
            </w:pPr>
            <w:r>
              <w:rPr>
                <w:rFonts w:hint="eastAsia" w:ascii="宋体" w:hAnsi="宋体" w:eastAsia="宋体" w:cs="宋体"/>
                <w:color w:val="auto"/>
                <w:szCs w:val="21"/>
              </w:rPr>
              <w:t>不组织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1.10.1</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投标预备会</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color w:val="auto"/>
                <w:szCs w:val="21"/>
              </w:rPr>
            </w:pPr>
            <w:r>
              <w:rPr>
                <w:rFonts w:hint="eastAsia" w:ascii="宋体" w:hAnsi="宋体" w:eastAsia="宋体" w:cs="宋体"/>
                <w:color w:val="auto"/>
                <w:szCs w:val="21"/>
              </w:rPr>
              <w:t>不召开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1.10.2</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投标人提出问题的截止时间</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color w:val="auto"/>
                <w:szCs w:val="21"/>
              </w:rPr>
            </w:pPr>
            <w:r>
              <w:rPr>
                <w:rFonts w:hint="eastAsia" w:ascii="宋体" w:hAnsi="宋体" w:eastAsia="宋体" w:cs="宋体"/>
                <w:color w:val="auto"/>
                <w:szCs w:val="21"/>
              </w:rPr>
              <w:t>（投标人对招标文件要求澄清的，应在递交投标文件截止之日3天前（以收到日期为准）提出，对招标文件有异议的，应当在投标截止时间3日前（以收到日期为准）提出。）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1.10.3</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发包人书面澄清的时间</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color w:val="auto"/>
                <w:szCs w:val="21"/>
              </w:rPr>
            </w:pPr>
            <w:r>
              <w:rPr>
                <w:rFonts w:hint="eastAsia" w:ascii="宋体" w:hAnsi="宋体" w:eastAsia="宋体" w:cs="宋体"/>
                <w:color w:val="auto"/>
                <w:szCs w:val="21"/>
              </w:rPr>
              <w:t>递交投标文件截止之日2日前（以发出日期为准）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1.11</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分包</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rPr>
                <w:rFonts w:ascii="宋体" w:hAnsi="宋体" w:eastAsia="宋体" w:cs="宋体"/>
                <w:color w:val="auto"/>
                <w:szCs w:val="21"/>
              </w:rPr>
            </w:pPr>
            <w:r>
              <w:rPr>
                <w:rFonts w:ascii="宋体" w:hAnsi="宋体" w:eastAsia="宋体" w:cs="宋体"/>
                <w:color w:val="auto"/>
                <w:szCs w:val="21"/>
              </w:rPr>
              <w:sym w:font="Wingdings" w:char="F0FE"/>
            </w:r>
            <w:r>
              <w:rPr>
                <w:rFonts w:hint="eastAsia" w:ascii="宋体" w:hAnsi="宋体" w:eastAsia="宋体" w:cs="宋体"/>
                <w:color w:val="auto"/>
                <w:szCs w:val="21"/>
              </w:rPr>
              <w:t>不允许</w:t>
            </w:r>
          </w:p>
          <w:p>
            <w:pPr>
              <w:spacing w:line="400" w:lineRule="exact"/>
              <w:rPr>
                <w:rFonts w:ascii="宋体" w:hAnsi="宋体" w:eastAsia="宋体" w:cs="宋体"/>
                <w:color w:val="auto"/>
                <w:szCs w:val="21"/>
              </w:rPr>
            </w:pPr>
            <w:r>
              <w:rPr>
                <w:rFonts w:ascii="宋体" w:hAnsi="宋体" w:eastAsia="宋体" w:cs="宋体"/>
                <w:color w:val="auto"/>
                <w:szCs w:val="21"/>
              </w:rPr>
              <w:sym w:font="Wingdings 2" w:char="F0A3"/>
            </w:r>
            <w:r>
              <w:rPr>
                <w:rFonts w:hint="eastAsia" w:ascii="宋体" w:hAnsi="宋体" w:eastAsia="宋体" w:cs="宋体"/>
                <w:color w:val="auto"/>
                <w:szCs w:val="21"/>
              </w:rPr>
              <w:t>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1.12</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偏离</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rPr>
                <w:rFonts w:ascii="宋体" w:hAnsi="宋体" w:eastAsia="宋体" w:cs="宋体"/>
                <w:color w:val="auto"/>
                <w:szCs w:val="21"/>
              </w:rPr>
            </w:pPr>
            <w:r>
              <w:rPr>
                <w:rFonts w:hint="eastAsia" w:ascii="宋体" w:hAnsi="宋体" w:eastAsia="宋体" w:cs="宋体"/>
                <w:color w:val="auto"/>
                <w:szCs w:val="21"/>
              </w:rPr>
              <w:t xml:space="preserve"> 允许细微偏差，不允许重大偏差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2.1</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招标文件组成</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color w:val="auto"/>
                <w:szCs w:val="21"/>
              </w:rPr>
            </w:pPr>
            <w:r>
              <w:rPr>
                <w:rFonts w:hint="eastAsia" w:ascii="宋体" w:hAnsi="宋体" w:eastAsia="宋体" w:cs="宋体"/>
                <w:color w:val="auto"/>
                <w:szCs w:val="21"/>
                <w:highlight w:val="none"/>
              </w:rPr>
              <w:t>原文中“以最后发出的书面文件为准”修改为：“以网上下载电子版为准；当招标文件、补遗书（补充、澄清、修改文件）在同一内容的表述上不一致时，以在三门县公共资源交易网最后发出的电子文件为准”。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2.2.</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招标文件的澄清、补充、修改的时间</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color w:val="auto"/>
                <w:szCs w:val="21"/>
              </w:rPr>
            </w:pPr>
            <w:r>
              <w:rPr>
                <w:rFonts w:hint="eastAsia" w:ascii="宋体" w:hAnsi="宋体" w:eastAsia="宋体" w:cs="宋体"/>
                <w:color w:val="auto"/>
                <w:szCs w:val="21"/>
              </w:rPr>
              <w:t>澄清、补充、修改的内容影响投标文件编制的，招标人将在投标截止时间2 日前，以电子文件形式上传“三门县公共资源交易网”供潜在投标人自己下载，不足2 天的，招标人将顺延递交投标文件的截止时间。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2.2.2</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投标截止时间</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97" w:leftChars="46"/>
              <w:rPr>
                <w:rFonts w:hint="eastAsia" w:ascii="宋体" w:hAnsi="宋体" w:eastAsia="宋体" w:cs="宋体"/>
                <w:color w:val="auto"/>
                <w:szCs w:val="21"/>
                <w:lang w:eastAsia="zh-CN"/>
              </w:rPr>
            </w:pPr>
            <w:r>
              <w:rPr>
                <w:rFonts w:hint="eastAsia" w:ascii="宋体" w:hAnsi="宋体" w:eastAsia="宋体" w:cs="宋体"/>
                <w:color w:val="auto"/>
                <w:szCs w:val="21"/>
              </w:rPr>
              <w:t>详见</w:t>
            </w:r>
            <w:r>
              <w:rPr>
                <w:rFonts w:hint="eastAsia" w:ascii="宋体" w:hAnsi="宋体" w:eastAsia="宋体" w:cs="宋体"/>
                <w:color w:val="auto"/>
                <w:szCs w:val="21"/>
                <w:lang w:eastAsia="zh-CN"/>
              </w:rPr>
              <w:t>招标公告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821" w:type="dxa"/>
            <w:vMerge w:val="restart"/>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2.3</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下载澄清、修改、补充文件网址</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97" w:leftChars="46"/>
              <w:rPr>
                <w:rFonts w:hint="eastAsia" w:ascii="宋体" w:hAnsi="宋体" w:eastAsia="宋体" w:cs="宋体"/>
                <w:color w:val="auto"/>
                <w:szCs w:val="21"/>
                <w:lang w:eastAsia="zh-CN"/>
              </w:rPr>
            </w:pPr>
            <w:r>
              <w:rPr>
                <w:rFonts w:hint="eastAsia" w:ascii="宋体" w:hAnsi="宋体" w:eastAsia="宋体" w:cs="宋体"/>
                <w:color w:val="auto"/>
                <w:szCs w:val="21"/>
              </w:rPr>
              <w:t>三门县公共资源交易网</w:t>
            </w:r>
            <w:r>
              <w:rPr>
                <w:rFonts w:hint="eastAsia" w:ascii="宋体" w:hAnsi="宋体" w:eastAsia="宋体" w:cs="宋体"/>
                <w:color w:val="auto"/>
                <w:szCs w:val="21"/>
                <w:lang w:eastAsia="zh-CN"/>
              </w:rPr>
              <w:t>http://jyzx.sanmen.gov.cn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17" w:hRule="atLeast"/>
          <w:jc w:val="center"/>
        </w:trPr>
        <w:tc>
          <w:tcPr>
            <w:tcW w:w="821" w:type="dxa"/>
            <w:vMerge w:val="continue"/>
            <w:tcBorders>
              <w:top w:val="single" w:color="000000" w:sz="6" w:space="0"/>
              <w:left w:val="single" w:color="000000" w:sz="12" w:space="0"/>
              <w:bottom w:val="single" w:color="000000" w:sz="6" w:space="0"/>
              <w:right w:val="single" w:color="000000" w:sz="6" w:space="0"/>
            </w:tcBorders>
            <w:vAlign w:val="center"/>
          </w:tcPr>
          <w:p>
            <w:pPr>
              <w:widowControl/>
              <w:jc w:val="left"/>
              <w:rPr>
                <w:rFonts w:ascii="宋体" w:hAnsi="宋体" w:eastAsia="宋体" w:cs="宋体"/>
                <w:color w:val="auto"/>
                <w:szCs w:val="21"/>
              </w:rPr>
            </w:pP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投标人确认收到招标文件澄清、修改的时间</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97" w:leftChars="46"/>
              <w:rPr>
                <w:rFonts w:ascii="宋体" w:hAnsi="宋体" w:eastAsia="宋体" w:cs="宋体"/>
                <w:color w:val="auto"/>
                <w:szCs w:val="21"/>
              </w:rPr>
            </w:pPr>
            <w:r>
              <w:rPr>
                <w:rFonts w:hint="eastAsia" w:ascii="宋体" w:hAnsi="宋体" w:eastAsia="宋体" w:cs="宋体"/>
                <w:color w:val="auto"/>
                <w:szCs w:val="21"/>
              </w:rPr>
              <w:t>无需确认。潜在投标人应自行</w:t>
            </w:r>
            <w:r>
              <w:rPr>
                <w:rFonts w:hint="eastAsia" w:ascii="宋体" w:hAnsi="宋体" w:eastAsia="宋体" w:cs="宋体"/>
                <w:color w:val="auto"/>
                <w:szCs w:val="21"/>
                <w:highlight w:val="none"/>
              </w:rPr>
              <w:t>关注网站公告，招标人</w:t>
            </w:r>
            <w:r>
              <w:rPr>
                <w:rFonts w:hint="eastAsia" w:ascii="宋体" w:hAnsi="宋体" w:eastAsia="宋体" w:cs="宋体"/>
                <w:color w:val="auto"/>
                <w:szCs w:val="21"/>
              </w:rPr>
              <w:t>不再一一通知。投标人因自身贻误行为导致投标失败的，责任自负。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3.1.1</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构成投标文件的其他材料</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97" w:leftChars="46"/>
              <w:rPr>
                <w:rFonts w:ascii="宋体" w:hAnsi="宋体" w:eastAsia="宋体" w:cs="宋体"/>
                <w:color w:val="auto"/>
                <w:szCs w:val="21"/>
              </w:rPr>
            </w:pPr>
            <w:r>
              <w:rPr>
                <w:rFonts w:hint="eastAsia" w:ascii="宋体" w:hAnsi="宋体" w:eastAsia="宋体" w:cs="宋体"/>
                <w:color w:val="auto"/>
                <w:szCs w:val="21"/>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3.2.1</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工程量清单的填写方式</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97" w:leftChars="46"/>
              <w:rPr>
                <w:rFonts w:ascii="宋体" w:hAnsi="宋体" w:eastAsia="宋体" w:cs="宋体"/>
                <w:color w:val="auto"/>
                <w:szCs w:val="21"/>
              </w:rPr>
            </w:pPr>
            <w:r>
              <w:rPr>
                <w:rFonts w:hint="eastAsia" w:ascii="宋体" w:hAnsi="宋体" w:eastAsia="宋体" w:cs="宋体"/>
                <w:color w:val="auto"/>
                <w:szCs w:val="21"/>
              </w:rPr>
              <w:t>投标人按照有效报价范围内（10%～15%）填写投标报价。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3.2.5</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是否接受调价函</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97" w:leftChars="46"/>
              <w:rPr>
                <w:rFonts w:ascii="宋体" w:hAnsi="宋体" w:eastAsia="宋体" w:cs="宋体"/>
                <w:color w:val="auto"/>
                <w:szCs w:val="21"/>
              </w:rPr>
            </w:pPr>
            <w:r>
              <w:rPr>
                <w:rFonts w:hint="eastAsia" w:ascii="宋体" w:hAnsi="宋体" w:eastAsia="宋体" w:cs="宋体"/>
                <w:color w:val="auto"/>
                <w:szCs w:val="21"/>
              </w:rPr>
              <w:t>不接受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3.3.1</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投标有效期</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97" w:leftChars="46"/>
              <w:rPr>
                <w:rFonts w:ascii="宋体" w:hAnsi="宋体" w:eastAsia="宋体" w:cs="宋体"/>
                <w:color w:val="auto"/>
                <w:szCs w:val="21"/>
              </w:rPr>
            </w:pPr>
            <w:r>
              <w:rPr>
                <w:rFonts w:hint="eastAsia" w:ascii="宋体" w:hAnsi="宋体" w:eastAsia="宋体" w:cs="宋体"/>
                <w:color w:val="auto"/>
                <w:szCs w:val="21"/>
              </w:rPr>
              <w:t>自投标人提交投标文件截止之日起计算90天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017"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3.4.1</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投标保证金</w:t>
            </w:r>
          </w:p>
        </w:tc>
        <w:tc>
          <w:tcPr>
            <w:tcW w:w="6804" w:type="dxa"/>
            <w:tcBorders>
              <w:top w:val="single" w:color="000000" w:sz="6" w:space="0"/>
              <w:left w:val="single" w:color="000000" w:sz="6" w:space="0"/>
              <w:bottom w:val="single" w:color="000000" w:sz="6" w:space="0"/>
              <w:right w:val="single" w:color="000000" w:sz="12" w:space="0"/>
            </w:tcBorders>
            <w:vAlign w:val="center"/>
          </w:tcPr>
          <w:p>
            <w:pPr>
              <w:pStyle w:val="6"/>
              <w:keepNext w:val="0"/>
              <w:keepLines w:val="0"/>
              <w:pageBreakBefore w:val="0"/>
              <w:kinsoku/>
              <w:wordWrap/>
              <w:overflowPunct/>
              <w:topLinePunct w:val="0"/>
              <w:bidi w:val="0"/>
              <w:adjustRightInd w:val="0"/>
              <w:snapToGrid/>
              <w:spacing w:line="260" w:lineRule="exact"/>
              <w:ind w:left="0" w:leftChars="0" w:firstLine="210" w:firstLineChars="100"/>
              <w:textAlignment w:val="auto"/>
              <w:rPr>
                <w:color w:val="auto"/>
              </w:rPr>
            </w:pPr>
            <w:r>
              <w:rPr>
                <w:color w:val="auto"/>
              </w:rPr>
              <w:t>1、担保金额：</w:t>
            </w:r>
            <w:r>
              <w:rPr>
                <w:rFonts w:hint="eastAsia"/>
                <w:color w:val="auto"/>
              </w:rPr>
              <w:t xml:space="preserve">不低于 </w:t>
            </w:r>
            <w:r>
              <w:rPr>
                <w:rFonts w:hint="eastAsia"/>
                <w:color w:val="auto"/>
                <w:lang w:val="en-US" w:eastAsia="zh-CN"/>
              </w:rPr>
              <w:t>1</w:t>
            </w:r>
            <w:r>
              <w:rPr>
                <w:rFonts w:hint="eastAsia"/>
                <w:color w:val="auto"/>
              </w:rPr>
              <w:t xml:space="preserve"> </w:t>
            </w:r>
            <w:r>
              <w:rPr>
                <w:color w:val="auto"/>
              </w:rPr>
              <w:t>万元。</w:t>
            </w:r>
          </w:p>
          <w:p>
            <w:pPr>
              <w:keepNext w:val="0"/>
              <w:keepLines w:val="0"/>
              <w:pageBreakBefore w:val="0"/>
              <w:kinsoku/>
              <w:wordWrap/>
              <w:overflowPunct/>
              <w:topLinePunct w:val="0"/>
              <w:bidi w:val="0"/>
              <w:snapToGrid/>
              <w:spacing w:line="260" w:lineRule="exact"/>
              <w:ind w:left="0" w:leftChars="0" w:firstLine="210" w:firstLineChars="100"/>
              <w:textAlignment w:val="auto"/>
              <w:rPr>
                <w:color w:val="auto"/>
              </w:rPr>
            </w:pPr>
            <w:r>
              <w:rPr>
                <w:color w:val="auto"/>
              </w:rPr>
              <w:t>2、投标保证金缴纳方式：</w:t>
            </w:r>
            <w:r>
              <w:rPr>
                <w:rFonts w:hint="eastAsia"/>
                <w:color w:val="auto"/>
              </w:rPr>
              <w:t>现金或工程保函（银行保函、保险机构保证保险保单）。</w:t>
            </w:r>
          </w:p>
          <w:p>
            <w:pPr>
              <w:keepNext w:val="0"/>
              <w:keepLines w:val="0"/>
              <w:pageBreakBefore w:val="0"/>
              <w:kinsoku/>
              <w:wordWrap/>
              <w:overflowPunct/>
              <w:topLinePunct w:val="0"/>
              <w:bidi w:val="0"/>
              <w:snapToGrid/>
              <w:spacing w:line="260" w:lineRule="exact"/>
              <w:ind w:left="0" w:leftChars="0" w:firstLine="210" w:firstLineChars="100"/>
              <w:textAlignment w:val="auto"/>
              <w:rPr>
                <w:color w:val="auto"/>
              </w:rPr>
            </w:pPr>
            <w:r>
              <w:rPr>
                <w:rFonts w:hint="eastAsia"/>
                <w:color w:val="auto"/>
              </w:rPr>
              <w:t>3、采用保函方式：</w:t>
            </w:r>
          </w:p>
          <w:p>
            <w:pPr>
              <w:keepNext w:val="0"/>
              <w:keepLines w:val="0"/>
              <w:pageBreakBefore w:val="0"/>
              <w:kinsoku/>
              <w:wordWrap/>
              <w:overflowPunct/>
              <w:topLinePunct w:val="0"/>
              <w:bidi w:val="0"/>
              <w:snapToGrid/>
              <w:spacing w:line="260" w:lineRule="exact"/>
              <w:ind w:left="0" w:leftChars="0" w:firstLine="420" w:firstLineChars="200"/>
              <w:textAlignment w:val="auto"/>
              <w:rPr>
                <w:color w:val="auto"/>
              </w:rPr>
            </w:pPr>
            <w:r>
              <w:rPr>
                <w:rFonts w:hint="eastAsia"/>
                <w:color w:val="auto"/>
              </w:rPr>
              <w:t>3.1投标保函应当是银行业金融机构、保险机构开立的无条件的、不可撤销的独立保函或保证保险保单，投标人和担保人应对出具的保函的真实性、合法性、有效性负责。使用保函的须在投标文件中附针对本项目投标保函</w:t>
            </w:r>
            <w:r>
              <w:rPr>
                <w:color w:val="auto"/>
              </w:rPr>
              <w:t>扫描件或复印件</w:t>
            </w:r>
            <w:r>
              <w:rPr>
                <w:rFonts w:hint="eastAsia"/>
                <w:color w:val="auto"/>
              </w:rPr>
              <w:t>。保函格式投标人自拟，必须明确以下内容：</w:t>
            </w:r>
          </w:p>
          <w:p>
            <w:pPr>
              <w:keepNext w:val="0"/>
              <w:keepLines w:val="0"/>
              <w:pageBreakBefore w:val="0"/>
              <w:kinsoku/>
              <w:wordWrap/>
              <w:overflowPunct/>
              <w:topLinePunct w:val="0"/>
              <w:bidi w:val="0"/>
              <w:snapToGrid/>
              <w:spacing w:line="260" w:lineRule="exact"/>
              <w:ind w:left="0" w:leftChars="0" w:firstLine="630" w:firstLineChars="300"/>
              <w:textAlignment w:val="auto"/>
              <w:rPr>
                <w:color w:val="auto"/>
              </w:rPr>
            </w:pPr>
            <w:r>
              <w:rPr>
                <w:rFonts w:hint="eastAsia"/>
                <w:color w:val="auto"/>
              </w:rPr>
              <w:t>3.1.1保函开具受益人为本项目招标人；</w:t>
            </w:r>
          </w:p>
          <w:p>
            <w:pPr>
              <w:keepNext w:val="0"/>
              <w:keepLines w:val="0"/>
              <w:pageBreakBefore w:val="0"/>
              <w:kinsoku/>
              <w:wordWrap/>
              <w:overflowPunct/>
              <w:topLinePunct w:val="0"/>
              <w:bidi w:val="0"/>
              <w:snapToGrid/>
              <w:spacing w:line="260" w:lineRule="exact"/>
              <w:ind w:left="0" w:leftChars="0" w:firstLine="630" w:firstLineChars="300"/>
              <w:textAlignment w:val="auto"/>
              <w:rPr>
                <w:color w:val="auto"/>
              </w:rPr>
            </w:pPr>
            <w:r>
              <w:rPr>
                <w:rFonts w:hint="eastAsia"/>
                <w:color w:val="auto"/>
              </w:rPr>
              <w:t>3.1.2保函有效期不少于本项目投标有效期，保函有效期应从投标截止日期起算。</w:t>
            </w:r>
          </w:p>
          <w:p>
            <w:pPr>
              <w:keepNext w:val="0"/>
              <w:keepLines w:val="0"/>
              <w:pageBreakBefore w:val="0"/>
              <w:kinsoku/>
              <w:wordWrap/>
              <w:overflowPunct/>
              <w:topLinePunct w:val="0"/>
              <w:bidi w:val="0"/>
              <w:snapToGrid/>
              <w:spacing w:line="260" w:lineRule="exact"/>
              <w:ind w:left="0" w:leftChars="0" w:firstLine="210" w:firstLineChars="100"/>
              <w:textAlignment w:val="auto"/>
              <w:rPr>
                <w:color w:val="auto"/>
              </w:rPr>
            </w:pPr>
            <w:r>
              <w:rPr>
                <w:rFonts w:hint="eastAsia"/>
                <w:color w:val="auto"/>
              </w:rPr>
              <w:t>4、采用现金方式：</w:t>
            </w:r>
          </w:p>
          <w:p>
            <w:pPr>
              <w:keepNext w:val="0"/>
              <w:keepLines w:val="0"/>
              <w:pageBreakBefore w:val="0"/>
              <w:kinsoku/>
              <w:wordWrap/>
              <w:overflowPunct/>
              <w:topLinePunct w:val="0"/>
              <w:bidi w:val="0"/>
              <w:snapToGrid/>
              <w:spacing w:line="260" w:lineRule="exact"/>
              <w:ind w:left="0" w:leftChars="0" w:firstLine="420" w:firstLineChars="200"/>
              <w:textAlignment w:val="auto"/>
              <w:rPr>
                <w:color w:val="auto"/>
              </w:rPr>
            </w:pPr>
            <w:r>
              <w:rPr>
                <w:rFonts w:hint="eastAsia"/>
                <w:color w:val="auto"/>
              </w:rPr>
              <w:t>4.1</w:t>
            </w:r>
            <w:r>
              <w:rPr>
                <w:color w:val="auto"/>
              </w:rPr>
              <w:t>电汇或</w:t>
            </w:r>
            <w:r>
              <w:rPr>
                <w:rFonts w:hint="eastAsia"/>
                <w:color w:val="auto"/>
              </w:rPr>
              <w:t>网银</w:t>
            </w:r>
            <w:r>
              <w:rPr>
                <w:color w:val="auto"/>
              </w:rPr>
              <w:t>转账（请不要使用“支付宝”等第三方支付平台），并通过“三门县工程建设电子交易平台”取得相应的银行账号后支付，具体详见</w:t>
            </w:r>
            <w:r>
              <w:rPr>
                <w:rFonts w:hint="eastAsia"/>
                <w:color w:val="auto"/>
              </w:rPr>
              <w:t>三门县</w:t>
            </w:r>
            <w:r>
              <w:rPr>
                <w:color w:val="auto"/>
              </w:rPr>
              <w:t>公共资源交易</w:t>
            </w:r>
            <w:r>
              <w:rPr>
                <w:rFonts w:hint="eastAsia"/>
                <w:color w:val="auto"/>
              </w:rPr>
              <w:t>中心</w:t>
            </w:r>
            <w:r>
              <w:rPr>
                <w:color w:val="auto"/>
              </w:rPr>
              <w:t>网</w:t>
            </w:r>
            <w:r>
              <w:rPr>
                <w:rFonts w:hint="eastAsia"/>
                <w:color w:val="auto"/>
              </w:rPr>
              <w:t>站</w:t>
            </w:r>
            <w:r>
              <w:rPr>
                <w:color w:val="auto"/>
              </w:rPr>
              <w:t>“办事指南”栏目“三门县投标保证金（虚拟账户）缴纳操作说明”。</w:t>
            </w:r>
          </w:p>
          <w:p>
            <w:pPr>
              <w:keepNext w:val="0"/>
              <w:keepLines w:val="0"/>
              <w:pageBreakBefore w:val="0"/>
              <w:kinsoku/>
              <w:wordWrap/>
              <w:overflowPunct/>
              <w:topLinePunct w:val="0"/>
              <w:bidi w:val="0"/>
              <w:snapToGrid/>
              <w:spacing w:line="260" w:lineRule="exact"/>
              <w:ind w:left="0" w:leftChars="0" w:firstLine="420" w:firstLineChars="200"/>
              <w:textAlignment w:val="auto"/>
              <w:rPr>
                <w:color w:val="auto"/>
              </w:rPr>
            </w:pPr>
            <w:r>
              <w:rPr>
                <w:rFonts w:hint="eastAsia"/>
                <w:color w:val="auto"/>
              </w:rPr>
              <w:t>4.2</w:t>
            </w:r>
            <w:r>
              <w:rPr>
                <w:color w:val="auto"/>
              </w:rPr>
              <w:t>投标保证金缴纳必须使用“三门县工程建设电子交易平台”，并在投标文件提交截止时间前到账（因各银行系统到账时间不同，请尽量提前缴纳）。</w:t>
            </w:r>
          </w:p>
          <w:p>
            <w:pPr>
              <w:keepNext w:val="0"/>
              <w:keepLines w:val="0"/>
              <w:pageBreakBefore w:val="0"/>
              <w:kinsoku/>
              <w:wordWrap/>
              <w:overflowPunct/>
              <w:topLinePunct w:val="0"/>
              <w:bidi w:val="0"/>
              <w:snapToGrid/>
              <w:spacing w:line="260" w:lineRule="exact"/>
              <w:ind w:left="0" w:leftChars="0" w:firstLine="420" w:firstLineChars="200"/>
              <w:textAlignment w:val="auto"/>
              <w:rPr>
                <w:color w:val="auto"/>
              </w:rPr>
            </w:pPr>
            <w:r>
              <w:rPr>
                <w:rFonts w:hint="eastAsia"/>
                <w:color w:val="auto"/>
              </w:rPr>
              <w:t>4.3</w:t>
            </w:r>
            <w:r>
              <w:rPr>
                <w:color w:val="auto"/>
              </w:rPr>
              <w:t>投标单位汇出账号必须是“三门县工程建设电子交易平台”中备案的银行基本账户账号。</w:t>
            </w:r>
          </w:p>
          <w:p>
            <w:pPr>
              <w:keepNext w:val="0"/>
              <w:keepLines w:val="0"/>
              <w:pageBreakBefore w:val="0"/>
              <w:kinsoku/>
              <w:wordWrap/>
              <w:overflowPunct/>
              <w:topLinePunct w:val="0"/>
              <w:bidi w:val="0"/>
              <w:snapToGrid/>
              <w:spacing w:line="260" w:lineRule="exact"/>
              <w:ind w:left="0" w:leftChars="0" w:firstLine="420" w:firstLineChars="200"/>
              <w:textAlignment w:val="auto"/>
              <w:rPr>
                <w:color w:val="auto"/>
              </w:rPr>
            </w:pPr>
            <w:r>
              <w:rPr>
                <w:rFonts w:hint="eastAsia"/>
                <w:color w:val="auto"/>
              </w:rPr>
              <w:t>4.4</w:t>
            </w:r>
            <w:r>
              <w:rPr>
                <w:color w:val="auto"/>
              </w:rPr>
              <w:t>温馨提醒：</w:t>
            </w:r>
          </w:p>
          <w:p>
            <w:pPr>
              <w:keepNext w:val="0"/>
              <w:keepLines w:val="0"/>
              <w:pageBreakBefore w:val="0"/>
              <w:kinsoku/>
              <w:wordWrap/>
              <w:overflowPunct/>
              <w:topLinePunct w:val="0"/>
              <w:bidi w:val="0"/>
              <w:snapToGrid/>
              <w:spacing w:line="260" w:lineRule="exact"/>
              <w:ind w:left="0" w:leftChars="0" w:firstLine="420" w:firstLineChars="200"/>
              <w:textAlignment w:val="auto"/>
              <w:rPr>
                <w:color w:val="auto"/>
              </w:rPr>
            </w:pPr>
            <w:r>
              <w:rPr>
                <w:color w:val="auto"/>
              </w:rPr>
              <w:t>（1）账号根据不同工程（标段）由系统随机生成，此账号只在本工程（标段）中使用有效，请注意核对。账号漏填、混填或错填均视为未按时缴纳保证金。</w:t>
            </w:r>
          </w:p>
          <w:p>
            <w:pPr>
              <w:spacing w:line="360" w:lineRule="exact"/>
              <w:ind w:left="97" w:leftChars="46"/>
              <w:rPr>
                <w:color w:val="auto"/>
              </w:rPr>
            </w:pPr>
            <w:r>
              <w:rPr>
                <w:color w:val="auto"/>
              </w:rPr>
              <w:t>（</w:t>
            </w:r>
            <w:r>
              <w:rPr>
                <w:rFonts w:hint="eastAsia"/>
                <w:color w:val="auto"/>
              </w:rPr>
              <w:t>2</w:t>
            </w:r>
            <w:r>
              <w:rPr>
                <w:color w:val="auto"/>
              </w:rPr>
              <w:t xml:space="preserve">）为确保保证金及时到账，建议使用电汇加急或者网银加急方式进行汇款（人民银行系统开放时间为周一至周五9:00—17:00，若周一为投标截止期的，请在上周五确保资金到账）。 </w:t>
            </w:r>
          </w:p>
          <w:p>
            <w:pPr>
              <w:pStyle w:val="2"/>
              <w:rPr>
                <w:rFonts w:hint="eastAsia" w:eastAsiaTheme="minorEastAsia"/>
                <w:color w:val="auto"/>
                <w:lang w:val="en-US" w:eastAsia="zh-CN"/>
              </w:rPr>
            </w:pPr>
            <w:r>
              <w:rPr>
                <w:rFonts w:hint="eastAsia"/>
                <w:color w:val="auto"/>
                <w:lang w:val="en-US" w:eastAsia="zh-CN"/>
              </w:rPr>
              <w:t>5、信用评价结果最高等级的建筑企业可免缴纳政府投资项目的投标保证金。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3.5.2</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ind w:left="141" w:leftChars="67"/>
              <w:jc w:val="center"/>
              <w:rPr>
                <w:rFonts w:ascii="宋体" w:hAnsi="宋体" w:eastAsia="宋体" w:cs="宋体"/>
                <w:color w:val="auto"/>
                <w:szCs w:val="21"/>
              </w:rPr>
            </w:pPr>
            <w:r>
              <w:rPr>
                <w:rFonts w:hint="eastAsia" w:ascii="宋体" w:hAnsi="宋体" w:eastAsia="宋体" w:cs="宋体"/>
                <w:color w:val="auto"/>
                <w:szCs w:val="21"/>
              </w:rPr>
              <w:t>近年财务状况的年份要求</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color w:val="auto"/>
                <w:szCs w:val="21"/>
              </w:rPr>
            </w:pPr>
            <w:r>
              <w:rPr>
                <w:rFonts w:hint="eastAsia" w:ascii="宋体" w:hAnsi="宋体" w:eastAsia="宋体" w:cs="宋体"/>
                <w:color w:val="auto"/>
                <w:szCs w:val="21"/>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3.5.3</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ind w:left="141" w:leftChars="67"/>
              <w:jc w:val="center"/>
              <w:rPr>
                <w:rFonts w:ascii="宋体" w:hAnsi="宋体" w:eastAsia="宋体" w:cs="宋体"/>
                <w:color w:val="auto"/>
                <w:szCs w:val="21"/>
              </w:rPr>
            </w:pPr>
            <w:r>
              <w:rPr>
                <w:rFonts w:hint="eastAsia" w:ascii="宋体" w:hAnsi="宋体" w:eastAsia="宋体" w:cs="宋体"/>
                <w:color w:val="auto"/>
                <w:szCs w:val="21"/>
              </w:rPr>
              <w:t>近年完成的类似项目的</w:t>
            </w:r>
          </w:p>
          <w:p>
            <w:pPr>
              <w:spacing w:line="360" w:lineRule="exact"/>
              <w:ind w:left="141" w:leftChars="67"/>
              <w:jc w:val="center"/>
              <w:rPr>
                <w:rFonts w:ascii="宋体" w:hAnsi="宋体" w:eastAsia="宋体" w:cs="宋体"/>
                <w:color w:val="auto"/>
                <w:szCs w:val="21"/>
              </w:rPr>
            </w:pPr>
            <w:r>
              <w:rPr>
                <w:rFonts w:hint="eastAsia" w:ascii="宋体" w:hAnsi="宋体" w:eastAsia="宋体" w:cs="宋体"/>
                <w:color w:val="auto"/>
                <w:szCs w:val="21"/>
              </w:rPr>
              <w:t>年份要求</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color w:val="auto"/>
                <w:szCs w:val="21"/>
              </w:rPr>
            </w:pPr>
            <w:r>
              <w:rPr>
                <w:rFonts w:hint="eastAsia" w:ascii="宋体" w:hAnsi="宋体" w:eastAsia="宋体" w:cs="宋体"/>
                <w:color w:val="auto"/>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3.6</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rPr>
                <w:rFonts w:ascii="宋体" w:hAnsi="宋体" w:eastAsia="宋体" w:cs="宋体"/>
                <w:color w:val="auto"/>
                <w:szCs w:val="21"/>
              </w:rPr>
            </w:pPr>
            <w:r>
              <w:rPr>
                <w:rFonts w:hint="eastAsia" w:ascii="宋体" w:hAnsi="宋体" w:eastAsia="宋体" w:cs="宋体"/>
                <w:color w:val="auto"/>
                <w:szCs w:val="21"/>
              </w:rPr>
              <w:t>是否允许递交备选投标方案</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line="360" w:lineRule="exact"/>
              <w:ind w:left="141" w:leftChars="67"/>
              <w:rPr>
                <w:rFonts w:ascii="宋体" w:hAnsi="宋体" w:eastAsia="宋体" w:cs="宋体"/>
                <w:color w:val="auto"/>
                <w:szCs w:val="21"/>
              </w:rPr>
            </w:pPr>
            <w:r>
              <w:rPr>
                <w:rFonts w:hint="eastAsia" w:ascii="宋体" w:hAnsi="宋体" w:eastAsia="宋体" w:cs="宋体"/>
                <w:color w:val="auto"/>
                <w:szCs w:val="21"/>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3.7.3</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签字或盖章要求</w:t>
            </w:r>
          </w:p>
        </w:tc>
        <w:tc>
          <w:tcPr>
            <w:tcW w:w="6804" w:type="dxa"/>
            <w:tcBorders>
              <w:top w:val="single" w:color="000000" w:sz="6" w:space="0"/>
              <w:left w:val="single" w:color="000000" w:sz="6" w:space="0"/>
              <w:bottom w:val="single" w:color="000000" w:sz="6" w:space="0"/>
              <w:right w:val="single" w:color="000000" w:sz="12" w:space="0"/>
            </w:tcBorders>
            <w:vAlign w:val="center"/>
          </w:tcPr>
          <w:p>
            <w:pPr>
              <w:pStyle w:val="142"/>
              <w:kinsoku w:val="0"/>
              <w:overflowPunct w:val="0"/>
              <w:spacing w:before="75" w:beforeLines="0" w:afterLines="0" w:line="262" w:lineRule="exact"/>
              <w:ind w:left="155"/>
              <w:rPr>
                <w:rFonts w:hint="eastAsia" w:hAnsi="宋体"/>
                <w:color w:val="auto"/>
                <w:sz w:val="21"/>
              </w:rPr>
            </w:pPr>
            <w:r>
              <w:rPr>
                <w:rFonts w:hint="eastAsia" w:hAnsi="宋体"/>
                <w:color w:val="auto"/>
                <w:sz w:val="21"/>
              </w:rPr>
              <w:t>电子投标文件签字或盖章要求：详见评标办法须知前附表</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color w:val="auto"/>
                <w:sz w:val="21"/>
              </w:rPr>
              <w:t>其他要求：无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4.2.2</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递交投标文件地点</w:t>
            </w:r>
          </w:p>
        </w:tc>
        <w:tc>
          <w:tcPr>
            <w:tcW w:w="6804"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b/>
                <w:color w:val="auto"/>
                <w:szCs w:val="21"/>
              </w:rPr>
              <w:t>投标人无需到开标现场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4.2.3</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是否退还投标文件</w:t>
            </w:r>
          </w:p>
        </w:tc>
        <w:tc>
          <w:tcPr>
            <w:tcW w:w="6804"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4.2.6</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发包人通知延后投标</w:t>
            </w:r>
          </w:p>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截止时间的时间</w:t>
            </w:r>
          </w:p>
        </w:tc>
        <w:tc>
          <w:tcPr>
            <w:tcW w:w="6804"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原定投标截止时间 2 天前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5.1</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开标时间和地点</w:t>
            </w:r>
          </w:p>
        </w:tc>
        <w:tc>
          <w:tcPr>
            <w:tcW w:w="6804"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eastAsia="黑体"/>
                <w:b/>
                <w:color w:val="auto"/>
              </w:rPr>
              <w:t>详见本工程招标公告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6.1.1</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评标委员会的组建</w:t>
            </w:r>
          </w:p>
        </w:tc>
        <w:tc>
          <w:tcPr>
            <w:tcW w:w="6804"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评标委员会构成：</w:t>
            </w:r>
            <w:r>
              <w:rPr>
                <w:rFonts w:hint="eastAsia" w:ascii="宋体" w:hAnsi="宋体" w:eastAsia="宋体" w:cs="宋体"/>
                <w:color w:val="auto"/>
                <w:szCs w:val="21"/>
                <w:u w:val="single"/>
              </w:rPr>
              <w:t>5</w:t>
            </w:r>
            <w:r>
              <w:rPr>
                <w:rFonts w:hint="eastAsia" w:ascii="宋体" w:hAnsi="宋体" w:eastAsia="宋体" w:cs="宋体"/>
                <w:color w:val="auto"/>
                <w:szCs w:val="21"/>
              </w:rPr>
              <w:t>人，其中发包人代表</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人，专家</w:t>
            </w:r>
            <w:r>
              <w:rPr>
                <w:rFonts w:hint="eastAsia" w:ascii="宋体" w:hAnsi="宋体" w:eastAsia="宋体" w:cs="宋体"/>
                <w:color w:val="auto"/>
                <w:szCs w:val="21"/>
                <w:u w:val="single"/>
              </w:rPr>
              <w:t>5</w:t>
            </w:r>
            <w:r>
              <w:rPr>
                <w:rFonts w:hint="eastAsia" w:ascii="宋体" w:hAnsi="宋体" w:eastAsia="宋体" w:cs="宋体"/>
                <w:color w:val="auto"/>
                <w:szCs w:val="21"/>
              </w:rPr>
              <w:t>人：</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评标专家确定方式：从</w:t>
            </w:r>
            <w:r>
              <w:rPr>
                <w:rFonts w:hint="eastAsia" w:ascii="宋体" w:hAnsi="宋体" w:eastAsia="宋体" w:cs="宋体"/>
                <w:b/>
                <w:color w:val="auto"/>
                <w:szCs w:val="21"/>
                <w:u w:val="single"/>
              </w:rPr>
              <w:t>规定相关</w:t>
            </w:r>
            <w:r>
              <w:rPr>
                <w:rFonts w:hint="eastAsia" w:ascii="宋体" w:hAnsi="宋体" w:eastAsia="宋体" w:cs="宋体"/>
                <w:color w:val="auto"/>
                <w:szCs w:val="21"/>
              </w:rPr>
              <w:t>专家库中随机抽取。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7.1</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是否授权评标委员会确</w:t>
            </w:r>
          </w:p>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定中标人</w:t>
            </w:r>
          </w:p>
        </w:tc>
        <w:tc>
          <w:tcPr>
            <w:tcW w:w="6804"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否，推荐的中标候选人的人数为 1 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7.3.1</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履约担保</w:t>
            </w:r>
          </w:p>
        </w:tc>
        <w:tc>
          <w:tcPr>
            <w:tcW w:w="6804"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bidi w:val="0"/>
              <w:snapToGrid/>
              <w:spacing w:line="260" w:lineRule="exact"/>
              <w:ind w:left="0" w:leftChars="0" w:firstLine="210" w:firstLineChars="100"/>
              <w:textAlignment w:val="auto"/>
              <w:rPr>
                <w:rFonts w:hint="eastAsia" w:hAnsi="宋体"/>
                <w:color w:val="auto"/>
                <w:szCs w:val="21"/>
              </w:rPr>
            </w:pPr>
            <w:r>
              <w:rPr>
                <w:rFonts w:hint="eastAsia" w:hAnsi="宋体"/>
                <w:color w:val="auto"/>
                <w:szCs w:val="21"/>
              </w:rPr>
              <w:t>如不能办理担保采用现金的， 中标人必须通过其基本账户转出的转帐、电汇或银行汇票或工程保函（银行保函、保险机构保证保险保单）方式解入招标人以下帐户。</w:t>
            </w:r>
          </w:p>
          <w:p>
            <w:pPr>
              <w:keepNext w:val="0"/>
              <w:keepLines w:val="0"/>
              <w:pageBreakBefore w:val="0"/>
              <w:kinsoku/>
              <w:wordWrap/>
              <w:overflowPunct/>
              <w:topLinePunct w:val="0"/>
              <w:bidi w:val="0"/>
              <w:snapToGrid/>
              <w:spacing w:line="260" w:lineRule="exact"/>
              <w:ind w:left="0" w:leftChars="0" w:firstLine="210" w:firstLineChars="100"/>
              <w:textAlignment w:val="auto"/>
              <w:rPr>
                <w:rFonts w:hint="eastAsia" w:hAnsi="宋体"/>
                <w:color w:val="auto"/>
                <w:szCs w:val="21"/>
              </w:rPr>
            </w:pPr>
            <w:r>
              <w:rPr>
                <w:rFonts w:hint="eastAsia" w:hAnsi="宋体"/>
                <w:color w:val="auto"/>
                <w:szCs w:val="21"/>
              </w:rPr>
              <w:t>履约担保金额为合同总价的 2%,在签订合同之前汇入招标人指定账户。</w:t>
            </w:r>
          </w:p>
          <w:p>
            <w:pPr>
              <w:keepNext w:val="0"/>
              <w:keepLines w:val="0"/>
              <w:pageBreakBefore w:val="0"/>
              <w:kinsoku/>
              <w:wordWrap/>
              <w:overflowPunct/>
              <w:topLinePunct w:val="0"/>
              <w:bidi w:val="0"/>
              <w:snapToGrid/>
              <w:spacing w:line="260" w:lineRule="exact"/>
              <w:ind w:left="0" w:leftChars="0" w:firstLine="210" w:firstLineChars="100"/>
              <w:textAlignment w:val="auto"/>
              <w:rPr>
                <w:rFonts w:hint="eastAsia" w:ascii="宋体" w:hAnsi="宋体" w:cs="宋体" w:eastAsiaTheme="minorEastAsia"/>
                <w:color w:val="auto"/>
                <w:szCs w:val="21"/>
                <w:lang w:eastAsia="zh-CN"/>
              </w:rPr>
            </w:pPr>
            <w:r>
              <w:rPr>
                <w:rFonts w:hint="eastAsia" w:hAnsi="宋体"/>
                <w:color w:val="auto"/>
                <w:szCs w:val="21"/>
              </w:rPr>
              <w:t>民工工资支付担保的相关约定：按三人社[2019]41 号关于印发三门县建设领域民工工资管理办法（试行）的实施意见</w:t>
            </w:r>
            <w:r>
              <w:rPr>
                <w:rFonts w:hint="eastAsia" w:hAnsi="宋体"/>
                <w:color w:val="auto"/>
                <w:szCs w:val="21"/>
                <w:lang w:eastAsia="zh-CN"/>
              </w:rPr>
              <w:t>及浙建</w:t>
            </w:r>
            <w:r>
              <w:rPr>
                <w:rFonts w:hint="eastAsia" w:hAnsi="宋体"/>
                <w:color w:val="auto"/>
                <w:szCs w:val="21"/>
                <w:lang w:val="en-US" w:eastAsia="zh-CN"/>
              </w:rPr>
              <w:t>[2020]7号关于在全省工程建设领域改革保证金制度的通知</w:t>
            </w:r>
            <w:r>
              <w:rPr>
                <w:rFonts w:hint="eastAsia" w:hAnsi="宋体"/>
                <w:color w:val="auto"/>
                <w:szCs w:val="21"/>
              </w:rPr>
              <w:t>执行。</w:t>
            </w:r>
            <w:r>
              <w:rPr>
                <w:rFonts w:hint="eastAsia" w:hAnsi="宋体"/>
                <w:color w:val="auto"/>
                <w:szCs w:val="21"/>
                <w:lang w:eastAsia="zh-CN"/>
              </w:rPr>
              <w:t>采用现金或工程保函（银行保函、保险机构保证保险保单）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0245" w:type="dxa"/>
            <w:gridSpan w:val="4"/>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1.4</w:t>
            </w:r>
          </w:p>
        </w:tc>
        <w:tc>
          <w:tcPr>
            <w:tcW w:w="2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投标人资格要求</w:t>
            </w:r>
          </w:p>
        </w:tc>
        <w:tc>
          <w:tcPr>
            <w:tcW w:w="6839" w:type="dxa"/>
            <w:gridSpan w:val="2"/>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1.4.3(12)、(13)、(14)目细化为：</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(12)201</w:t>
            </w:r>
            <w:r>
              <w:rPr>
                <w:rFonts w:hint="eastAsia" w:ascii="宋体" w:hAnsi="宋体" w:eastAsia="宋体" w:cs="宋体"/>
                <w:color w:val="auto"/>
                <w:szCs w:val="21"/>
                <w:lang w:val="en-US" w:eastAsia="zh-CN"/>
              </w:rPr>
              <w:t>7</w:t>
            </w:r>
            <w:r>
              <w:rPr>
                <w:rFonts w:hint="eastAsia" w:ascii="宋体" w:hAnsi="宋体" w:eastAsia="宋体" w:cs="宋体"/>
                <w:color w:val="auto"/>
                <w:szCs w:val="21"/>
              </w:rPr>
              <w:t>年7月1日 以来有弄虚作假骗取中标或严重违约或重大工程质量问题的（以省级及以上交通主管部门的书面通报或司法机关出具的有关法律文书为准）；</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(13)涉及正在诉讼的案件经评标委员会认定会对承担本项目造成重大影响；</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(14)被交通运输部、浙江省交通运输厅、浙江省发改委取消投标资格或禁止进入浙江省建设市场且处于有效期内；</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补充第 1.4.3(16)目：</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(16)与发包人存在利害关系可能影响招标公正性的法人、其他组织或者个人参加投标；单位负责人为同一人或者存在控股（含法定代表人控股）、管理关系的不同单位，参加同一标段投标。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31"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1.11</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分包</w:t>
            </w:r>
          </w:p>
        </w:tc>
        <w:tc>
          <w:tcPr>
            <w:tcW w:w="6804"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第 1.11 款细化为：</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本项目严禁转包和违规分包，且不得再次分包。投标人拟在中标后将中标项目的部分工作进行分包的，应符合以下规定：</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分包应符合交通运输部《关于印发公路工程施工分包管理办法的通知》（交公路发〔2011〕685 号）及浙江省交通运输厅《关于印发&lt;浙江省公路水运工程施工分包管理实施细则&gt;的通知》（浙交〔2012〕253号）有关分包管理的规定。</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其他要求：投标人如有分包计划，应按第八章“投标文件格式”的要求填写“拟分包项目情况表”，且投标人中标后的分包应满足合同条款第 4.3 款的相关要求。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3.1</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投标文件的组成</w:t>
            </w:r>
          </w:p>
        </w:tc>
        <w:tc>
          <w:tcPr>
            <w:tcW w:w="6804" w:type="dxa"/>
            <w:tcBorders>
              <w:top w:val="single" w:color="000000" w:sz="6" w:space="0"/>
              <w:left w:val="single" w:color="000000" w:sz="6" w:space="0"/>
              <w:bottom w:val="single" w:color="000000" w:sz="6" w:space="0"/>
              <w:right w:val="single" w:color="000000" w:sz="12" w:space="0"/>
            </w:tcBorders>
            <w:vAlign w:val="center"/>
          </w:tcPr>
          <w:p>
            <w:pPr>
              <w:pStyle w:val="142"/>
              <w:spacing w:line="312" w:lineRule="exact"/>
              <w:ind w:left="0" w:leftChars="0" w:hanging="10" w:firstLineChars="0"/>
              <w:rPr>
                <w:rFonts w:hint="eastAsia" w:ascii="宋体" w:hAnsi="宋体" w:eastAsia="宋体" w:cs="宋体"/>
                <w:b/>
                <w:color w:val="auto"/>
                <w:sz w:val="21"/>
              </w:rPr>
            </w:pPr>
            <w:r>
              <w:rPr>
                <w:rFonts w:hint="eastAsia" w:ascii="宋体" w:hAnsi="宋体" w:eastAsia="宋体" w:cs="宋体"/>
                <w:b/>
                <w:color w:val="auto"/>
                <w:sz w:val="21"/>
              </w:rPr>
              <w:t>投标文件由三门投标编制 4.0.2.8 版本生成后缀名.已加密投标文件，包括：</w:t>
            </w:r>
          </w:p>
          <w:p>
            <w:pPr>
              <w:pStyle w:val="142"/>
              <w:spacing w:line="251" w:lineRule="exact"/>
              <w:ind w:left="0" w:leftChars="0" w:hanging="10" w:firstLineChars="0"/>
              <w:rPr>
                <w:rFonts w:hint="eastAsia" w:ascii="宋体" w:hAnsi="宋体" w:eastAsia="宋体" w:cs="宋体"/>
                <w:color w:val="auto"/>
                <w:sz w:val="21"/>
              </w:rPr>
            </w:pPr>
            <w:r>
              <w:rPr>
                <w:rFonts w:hint="eastAsia" w:ascii="宋体" w:hAnsi="宋体" w:eastAsia="宋体" w:cs="宋体"/>
                <w:color w:val="auto"/>
                <w:sz w:val="21"/>
              </w:rPr>
              <w:t>第 3.1.1 项细化为：</w:t>
            </w:r>
          </w:p>
          <w:p>
            <w:pPr>
              <w:pStyle w:val="142"/>
              <w:spacing w:before="16" w:line="249" w:lineRule="auto"/>
              <w:ind w:left="0" w:leftChars="0" w:right="482" w:rightChars="0" w:hanging="10" w:firstLineChars="0"/>
              <w:rPr>
                <w:rFonts w:hint="eastAsia" w:ascii="宋体" w:hAnsi="宋体" w:eastAsia="宋体" w:cs="宋体"/>
                <w:color w:val="auto"/>
                <w:sz w:val="21"/>
              </w:rPr>
            </w:pPr>
            <w:r>
              <w:rPr>
                <w:rFonts w:hint="eastAsia" w:ascii="宋体" w:hAnsi="宋体" w:eastAsia="宋体" w:cs="宋体"/>
                <w:color w:val="auto"/>
                <w:sz w:val="21"/>
              </w:rPr>
              <w:t>3.1.1 投标文件应包括下列</w:t>
            </w:r>
            <w:r>
              <w:rPr>
                <w:rFonts w:hint="eastAsia" w:ascii="宋体" w:hAnsi="宋体" w:eastAsia="宋体" w:cs="宋体"/>
                <w:color w:val="auto"/>
                <w:sz w:val="21"/>
                <w:lang w:eastAsia="zh-CN"/>
              </w:rPr>
              <w:t>内容</w:t>
            </w:r>
            <w:r>
              <w:rPr>
                <w:rFonts w:hint="eastAsia" w:ascii="宋体" w:hAnsi="宋体" w:eastAsia="宋体" w:cs="宋体"/>
                <w:color w:val="auto"/>
                <w:sz w:val="21"/>
              </w:rPr>
              <w:t xml:space="preserve">： </w:t>
            </w:r>
          </w:p>
          <w:p>
            <w:pPr>
              <w:pStyle w:val="142"/>
              <w:spacing w:before="16" w:line="249" w:lineRule="auto"/>
              <w:ind w:left="0" w:leftChars="0" w:right="482" w:rightChars="0" w:hanging="10" w:firstLineChars="0"/>
              <w:rPr>
                <w:rFonts w:hint="eastAsia" w:ascii="宋体" w:hAnsi="宋体" w:eastAsia="宋体" w:cs="宋体"/>
                <w:color w:val="auto"/>
                <w:sz w:val="21"/>
              </w:rPr>
            </w:pPr>
            <w:r>
              <w:rPr>
                <w:rFonts w:hint="eastAsia" w:ascii="宋体" w:hAnsi="宋体" w:eastAsia="宋体" w:cs="宋体"/>
                <w:color w:val="auto"/>
                <w:sz w:val="21"/>
              </w:rPr>
              <w:t>一、商务部分包括：</w:t>
            </w:r>
          </w:p>
          <w:p>
            <w:pPr>
              <w:pStyle w:val="142"/>
              <w:numPr>
                <w:ilvl w:val="0"/>
                <w:numId w:val="10"/>
              </w:numPr>
              <w:tabs>
                <w:tab w:val="left" w:pos="589"/>
              </w:tabs>
              <w:spacing w:before="2" w:after="0" w:line="240" w:lineRule="auto"/>
              <w:ind w:left="0" w:leftChars="0" w:right="0" w:hanging="10" w:firstLineChars="0"/>
              <w:jc w:val="left"/>
              <w:rPr>
                <w:rFonts w:hint="eastAsia" w:ascii="宋体" w:hAnsi="宋体" w:eastAsia="宋体" w:cs="宋体"/>
                <w:color w:val="auto"/>
                <w:sz w:val="21"/>
              </w:rPr>
            </w:pPr>
            <w:r>
              <w:rPr>
                <w:rFonts w:hint="eastAsia" w:ascii="宋体" w:hAnsi="宋体" w:eastAsia="宋体" w:cs="宋体"/>
                <w:color w:val="auto"/>
                <w:spacing w:val="-3"/>
                <w:sz w:val="21"/>
              </w:rPr>
              <w:t>投标函及投标函附录；</w:t>
            </w:r>
          </w:p>
          <w:p>
            <w:pPr>
              <w:pStyle w:val="142"/>
              <w:numPr>
                <w:ilvl w:val="0"/>
                <w:numId w:val="10"/>
              </w:numPr>
              <w:tabs>
                <w:tab w:val="left" w:pos="589"/>
              </w:tabs>
              <w:spacing w:before="22" w:after="0" w:line="247" w:lineRule="auto"/>
              <w:ind w:left="0" w:leftChars="0" w:right="262" w:rightChars="0" w:hanging="10" w:firstLineChars="0"/>
              <w:jc w:val="left"/>
              <w:rPr>
                <w:rFonts w:hint="eastAsia" w:ascii="宋体" w:hAnsi="宋体" w:eastAsia="宋体" w:cs="宋体"/>
                <w:color w:val="auto"/>
                <w:sz w:val="21"/>
              </w:rPr>
            </w:pPr>
            <w:r>
              <w:rPr>
                <w:rFonts w:hint="eastAsia" w:ascii="宋体" w:hAnsi="宋体" w:eastAsia="宋体" w:cs="宋体"/>
                <w:color w:val="auto"/>
                <w:spacing w:val="-4"/>
                <w:sz w:val="21"/>
              </w:rPr>
              <w:t xml:space="preserve">法定代表人身份证明或附有法定代表人身份证明的授权委托； </w:t>
            </w:r>
          </w:p>
          <w:p>
            <w:pPr>
              <w:pStyle w:val="142"/>
              <w:numPr>
                <w:ilvl w:val="0"/>
                <w:numId w:val="0"/>
              </w:numPr>
              <w:tabs>
                <w:tab w:val="left" w:pos="589"/>
              </w:tabs>
              <w:spacing w:before="22" w:after="0" w:line="247" w:lineRule="auto"/>
              <w:ind w:left="-10" w:leftChars="0" w:right="262" w:rightChars="0"/>
              <w:jc w:val="left"/>
              <w:rPr>
                <w:rFonts w:hint="eastAsia" w:ascii="宋体" w:hAnsi="宋体" w:eastAsia="宋体" w:cs="宋体"/>
                <w:color w:val="auto"/>
                <w:sz w:val="21"/>
              </w:rPr>
            </w:pPr>
            <w:r>
              <w:rPr>
                <w:rFonts w:hint="eastAsia" w:ascii="宋体" w:hAnsi="宋体" w:eastAsia="宋体" w:cs="宋体"/>
                <w:color w:val="auto"/>
                <w:spacing w:val="-3"/>
                <w:sz w:val="21"/>
              </w:rPr>
              <w:t>二：资信部分包括：</w:t>
            </w:r>
          </w:p>
          <w:p>
            <w:pPr>
              <w:pStyle w:val="142"/>
              <w:numPr>
                <w:ilvl w:val="0"/>
                <w:numId w:val="10"/>
              </w:numPr>
              <w:tabs>
                <w:tab w:val="left" w:pos="589"/>
              </w:tabs>
              <w:spacing w:before="4" w:after="0" w:line="247" w:lineRule="auto"/>
              <w:ind w:left="0" w:leftChars="0" w:right="682" w:rightChars="0" w:hanging="10" w:firstLineChars="0"/>
              <w:jc w:val="left"/>
              <w:rPr>
                <w:rFonts w:hint="eastAsia" w:ascii="宋体" w:hAnsi="宋体" w:eastAsia="宋体" w:cs="宋体"/>
                <w:color w:val="auto"/>
                <w:sz w:val="21"/>
              </w:rPr>
            </w:pPr>
            <w:r>
              <w:rPr>
                <w:rFonts w:hint="eastAsia" w:ascii="宋体" w:hAnsi="宋体" w:eastAsia="宋体" w:cs="宋体"/>
                <w:color w:val="auto"/>
                <w:spacing w:val="-3"/>
                <w:sz w:val="21"/>
              </w:rPr>
              <w:t>联合体协议书（</w:t>
            </w:r>
            <w:r>
              <w:rPr>
                <w:rFonts w:hint="eastAsia" w:ascii="宋体" w:hAnsi="宋体" w:eastAsia="宋体" w:cs="宋体"/>
                <w:color w:val="auto"/>
                <w:spacing w:val="-2"/>
                <w:sz w:val="21"/>
              </w:rPr>
              <w:t>如有</w:t>
            </w:r>
            <w:r>
              <w:rPr>
                <w:rFonts w:hint="eastAsia" w:ascii="宋体" w:hAnsi="宋体" w:eastAsia="宋体" w:cs="宋体"/>
                <w:color w:val="auto"/>
                <w:sz w:val="21"/>
              </w:rPr>
              <w:t>）；（</w:t>
            </w:r>
            <w:r>
              <w:rPr>
                <w:rFonts w:hint="eastAsia" w:ascii="宋体" w:hAnsi="宋体" w:eastAsia="宋体" w:cs="宋体"/>
                <w:color w:val="auto"/>
                <w:spacing w:val="-3"/>
                <w:sz w:val="21"/>
              </w:rPr>
              <w:t>本项目不适用</w:t>
            </w:r>
            <w:r>
              <w:rPr>
                <w:rFonts w:hint="eastAsia" w:ascii="宋体" w:hAnsi="宋体" w:eastAsia="宋体" w:cs="宋体"/>
                <w:color w:val="auto"/>
                <w:sz w:val="21"/>
              </w:rPr>
              <w:t xml:space="preserve">） </w:t>
            </w:r>
          </w:p>
          <w:p>
            <w:pPr>
              <w:pStyle w:val="142"/>
              <w:numPr>
                <w:ilvl w:val="0"/>
                <w:numId w:val="10"/>
              </w:numPr>
              <w:tabs>
                <w:tab w:val="left" w:pos="589"/>
              </w:tabs>
              <w:spacing w:before="4" w:after="0" w:line="247" w:lineRule="auto"/>
              <w:ind w:left="0" w:leftChars="0" w:right="682" w:rightChars="0" w:hanging="10" w:firstLineChars="0"/>
              <w:jc w:val="left"/>
              <w:rPr>
                <w:rFonts w:hint="eastAsia" w:ascii="宋体" w:hAnsi="宋体" w:eastAsia="宋体" w:cs="宋体"/>
                <w:color w:val="auto"/>
                <w:sz w:val="21"/>
              </w:rPr>
            </w:pPr>
            <w:r>
              <w:rPr>
                <w:rFonts w:hint="eastAsia" w:ascii="宋体" w:hAnsi="宋体" w:eastAsia="宋体" w:cs="宋体"/>
                <w:color w:val="auto"/>
                <w:spacing w:val="-3"/>
                <w:sz w:val="21"/>
              </w:rPr>
              <w:t>投标保证金；</w:t>
            </w:r>
          </w:p>
          <w:p>
            <w:pPr>
              <w:pStyle w:val="142"/>
              <w:numPr>
                <w:ilvl w:val="0"/>
                <w:numId w:val="11"/>
              </w:numPr>
              <w:tabs>
                <w:tab w:val="left" w:pos="589"/>
              </w:tabs>
              <w:spacing w:before="5" w:after="0" w:line="240" w:lineRule="auto"/>
              <w:ind w:left="0" w:leftChars="0" w:right="0" w:hanging="10" w:firstLineChars="0"/>
              <w:jc w:val="left"/>
              <w:rPr>
                <w:rFonts w:hint="eastAsia" w:ascii="宋体" w:hAnsi="宋体" w:eastAsia="宋体" w:cs="宋体"/>
                <w:color w:val="auto"/>
                <w:sz w:val="21"/>
              </w:rPr>
            </w:pPr>
            <w:r>
              <w:rPr>
                <w:rFonts w:hint="eastAsia" w:ascii="宋体" w:hAnsi="宋体" w:eastAsia="宋体" w:cs="宋体"/>
                <w:color w:val="auto"/>
                <w:spacing w:val="-3"/>
                <w:sz w:val="21"/>
              </w:rPr>
              <w:t>项目管理机构；</w:t>
            </w:r>
          </w:p>
          <w:p>
            <w:pPr>
              <w:pStyle w:val="142"/>
              <w:numPr>
                <w:ilvl w:val="0"/>
                <w:numId w:val="11"/>
              </w:numPr>
              <w:tabs>
                <w:tab w:val="left" w:pos="553"/>
              </w:tabs>
              <w:spacing w:before="12" w:after="0" w:line="247" w:lineRule="auto"/>
              <w:ind w:left="0" w:leftChars="0" w:right="1942" w:rightChars="0" w:hanging="10" w:firstLineChars="0"/>
              <w:jc w:val="left"/>
              <w:rPr>
                <w:rFonts w:hint="eastAsia" w:ascii="宋体" w:hAnsi="宋体" w:eastAsia="宋体" w:cs="宋体"/>
                <w:color w:val="auto"/>
                <w:sz w:val="21"/>
              </w:rPr>
            </w:pPr>
            <w:r>
              <w:rPr>
                <w:rFonts w:hint="eastAsia" w:ascii="宋体" w:hAnsi="宋体" w:eastAsia="宋体" w:cs="宋体"/>
                <w:color w:val="auto"/>
                <w:spacing w:val="-3"/>
                <w:sz w:val="21"/>
              </w:rPr>
              <w:t>拟分包项目情况表；（</w:t>
            </w:r>
            <w:r>
              <w:rPr>
                <w:rFonts w:hint="eastAsia" w:ascii="宋体" w:hAnsi="宋体" w:eastAsia="宋体" w:cs="宋体"/>
                <w:color w:val="auto"/>
                <w:spacing w:val="-2"/>
                <w:sz w:val="21"/>
              </w:rPr>
              <w:t>本项目不适用</w:t>
            </w:r>
            <w:r>
              <w:rPr>
                <w:rFonts w:hint="eastAsia" w:ascii="宋体" w:hAnsi="宋体" w:eastAsia="宋体" w:cs="宋体"/>
                <w:color w:val="auto"/>
                <w:sz w:val="21"/>
              </w:rPr>
              <w:t xml:space="preserve">） </w:t>
            </w:r>
          </w:p>
          <w:p>
            <w:pPr>
              <w:pStyle w:val="142"/>
              <w:numPr>
                <w:ilvl w:val="0"/>
                <w:numId w:val="11"/>
              </w:numPr>
              <w:tabs>
                <w:tab w:val="left" w:pos="553"/>
              </w:tabs>
              <w:spacing w:before="12" w:after="0" w:line="247" w:lineRule="auto"/>
              <w:ind w:left="0" w:leftChars="0" w:right="1942" w:rightChars="0" w:hanging="10" w:firstLineChars="0"/>
              <w:jc w:val="left"/>
              <w:rPr>
                <w:rFonts w:hint="eastAsia" w:ascii="宋体" w:hAnsi="宋体" w:eastAsia="宋体" w:cs="宋体"/>
                <w:color w:val="auto"/>
                <w:sz w:val="21"/>
              </w:rPr>
            </w:pPr>
            <w:r>
              <w:rPr>
                <w:rFonts w:hint="eastAsia" w:ascii="宋体" w:hAnsi="宋体" w:eastAsia="宋体" w:cs="宋体"/>
                <w:color w:val="auto"/>
                <w:spacing w:val="-3"/>
                <w:sz w:val="21"/>
              </w:rPr>
              <w:t>资格审查资料；</w:t>
            </w:r>
          </w:p>
          <w:p>
            <w:pPr>
              <w:pStyle w:val="142"/>
              <w:numPr>
                <w:ilvl w:val="0"/>
                <w:numId w:val="12"/>
              </w:numPr>
              <w:tabs>
                <w:tab w:val="left" w:pos="589"/>
              </w:tabs>
              <w:spacing w:before="5" w:after="0" w:line="240" w:lineRule="auto"/>
              <w:ind w:left="0" w:leftChars="0" w:right="0" w:hanging="10" w:firstLineChars="0"/>
              <w:jc w:val="left"/>
              <w:rPr>
                <w:rFonts w:hint="eastAsia" w:ascii="宋体" w:hAnsi="宋体" w:eastAsia="宋体" w:cs="宋体"/>
                <w:color w:val="auto"/>
                <w:sz w:val="21"/>
              </w:rPr>
            </w:pPr>
            <w:r>
              <w:rPr>
                <w:rFonts w:hint="eastAsia" w:ascii="宋体" w:hAnsi="宋体" w:eastAsia="宋体" w:cs="宋体"/>
                <w:color w:val="auto"/>
                <w:spacing w:val="-3"/>
                <w:sz w:val="21"/>
              </w:rPr>
              <w:t>承诺函；</w:t>
            </w:r>
          </w:p>
          <w:p>
            <w:pPr>
              <w:pStyle w:val="142"/>
              <w:numPr>
                <w:ilvl w:val="0"/>
                <w:numId w:val="12"/>
              </w:numPr>
              <w:tabs>
                <w:tab w:val="left" w:pos="589"/>
              </w:tabs>
              <w:spacing w:before="12" w:after="0" w:line="240" w:lineRule="auto"/>
              <w:ind w:left="0" w:leftChars="0" w:right="0" w:hanging="10" w:firstLineChars="0"/>
              <w:jc w:val="left"/>
              <w:rPr>
                <w:rFonts w:hint="eastAsia" w:ascii="宋体" w:hAnsi="宋体" w:eastAsia="宋体" w:cs="宋体"/>
                <w:color w:val="auto"/>
                <w:sz w:val="21"/>
              </w:rPr>
            </w:pPr>
            <w:r>
              <w:rPr>
                <w:rFonts w:hint="eastAsia" w:ascii="宋体" w:hAnsi="宋体" w:eastAsia="宋体" w:cs="宋体"/>
                <w:color w:val="auto"/>
                <w:spacing w:val="-3"/>
                <w:sz w:val="21"/>
              </w:rPr>
              <w:t>投标人须知前附表规定的其他材料。</w:t>
            </w:r>
          </w:p>
          <w:p>
            <w:pPr>
              <w:pStyle w:val="142"/>
              <w:spacing w:before="9"/>
              <w:ind w:left="0" w:leftChars="0" w:hanging="10" w:firstLineChars="0"/>
              <w:rPr>
                <w:rFonts w:hint="eastAsia" w:ascii="宋体" w:hAnsi="宋体" w:eastAsia="宋体" w:cs="宋体"/>
                <w:color w:val="auto"/>
                <w:sz w:val="21"/>
              </w:rPr>
            </w:pPr>
            <w:r>
              <w:rPr>
                <w:rFonts w:hint="eastAsia" w:ascii="宋体" w:hAnsi="宋体" w:eastAsia="宋体" w:cs="宋体"/>
                <w:color w:val="auto"/>
                <w:spacing w:val="-5"/>
                <w:sz w:val="21"/>
              </w:rPr>
              <w:t xml:space="preserve">备注：以上内容均需在三门投标编制 </w:t>
            </w:r>
            <w:r>
              <w:rPr>
                <w:rFonts w:hint="eastAsia" w:ascii="宋体" w:hAnsi="宋体" w:eastAsia="宋体" w:cs="宋体"/>
                <w:color w:val="auto"/>
                <w:sz w:val="21"/>
              </w:rPr>
              <w:t>4.0.2.8</w:t>
            </w:r>
            <w:r>
              <w:rPr>
                <w:rFonts w:hint="eastAsia" w:ascii="宋体" w:hAnsi="宋体" w:eastAsia="宋体" w:cs="宋体"/>
                <w:color w:val="auto"/>
                <w:spacing w:val="-5"/>
                <w:sz w:val="21"/>
              </w:rPr>
              <w:t>版本中自行添加后自动生成，</w:t>
            </w:r>
          </w:p>
          <w:p>
            <w:pPr>
              <w:pStyle w:val="142"/>
              <w:keepNext w:val="0"/>
              <w:keepLines w:val="0"/>
              <w:pageBreakBefore w:val="0"/>
              <w:kinsoku/>
              <w:wordWrap/>
              <w:overflowPunct/>
              <w:topLinePunct w:val="0"/>
              <w:bidi w:val="0"/>
              <w:snapToGrid/>
              <w:spacing w:before="52" w:line="260" w:lineRule="exact"/>
              <w:ind w:left="0" w:leftChars="0" w:right="-29" w:hanging="10" w:firstLineChars="0"/>
              <w:jc w:val="both"/>
              <w:textAlignment w:val="auto"/>
              <w:rPr>
                <w:rFonts w:ascii="宋体" w:hAnsi="宋体" w:eastAsia="宋体" w:cs="宋体"/>
                <w:color w:val="auto"/>
                <w:szCs w:val="21"/>
              </w:rPr>
            </w:pPr>
            <w:r>
              <w:rPr>
                <w:rFonts w:hint="eastAsia" w:ascii="宋体" w:hAnsi="宋体" w:eastAsia="宋体" w:cs="宋体"/>
                <w:color w:val="auto"/>
                <w:sz w:val="21"/>
              </w:rPr>
              <w:t>添加的内容须为清晰的电子文档。</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31"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3.2</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投标报价</w:t>
            </w:r>
          </w:p>
        </w:tc>
        <w:tc>
          <w:tcPr>
            <w:tcW w:w="6804"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删除3.2.1至3.2.5，</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 xml:space="preserve">补充第3.2.7 </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b/>
                <w:bCs/>
                <w:color w:val="auto"/>
                <w:szCs w:val="21"/>
              </w:rPr>
            </w:pPr>
            <w:r>
              <w:rPr>
                <w:rFonts w:hint="eastAsia" w:ascii="宋体" w:hAnsi="宋体" w:eastAsia="宋体" w:cs="宋体"/>
                <w:b/>
                <w:bCs/>
                <w:color w:val="auto"/>
                <w:szCs w:val="21"/>
              </w:rPr>
              <w:t>工程量清单预算审核价为</w:t>
            </w:r>
            <w:r>
              <w:rPr>
                <w:rFonts w:hint="eastAsia" w:ascii="Times New Roman" w:hAnsi="宋体" w:cs="宋体"/>
                <w:b/>
                <w:color w:val="auto"/>
                <w:kern w:val="0"/>
                <w:szCs w:val="22"/>
                <w:u w:val="single"/>
                <w:lang w:val="en-US" w:bidi="zh-CN"/>
              </w:rPr>
              <w:t>706972</w:t>
            </w:r>
            <w:r>
              <w:rPr>
                <w:rFonts w:hint="eastAsia" w:ascii="宋体" w:hAnsi="宋体" w:eastAsia="宋体" w:cs="宋体"/>
                <w:b/>
                <w:bCs/>
                <w:color w:val="auto"/>
                <w:szCs w:val="21"/>
                <w:u w:val="single"/>
              </w:rPr>
              <w:t>元</w:t>
            </w:r>
            <w:r>
              <w:rPr>
                <w:rFonts w:hint="eastAsia" w:ascii="宋体" w:hAnsi="宋体" w:eastAsia="宋体" w:cs="宋体"/>
                <w:b/>
                <w:bCs/>
                <w:color w:val="auto"/>
                <w:szCs w:val="21"/>
              </w:rPr>
              <w:t>，投标报价有效范围为10%～15%（含10%和15%），投标人报价超出此区间范围作否决投标处理。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31"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3.3</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投标有效期</w:t>
            </w:r>
          </w:p>
        </w:tc>
        <w:tc>
          <w:tcPr>
            <w:tcW w:w="6804"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第 3.3.2 项细化为：</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3.3.2 出现特殊情况需要延长投标有效期的，发包人以书面形式通知所有投标人延长投标有效期。投标人同意延长的，应相应延长其投标保证金的有效期，但不得要求被允许修改或撤销其投标文件；投标人拒绝延长的，其投标失效，但投标人有权收回其投标保证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1"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3.4</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投标保证金</w:t>
            </w:r>
          </w:p>
        </w:tc>
        <w:tc>
          <w:tcPr>
            <w:tcW w:w="6804"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第 3.4.3 项细化为：</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3.4.3 发包人与中标人签订合同后5日内，向未中标的投标人和中标人退还投标保证金。</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第 3.4.4 项细化为：</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3.4.4 有下列情形之一的，投标保证金将不予退还：</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(1)投标人在规定的投标有效期内撤销或修改其投标文件；</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(2)中标人在收到中标通知书后，无正当理由拒签合同协议书、廉政合同、安全生产合同、工程质量责任合同、工程资金监管协议或未按招标文件规定提交履约担保；</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(3)投标人不接受依据评标办法的规定对其投标文件中细微偏差进行澄清和补正；</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(4)投标人提交了虚假资料。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3.5</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资格审查资料</w:t>
            </w:r>
          </w:p>
        </w:tc>
        <w:tc>
          <w:tcPr>
            <w:tcW w:w="6804"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第 3.5.1 项细化为：</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3.5.1 “投标人基本情况表”应附企业法人营业执照副本（全本）的扫描件（并加盖单位电子公章）、施工资质证书副本（全本）的扫描件（并加盖单位电子公章）、安全生产许可证副本的扫描件（并加盖单位电子公章） 基本账户开户许可证的扫描件（并加盖单位电子公章）。“拟委任的项目经理和项目总工资历表”应附以下资料：</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（1）项目经理和项目总工的身份证、</w:t>
            </w:r>
            <w:r>
              <w:rPr>
                <w:rFonts w:hint="eastAsia" w:ascii="宋体" w:hAnsi="宋体" w:eastAsia="宋体" w:cs="宋体"/>
                <w:color w:val="auto"/>
                <w:szCs w:val="21"/>
                <w:lang w:eastAsia="zh-CN"/>
              </w:rPr>
              <w:t>总工</w:t>
            </w:r>
            <w:r>
              <w:rPr>
                <w:rFonts w:hint="eastAsia" w:ascii="宋体" w:hAnsi="宋体" w:eastAsia="宋体" w:cs="宋体"/>
                <w:color w:val="auto"/>
                <w:szCs w:val="21"/>
              </w:rPr>
              <w:t>职称资格证书(公路工程相关专业中级及以上技术职称)、有效期内的安全生产考核合格证书以及项目经理的公路工程专业二级及以上建造师注册证书（含经延续注册的临时执业证</w:t>
            </w:r>
          </w:p>
          <w:p>
            <w:pPr>
              <w:keepNext w:val="0"/>
              <w:keepLines w:val="0"/>
              <w:pageBreakBefore w:val="0"/>
              <w:kinsoku/>
              <w:wordWrap/>
              <w:overflowPunct/>
              <w:topLinePunct w:val="0"/>
              <w:bidi w:val="0"/>
              <w:snapToGrid/>
              <w:spacing w:line="260" w:lineRule="exact"/>
              <w:ind w:left="0" w:leftChars="0"/>
              <w:textAlignment w:val="auto"/>
              <w:rPr>
                <w:rFonts w:hint="eastAsia" w:ascii="宋体" w:hAnsi="宋体" w:eastAsia="宋体" w:cs="宋体"/>
                <w:color w:val="auto"/>
                <w:szCs w:val="21"/>
              </w:rPr>
            </w:pPr>
            <w:r>
              <w:rPr>
                <w:rFonts w:hint="eastAsia" w:ascii="宋体" w:hAnsi="宋体" w:eastAsia="宋体" w:cs="宋体"/>
                <w:color w:val="auto"/>
                <w:szCs w:val="21"/>
              </w:rPr>
              <w:t>书）的扫描件（身份证应正反双面复印） ；</w:t>
            </w:r>
          </w:p>
          <w:p>
            <w:pPr>
              <w:keepNext w:val="0"/>
              <w:keepLines w:val="0"/>
              <w:pageBreakBefore w:val="0"/>
              <w:kinsoku/>
              <w:wordWrap/>
              <w:overflowPunct/>
              <w:topLinePunct w:val="0"/>
              <w:bidi w:val="0"/>
              <w:snapToGrid/>
              <w:spacing w:line="260" w:lineRule="exact"/>
              <w:ind w:left="0" w:leftChars="0"/>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）拟委任项目经理和项目总工的安全生产考核合格证书（</w:t>
            </w:r>
            <w:r>
              <w:rPr>
                <w:rFonts w:hint="eastAsia" w:ascii="宋体" w:hAnsi="宋体" w:eastAsia="宋体" w:cs="宋体"/>
                <w:color w:val="auto"/>
                <w:szCs w:val="21"/>
                <w:lang w:val="en-US" w:eastAsia="zh-CN"/>
              </w:rPr>
              <w:t>B类</w:t>
            </w:r>
            <w:r>
              <w:rPr>
                <w:rFonts w:hint="eastAsia" w:ascii="宋体" w:hAnsi="宋体" w:eastAsia="宋体" w:cs="宋体"/>
                <w:color w:val="auto"/>
                <w:szCs w:val="21"/>
                <w:lang w:eastAsia="zh-CN"/>
              </w:rPr>
              <w:t>）的扫描件应与投标人名称一致，否则资格审查不予通过。</w:t>
            </w:r>
            <w:r>
              <w:rPr>
                <w:rFonts w:hint="eastAsia" w:ascii="宋体" w:hAnsi="宋体" w:eastAsia="宋体" w:cs="宋体"/>
                <w:color w:val="auto"/>
                <w:szCs w:val="21"/>
                <w:lang w:val="en-US" w:eastAsia="zh-CN"/>
              </w:rPr>
              <w:t xml:space="preserve">                  </w:t>
            </w:r>
          </w:p>
          <w:p>
            <w:pPr>
              <w:keepNext w:val="0"/>
              <w:keepLines w:val="0"/>
              <w:pageBreakBefore w:val="0"/>
              <w:kinsoku/>
              <w:wordWrap/>
              <w:overflowPunct/>
              <w:topLinePunct w:val="0"/>
              <w:bidi w:val="0"/>
              <w:snapToGrid/>
              <w:spacing w:line="260" w:lineRule="exact"/>
              <w:ind w:left="0" w:leftChars="0"/>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rPr>
              <w:t>）</w:t>
            </w:r>
            <w:r>
              <w:rPr>
                <w:rFonts w:hint="eastAsia" w:ascii="宋体" w:hAnsi="宋体" w:eastAsia="宋体" w:cs="宋体"/>
                <w:color w:val="auto"/>
                <w:szCs w:val="21"/>
                <w:lang w:val="en-US" w:eastAsia="zh-CN"/>
              </w:rPr>
              <w:t>项目经理若曾在其他在建合同工程中担任项目经理但已更换的，应附项目发包人同意更换证明材料，否则更换前后的项目经理均视为在“在建合同工程”。</w:t>
            </w:r>
          </w:p>
          <w:p>
            <w:pPr>
              <w:keepNext w:val="0"/>
              <w:keepLines w:val="0"/>
              <w:pageBreakBefore w:val="0"/>
              <w:kinsoku/>
              <w:wordWrap/>
              <w:overflowPunct/>
              <w:topLinePunct w:val="0"/>
              <w:bidi w:val="0"/>
              <w:snapToGrid/>
              <w:spacing w:line="260" w:lineRule="exact"/>
              <w:ind w:left="0" w:leftChars="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身份证（第二代身份证须双面复印）、资格审查条件所要求的其他相关证书的清晰可辨的扫描件。</w:t>
            </w:r>
          </w:p>
          <w:p>
            <w:pPr>
              <w:keepNext w:val="0"/>
              <w:keepLines w:val="0"/>
              <w:pageBreakBefore w:val="0"/>
              <w:kinsoku/>
              <w:wordWrap/>
              <w:overflowPunct/>
              <w:topLinePunct w:val="0"/>
              <w:bidi w:val="0"/>
              <w:snapToGrid/>
              <w:spacing w:line="260" w:lineRule="exact"/>
              <w:ind w:left="0" w:leftChars="0"/>
              <w:textAlignment w:val="auto"/>
              <w:rPr>
                <w:rFonts w:hint="eastAsia" w:ascii="宋体" w:hAnsi="宋体" w:eastAsia="宋体" w:cs="宋体"/>
                <w:color w:val="auto"/>
                <w:szCs w:val="21"/>
              </w:rPr>
            </w:pPr>
            <w:r>
              <w:rPr>
                <w:rFonts w:hint="eastAsia" w:ascii="宋体" w:hAnsi="宋体" w:eastAsia="宋体" w:cs="宋体"/>
                <w:color w:val="auto"/>
                <w:szCs w:val="21"/>
              </w:rPr>
              <w:t>第 3.5.5 项细化为：</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3.5.5 近 1 年内发生诉讼及仲裁的，中标人应在收到中标通知书签订合同协议书前如实向发包人说明相关情况。</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第 3.5.7 项细化为：</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3.5.7 投标人在投标文件中填报的项目经理和项目总工不允许更换。</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第 3.5.8 项细化为：</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 xml:space="preserve">3.5.8 发包人有权核查投标人在投标文件中提供的材料，若在评标期间发现投标人提供了虚假资料，发包人有权对投标人的投标文件作否决投标处理，其投标保证金不予退还；若在评标结果公示期间发现作为中标候选人的投标人提供了虚假资料，发包人有权取消其中标资格，其投标保证金不予退还；若在合同实施期间发现投标人提供了虚假资料，发包人有权从合同价款或履约担保中扣除不超过 </w:t>
            </w:r>
            <w:r>
              <w:rPr>
                <w:rFonts w:hint="eastAsia" w:ascii="宋体" w:hAnsi="宋体" w:eastAsia="宋体" w:cs="宋体"/>
                <w:color w:val="auto"/>
                <w:szCs w:val="21"/>
                <w:lang w:val="en-US" w:eastAsia="zh-CN"/>
              </w:rPr>
              <w:t>2</w:t>
            </w:r>
            <w:r>
              <w:rPr>
                <w:rFonts w:hint="eastAsia" w:ascii="宋体" w:hAnsi="宋体" w:eastAsia="宋体" w:cs="宋体"/>
                <w:color w:val="auto"/>
                <w:szCs w:val="21"/>
              </w:rPr>
              <w:t>%签约合同价的金额作为违约金。同时发包人将投标人以上弄虚作假行为上报省级交通运输主管部门，作为不良记录纳入浙江省交通运输厅建设市场诚信信息系统和信用评价管理系统。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pStyle w:val="142"/>
              <w:kinsoku w:val="0"/>
              <w:overflowPunct w:val="0"/>
              <w:spacing w:beforeLines="0" w:afterLines="0" w:line="300" w:lineRule="exact"/>
              <w:jc w:val="center"/>
              <w:rPr>
                <w:rFonts w:hint="eastAsia" w:ascii="宋体" w:hAnsi="宋体" w:eastAsia="宋体" w:cs="宋体"/>
                <w:color w:val="auto"/>
                <w:szCs w:val="21"/>
              </w:rPr>
            </w:pPr>
            <w:r>
              <w:rPr>
                <w:rFonts w:hint="eastAsia" w:hAnsi="宋体"/>
                <w:color w:val="auto"/>
                <w:sz w:val="21"/>
              </w:rPr>
              <w:t>3.7</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pStyle w:val="142"/>
              <w:kinsoku w:val="0"/>
              <w:overflowPunct w:val="0"/>
              <w:spacing w:beforeLines="0" w:afterLines="0" w:line="340" w:lineRule="exact"/>
              <w:ind w:left="54" w:leftChars="0"/>
              <w:jc w:val="both"/>
              <w:rPr>
                <w:rFonts w:hint="eastAsia" w:ascii="宋体" w:hAnsi="宋体" w:eastAsia="宋体" w:cs="宋体"/>
                <w:color w:val="auto"/>
                <w:szCs w:val="21"/>
              </w:rPr>
            </w:pPr>
            <w:r>
              <w:rPr>
                <w:rFonts w:hint="eastAsia" w:hAnsi="宋体"/>
                <w:b/>
                <w:color w:val="auto"/>
                <w:sz w:val="21"/>
              </w:rPr>
              <w:t>电子投标文件编制</w:t>
            </w:r>
          </w:p>
        </w:tc>
        <w:tc>
          <w:tcPr>
            <w:tcW w:w="6804" w:type="dxa"/>
            <w:tcBorders>
              <w:top w:val="single" w:color="000000" w:sz="6" w:space="0"/>
              <w:left w:val="single" w:color="000000" w:sz="6" w:space="0"/>
              <w:bottom w:val="single" w:color="000000" w:sz="6" w:space="0"/>
              <w:right w:val="single" w:color="000000" w:sz="12" w:space="0"/>
            </w:tcBorders>
            <w:vAlign w:val="center"/>
          </w:tcPr>
          <w:p>
            <w:pPr>
              <w:spacing w:beforeLines="0" w:afterLines="0" w:line="360" w:lineRule="exact"/>
              <w:ind w:firstLine="315" w:firstLineChars="150"/>
              <w:jc w:val="both"/>
              <w:rPr>
                <w:rFonts w:hint="eastAsia"/>
                <w:color w:val="auto"/>
                <w:sz w:val="21"/>
              </w:rPr>
            </w:pPr>
            <w:r>
              <w:rPr>
                <w:rFonts w:hint="eastAsia"/>
                <w:color w:val="auto"/>
                <w:sz w:val="21"/>
              </w:rPr>
              <w:t>本工程的投标文件必须使用投标工具安装程序</w:t>
            </w:r>
            <w:r>
              <w:rPr>
                <w:rFonts w:hint="eastAsia"/>
                <w:color w:val="auto"/>
                <w:spacing w:val="6"/>
                <w:sz w:val="21"/>
              </w:rPr>
              <w:t>（</w:t>
            </w:r>
            <w:r>
              <w:rPr>
                <w:rFonts w:hint="eastAsia"/>
                <w:color w:val="auto"/>
                <w:spacing w:val="3"/>
                <w:sz w:val="21"/>
              </w:rPr>
              <w:t>三门投标编制</w:t>
            </w:r>
            <w:r>
              <w:rPr>
                <w:rFonts w:hint="eastAsia"/>
                <w:color w:val="auto"/>
                <w:w w:val="84"/>
                <w:sz w:val="21"/>
              </w:rPr>
              <w:t>4.0.2.8</w:t>
            </w:r>
            <w:r>
              <w:rPr>
                <w:rFonts w:hint="eastAsia"/>
                <w:color w:val="auto"/>
                <w:sz w:val="21"/>
              </w:rPr>
              <w:t>版</w:t>
            </w:r>
            <w:r>
              <w:rPr>
                <w:rFonts w:hint="eastAsia"/>
                <w:color w:val="auto"/>
                <w:spacing w:val="7"/>
                <w:sz w:val="21"/>
              </w:rPr>
              <w:t xml:space="preserve">本 </w:t>
            </w:r>
            <w:r>
              <w:rPr>
                <w:rFonts w:hint="eastAsia"/>
                <w:color w:val="auto"/>
                <w:sz w:val="21"/>
              </w:rPr>
              <w:t>） 编 制 ， 下 载 地 址 及 “ 建 设 工 程 电 子 投 标 编 制 操 作 手 册 ” 见</w:t>
            </w:r>
            <w:r>
              <w:rPr>
                <w:rFonts w:hint="eastAsia"/>
                <w:color w:val="auto"/>
                <w:sz w:val="21"/>
              </w:rPr>
              <w:fldChar w:fldCharType="begin"/>
            </w:r>
            <w:r>
              <w:rPr>
                <w:rFonts w:hint="eastAsia"/>
                <w:color w:val="auto"/>
                <w:sz w:val="21"/>
              </w:rPr>
              <w:instrText xml:space="preserve"> HYPERLINK "https://www.smxtb.com/Down" </w:instrText>
            </w:r>
            <w:r>
              <w:rPr>
                <w:rFonts w:hint="eastAsia"/>
                <w:color w:val="auto"/>
                <w:sz w:val="21"/>
              </w:rPr>
              <w:fldChar w:fldCharType="separate"/>
            </w:r>
            <w:r>
              <w:rPr>
                <w:rStyle w:val="59"/>
                <w:rFonts w:hint="eastAsia"/>
                <w:color w:val="auto"/>
                <w:sz w:val="21"/>
              </w:rPr>
              <w:t>https://www.smxtb.com/Down</w:t>
            </w:r>
            <w:r>
              <w:rPr>
                <w:rStyle w:val="59"/>
                <w:rFonts w:hint="eastAsia"/>
                <w:color w:val="auto"/>
                <w:sz w:val="21"/>
              </w:rPr>
              <w:fldChar w:fldCharType="end"/>
            </w:r>
            <w:r>
              <w:rPr>
                <w:rFonts w:hint="eastAsia"/>
                <w:color w:val="auto"/>
                <w:sz w:val="21"/>
              </w:rPr>
              <w:t xml:space="preserve"> load。</w:t>
            </w:r>
          </w:p>
          <w:p>
            <w:pPr>
              <w:spacing w:beforeLines="0" w:afterLines="0" w:line="360" w:lineRule="exact"/>
              <w:jc w:val="both"/>
              <w:rPr>
                <w:rFonts w:hint="eastAsia"/>
                <w:color w:val="auto"/>
                <w:sz w:val="21"/>
              </w:rPr>
            </w:pPr>
            <w:r>
              <w:rPr>
                <w:rFonts w:hint="eastAsia"/>
                <w:color w:val="auto"/>
                <w:spacing w:val="8"/>
                <w:sz w:val="21"/>
              </w:rPr>
              <w:t>电子投标文件的编制和递交，应依照招标</w:t>
            </w:r>
            <w:r>
              <w:rPr>
                <w:rFonts w:hint="eastAsia"/>
                <w:color w:val="auto"/>
                <w:sz w:val="21"/>
              </w:rPr>
              <w:t>文件的规定进行。如未按招标文件要求编制、递交电子投标文件，将可能导致无效标，其后果由投标人自负。投标工具的开发商可根据投标人的要求，提供必要的培训和技术指导。</w:t>
            </w:r>
          </w:p>
          <w:p>
            <w:pPr>
              <w:spacing w:beforeLines="0" w:afterLines="0" w:line="360" w:lineRule="exact"/>
              <w:jc w:val="both"/>
              <w:rPr>
                <w:rFonts w:hint="eastAsia"/>
                <w:color w:val="auto"/>
                <w:sz w:val="21"/>
              </w:rPr>
            </w:pPr>
            <w:r>
              <w:rPr>
                <w:rFonts w:hint="eastAsia"/>
                <w:color w:val="auto"/>
                <w:sz w:val="21"/>
              </w:rPr>
              <w:t>投标工具开发商：杭州品茗信息技术有限公司</w:t>
            </w:r>
          </w:p>
          <w:p>
            <w:pPr>
              <w:spacing w:beforeLines="0" w:afterLines="0" w:line="360" w:lineRule="exact"/>
              <w:jc w:val="both"/>
              <w:rPr>
                <w:rFonts w:hint="eastAsia"/>
                <w:color w:val="auto"/>
              </w:rPr>
            </w:pPr>
            <w:r>
              <w:rPr>
                <w:rFonts w:hint="eastAsia"/>
                <w:color w:val="auto"/>
                <w:sz w:val="21"/>
              </w:rPr>
              <w:t>联系电话：章宏涛 13968512856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4.2</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投标文件的递交</w:t>
            </w:r>
          </w:p>
        </w:tc>
        <w:tc>
          <w:tcPr>
            <w:tcW w:w="6804" w:type="dxa"/>
            <w:tcBorders>
              <w:top w:val="single" w:color="000000" w:sz="6" w:space="0"/>
              <w:left w:val="single" w:color="000000" w:sz="6" w:space="0"/>
              <w:bottom w:val="single" w:color="000000" w:sz="6" w:space="0"/>
              <w:right w:val="single" w:color="000000" w:sz="12" w:space="0"/>
            </w:tcBorders>
            <w:vAlign w:val="center"/>
          </w:tcPr>
          <w:p>
            <w:pPr>
              <w:pStyle w:val="6"/>
              <w:adjustRightInd w:val="0"/>
              <w:snapToGrid w:val="0"/>
              <w:rPr>
                <w:color w:val="auto"/>
              </w:rPr>
            </w:pPr>
            <w:r>
              <w:rPr>
                <w:color w:val="auto"/>
              </w:rPr>
              <w:t>1、</w:t>
            </w:r>
            <w:r>
              <w:rPr>
                <w:rFonts w:hint="eastAsia"/>
                <w:b/>
                <w:bCs/>
                <w:color w:val="auto"/>
              </w:rPr>
              <w:t>本项目采用不见面开标形式，</w:t>
            </w:r>
            <w:r>
              <w:rPr>
                <w:b/>
                <w:bCs/>
                <w:color w:val="auto"/>
              </w:rPr>
              <w:t>投标人</w:t>
            </w:r>
            <w:r>
              <w:rPr>
                <w:rFonts w:hint="eastAsia"/>
                <w:b/>
                <w:bCs/>
                <w:color w:val="auto"/>
              </w:rPr>
              <w:t>无需到开标现场</w:t>
            </w:r>
            <w:r>
              <w:rPr>
                <w:rFonts w:hint="eastAsia"/>
                <w:color w:val="auto"/>
              </w:rPr>
              <w:t>，</w:t>
            </w:r>
            <w:r>
              <w:rPr>
                <w:color w:val="auto"/>
              </w:rPr>
              <w:t>电子投标文件</w:t>
            </w:r>
            <w:r>
              <w:rPr>
                <w:rFonts w:hint="eastAsia"/>
                <w:color w:val="auto"/>
              </w:rPr>
              <w:t>上传至</w:t>
            </w:r>
            <w:r>
              <w:rPr>
                <w:color w:val="auto"/>
              </w:rPr>
              <w:t>三门县工程建设电子交易平台</w:t>
            </w:r>
            <w:r>
              <w:rPr>
                <w:rFonts w:hint="eastAsia"/>
                <w:color w:val="auto"/>
              </w:rPr>
              <w:t>（步骤如下），投标截止时间后对加密的投标文件进行远程解密，如远程解密遇有问题的请联系章宏涛13968512856。</w:t>
            </w:r>
          </w:p>
          <w:p>
            <w:pPr>
              <w:pStyle w:val="6"/>
              <w:adjustRightInd w:val="0"/>
              <w:snapToGrid w:val="0"/>
              <w:ind w:firstLine="422"/>
              <w:rPr>
                <w:rFonts w:eastAsia="黑体"/>
                <w:b/>
                <w:color w:val="auto"/>
              </w:rPr>
            </w:pPr>
            <w:r>
              <w:rPr>
                <w:rFonts w:eastAsia="黑体"/>
                <w:b/>
                <w:color w:val="auto"/>
              </w:rPr>
              <w:t>2.电子投标文件上传步骤：</w:t>
            </w:r>
          </w:p>
          <w:p>
            <w:pPr>
              <w:pStyle w:val="6"/>
              <w:adjustRightInd w:val="0"/>
              <w:snapToGrid w:val="0"/>
              <w:rPr>
                <w:color w:val="auto"/>
              </w:rPr>
            </w:pPr>
            <w:r>
              <w:rPr>
                <w:color w:val="auto"/>
              </w:rPr>
              <w:t>1) 登录三门县工程建设电子交易平台（网址：</w:t>
            </w:r>
            <w:r>
              <w:rPr>
                <w:rFonts w:hint="eastAsia"/>
                <w:color w:val="auto"/>
                <w:lang w:eastAsia="zh-CN"/>
              </w:rPr>
              <w:t>http://jyzx.sanmen.gov.cn</w:t>
            </w:r>
            <w:r>
              <w:rPr>
                <w:color w:val="auto"/>
              </w:rPr>
              <w:t>）</w:t>
            </w:r>
            <w:r>
              <w:rPr>
                <w:rFonts w:hint="eastAsia"/>
                <w:color w:val="auto"/>
              </w:rPr>
              <w:t>；</w:t>
            </w:r>
          </w:p>
          <w:p>
            <w:pPr>
              <w:pStyle w:val="6"/>
              <w:adjustRightInd w:val="0"/>
              <w:snapToGrid w:val="0"/>
              <w:rPr>
                <w:color w:val="auto"/>
              </w:rPr>
            </w:pPr>
            <w:r>
              <w:rPr>
                <w:color w:val="auto"/>
              </w:rPr>
              <w:t>2)</w:t>
            </w:r>
            <w:r>
              <w:rPr>
                <w:rFonts w:hint="eastAsia" w:ascii="宋体" w:hAnsi="宋体" w:cs="宋体"/>
                <w:color w:val="auto"/>
                <w:kern w:val="0"/>
                <w:szCs w:val="21"/>
                <w:lang w:bidi="ar"/>
              </w:rPr>
              <w:t xml:space="preserve"> 须先在电子交易系统中下载投标项目招标文件，后在</w:t>
            </w:r>
            <w:r>
              <w:rPr>
                <w:rFonts w:ascii="Calibri" w:hAnsi="Calibri" w:cs="Calibri"/>
                <w:color w:val="auto"/>
                <w:kern w:val="0"/>
                <w:szCs w:val="21"/>
                <w:lang w:bidi="ar"/>
              </w:rPr>
              <w:t xml:space="preserve"> “</w:t>
            </w:r>
            <w:r>
              <w:rPr>
                <w:rFonts w:hint="eastAsia" w:ascii="宋体" w:hAnsi="宋体" w:cs="宋体"/>
                <w:color w:val="auto"/>
                <w:kern w:val="0"/>
                <w:szCs w:val="21"/>
                <w:lang w:bidi="ar"/>
              </w:rPr>
              <w:t>我的待办</w:t>
            </w:r>
            <w:r>
              <w:rPr>
                <w:rFonts w:ascii="Calibri" w:hAnsi="Calibri" w:cs="Calibri"/>
                <w:color w:val="auto"/>
                <w:kern w:val="0"/>
                <w:szCs w:val="21"/>
                <w:lang w:bidi="ar"/>
              </w:rPr>
              <w:t>”</w:t>
            </w:r>
            <w:r>
              <w:rPr>
                <w:rFonts w:hint="eastAsia" w:ascii="Calibri" w:hAnsi="Calibri" w:cs="Calibri"/>
                <w:color w:val="auto"/>
                <w:kern w:val="0"/>
                <w:szCs w:val="21"/>
                <w:lang w:bidi="ar"/>
              </w:rPr>
              <w:t>，</w:t>
            </w:r>
            <w:r>
              <w:rPr>
                <w:rFonts w:hint="eastAsia"/>
                <w:color w:val="auto"/>
              </w:rPr>
              <w:t>选择投标项目，</w:t>
            </w:r>
            <w:r>
              <w:rPr>
                <w:color w:val="auto"/>
              </w:rPr>
              <w:t>点击“上传标书</w:t>
            </w:r>
            <w:r>
              <w:rPr>
                <w:rFonts w:hint="eastAsia"/>
                <w:color w:val="auto"/>
              </w:rPr>
              <w:t>（后缀名.已加密投标文件）</w:t>
            </w:r>
            <w:r>
              <w:rPr>
                <w:color w:val="auto"/>
              </w:rPr>
              <w:t>”</w:t>
            </w:r>
            <w:r>
              <w:rPr>
                <w:rFonts w:hint="eastAsia"/>
                <w:color w:val="auto"/>
              </w:rPr>
              <w:t xml:space="preserve"> 并保存。</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b/>
                <w:bCs/>
                <w:color w:val="auto"/>
                <w:szCs w:val="21"/>
              </w:rPr>
            </w:pPr>
            <w:r>
              <w:rPr>
                <w:rFonts w:hint="eastAsia"/>
                <w:color w:val="auto"/>
              </w:rPr>
              <w:t>投标人应在投标截止时间前上传完成电子投标文件。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5.2</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开标程序</w:t>
            </w:r>
          </w:p>
        </w:tc>
        <w:tc>
          <w:tcPr>
            <w:tcW w:w="6804" w:type="dxa"/>
            <w:tcBorders>
              <w:top w:val="single" w:color="000000" w:sz="6" w:space="0"/>
              <w:left w:val="single" w:color="000000" w:sz="6" w:space="0"/>
              <w:bottom w:val="single" w:color="000000" w:sz="6" w:space="0"/>
              <w:right w:val="single" w:color="000000" w:sz="12" w:space="0"/>
            </w:tcBorders>
            <w:vAlign w:val="center"/>
          </w:tcPr>
          <w:p>
            <w:pPr>
              <w:pStyle w:val="142"/>
              <w:spacing w:line="242" w:lineRule="auto"/>
              <w:ind w:left="114" w:right="95" w:firstLine="439"/>
              <w:rPr>
                <w:color w:val="auto"/>
                <w:sz w:val="22"/>
              </w:rPr>
            </w:pPr>
            <w:r>
              <w:rPr>
                <w:color w:val="auto"/>
                <w:sz w:val="22"/>
              </w:rPr>
              <w:t>1</w:t>
            </w:r>
            <w:r>
              <w:rPr>
                <w:color w:val="auto"/>
                <w:spacing w:val="-3"/>
                <w:sz w:val="22"/>
              </w:rPr>
              <w:t>、本项目采用不见面开标形式，所有投标人的法定代表人或委托代理人在开标当日（</w:t>
            </w:r>
            <w:r>
              <w:rPr>
                <w:color w:val="auto"/>
                <w:spacing w:val="-2"/>
                <w:sz w:val="22"/>
              </w:rPr>
              <w:t>投标截止时间前</w:t>
            </w:r>
            <w:r>
              <w:rPr>
                <w:color w:val="auto"/>
                <w:spacing w:val="-3"/>
                <w:sz w:val="22"/>
              </w:rPr>
              <w:t>）登录三门县公共资源交易不见面开标大厅</w:t>
            </w:r>
            <w:r>
              <w:rPr>
                <w:color w:val="auto"/>
                <w:spacing w:val="-1"/>
                <w:sz w:val="22"/>
              </w:rPr>
              <w:t>并签到，</w:t>
            </w:r>
            <w:r>
              <w:rPr>
                <w:rFonts w:hint="eastAsia" w:ascii="Microsoft JhengHei" w:eastAsia="Microsoft JhengHei"/>
                <w:b/>
                <w:color w:val="auto"/>
                <w:spacing w:val="-3"/>
                <w:sz w:val="22"/>
              </w:rPr>
              <w:t>未完成签到的，将无法解密投标文件，并视为放弃投标</w:t>
            </w:r>
            <w:r>
              <w:rPr>
                <w:color w:val="auto"/>
                <w:spacing w:val="-3"/>
                <w:sz w:val="22"/>
              </w:rPr>
              <w:t>。不见面开</w:t>
            </w:r>
            <w:r>
              <w:rPr>
                <w:color w:val="auto"/>
                <w:spacing w:val="-2"/>
                <w:sz w:val="22"/>
              </w:rPr>
              <w:t>标大厅系统登录：插入</w:t>
            </w:r>
            <w:r>
              <w:rPr>
                <w:color w:val="auto"/>
                <w:spacing w:val="-3"/>
                <w:sz w:val="22"/>
              </w:rPr>
              <w:t>CA锁并登录交易系统—业务办理—开评标—进入不见</w:t>
            </w:r>
            <w:r>
              <w:rPr>
                <w:color w:val="auto"/>
                <w:sz w:val="22"/>
              </w:rPr>
              <w:t>面开标系统。</w:t>
            </w:r>
          </w:p>
          <w:p>
            <w:pPr>
              <w:pStyle w:val="142"/>
              <w:spacing w:before="4" w:line="242" w:lineRule="auto"/>
              <w:ind w:left="114" w:right="203" w:firstLine="439"/>
              <w:rPr>
                <w:color w:val="auto"/>
                <w:sz w:val="22"/>
              </w:rPr>
            </w:pPr>
            <w:r>
              <w:rPr>
                <w:color w:val="auto"/>
                <w:sz w:val="22"/>
              </w:rPr>
              <w:t>2、招标代理开启不见面开标系统视频直播，开标全过程录像由三门县公共资源交易中心录制保存备查。</w:t>
            </w:r>
          </w:p>
          <w:p>
            <w:pPr>
              <w:pStyle w:val="142"/>
              <w:spacing w:before="2" w:line="242" w:lineRule="auto"/>
              <w:ind w:left="114" w:right="95" w:firstLine="439"/>
              <w:rPr>
                <w:color w:val="auto"/>
                <w:sz w:val="22"/>
              </w:rPr>
            </w:pPr>
            <w:r>
              <w:rPr>
                <w:color w:val="auto"/>
                <w:sz w:val="22"/>
              </w:rPr>
              <w:t>3、投标截止时间到达后，各投标人自行在不见面开标系统对电子投标文件进行解密，投标文件解密时间为40分钟（时间以招标人或招标代理机构确定“开始解密”时开始计算），逾期未解密的视为投标人放弃投标。</w:t>
            </w:r>
          </w:p>
          <w:p>
            <w:pPr>
              <w:pStyle w:val="142"/>
              <w:spacing w:before="5"/>
              <w:ind w:left="554"/>
              <w:rPr>
                <w:color w:val="auto"/>
                <w:sz w:val="22"/>
              </w:rPr>
            </w:pPr>
            <w:r>
              <w:rPr>
                <w:color w:val="auto"/>
                <w:sz w:val="22"/>
              </w:rPr>
              <w:t>4、招标代理现场公布解密投标人投标文件情况。</w:t>
            </w:r>
          </w:p>
          <w:p>
            <w:pPr>
              <w:pStyle w:val="142"/>
              <w:spacing w:before="4" w:line="242" w:lineRule="auto"/>
              <w:ind w:left="114" w:right="203" w:firstLine="439"/>
              <w:rPr>
                <w:color w:val="auto"/>
                <w:sz w:val="22"/>
              </w:rPr>
            </w:pPr>
            <w:r>
              <w:rPr>
                <w:color w:val="auto"/>
                <w:sz w:val="22"/>
              </w:rPr>
              <w:t>5、评标委员会根据招标文件规定的程序及方法对投标文件进行评审。每个环节评审结果招标代理均在不见面开标大厅宣布。</w:t>
            </w:r>
          </w:p>
          <w:p>
            <w:pPr>
              <w:pStyle w:val="142"/>
              <w:spacing w:before="2" w:line="242" w:lineRule="auto"/>
              <w:ind w:left="114" w:right="203" w:firstLine="439"/>
              <w:rPr>
                <w:color w:val="auto"/>
                <w:sz w:val="22"/>
              </w:rPr>
            </w:pPr>
            <w:r>
              <w:rPr>
                <w:color w:val="auto"/>
                <w:sz w:val="22"/>
              </w:rPr>
              <w:t>6、招标人代表现场抽取调整系数，抽取过程在不见面开标系统同步直播，接受招标监管机构人员监管。</w:t>
            </w:r>
          </w:p>
          <w:p>
            <w:pPr>
              <w:pStyle w:val="142"/>
              <w:spacing w:before="1" w:line="244" w:lineRule="auto"/>
              <w:ind w:left="114" w:right="95" w:firstLine="439"/>
              <w:rPr>
                <w:color w:val="auto"/>
                <w:sz w:val="22"/>
              </w:rPr>
            </w:pPr>
            <w:r>
              <w:rPr>
                <w:color w:val="auto"/>
                <w:sz w:val="22"/>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pPr>
              <w:pStyle w:val="142"/>
              <w:spacing w:before="18" w:line="201" w:lineRule="auto"/>
              <w:ind w:left="270" w:right="150"/>
              <w:rPr>
                <w:rFonts w:ascii="宋体" w:hAnsi="宋体" w:eastAsia="宋体" w:cs="宋体"/>
                <w:color w:val="auto"/>
                <w:szCs w:val="21"/>
              </w:rPr>
            </w:pPr>
            <w:r>
              <w:rPr>
                <w:rFonts w:hint="eastAsia" w:ascii="Microsoft JhengHei" w:eastAsia="Microsoft JhengHei"/>
                <w:b/>
                <w:color w:val="auto"/>
                <w:spacing w:val="-3"/>
                <w:sz w:val="22"/>
              </w:rPr>
              <w:t>注：若有异常情况或疑问的，可通过不见面开标</w:t>
            </w:r>
            <w:r>
              <w:rPr>
                <w:rFonts w:hint="eastAsia" w:ascii="Microsoft JhengHei" w:eastAsia="宋体"/>
                <w:b/>
                <w:color w:val="auto"/>
                <w:spacing w:val="-3"/>
                <w:sz w:val="22"/>
                <w:lang w:val="en-US" w:eastAsia="zh-CN"/>
              </w:rPr>
              <w:t>系</w:t>
            </w:r>
            <w:r>
              <w:rPr>
                <w:rFonts w:hint="eastAsia" w:ascii="Microsoft JhengHei" w:eastAsia="Microsoft JhengHei"/>
                <w:b/>
                <w:color w:val="auto"/>
                <w:spacing w:val="-3"/>
                <w:sz w:val="22"/>
              </w:rPr>
              <w:t>统音视频交互跟开标人</w:t>
            </w:r>
            <w:r>
              <w:rPr>
                <w:rFonts w:hint="eastAsia" w:ascii="Microsoft JhengHei" w:eastAsia="Microsoft JhengHei"/>
                <w:b/>
                <w:color w:val="auto"/>
                <w:spacing w:val="-3"/>
                <w:w w:val="95"/>
                <w:sz w:val="22"/>
              </w:rPr>
              <w:t>联</w:t>
            </w:r>
            <w:r>
              <w:rPr>
                <w:rFonts w:hint="eastAsia" w:ascii="Microsoft JhengHei" w:eastAsia="宋体"/>
                <w:b/>
                <w:color w:val="auto"/>
                <w:spacing w:val="-3"/>
                <w:w w:val="95"/>
                <w:sz w:val="22"/>
                <w:lang w:eastAsia="zh-CN"/>
              </w:rPr>
              <w:t>系</w:t>
            </w:r>
            <w:r>
              <w:rPr>
                <w:rFonts w:hint="eastAsia" w:ascii="Microsoft JhengHei" w:eastAsia="Microsoft JhengHei"/>
                <w:b/>
                <w:color w:val="auto"/>
                <w:spacing w:val="-3"/>
                <w:w w:val="95"/>
                <w:sz w:val="22"/>
              </w:rPr>
              <w:t>或及时咨询品茗公司，技术服务电话：章宏涛，</w:t>
            </w:r>
            <w:r>
              <w:rPr>
                <w:rFonts w:hint="eastAsia" w:ascii="Microsoft JhengHei" w:eastAsia="Microsoft JhengHei"/>
                <w:b/>
                <w:color w:val="auto"/>
                <w:w w:val="95"/>
                <w:sz w:val="22"/>
              </w:rPr>
              <w:t>13968512856，也</w:t>
            </w:r>
            <w:r>
              <w:rPr>
                <w:rFonts w:hint="eastAsia" w:ascii="Microsoft JhengHei" w:hAnsi="Microsoft JhengHei" w:eastAsia="Microsoft JhengHei"/>
                <w:b/>
                <w:color w:val="auto"/>
                <w:w w:val="95"/>
                <w:sz w:val="22"/>
              </w:rPr>
              <w:t>可加入QQ</w:t>
            </w:r>
            <w:r>
              <w:rPr>
                <w:rFonts w:hint="eastAsia" w:ascii="Microsoft JhengHei" w:hAnsi="Microsoft JhengHei" w:eastAsia="Microsoft JhengHei"/>
                <w:b/>
                <w:color w:val="auto"/>
                <w:spacing w:val="-3"/>
                <w:w w:val="95"/>
                <w:sz w:val="22"/>
              </w:rPr>
              <w:t>“三门交易平台交流群</w:t>
            </w:r>
            <w:r>
              <w:rPr>
                <w:rFonts w:hint="eastAsia" w:ascii="Microsoft JhengHei" w:hAnsi="Microsoft JhengHei" w:eastAsia="Microsoft JhengHei"/>
                <w:b/>
                <w:color w:val="auto"/>
                <w:w w:val="95"/>
                <w:sz w:val="22"/>
              </w:rPr>
              <w:t>”（</w:t>
            </w:r>
            <w:r>
              <w:rPr>
                <w:rFonts w:hint="eastAsia" w:ascii="Microsoft JhengHei" w:hAnsi="Microsoft JhengHei" w:eastAsia="Microsoft JhengHei"/>
                <w:b/>
                <w:color w:val="auto"/>
                <w:spacing w:val="-2"/>
                <w:w w:val="95"/>
                <w:sz w:val="22"/>
              </w:rPr>
              <w:t>群号：</w:t>
            </w:r>
            <w:r>
              <w:rPr>
                <w:rFonts w:hint="eastAsia" w:ascii="Microsoft JhengHei" w:hAnsi="Microsoft JhengHei" w:eastAsia="Microsoft JhengHei"/>
                <w:b/>
                <w:color w:val="auto"/>
                <w:w w:val="95"/>
                <w:sz w:val="22"/>
              </w:rPr>
              <w:t>146117595）</w:t>
            </w:r>
            <w:r>
              <w:rPr>
                <w:rFonts w:hint="eastAsia" w:ascii="Microsoft JhengHei" w:hAnsi="Microsoft JhengHei" w:eastAsia="Microsoft JhengHei"/>
                <w:b/>
                <w:color w:val="auto"/>
                <w:spacing w:val="-1"/>
                <w:w w:val="95"/>
                <w:sz w:val="22"/>
              </w:rPr>
              <w:t>进行业务咨询。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6.3</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评标</w:t>
            </w:r>
          </w:p>
        </w:tc>
        <w:tc>
          <w:tcPr>
            <w:tcW w:w="6804"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本款补充：</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凡评标委员会拟作出否决投标决定的，应先向投标人进行询问核实。未进行询问核实程序的，不得做出否决投标决定（投标人所留联系方式无法联系上、在限定时间内投标人不参加询问核实或未出具答复意见的除外）。</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第三章“评标办法”中规定的否决投标情形，由评标委员会审核并经过询标程序，其投标文件作否决处理。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7.1</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定标方式</w:t>
            </w:r>
          </w:p>
        </w:tc>
        <w:tc>
          <w:tcPr>
            <w:tcW w:w="6804"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第 7.1 款细化为：</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除投标人须知前附表规定评标委员会直接确定中标人外，发包人依据评标委员会推荐的中标候选人经公示后确定中标人，并报经交通主管部门备案；评标委员会推荐中标候选人的人数见投标人须知前附表。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7.2</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中标通知</w:t>
            </w:r>
          </w:p>
        </w:tc>
        <w:tc>
          <w:tcPr>
            <w:tcW w:w="6804"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第7.2款细化为：</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　　在本章第3.3款规定的投标有效期内，并报经相关主管部门备案后，发包人以书面形式向中标人发出中标通知书，</w:t>
            </w:r>
            <w:r>
              <w:rPr>
                <w:rFonts w:hint="eastAsia" w:ascii="宋体" w:hAnsi="宋体" w:eastAsia="宋体" w:cs="宋体"/>
                <w:color w:val="auto"/>
                <w:szCs w:val="21"/>
                <w:lang w:val="zh-CN"/>
              </w:rPr>
              <w:t>同时将中标结果在三门县公共资源交易中心网站上发布，不再另行书面通知未中标的投标人</w:t>
            </w:r>
            <w:r>
              <w:rPr>
                <w:rFonts w:hint="eastAsia" w:ascii="宋体" w:hAnsi="宋体" w:eastAsia="宋体" w:cs="宋体"/>
                <w:color w:val="auto"/>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7.3</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履约担保</w:t>
            </w:r>
          </w:p>
        </w:tc>
        <w:tc>
          <w:tcPr>
            <w:tcW w:w="6804"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35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第 7.3.1 项细化为：</w:t>
            </w:r>
          </w:p>
          <w:p>
            <w:pPr>
              <w:keepNext w:val="0"/>
              <w:keepLines w:val="0"/>
              <w:pageBreakBefore w:val="0"/>
              <w:widowControl w:val="0"/>
              <w:kinsoku/>
              <w:wordWrap/>
              <w:overflowPunct/>
              <w:topLinePunct w:val="0"/>
              <w:autoSpaceDE/>
              <w:autoSpaceDN/>
              <w:bidi w:val="0"/>
              <w:adjustRightInd/>
              <w:snapToGrid/>
              <w:spacing w:line="350" w:lineRule="exact"/>
              <w:ind w:left="0" w:leftChars="0"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7.3.1 在签订合同协议书、廉政合同、安全生产合同、工程质量责任合同、工程资金监管协议前，中标人应按投标人须知前附表规定的金额、担保形式和招标文件第四章“合同条款及格式”规定的履约担保格式向发包人提交履约担保。联合体中标的，其履约担保由牵头人递交，并应符合投标人须知前附表规定的金额、担保形式和招标文件第四章“合同条款及格式”规定的履约担保格式要求。</w:t>
            </w:r>
          </w:p>
          <w:p>
            <w:pPr>
              <w:keepNext w:val="0"/>
              <w:keepLines w:val="0"/>
              <w:pageBreakBefore w:val="0"/>
              <w:widowControl w:val="0"/>
              <w:kinsoku/>
              <w:wordWrap/>
              <w:overflowPunct/>
              <w:topLinePunct w:val="0"/>
              <w:autoSpaceDE/>
              <w:autoSpaceDN/>
              <w:bidi w:val="0"/>
              <w:adjustRightInd/>
              <w:snapToGrid/>
              <w:spacing w:line="350" w:lineRule="exact"/>
              <w:ind w:left="0" w:leftChars="0"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采用银行保函时，出具银行保函的银行级别在投标人须知前附表中说明，所需的费用由中标人承担，中标人应保证银行保函有效。</w:t>
            </w:r>
          </w:p>
          <w:p>
            <w:pPr>
              <w:keepNext w:val="0"/>
              <w:keepLines w:val="0"/>
              <w:pageBreakBefore w:val="0"/>
              <w:widowControl w:val="0"/>
              <w:kinsoku/>
              <w:wordWrap/>
              <w:overflowPunct/>
              <w:topLinePunct w:val="0"/>
              <w:autoSpaceDE/>
              <w:autoSpaceDN/>
              <w:bidi w:val="0"/>
              <w:adjustRightInd/>
              <w:snapToGrid/>
              <w:spacing w:line="35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第 7.3.2 项细化为：</w:t>
            </w:r>
          </w:p>
          <w:p>
            <w:pPr>
              <w:keepNext w:val="0"/>
              <w:keepLines w:val="0"/>
              <w:pageBreakBefore w:val="0"/>
              <w:widowControl w:val="0"/>
              <w:kinsoku/>
              <w:wordWrap/>
              <w:overflowPunct/>
              <w:topLinePunct w:val="0"/>
              <w:autoSpaceDE/>
              <w:autoSpaceDN/>
              <w:bidi w:val="0"/>
              <w:adjustRightInd/>
              <w:snapToGrid/>
              <w:spacing w:line="35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7.3.2 中标人不能按本章第 7.3.1 项要求提交履约担保的，视为放弃中标，其投标保证金不予退还，给发包人造成的损失超过投标保证金数额的，中标人还应当对超过部分予以赔偿。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7.4</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签订合同</w:t>
            </w:r>
          </w:p>
        </w:tc>
        <w:tc>
          <w:tcPr>
            <w:tcW w:w="6804"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35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第 7.4.1 项细化为：</w:t>
            </w:r>
          </w:p>
          <w:p>
            <w:pPr>
              <w:keepNext w:val="0"/>
              <w:keepLines w:val="0"/>
              <w:pageBreakBefore w:val="0"/>
              <w:widowControl w:val="0"/>
              <w:kinsoku/>
              <w:wordWrap/>
              <w:overflowPunct/>
              <w:topLinePunct w:val="0"/>
              <w:autoSpaceDE/>
              <w:autoSpaceDN/>
              <w:bidi w:val="0"/>
              <w:adjustRightInd/>
              <w:snapToGrid/>
              <w:spacing w:line="35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7.4.1 发包人和中标人应当自中标通知书发出之日起 30 天内，根据招标文件和中标人的投标文件订立书面合同。中标人无正当理由拒签合同的，发包人取消其中标资格，其投标保证金不予退还；给发包人造成的损失超过投标保证金数额的，中标人还应当对超过部分予以赔偿。</w:t>
            </w:r>
          </w:p>
          <w:p>
            <w:pPr>
              <w:keepNext w:val="0"/>
              <w:keepLines w:val="0"/>
              <w:pageBreakBefore w:val="0"/>
              <w:widowControl w:val="0"/>
              <w:kinsoku/>
              <w:wordWrap/>
              <w:overflowPunct/>
              <w:topLinePunct w:val="0"/>
              <w:autoSpaceDE/>
              <w:autoSpaceDN/>
              <w:bidi w:val="0"/>
              <w:adjustRightInd/>
              <w:snapToGrid/>
              <w:spacing w:line="35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第 7.4.2 项细化为：</w:t>
            </w:r>
          </w:p>
          <w:p>
            <w:pPr>
              <w:keepNext w:val="0"/>
              <w:keepLines w:val="0"/>
              <w:pageBreakBefore w:val="0"/>
              <w:widowControl w:val="0"/>
              <w:kinsoku/>
              <w:wordWrap/>
              <w:overflowPunct/>
              <w:topLinePunct w:val="0"/>
              <w:autoSpaceDE/>
              <w:autoSpaceDN/>
              <w:bidi w:val="0"/>
              <w:adjustRightInd/>
              <w:snapToGrid/>
              <w:spacing w:line="35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7.4.2 发出中标通知书后，发包人无正当理由拒签合同的，发包人向中标人退还投标保证金；给中标人造成损失的，还应当赔偿损失。</w:t>
            </w:r>
          </w:p>
          <w:p>
            <w:pPr>
              <w:keepNext w:val="0"/>
              <w:keepLines w:val="0"/>
              <w:pageBreakBefore w:val="0"/>
              <w:widowControl w:val="0"/>
              <w:kinsoku/>
              <w:wordWrap/>
              <w:overflowPunct/>
              <w:topLinePunct w:val="0"/>
              <w:autoSpaceDE/>
              <w:autoSpaceDN/>
              <w:bidi w:val="0"/>
              <w:adjustRightInd/>
              <w:snapToGrid/>
              <w:spacing w:line="35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7.4.3修改为：签约合同价确定原则如下：</w:t>
            </w:r>
          </w:p>
          <w:p>
            <w:pPr>
              <w:keepNext w:val="0"/>
              <w:keepLines w:val="0"/>
              <w:pageBreakBefore w:val="0"/>
              <w:widowControl w:val="0"/>
              <w:kinsoku/>
              <w:wordWrap/>
              <w:overflowPunct/>
              <w:topLinePunct w:val="0"/>
              <w:autoSpaceDE/>
              <w:autoSpaceDN/>
              <w:bidi w:val="0"/>
              <w:adjustRightInd/>
              <w:snapToGrid/>
              <w:spacing w:line="35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签约合同价=招标人预算审核价*（1-评标标底下浮率）</w:t>
            </w:r>
          </w:p>
          <w:p>
            <w:pPr>
              <w:keepNext w:val="0"/>
              <w:keepLines w:val="0"/>
              <w:pageBreakBefore w:val="0"/>
              <w:widowControl w:val="0"/>
              <w:kinsoku/>
              <w:wordWrap/>
              <w:overflowPunct/>
              <w:topLinePunct w:val="0"/>
              <w:autoSpaceDE/>
              <w:autoSpaceDN/>
              <w:bidi w:val="0"/>
              <w:adjustRightInd/>
              <w:snapToGrid/>
              <w:spacing w:line="35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第 7.4.4 项细化为：</w:t>
            </w:r>
          </w:p>
          <w:p>
            <w:pPr>
              <w:keepNext w:val="0"/>
              <w:keepLines w:val="0"/>
              <w:pageBreakBefore w:val="0"/>
              <w:widowControl w:val="0"/>
              <w:kinsoku/>
              <w:wordWrap/>
              <w:overflowPunct/>
              <w:topLinePunct w:val="0"/>
              <w:autoSpaceDE/>
              <w:autoSpaceDN/>
              <w:bidi w:val="0"/>
              <w:adjustRightInd/>
              <w:snapToGrid/>
              <w:spacing w:line="35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7.4.4 合同协议书经双方法定代表人或其授权的代理人签署并加盖单位章后生效。发包人和中标人在签订合同协议书的同时需按照本招标文件规定的格式和要求签订廉政合同、安全生产合同、工程质量责任合同和工程资金监管协议，明确双方在廉政建设、安全生产、工程质量和工程资金监管方面的权利和义务以及应承担的违约责任。</w:t>
            </w:r>
          </w:p>
          <w:p>
            <w:pPr>
              <w:keepNext w:val="0"/>
              <w:keepLines w:val="0"/>
              <w:pageBreakBefore w:val="0"/>
              <w:widowControl w:val="0"/>
              <w:kinsoku/>
              <w:wordWrap/>
              <w:overflowPunct/>
              <w:topLinePunct w:val="0"/>
              <w:autoSpaceDE/>
              <w:autoSpaceDN/>
              <w:bidi w:val="0"/>
              <w:adjustRightInd/>
              <w:snapToGrid/>
              <w:spacing w:line="35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第 7.4.5 项细化为：</w:t>
            </w:r>
          </w:p>
          <w:p>
            <w:pPr>
              <w:keepNext w:val="0"/>
              <w:keepLines w:val="0"/>
              <w:pageBreakBefore w:val="0"/>
              <w:widowControl w:val="0"/>
              <w:kinsoku/>
              <w:wordWrap/>
              <w:overflowPunct/>
              <w:topLinePunct w:val="0"/>
              <w:autoSpaceDE/>
              <w:autoSpaceDN/>
              <w:bidi w:val="0"/>
              <w:adjustRightInd/>
              <w:snapToGrid/>
              <w:spacing w:line="35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7.4.5 如果根据本章第3.5.8 项、第 7.3.2 项或第 7.4.1 项规定，发包人取消了中标人的中标资格，或中标候选人放弃中标、或因不可抗力不能履行合同，或者被查实存在影响中标结果的违法行为等情形，中标候选人不符合中标条件的，发包人按规定重新组织招标。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8.1</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重新招标</w:t>
            </w:r>
          </w:p>
        </w:tc>
        <w:tc>
          <w:tcPr>
            <w:tcW w:w="6804"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35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第8.1款细化为：</w:t>
            </w:r>
          </w:p>
          <w:p>
            <w:pPr>
              <w:keepNext w:val="0"/>
              <w:keepLines w:val="0"/>
              <w:pageBreakBefore w:val="0"/>
              <w:widowControl w:val="0"/>
              <w:kinsoku/>
              <w:wordWrap/>
              <w:overflowPunct/>
              <w:topLinePunct w:val="0"/>
              <w:autoSpaceDE/>
              <w:autoSpaceDN/>
              <w:bidi w:val="0"/>
              <w:adjustRightInd/>
              <w:snapToGrid/>
              <w:spacing w:line="35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有下列情形之一的，发包人将重新招标：</w:t>
            </w:r>
          </w:p>
          <w:p>
            <w:pPr>
              <w:keepNext w:val="0"/>
              <w:keepLines w:val="0"/>
              <w:pageBreakBefore w:val="0"/>
              <w:widowControl w:val="0"/>
              <w:kinsoku/>
              <w:wordWrap/>
              <w:overflowPunct/>
              <w:topLinePunct w:val="0"/>
              <w:autoSpaceDE/>
              <w:autoSpaceDN/>
              <w:bidi w:val="0"/>
              <w:adjustRightInd/>
              <w:snapToGrid/>
              <w:spacing w:line="35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（1）投标截止时间止，投标人少于3个的；</w:t>
            </w:r>
          </w:p>
          <w:p>
            <w:pPr>
              <w:keepNext w:val="0"/>
              <w:keepLines w:val="0"/>
              <w:pageBreakBefore w:val="0"/>
              <w:widowControl w:val="0"/>
              <w:kinsoku/>
              <w:wordWrap/>
              <w:overflowPunct/>
              <w:topLinePunct w:val="0"/>
              <w:autoSpaceDE/>
              <w:autoSpaceDN/>
              <w:bidi w:val="0"/>
              <w:adjustRightInd/>
              <w:snapToGrid/>
              <w:spacing w:line="35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（2）经评标委员会评审后否决所有投标的；</w:t>
            </w:r>
          </w:p>
          <w:p>
            <w:pPr>
              <w:keepNext w:val="0"/>
              <w:keepLines w:val="0"/>
              <w:pageBreakBefore w:val="0"/>
              <w:widowControl w:val="0"/>
              <w:kinsoku/>
              <w:wordWrap/>
              <w:overflowPunct/>
              <w:topLinePunct w:val="0"/>
              <w:autoSpaceDE/>
              <w:autoSpaceDN/>
              <w:bidi w:val="0"/>
              <w:adjustRightInd/>
              <w:snapToGrid/>
              <w:spacing w:line="35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（3）中标候选人未与发包人签订合同的；</w:t>
            </w:r>
          </w:p>
          <w:p>
            <w:pPr>
              <w:keepNext w:val="0"/>
              <w:keepLines w:val="0"/>
              <w:pageBreakBefore w:val="0"/>
              <w:widowControl w:val="0"/>
              <w:kinsoku/>
              <w:wordWrap/>
              <w:overflowPunct/>
              <w:topLinePunct w:val="0"/>
              <w:autoSpaceDE/>
              <w:autoSpaceDN/>
              <w:bidi w:val="0"/>
              <w:adjustRightInd/>
              <w:snapToGrid/>
              <w:spacing w:line="35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（4）有7.4.5项规定的情形；</w:t>
            </w:r>
          </w:p>
          <w:p>
            <w:pPr>
              <w:keepNext w:val="0"/>
              <w:keepLines w:val="0"/>
              <w:pageBreakBefore w:val="0"/>
              <w:widowControl w:val="0"/>
              <w:kinsoku/>
              <w:wordWrap/>
              <w:overflowPunct/>
              <w:topLinePunct w:val="0"/>
              <w:autoSpaceDE/>
              <w:autoSpaceDN/>
              <w:bidi w:val="0"/>
              <w:adjustRightInd/>
              <w:snapToGrid/>
              <w:spacing w:line="35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（5）法律规定的其他情形。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9.5</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投诉</w:t>
            </w:r>
          </w:p>
        </w:tc>
        <w:tc>
          <w:tcPr>
            <w:tcW w:w="6804"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第 9.5 款细化为：</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 xml:space="preserve">    潜在投标人或其他利害关系人对招标文件有异议的，应当在投标截止时间 3 日前以书面形式向发包人提出，发包人应当自收到异议之日起 3 日内作出答复。作出答复前，发包人应暂停招投标活动。</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 xml:space="preserve">    投标人对开标有异议的，应当在开标现场提出，发包人应当当场作出答复，并制作记录。</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 xml:space="preserve">    投标人或其他利害关系人对评标结果有异议的，应当在中标候选人公示期间以书面形式向发包人提出，发包人应当自收到异议之日起 3 日内作出答复。作出答复前，发包人应暂停招投标活动。</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 xml:space="preserve">    发包人逾期未答复异议事项，或者潜在投标人或其他利害关系人对发包人的答复不满意，或者潜在投标人或其他利害关系人认为本次招标活动违反法律、法规和规章规定的，投标人或其他利害关系人有权向有关行政监督部门投诉。投诉应按《中华人民共和国招标投标法实施条例》（中华人民共和国国务院令第 613 号）及《工程建设项目招标投标活动投诉处理办法》（国家七部委令 2004 年第11 号）、国家发改委等九部委 2013 年第 23 号令办理。</w:t>
            </w:r>
          </w:p>
          <w:p>
            <w:pPr>
              <w:keepNext w:val="0"/>
              <w:keepLines w:val="0"/>
              <w:pageBreakBefore w:val="0"/>
              <w:kinsoku/>
              <w:wordWrap/>
              <w:overflowPunct/>
              <w:topLinePunct w:val="0"/>
              <w:bidi w:val="0"/>
              <w:snapToGrid/>
              <w:spacing w:line="260" w:lineRule="exact"/>
              <w:ind w:left="0" w:leftChars="0"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监督部门的联系方式：</w:t>
            </w:r>
          </w:p>
          <w:p>
            <w:pPr>
              <w:keepNext w:val="0"/>
              <w:keepLines w:val="0"/>
              <w:pageBreakBefore w:val="0"/>
              <w:kinsoku/>
              <w:wordWrap/>
              <w:overflowPunct/>
              <w:topLinePunct w:val="0"/>
              <w:bidi w:val="0"/>
              <w:snapToGrid/>
              <w:spacing w:line="260" w:lineRule="exact"/>
              <w:ind w:left="0" w:leftChars="0" w:firstLine="420" w:firstLineChars="200"/>
              <w:textAlignment w:val="auto"/>
              <w:rPr>
                <w:rFonts w:hint="eastAsia" w:ascii="宋体" w:hAnsi="宋体" w:eastAsia="宋体" w:cs="宋体"/>
                <w:iCs/>
                <w:color w:val="auto"/>
                <w:szCs w:val="21"/>
                <w:lang w:eastAsia="zh-CN"/>
              </w:rPr>
            </w:pPr>
            <w:r>
              <w:rPr>
                <w:rFonts w:hint="eastAsia" w:ascii="宋体" w:hAnsi="宋体" w:eastAsia="宋体" w:cs="宋体"/>
                <w:color w:val="auto"/>
                <w:szCs w:val="21"/>
              </w:rPr>
              <w:t>监督部门：</w:t>
            </w:r>
            <w:r>
              <w:rPr>
                <w:rFonts w:hint="eastAsia" w:ascii="宋体" w:hAnsi="宋体" w:eastAsia="宋体" w:cs="宋体"/>
                <w:b/>
                <w:iCs/>
                <w:color w:val="auto"/>
                <w:szCs w:val="21"/>
                <w:u w:val="single"/>
                <w:lang w:eastAsia="zh-CN"/>
              </w:rPr>
              <w:t>三门县交通运输局</w:t>
            </w:r>
          </w:p>
          <w:p>
            <w:pPr>
              <w:keepNext w:val="0"/>
              <w:keepLines w:val="0"/>
              <w:pageBreakBefore w:val="0"/>
              <w:kinsoku/>
              <w:wordWrap/>
              <w:overflowPunct/>
              <w:topLinePunct w:val="0"/>
              <w:bidi w:val="0"/>
              <w:snapToGrid/>
              <w:spacing w:line="260" w:lineRule="exact"/>
              <w:ind w:left="0" w:leftChars="0" w:firstLine="1476" w:firstLineChars="700"/>
              <w:textAlignment w:val="auto"/>
              <w:rPr>
                <w:rFonts w:ascii="宋体" w:hAnsi="宋体" w:eastAsia="宋体" w:cs="宋体"/>
                <w:b/>
                <w:iCs/>
                <w:color w:val="auto"/>
                <w:szCs w:val="21"/>
                <w:u w:val="single"/>
              </w:rPr>
            </w:pPr>
            <w:r>
              <w:rPr>
                <w:rFonts w:hint="eastAsia" w:ascii="宋体" w:hAnsi="宋体" w:eastAsia="宋体" w:cs="宋体"/>
                <w:b/>
                <w:iCs/>
                <w:color w:val="auto"/>
                <w:szCs w:val="21"/>
                <w:u w:val="single"/>
              </w:rPr>
              <w:t>三门县公共资源交易管理办公室</w:t>
            </w:r>
          </w:p>
          <w:p>
            <w:pPr>
              <w:keepNext w:val="0"/>
              <w:keepLines w:val="0"/>
              <w:pageBreakBefore w:val="0"/>
              <w:kinsoku/>
              <w:wordWrap/>
              <w:overflowPunct/>
              <w:topLinePunct w:val="0"/>
              <w:bidi w:val="0"/>
              <w:snapToGrid/>
              <w:spacing w:line="260" w:lineRule="exact"/>
              <w:ind w:left="0" w:leftChars="0" w:firstLine="420" w:firstLineChars="200"/>
              <w:textAlignment w:val="auto"/>
              <w:rPr>
                <w:rFonts w:ascii="宋体" w:hAnsi="宋体" w:eastAsia="宋体" w:cs="宋体"/>
                <w:b/>
                <w:iCs/>
                <w:color w:val="auto"/>
                <w:szCs w:val="21"/>
                <w:u w:val="single"/>
              </w:rPr>
            </w:pPr>
            <w:r>
              <w:rPr>
                <w:rFonts w:hint="eastAsia" w:ascii="宋体" w:hAnsi="宋体" w:eastAsia="宋体" w:cs="宋体"/>
                <w:iCs/>
                <w:color w:val="auto"/>
                <w:szCs w:val="21"/>
              </w:rPr>
              <w:t>地址：</w:t>
            </w:r>
            <w:r>
              <w:rPr>
                <w:rFonts w:hint="eastAsia" w:ascii="宋体" w:hAnsi="宋体" w:eastAsia="宋体" w:cs="宋体"/>
                <w:b/>
                <w:iCs/>
                <w:color w:val="auto"/>
                <w:szCs w:val="21"/>
                <w:u w:val="single"/>
              </w:rPr>
              <w:t>三门县广场路22号，交通大楼。</w:t>
            </w:r>
          </w:p>
          <w:p>
            <w:pPr>
              <w:keepNext w:val="0"/>
              <w:keepLines w:val="0"/>
              <w:pageBreakBefore w:val="0"/>
              <w:kinsoku/>
              <w:wordWrap/>
              <w:overflowPunct/>
              <w:topLinePunct w:val="0"/>
              <w:bidi w:val="0"/>
              <w:snapToGrid/>
              <w:spacing w:line="260" w:lineRule="exact"/>
              <w:ind w:left="0" w:leftChars="0" w:firstLine="420" w:firstLineChars="200"/>
              <w:textAlignment w:val="auto"/>
              <w:rPr>
                <w:rFonts w:ascii="宋体" w:hAnsi="宋体" w:eastAsia="宋体" w:cs="宋体"/>
                <w:b/>
                <w:iCs/>
                <w:color w:val="auto"/>
                <w:szCs w:val="21"/>
              </w:rPr>
            </w:pPr>
            <w:r>
              <w:rPr>
                <w:rFonts w:hint="eastAsia" w:ascii="宋体" w:hAnsi="宋体" w:eastAsia="宋体" w:cs="宋体"/>
                <w:iCs/>
                <w:color w:val="auto"/>
                <w:szCs w:val="21"/>
              </w:rPr>
              <w:t>邮政编码：</w:t>
            </w:r>
            <w:r>
              <w:rPr>
                <w:rFonts w:hint="eastAsia" w:ascii="宋体" w:hAnsi="宋体" w:eastAsia="宋体" w:cs="宋体"/>
                <w:b/>
                <w:iCs/>
                <w:color w:val="auto"/>
                <w:szCs w:val="21"/>
                <w:u w:val="single"/>
              </w:rPr>
              <w:t>317100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10.2</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结果公示</w:t>
            </w:r>
          </w:p>
        </w:tc>
        <w:tc>
          <w:tcPr>
            <w:tcW w:w="6804"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补充第 10.2 款</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10.2 结果公示</w:t>
            </w:r>
          </w:p>
          <w:p>
            <w:pPr>
              <w:keepNext w:val="0"/>
              <w:keepLines w:val="0"/>
              <w:pageBreakBefore w:val="0"/>
              <w:kinsoku/>
              <w:wordWrap/>
              <w:overflowPunct/>
              <w:topLinePunct w:val="0"/>
              <w:bidi w:val="0"/>
              <w:snapToGrid/>
              <w:spacing w:line="260" w:lineRule="exact"/>
              <w:ind w:left="0" w:leftChars="0"/>
              <w:textAlignment w:val="auto"/>
              <w:rPr>
                <w:rFonts w:ascii="宋体" w:hAnsi="宋体" w:eastAsia="宋体" w:cs="宋体"/>
                <w:color w:val="auto"/>
                <w:szCs w:val="21"/>
              </w:rPr>
            </w:pPr>
            <w:r>
              <w:rPr>
                <w:rFonts w:hint="eastAsia" w:ascii="宋体" w:hAnsi="宋体" w:eastAsia="宋体" w:cs="宋体"/>
                <w:color w:val="auto"/>
                <w:szCs w:val="21"/>
              </w:rPr>
              <w:t xml:space="preserve">    评标结束后，发包人将评标结果、投标人投标不良行为、否决投标原因及依据、以及中标候选人与中标有关的类似项目业绩情况在三门县公共资源交易中心网公示 3 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10.3</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napToGrid/>
              <w:spacing w:line="260" w:lineRule="exact"/>
              <w:ind w:left="0" w:leftChars="0"/>
              <w:jc w:val="center"/>
              <w:textAlignment w:val="auto"/>
              <w:rPr>
                <w:rFonts w:ascii="宋体" w:hAnsi="宋体" w:eastAsia="宋体" w:cs="宋体"/>
                <w:color w:val="auto"/>
                <w:szCs w:val="21"/>
              </w:rPr>
            </w:pPr>
            <w:r>
              <w:rPr>
                <w:rFonts w:hint="eastAsia" w:ascii="宋体" w:hAnsi="宋体" w:eastAsia="宋体" w:cs="宋体"/>
                <w:color w:val="auto"/>
                <w:szCs w:val="21"/>
              </w:rPr>
              <w:t>行贿查询</w:t>
            </w:r>
          </w:p>
        </w:tc>
        <w:tc>
          <w:tcPr>
            <w:tcW w:w="6804"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bidi w:val="0"/>
              <w:snapToGrid/>
              <w:spacing w:line="260" w:lineRule="exact"/>
              <w:ind w:left="0" w:leftChars="0"/>
              <w:jc w:val="left"/>
              <w:textAlignment w:val="auto"/>
              <w:rPr>
                <w:rFonts w:ascii="宋体" w:hAnsi="宋体" w:eastAsia="宋体" w:cs="宋体"/>
                <w:color w:val="auto"/>
                <w:szCs w:val="21"/>
              </w:rPr>
            </w:pPr>
            <w:r>
              <w:rPr>
                <w:rFonts w:hint="eastAsia" w:ascii="宋体" w:hAnsi="宋体" w:eastAsia="宋体" w:cs="宋体"/>
                <w:color w:val="auto"/>
                <w:szCs w:val="21"/>
              </w:rPr>
              <w:t>补充第 10.3 款</w:t>
            </w:r>
          </w:p>
          <w:p>
            <w:pPr>
              <w:keepNext w:val="0"/>
              <w:keepLines w:val="0"/>
              <w:pageBreakBefore w:val="0"/>
              <w:kinsoku/>
              <w:wordWrap/>
              <w:overflowPunct/>
              <w:topLinePunct w:val="0"/>
              <w:bidi w:val="0"/>
              <w:snapToGrid/>
              <w:spacing w:line="260" w:lineRule="exact"/>
              <w:ind w:left="0" w:leftChars="0"/>
              <w:jc w:val="left"/>
              <w:textAlignment w:val="auto"/>
              <w:rPr>
                <w:rFonts w:ascii="宋体" w:hAnsi="宋体" w:eastAsia="宋体" w:cs="宋体"/>
                <w:color w:val="auto"/>
                <w:szCs w:val="21"/>
              </w:rPr>
            </w:pPr>
            <w:r>
              <w:rPr>
                <w:rFonts w:hint="eastAsia" w:ascii="宋体" w:hAnsi="宋体" w:eastAsia="宋体" w:cs="宋体"/>
                <w:color w:val="auto"/>
                <w:szCs w:val="21"/>
              </w:rPr>
              <w:t>10.3 行贿查询</w:t>
            </w:r>
          </w:p>
          <w:p>
            <w:pPr>
              <w:keepNext w:val="0"/>
              <w:keepLines w:val="0"/>
              <w:pageBreakBefore w:val="0"/>
              <w:kinsoku/>
              <w:wordWrap/>
              <w:overflowPunct/>
              <w:topLinePunct w:val="0"/>
              <w:bidi w:val="0"/>
              <w:snapToGrid/>
              <w:spacing w:line="260" w:lineRule="exact"/>
              <w:ind w:left="0" w:leftChars="0" w:right="118" w:rightChars="56"/>
              <w:jc w:val="left"/>
              <w:textAlignment w:val="auto"/>
              <w:rPr>
                <w:rFonts w:ascii="宋体" w:hAnsi="宋体" w:eastAsia="宋体" w:cs="宋体"/>
                <w:color w:val="auto"/>
                <w:szCs w:val="21"/>
              </w:rPr>
            </w:pPr>
            <w:r>
              <w:rPr>
                <w:rFonts w:hint="eastAsia" w:ascii="宋体" w:hAnsi="宋体" w:eastAsia="宋体" w:cs="宋体"/>
                <w:color w:val="auto"/>
                <w:szCs w:val="21"/>
              </w:rPr>
              <w:t>对公示的推荐中标候选人及拟委任的项目经理，招标人将在中国裁判文书网查询，查实推荐中标候选人或拟委任的项目经理自</w:t>
            </w:r>
            <w:r>
              <w:rPr>
                <w:rFonts w:hint="eastAsia" w:ascii="宋体" w:hAnsi="宋体" w:eastAsia="宋体" w:cs="宋体"/>
                <w:b/>
                <w:i/>
                <w:color w:val="auto"/>
                <w:szCs w:val="21"/>
                <w:u w:val="single"/>
              </w:rPr>
              <w:t>_201</w:t>
            </w:r>
            <w:r>
              <w:rPr>
                <w:rFonts w:hint="eastAsia" w:ascii="宋体" w:hAnsi="宋体" w:eastAsia="宋体" w:cs="宋体"/>
                <w:b/>
                <w:i/>
                <w:color w:val="auto"/>
                <w:szCs w:val="21"/>
                <w:u w:val="single"/>
                <w:lang w:val="en-US" w:eastAsia="zh-CN"/>
              </w:rPr>
              <w:t>9</w:t>
            </w:r>
            <w:r>
              <w:rPr>
                <w:rFonts w:hint="eastAsia" w:ascii="宋体" w:hAnsi="宋体" w:eastAsia="宋体" w:cs="宋体"/>
                <w:b/>
                <w:i/>
                <w:color w:val="auto"/>
                <w:szCs w:val="21"/>
                <w:u w:val="single"/>
              </w:rPr>
              <w:t>_</w:t>
            </w:r>
            <w:r>
              <w:rPr>
                <w:rFonts w:hint="eastAsia" w:ascii="宋体" w:hAnsi="宋体" w:eastAsia="宋体" w:cs="宋体"/>
                <w:color w:val="auto"/>
                <w:szCs w:val="21"/>
              </w:rPr>
              <w:t>年</w:t>
            </w:r>
            <w:r>
              <w:rPr>
                <w:rFonts w:hint="eastAsia" w:ascii="宋体" w:hAnsi="宋体" w:eastAsia="宋体" w:cs="宋体"/>
                <w:b/>
                <w:i/>
                <w:color w:val="auto"/>
                <w:szCs w:val="21"/>
                <w:u w:val="single"/>
                <w:lang w:val="en-US" w:eastAsia="zh-CN"/>
              </w:rPr>
              <w:t>1</w:t>
            </w:r>
            <w:r>
              <w:rPr>
                <w:rFonts w:hint="eastAsia" w:ascii="宋体" w:hAnsi="宋体" w:eastAsia="宋体" w:cs="宋体"/>
                <w:color w:val="auto"/>
                <w:szCs w:val="21"/>
              </w:rPr>
              <w:t>月</w:t>
            </w:r>
            <w:r>
              <w:rPr>
                <w:rFonts w:hint="eastAsia" w:ascii="宋体" w:hAnsi="宋体" w:eastAsia="宋体" w:cs="宋体"/>
                <w:b/>
                <w:i/>
                <w:color w:val="auto"/>
                <w:szCs w:val="21"/>
                <w:u w:val="single"/>
              </w:rPr>
              <w:t>1</w:t>
            </w:r>
            <w:r>
              <w:rPr>
                <w:rFonts w:hint="eastAsia" w:ascii="宋体" w:hAnsi="宋体" w:eastAsia="宋体" w:cs="宋体"/>
                <w:color w:val="auto"/>
                <w:szCs w:val="21"/>
              </w:rPr>
              <w:t>日以来有行贿犯罪行为的，则取消该中标候选人的中标资格。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pStyle w:val="142"/>
              <w:keepNext w:val="0"/>
              <w:keepLines w:val="0"/>
              <w:pageBreakBefore w:val="0"/>
              <w:kinsoku/>
              <w:wordWrap/>
              <w:overflowPunct/>
              <w:topLinePunct w:val="0"/>
              <w:bidi w:val="0"/>
              <w:snapToGrid/>
              <w:spacing w:before="171" w:line="260" w:lineRule="exact"/>
              <w:ind w:left="0" w:leftChars="0" w:right="254"/>
              <w:jc w:val="center"/>
              <w:textAlignment w:val="auto"/>
              <w:rPr>
                <w:rFonts w:ascii="宋体" w:hAnsi="宋体" w:eastAsia="宋体" w:cs="宋体"/>
                <w:color w:val="auto"/>
                <w:szCs w:val="21"/>
              </w:rPr>
            </w:pPr>
            <w:r>
              <w:rPr>
                <w:rFonts w:ascii="Times New Roman"/>
                <w:color w:val="auto"/>
                <w:sz w:val="21"/>
              </w:rPr>
              <w:t>11.1</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pStyle w:val="142"/>
              <w:keepNext w:val="0"/>
              <w:keepLines w:val="0"/>
              <w:pageBreakBefore w:val="0"/>
              <w:kinsoku/>
              <w:wordWrap/>
              <w:overflowPunct/>
              <w:topLinePunct w:val="0"/>
              <w:bidi w:val="0"/>
              <w:snapToGrid/>
              <w:spacing w:before="147" w:line="260" w:lineRule="exact"/>
              <w:ind w:left="0" w:leftChars="0" w:right="146"/>
              <w:jc w:val="center"/>
              <w:textAlignment w:val="auto"/>
              <w:rPr>
                <w:rFonts w:ascii="宋体" w:hAnsi="宋体" w:eastAsia="宋体" w:cs="宋体"/>
                <w:color w:val="auto"/>
                <w:szCs w:val="21"/>
              </w:rPr>
            </w:pPr>
            <w:r>
              <w:rPr>
                <w:rFonts w:hint="eastAsia"/>
                <w:b/>
                <w:color w:val="auto"/>
                <w:sz w:val="21"/>
              </w:rPr>
              <w:t>其他</w:t>
            </w:r>
          </w:p>
        </w:tc>
        <w:tc>
          <w:tcPr>
            <w:tcW w:w="6804" w:type="dxa"/>
            <w:tcBorders>
              <w:top w:val="single" w:color="000000" w:sz="6" w:space="0"/>
              <w:left w:val="single" w:color="000000" w:sz="6" w:space="0"/>
              <w:bottom w:val="single" w:color="000000" w:sz="6" w:space="0"/>
              <w:right w:val="single" w:color="000000" w:sz="12" w:space="0"/>
            </w:tcBorders>
            <w:vAlign w:val="center"/>
          </w:tcPr>
          <w:p>
            <w:pPr>
              <w:pStyle w:val="142"/>
              <w:keepNext w:val="0"/>
              <w:keepLines w:val="0"/>
              <w:pageBreakBefore w:val="0"/>
              <w:kinsoku/>
              <w:wordWrap/>
              <w:overflowPunct/>
              <w:topLinePunct w:val="0"/>
              <w:bidi w:val="0"/>
              <w:snapToGrid/>
              <w:spacing w:line="260" w:lineRule="exact"/>
              <w:ind w:left="0" w:leftChars="0"/>
              <w:jc w:val="left"/>
              <w:textAlignment w:val="auto"/>
              <w:rPr>
                <w:rFonts w:hint="eastAsia" w:ascii="宋体" w:hAnsi="宋体" w:eastAsia="黑体" w:cs="宋体"/>
                <w:color w:val="auto"/>
                <w:szCs w:val="21"/>
                <w:lang w:eastAsia="zh-CN"/>
              </w:rPr>
            </w:pPr>
            <w:r>
              <w:rPr>
                <w:rFonts w:hint="eastAsia" w:ascii="黑体" w:eastAsia="黑体"/>
                <w:b/>
                <w:color w:val="auto"/>
                <w:sz w:val="21"/>
              </w:rPr>
              <w:t>农民工工资按三人社 〔</w:t>
            </w:r>
            <w:r>
              <w:rPr>
                <w:rFonts w:ascii="Times New Roman" w:eastAsia="Times New Roman"/>
                <w:b/>
                <w:color w:val="auto"/>
                <w:sz w:val="21"/>
              </w:rPr>
              <w:t xml:space="preserve">2019 </w:t>
            </w:r>
            <w:r>
              <w:rPr>
                <w:rFonts w:hint="eastAsia" w:ascii="黑体" w:eastAsia="黑体"/>
                <w:b/>
                <w:color w:val="auto"/>
                <w:sz w:val="21"/>
              </w:rPr>
              <w:t>〕</w:t>
            </w:r>
            <w:r>
              <w:rPr>
                <w:rFonts w:ascii="Times New Roman" w:eastAsia="Times New Roman"/>
                <w:b/>
                <w:color w:val="auto"/>
                <w:sz w:val="21"/>
              </w:rPr>
              <w:t xml:space="preserve">41 </w:t>
            </w:r>
            <w:r>
              <w:rPr>
                <w:rFonts w:hint="eastAsia" w:ascii="黑体" w:eastAsia="黑体"/>
                <w:b/>
                <w:color w:val="auto"/>
                <w:sz w:val="21"/>
              </w:rPr>
              <w:t>号关于全面治理拖欠农民工工资问题的实施意见执行。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pStyle w:val="142"/>
              <w:keepNext w:val="0"/>
              <w:keepLines w:val="0"/>
              <w:pageBreakBefore w:val="0"/>
              <w:kinsoku/>
              <w:wordWrap/>
              <w:overflowPunct/>
              <w:topLinePunct w:val="0"/>
              <w:bidi w:val="0"/>
              <w:snapToGrid/>
              <w:spacing w:before="94" w:line="260" w:lineRule="exact"/>
              <w:ind w:left="0" w:leftChars="0" w:right="234"/>
              <w:jc w:val="center"/>
              <w:textAlignment w:val="auto"/>
              <w:rPr>
                <w:rFonts w:ascii="Times New Roman"/>
                <w:color w:val="auto"/>
                <w:sz w:val="21"/>
              </w:rPr>
            </w:pPr>
            <w:r>
              <w:rPr>
                <w:rFonts w:ascii="Times New Roman"/>
                <w:color w:val="auto"/>
                <w:sz w:val="21"/>
              </w:rPr>
              <w:t>12</w:t>
            </w:r>
          </w:p>
        </w:tc>
        <w:tc>
          <w:tcPr>
            <w:tcW w:w="9424" w:type="dxa"/>
            <w:gridSpan w:val="3"/>
            <w:tcBorders>
              <w:top w:val="single" w:color="000000" w:sz="6" w:space="0"/>
              <w:left w:val="single" w:color="000000" w:sz="6" w:space="0"/>
              <w:bottom w:val="single" w:color="000000" w:sz="6" w:space="0"/>
              <w:right w:val="single" w:color="000000" w:sz="12" w:space="0"/>
            </w:tcBorders>
            <w:vAlign w:val="center"/>
          </w:tcPr>
          <w:p>
            <w:pPr>
              <w:pStyle w:val="142"/>
              <w:keepNext w:val="0"/>
              <w:keepLines w:val="0"/>
              <w:pageBreakBefore w:val="0"/>
              <w:kinsoku/>
              <w:wordWrap/>
              <w:overflowPunct/>
              <w:topLinePunct w:val="0"/>
              <w:bidi w:val="0"/>
              <w:snapToGrid/>
              <w:spacing w:line="260" w:lineRule="exact"/>
              <w:ind w:left="0" w:leftChars="0"/>
              <w:jc w:val="center"/>
              <w:textAlignment w:val="auto"/>
              <w:rPr>
                <w:rFonts w:ascii="黑体" w:eastAsia="黑体"/>
                <w:b/>
                <w:color w:val="auto"/>
                <w:sz w:val="21"/>
              </w:rPr>
            </w:pPr>
            <w:r>
              <w:rPr>
                <w:rFonts w:hint="eastAsia" w:ascii="微软雅黑" w:eastAsia="微软雅黑"/>
                <w:b/>
                <w:color w:val="auto"/>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821" w:type="dxa"/>
            <w:tcBorders>
              <w:top w:val="single" w:color="000000" w:sz="6" w:space="0"/>
              <w:left w:val="single" w:color="000000" w:sz="12" w:space="0"/>
              <w:bottom w:val="single" w:color="000000" w:sz="6" w:space="0"/>
              <w:right w:val="single" w:color="000000" w:sz="6" w:space="0"/>
            </w:tcBorders>
            <w:vAlign w:val="center"/>
          </w:tcPr>
          <w:p>
            <w:pPr>
              <w:pStyle w:val="142"/>
              <w:keepNext w:val="0"/>
              <w:keepLines w:val="0"/>
              <w:pageBreakBefore w:val="0"/>
              <w:kinsoku/>
              <w:wordWrap/>
              <w:overflowPunct/>
              <w:topLinePunct w:val="0"/>
              <w:bidi w:val="0"/>
              <w:snapToGrid/>
              <w:spacing w:before="9" w:line="260" w:lineRule="exact"/>
              <w:ind w:left="0" w:leftChars="0"/>
              <w:jc w:val="center"/>
              <w:textAlignment w:val="auto"/>
              <w:rPr>
                <w:rFonts w:ascii="微软雅黑"/>
                <w:b/>
                <w:color w:val="auto"/>
                <w:sz w:val="15"/>
              </w:rPr>
            </w:pPr>
          </w:p>
          <w:p>
            <w:pPr>
              <w:pStyle w:val="142"/>
              <w:keepNext w:val="0"/>
              <w:keepLines w:val="0"/>
              <w:pageBreakBefore w:val="0"/>
              <w:kinsoku/>
              <w:wordWrap/>
              <w:overflowPunct/>
              <w:topLinePunct w:val="0"/>
              <w:bidi w:val="0"/>
              <w:snapToGrid/>
              <w:spacing w:line="260" w:lineRule="exact"/>
              <w:ind w:left="0" w:leftChars="0" w:right="234"/>
              <w:jc w:val="center"/>
              <w:textAlignment w:val="auto"/>
              <w:rPr>
                <w:rFonts w:ascii="Times New Roman"/>
                <w:b/>
                <w:color w:val="auto"/>
                <w:sz w:val="21"/>
              </w:rPr>
            </w:pPr>
            <w:r>
              <w:rPr>
                <w:rFonts w:ascii="Times New Roman"/>
                <w:b/>
                <w:color w:val="auto"/>
                <w:sz w:val="21"/>
              </w:rPr>
              <w:t>12.2</w:t>
            </w:r>
          </w:p>
        </w:tc>
        <w:tc>
          <w:tcPr>
            <w:tcW w:w="2620" w:type="dxa"/>
            <w:gridSpan w:val="2"/>
            <w:tcBorders>
              <w:top w:val="single" w:color="000000" w:sz="6" w:space="0"/>
              <w:left w:val="single" w:color="000000" w:sz="6" w:space="0"/>
              <w:bottom w:val="single" w:color="000000" w:sz="6" w:space="0"/>
              <w:right w:val="single" w:color="000000" w:sz="6" w:space="0"/>
            </w:tcBorders>
            <w:vAlign w:val="center"/>
          </w:tcPr>
          <w:p>
            <w:pPr>
              <w:pStyle w:val="142"/>
              <w:keepNext w:val="0"/>
              <w:keepLines w:val="0"/>
              <w:pageBreakBefore w:val="0"/>
              <w:kinsoku/>
              <w:wordWrap/>
              <w:overflowPunct/>
              <w:topLinePunct w:val="0"/>
              <w:bidi w:val="0"/>
              <w:snapToGrid/>
              <w:spacing w:before="153" w:line="260" w:lineRule="exact"/>
              <w:ind w:left="0" w:leftChars="0" w:right="538" w:firstLine="105"/>
              <w:jc w:val="center"/>
              <w:textAlignment w:val="auto"/>
              <w:rPr>
                <w:rFonts w:ascii="微软雅黑" w:eastAsia="微软雅黑"/>
                <w:b/>
                <w:color w:val="auto"/>
                <w:sz w:val="21"/>
              </w:rPr>
            </w:pPr>
            <w:r>
              <w:rPr>
                <w:rFonts w:hint="eastAsia" w:ascii="微软雅黑" w:eastAsia="微软雅黑"/>
                <w:b/>
                <w:color w:val="auto"/>
                <w:sz w:val="21"/>
              </w:rPr>
              <w:t>中标后提交投标文件份数</w:t>
            </w:r>
          </w:p>
        </w:tc>
        <w:tc>
          <w:tcPr>
            <w:tcW w:w="6804" w:type="dxa"/>
            <w:tcBorders>
              <w:top w:val="single" w:color="000000" w:sz="6" w:space="0"/>
              <w:left w:val="single" w:color="000000" w:sz="6" w:space="0"/>
              <w:bottom w:val="single" w:color="000000" w:sz="6" w:space="0"/>
              <w:right w:val="single" w:color="000000" w:sz="12" w:space="0"/>
            </w:tcBorders>
            <w:vAlign w:val="center"/>
          </w:tcPr>
          <w:p>
            <w:pPr>
              <w:pStyle w:val="142"/>
              <w:keepNext w:val="0"/>
              <w:keepLines w:val="0"/>
              <w:pageBreakBefore w:val="0"/>
              <w:kinsoku/>
              <w:wordWrap/>
              <w:overflowPunct/>
              <w:topLinePunct w:val="0"/>
              <w:bidi w:val="0"/>
              <w:snapToGrid/>
              <w:spacing w:before="14" w:line="260" w:lineRule="exact"/>
              <w:ind w:left="0" w:leftChars="0" w:right="-29"/>
              <w:jc w:val="left"/>
              <w:textAlignment w:val="auto"/>
              <w:rPr>
                <w:rFonts w:ascii="微软雅黑" w:hAnsi="微软雅黑" w:eastAsia="微软雅黑"/>
                <w:b/>
                <w:color w:val="auto"/>
                <w:sz w:val="21"/>
              </w:rPr>
            </w:pPr>
            <w:r>
              <w:rPr>
                <w:rFonts w:hint="eastAsia" w:ascii="微软雅黑" w:hAnsi="微软雅黑" w:eastAsia="微软雅黑"/>
                <w:b/>
                <w:color w:val="auto"/>
                <w:spacing w:val="-10"/>
                <w:sz w:val="21"/>
              </w:rPr>
              <w:t xml:space="preserve">中标候选人在领取中标通知书前，需向招标人提供纸质投标文件 </w:t>
            </w:r>
            <w:r>
              <w:rPr>
                <w:rFonts w:ascii="Times New Roman" w:hAnsi="Times New Roman" w:eastAsia="Times New Roman"/>
                <w:b/>
                <w:color w:val="auto"/>
                <w:sz w:val="21"/>
              </w:rPr>
              <w:t>6</w:t>
            </w:r>
            <w:r>
              <w:rPr>
                <w:rFonts w:ascii="Times New Roman" w:hAnsi="Times New Roman" w:eastAsia="Times New Roman"/>
                <w:b/>
                <w:color w:val="auto"/>
                <w:spacing w:val="-5"/>
                <w:sz w:val="21"/>
              </w:rPr>
              <w:t xml:space="preserve"> </w:t>
            </w:r>
            <w:r>
              <w:rPr>
                <w:rFonts w:hint="eastAsia" w:ascii="微软雅黑" w:hAnsi="微软雅黑" w:eastAsia="微软雅黑"/>
                <w:b/>
                <w:color w:val="auto"/>
                <w:spacing w:val="-106"/>
                <w:sz w:val="21"/>
              </w:rPr>
              <w:t>份</w:t>
            </w:r>
            <w:r>
              <w:rPr>
                <w:rFonts w:hint="eastAsia" w:ascii="微软雅黑" w:hAnsi="微软雅黑" w:eastAsia="微软雅黑"/>
                <w:b/>
                <w:color w:val="auto"/>
                <w:sz w:val="21"/>
              </w:rPr>
              <w:t>（投</w:t>
            </w:r>
            <w:r>
              <w:rPr>
                <w:rFonts w:hint="eastAsia" w:ascii="微软雅黑" w:hAnsi="微软雅黑" w:eastAsia="微软雅黑"/>
                <w:b/>
                <w:color w:val="auto"/>
                <w:spacing w:val="-5"/>
                <w:sz w:val="21"/>
              </w:rPr>
              <w:t>标工具中所有内容打印成纸质文件，纸质文件上的水印码须与上传至“电子</w:t>
            </w:r>
            <w:r>
              <w:rPr>
                <w:rFonts w:hint="eastAsia" w:ascii="微软雅黑" w:hAnsi="微软雅黑" w:eastAsia="微软雅黑"/>
                <w:b/>
                <w:color w:val="auto"/>
                <w:sz w:val="21"/>
              </w:rPr>
              <w:t>交易平台”上的投标文件的水印码一致）。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821" w:type="dxa"/>
            <w:tcBorders>
              <w:top w:val="single" w:color="000000" w:sz="6" w:space="0"/>
              <w:left w:val="single" w:color="000000" w:sz="12" w:space="0"/>
              <w:bottom w:val="single" w:color="000000" w:sz="12" w:space="0"/>
              <w:right w:val="single" w:color="000000" w:sz="6" w:space="0"/>
            </w:tcBorders>
            <w:vAlign w:val="center"/>
          </w:tcPr>
          <w:p>
            <w:pPr>
              <w:pStyle w:val="142"/>
              <w:keepNext w:val="0"/>
              <w:keepLines w:val="0"/>
              <w:pageBreakBefore w:val="0"/>
              <w:kinsoku/>
              <w:wordWrap/>
              <w:overflowPunct/>
              <w:topLinePunct w:val="0"/>
              <w:bidi w:val="0"/>
              <w:snapToGrid/>
              <w:spacing w:before="151" w:line="260" w:lineRule="exact"/>
              <w:ind w:left="0" w:leftChars="0" w:right="234"/>
              <w:jc w:val="center"/>
              <w:textAlignment w:val="auto"/>
              <w:rPr>
                <w:rFonts w:ascii="Times New Roman"/>
                <w:b/>
                <w:color w:val="auto"/>
                <w:sz w:val="21"/>
              </w:rPr>
            </w:pPr>
            <w:r>
              <w:rPr>
                <w:rFonts w:ascii="Times New Roman"/>
                <w:b/>
                <w:color w:val="auto"/>
                <w:sz w:val="21"/>
              </w:rPr>
              <w:t>12.3</w:t>
            </w:r>
          </w:p>
        </w:tc>
        <w:tc>
          <w:tcPr>
            <w:tcW w:w="2620" w:type="dxa"/>
            <w:gridSpan w:val="2"/>
            <w:tcBorders>
              <w:top w:val="single" w:color="000000" w:sz="6" w:space="0"/>
              <w:left w:val="single" w:color="000000" w:sz="6" w:space="0"/>
              <w:bottom w:val="single" w:color="000000" w:sz="12" w:space="0"/>
              <w:right w:val="single" w:color="000000" w:sz="6" w:space="0"/>
            </w:tcBorders>
            <w:vAlign w:val="center"/>
          </w:tcPr>
          <w:p>
            <w:pPr>
              <w:pStyle w:val="142"/>
              <w:keepNext w:val="0"/>
              <w:keepLines w:val="0"/>
              <w:pageBreakBefore w:val="0"/>
              <w:kinsoku/>
              <w:wordWrap/>
              <w:overflowPunct/>
              <w:topLinePunct w:val="0"/>
              <w:bidi w:val="0"/>
              <w:snapToGrid/>
              <w:spacing w:before="70" w:line="260" w:lineRule="exact"/>
              <w:ind w:left="0" w:leftChars="0"/>
              <w:jc w:val="center"/>
              <w:textAlignment w:val="auto"/>
              <w:rPr>
                <w:rFonts w:ascii="微软雅黑" w:eastAsia="微软雅黑"/>
                <w:b/>
                <w:color w:val="auto"/>
                <w:sz w:val="21"/>
              </w:rPr>
            </w:pPr>
            <w:r>
              <w:rPr>
                <w:rFonts w:hint="eastAsia" w:ascii="微软雅黑" w:eastAsia="微软雅黑"/>
                <w:b/>
                <w:color w:val="auto"/>
                <w:sz w:val="21"/>
              </w:rPr>
              <w:t>温馨提示</w:t>
            </w:r>
          </w:p>
        </w:tc>
        <w:tc>
          <w:tcPr>
            <w:tcW w:w="6804" w:type="dxa"/>
            <w:tcBorders>
              <w:top w:val="single" w:color="000000" w:sz="6" w:space="0"/>
              <w:left w:val="single" w:color="000000" w:sz="6" w:space="0"/>
              <w:bottom w:val="single" w:color="000000" w:sz="12" w:space="0"/>
              <w:right w:val="single" w:color="000000" w:sz="12" w:space="0"/>
            </w:tcBorders>
            <w:vAlign w:val="center"/>
          </w:tcPr>
          <w:p>
            <w:pPr>
              <w:pStyle w:val="142"/>
              <w:keepNext w:val="0"/>
              <w:keepLines w:val="0"/>
              <w:pageBreakBefore w:val="0"/>
              <w:kinsoku/>
              <w:wordWrap/>
              <w:overflowPunct/>
              <w:topLinePunct w:val="0"/>
              <w:bidi w:val="0"/>
              <w:snapToGrid/>
              <w:spacing w:line="260" w:lineRule="exact"/>
              <w:ind w:left="0" w:leftChars="0"/>
              <w:jc w:val="left"/>
              <w:textAlignment w:val="auto"/>
              <w:rPr>
                <w:rFonts w:ascii="微软雅黑" w:eastAsia="微软雅黑"/>
                <w:b/>
                <w:color w:val="auto"/>
                <w:sz w:val="21"/>
              </w:rPr>
            </w:pPr>
            <w:r>
              <w:rPr>
                <w:rFonts w:hint="eastAsia" w:ascii="微软雅黑" w:eastAsia="微软雅黑"/>
                <w:b/>
                <w:color w:val="auto"/>
                <w:sz w:val="21"/>
              </w:rPr>
              <w:t>投标人须在递交投标保证金前在三门县工程建设电子交易平台中注册</w:t>
            </w:r>
          </w:p>
          <w:p>
            <w:pPr>
              <w:pStyle w:val="142"/>
              <w:keepNext w:val="0"/>
              <w:keepLines w:val="0"/>
              <w:pageBreakBefore w:val="0"/>
              <w:kinsoku/>
              <w:wordWrap/>
              <w:overflowPunct/>
              <w:topLinePunct w:val="0"/>
              <w:bidi w:val="0"/>
              <w:snapToGrid/>
              <w:spacing w:line="260" w:lineRule="exact"/>
              <w:ind w:left="0" w:leftChars="0"/>
              <w:jc w:val="left"/>
              <w:textAlignment w:val="auto"/>
              <w:rPr>
                <w:rFonts w:ascii="微软雅黑" w:eastAsia="微软雅黑"/>
                <w:b/>
                <w:color w:val="auto"/>
                <w:sz w:val="21"/>
              </w:rPr>
            </w:pPr>
            <w:r>
              <w:rPr>
                <w:rFonts w:hint="eastAsia" w:ascii="微软雅黑" w:eastAsia="微软雅黑"/>
                <w:b/>
                <w:color w:val="auto"/>
                <w:sz w:val="21"/>
              </w:rPr>
              <w:t>并核验通过。</w:t>
            </w:r>
          </w:p>
        </w:tc>
      </w:tr>
    </w:tbl>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r>
        <w:rPr>
          <w:rFonts w:hint="eastAsia" w:ascii="宋体" w:hAnsi="宋体" w:eastAsia="宋体" w:cs="宋体"/>
          <w:color w:val="auto"/>
          <w:szCs w:val="21"/>
        </w:rPr>
        <w:t>附录</w:t>
      </w:r>
    </w:p>
    <w:p>
      <w:pPr>
        <w:rPr>
          <w:rFonts w:hint="eastAsia" w:ascii="宋体" w:hAnsi="宋体" w:eastAsia="宋体" w:cs="宋体"/>
          <w:color w:val="auto"/>
          <w:sz w:val="24"/>
        </w:rPr>
      </w:pPr>
    </w:p>
    <w:p>
      <w:pPr>
        <w:jc w:val="center"/>
        <w:rPr>
          <w:rFonts w:hint="eastAsia" w:ascii="宋体" w:hAnsi="宋体" w:eastAsia="宋体" w:cs="宋体"/>
          <w:color w:val="auto"/>
          <w:sz w:val="24"/>
        </w:rPr>
      </w:pPr>
    </w:p>
    <w:p>
      <w:pPr>
        <w:jc w:val="center"/>
        <w:rPr>
          <w:rFonts w:hint="eastAsia" w:ascii="宋体" w:hAnsi="宋体" w:eastAsia="宋体" w:cs="宋体"/>
          <w:color w:val="auto"/>
          <w:sz w:val="24"/>
        </w:rPr>
      </w:pPr>
    </w:p>
    <w:p>
      <w:pPr>
        <w:pStyle w:val="3"/>
        <w:spacing w:before="240" w:after="240" w:line="240" w:lineRule="auto"/>
        <w:jc w:val="center"/>
        <w:rPr>
          <w:rFonts w:hint="eastAsia" w:ascii="宋体" w:hAnsi="宋体"/>
          <w:color w:val="auto"/>
          <w:sz w:val="24"/>
          <w:szCs w:val="24"/>
          <w:vertAlign w:val="superscript"/>
        </w:rPr>
      </w:pPr>
      <w:bookmarkStart w:id="14" w:name="_Toc26559"/>
      <w:r>
        <w:rPr>
          <w:rFonts w:hint="eastAsia" w:ascii="宋体" w:hAnsi="宋体"/>
          <w:color w:val="auto"/>
          <w:sz w:val="24"/>
          <w:szCs w:val="24"/>
        </w:rPr>
        <w:t>附录1   资格审查条件(资质最低条件)</w:t>
      </w:r>
      <w:bookmarkEnd w:id="14"/>
    </w:p>
    <w:tbl>
      <w:tblPr>
        <w:tblStyle w:val="5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3"/>
        <w:gridCol w:w="62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943"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标段</w:t>
            </w:r>
          </w:p>
        </w:tc>
        <w:tc>
          <w:tcPr>
            <w:tcW w:w="6237"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943"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施工标段</w:t>
            </w:r>
          </w:p>
        </w:tc>
        <w:tc>
          <w:tcPr>
            <w:tcW w:w="6237" w:type="dxa"/>
            <w:tcBorders>
              <w:top w:val="single" w:color="auto" w:sz="6" w:space="0"/>
              <w:left w:val="single" w:color="auto" w:sz="6" w:space="0"/>
              <w:bottom w:val="single" w:color="auto" w:sz="12" w:space="0"/>
              <w:right w:val="single" w:color="auto" w:sz="12" w:space="0"/>
            </w:tcBorders>
            <w:vAlign w:val="center"/>
          </w:tcPr>
          <w:p>
            <w:pPr>
              <w:spacing w:line="360" w:lineRule="exact"/>
              <w:rPr>
                <w:rFonts w:ascii="宋体" w:hAnsi="宋体" w:eastAsia="宋体" w:cs="宋体"/>
                <w:color w:val="auto"/>
                <w:szCs w:val="21"/>
              </w:rPr>
            </w:pPr>
          </w:p>
          <w:p>
            <w:pPr>
              <w:keepNext w:val="0"/>
              <w:keepLines w:val="0"/>
              <w:widowControl/>
              <w:suppressLineNumbers w:val="0"/>
              <w:jc w:val="left"/>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Cs w:val="21"/>
              </w:rPr>
              <w:t>投标人</w:t>
            </w:r>
            <w:r>
              <w:rPr>
                <w:rFonts w:hint="eastAsia" w:ascii="宋体" w:hAnsi="宋体" w:cs="宋体"/>
                <w:color w:val="auto"/>
                <w:kern w:val="2"/>
                <w:sz w:val="21"/>
                <w:szCs w:val="21"/>
                <w:lang w:val="en-US" w:eastAsia="zh-CN" w:bidi="ar-SA"/>
              </w:rPr>
              <w:t>具有公路工程施工总承包三级及以上资质的企业</w:t>
            </w:r>
          </w:p>
          <w:p>
            <w:pPr>
              <w:spacing w:line="360" w:lineRule="exact"/>
              <w:rPr>
                <w:rFonts w:hint="eastAsia" w:ascii="宋体" w:hAnsi="宋体" w:eastAsia="宋体" w:cs="宋体"/>
                <w:color w:val="auto"/>
                <w:szCs w:val="21"/>
              </w:rPr>
            </w:pPr>
          </w:p>
          <w:p>
            <w:pPr>
              <w:spacing w:line="360" w:lineRule="exact"/>
              <w:rPr>
                <w:rFonts w:ascii="宋体" w:hAnsi="宋体" w:eastAsia="宋体" w:cs="宋体"/>
                <w:color w:val="auto"/>
                <w:szCs w:val="21"/>
              </w:rPr>
            </w:pPr>
          </w:p>
        </w:tc>
      </w:tr>
    </w:tbl>
    <w:p>
      <w:pPr>
        <w:spacing w:before="120" w:after="120"/>
        <w:jc w:val="center"/>
        <w:rPr>
          <w:rFonts w:hint="eastAsia" w:ascii="宋体" w:hAnsi="宋体" w:eastAsia="宋体" w:cs="宋体"/>
          <w:b/>
          <w:bCs/>
          <w:color w:val="auto"/>
          <w:kern w:val="44"/>
          <w:sz w:val="30"/>
          <w:szCs w:val="30"/>
        </w:rPr>
      </w:pPr>
    </w:p>
    <w:p>
      <w:pPr>
        <w:spacing w:before="120" w:after="120"/>
        <w:jc w:val="center"/>
        <w:rPr>
          <w:rFonts w:hint="eastAsia" w:ascii="宋体" w:hAnsi="宋体" w:eastAsia="宋体" w:cs="宋体"/>
          <w:b/>
          <w:bCs/>
          <w:color w:val="auto"/>
          <w:kern w:val="44"/>
          <w:sz w:val="30"/>
          <w:szCs w:val="30"/>
        </w:rPr>
      </w:pPr>
    </w:p>
    <w:p>
      <w:pPr>
        <w:spacing w:before="120" w:after="120"/>
        <w:jc w:val="center"/>
        <w:rPr>
          <w:rFonts w:hint="eastAsia" w:ascii="宋体" w:hAnsi="宋体" w:eastAsia="宋体" w:cs="宋体"/>
          <w:b/>
          <w:bCs/>
          <w:color w:val="auto"/>
          <w:kern w:val="44"/>
          <w:sz w:val="30"/>
          <w:szCs w:val="30"/>
        </w:rPr>
      </w:pPr>
    </w:p>
    <w:p>
      <w:pPr>
        <w:pStyle w:val="3"/>
        <w:spacing w:before="240" w:after="240" w:line="240" w:lineRule="auto"/>
        <w:jc w:val="center"/>
        <w:rPr>
          <w:rFonts w:hint="eastAsia" w:ascii="宋体" w:hAnsi="宋体"/>
          <w:color w:val="auto"/>
          <w:sz w:val="24"/>
          <w:szCs w:val="24"/>
        </w:rPr>
      </w:pPr>
      <w:bookmarkStart w:id="15" w:name="_Toc7782"/>
      <w:r>
        <w:rPr>
          <w:rFonts w:hint="eastAsia" w:ascii="宋体" w:hAnsi="宋体"/>
          <w:color w:val="auto"/>
          <w:sz w:val="24"/>
          <w:szCs w:val="24"/>
        </w:rPr>
        <w:t>附录2   资格审查条件(财务最低要求)</w:t>
      </w:r>
      <w:bookmarkEnd w:id="15"/>
    </w:p>
    <w:p>
      <w:pPr>
        <w:rPr>
          <w:rFonts w:hint="eastAsia" w:ascii="宋体" w:hAnsi="宋体" w:eastAsia="宋体" w:cs="宋体"/>
          <w:color w:val="auto"/>
          <w:sz w:val="24"/>
        </w:rPr>
      </w:pPr>
    </w:p>
    <w:tbl>
      <w:tblPr>
        <w:tblStyle w:val="5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3"/>
        <w:gridCol w:w="62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943"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标段</w:t>
            </w:r>
          </w:p>
        </w:tc>
        <w:tc>
          <w:tcPr>
            <w:tcW w:w="6237"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943"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施工标段</w:t>
            </w:r>
          </w:p>
        </w:tc>
        <w:tc>
          <w:tcPr>
            <w:tcW w:w="6237" w:type="dxa"/>
            <w:tcBorders>
              <w:top w:val="single" w:color="auto" w:sz="6" w:space="0"/>
              <w:left w:val="single" w:color="auto" w:sz="6" w:space="0"/>
              <w:bottom w:val="single" w:color="auto" w:sz="12" w:space="0"/>
              <w:right w:val="single" w:color="auto" w:sz="12" w:space="0"/>
            </w:tcBorders>
            <w:vAlign w:val="center"/>
          </w:tcPr>
          <w:p>
            <w:pPr>
              <w:spacing w:line="360" w:lineRule="exact"/>
              <w:rPr>
                <w:rFonts w:ascii="宋体" w:hAnsi="宋体" w:eastAsia="宋体" w:cs="宋体"/>
                <w:color w:val="auto"/>
                <w:szCs w:val="21"/>
              </w:rPr>
            </w:pPr>
            <w:r>
              <w:rPr>
                <w:rFonts w:hint="eastAsia" w:ascii="宋体" w:hAnsi="宋体" w:eastAsia="宋体" w:cs="宋体"/>
                <w:color w:val="auto"/>
                <w:szCs w:val="21"/>
              </w:rPr>
              <w:t xml:space="preserve">    </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承诺提供不少于</w:t>
            </w:r>
            <w:r>
              <w:rPr>
                <w:rFonts w:hint="eastAsia" w:ascii="宋体" w:hAnsi="宋体" w:eastAsia="宋体" w:cs="宋体"/>
                <w:b/>
                <w:color w:val="auto"/>
                <w:szCs w:val="21"/>
                <w:u w:val="single"/>
                <w:lang w:val="en-US" w:eastAsia="zh-CN"/>
              </w:rPr>
              <w:t>5</w:t>
            </w:r>
            <w:r>
              <w:rPr>
                <w:rFonts w:hint="eastAsia" w:ascii="宋体" w:hAnsi="宋体" w:eastAsia="宋体" w:cs="宋体"/>
                <w:b/>
                <w:color w:val="auto"/>
                <w:szCs w:val="21"/>
                <w:u w:val="single"/>
              </w:rPr>
              <w:t>0</w:t>
            </w:r>
            <w:r>
              <w:rPr>
                <w:rFonts w:hint="eastAsia" w:ascii="宋体" w:hAnsi="宋体" w:eastAsia="宋体" w:cs="宋体"/>
                <w:color w:val="auto"/>
                <w:szCs w:val="21"/>
              </w:rPr>
              <w:t>万元人民币的流动资金（由投标人自行决定采用银行信贷证明或财务能力承诺书）。</w:t>
            </w:r>
          </w:p>
          <w:p>
            <w:pPr>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 xml:space="preserve"> 若采用银行信贷证明，开具银行信贷证明的银行级别：国有银行或股份制商业银行县（区、市）级及以上银行。</w:t>
            </w:r>
          </w:p>
          <w:p>
            <w:pPr>
              <w:spacing w:line="360" w:lineRule="exact"/>
              <w:ind w:firstLine="420"/>
              <w:rPr>
                <w:rFonts w:ascii="宋体" w:hAnsi="宋体" w:eastAsia="宋体" w:cs="宋体"/>
                <w:color w:val="auto"/>
                <w:szCs w:val="21"/>
              </w:rPr>
            </w:pPr>
          </w:p>
        </w:tc>
      </w:tr>
    </w:tbl>
    <w:p>
      <w:pPr>
        <w:rPr>
          <w:rFonts w:hint="eastAsia" w:ascii="宋体" w:hAnsi="宋体" w:eastAsia="宋体" w:cs="宋体"/>
          <w:color w:val="auto"/>
          <w:sz w:val="24"/>
        </w:rPr>
      </w:pPr>
    </w:p>
    <w:p>
      <w:pPr>
        <w:rPr>
          <w:rFonts w:hint="eastAsia" w:ascii="宋体" w:hAnsi="宋体" w:eastAsia="宋体" w:cs="宋体"/>
          <w:color w:val="auto"/>
          <w:sz w:val="24"/>
        </w:rPr>
      </w:pPr>
    </w:p>
    <w:p>
      <w:pPr>
        <w:pStyle w:val="3"/>
        <w:spacing w:before="240" w:after="240" w:line="240" w:lineRule="auto"/>
        <w:jc w:val="center"/>
        <w:rPr>
          <w:rFonts w:hint="eastAsia" w:ascii="宋体" w:hAnsi="宋体"/>
          <w:color w:val="auto"/>
          <w:sz w:val="24"/>
          <w:szCs w:val="24"/>
        </w:rPr>
      </w:pPr>
      <w:r>
        <w:rPr>
          <w:rFonts w:hint="eastAsia" w:ascii="宋体" w:hAnsi="宋体"/>
          <w:color w:val="auto"/>
          <w:sz w:val="30"/>
          <w:szCs w:val="30"/>
        </w:rPr>
        <w:br w:type="page"/>
      </w:r>
      <w:bookmarkStart w:id="16" w:name="_Toc9095"/>
      <w:r>
        <w:rPr>
          <w:rFonts w:hint="eastAsia" w:ascii="宋体" w:hAnsi="宋体"/>
          <w:color w:val="auto"/>
          <w:sz w:val="24"/>
          <w:szCs w:val="24"/>
        </w:rPr>
        <w:t>附录3   资格审查条件(业绩最低要求)</w:t>
      </w:r>
      <w:bookmarkEnd w:id="16"/>
    </w:p>
    <w:p>
      <w:pPr>
        <w:rPr>
          <w:rFonts w:hint="eastAsia" w:ascii="宋体" w:hAnsi="宋体" w:eastAsia="宋体" w:cs="宋体"/>
          <w:color w:val="auto"/>
          <w:sz w:val="24"/>
        </w:rPr>
      </w:pPr>
    </w:p>
    <w:tbl>
      <w:tblPr>
        <w:tblStyle w:val="5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3"/>
        <w:gridCol w:w="62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943"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标段</w:t>
            </w:r>
          </w:p>
        </w:tc>
        <w:tc>
          <w:tcPr>
            <w:tcW w:w="6237"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2943"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施工标段</w:t>
            </w:r>
          </w:p>
        </w:tc>
        <w:tc>
          <w:tcPr>
            <w:tcW w:w="6237" w:type="dxa"/>
            <w:tcBorders>
              <w:top w:val="single" w:color="auto" w:sz="6" w:space="0"/>
              <w:left w:val="single" w:color="auto" w:sz="6" w:space="0"/>
              <w:bottom w:val="single" w:color="auto" w:sz="12" w:space="0"/>
              <w:right w:val="single" w:color="auto" w:sz="12"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w:t>
            </w:r>
          </w:p>
        </w:tc>
      </w:tr>
    </w:tbl>
    <w:p>
      <w:pPr>
        <w:spacing w:line="360" w:lineRule="exact"/>
        <w:rPr>
          <w:rFonts w:hint="eastAsia" w:ascii="宋体" w:hAnsi="宋体" w:eastAsia="宋体" w:cs="宋体"/>
          <w:color w:val="auto"/>
          <w:szCs w:val="21"/>
        </w:rPr>
      </w:pPr>
      <w:r>
        <w:rPr>
          <w:rFonts w:hint="eastAsia" w:ascii="宋体" w:hAnsi="宋体" w:eastAsia="宋体" w:cs="宋体"/>
          <w:color w:val="auto"/>
          <w:szCs w:val="21"/>
        </w:rPr>
        <w:t>注：投标人应在“第八章投标文件格式”的“</w:t>
      </w:r>
      <w:r>
        <w:rPr>
          <w:rFonts w:hint="eastAsia" w:ascii="宋体" w:hAnsi="宋体" w:eastAsia="宋体" w:cs="宋体"/>
          <w:color w:val="auto"/>
          <w:szCs w:val="21"/>
          <w:u w:val="single"/>
        </w:rPr>
        <w:t>_  _</w:t>
      </w:r>
      <w:r>
        <w:rPr>
          <w:rFonts w:hint="eastAsia" w:ascii="宋体" w:hAnsi="宋体" w:eastAsia="宋体" w:cs="宋体"/>
          <w:color w:val="auto"/>
          <w:szCs w:val="21"/>
        </w:rPr>
        <w:t>年</w:t>
      </w:r>
      <w:r>
        <w:rPr>
          <w:rFonts w:hint="eastAsia" w:ascii="宋体" w:hAnsi="宋体" w:eastAsia="宋体" w:cs="宋体"/>
          <w:color w:val="auto"/>
          <w:szCs w:val="21"/>
          <w:u w:val="single"/>
        </w:rPr>
        <w:t>_  _</w:t>
      </w:r>
      <w:r>
        <w:rPr>
          <w:rFonts w:hint="eastAsia" w:ascii="宋体" w:hAnsi="宋体" w:eastAsia="宋体" w:cs="宋体"/>
          <w:color w:val="auto"/>
          <w:szCs w:val="21"/>
        </w:rPr>
        <w:t>月</w:t>
      </w:r>
      <w:r>
        <w:rPr>
          <w:rFonts w:hint="eastAsia" w:ascii="宋体" w:hAnsi="宋体" w:eastAsia="宋体" w:cs="宋体"/>
          <w:color w:val="auto"/>
          <w:szCs w:val="21"/>
          <w:u w:val="single"/>
        </w:rPr>
        <w:t>_  _</w:t>
      </w:r>
      <w:r>
        <w:rPr>
          <w:rFonts w:hint="eastAsia" w:ascii="宋体" w:hAnsi="宋体" w:eastAsia="宋体" w:cs="宋体"/>
          <w:color w:val="auto"/>
          <w:szCs w:val="21"/>
        </w:rPr>
        <w:t>日以来完成的主要类似项目情况表”后附：(1)中标通知书复印件；(2)合同协议书复印件；(3)质量证明文件（由发包人出具的工程（标段）交工验收证书或竣工验收委员会出具的工程竣工验收鉴定书或质量监督机构对各参建单位签发的工作综合评价等级证书）的复印件；（4）从“浙江省交通运输厅建设市场诚信信息系统”中打印的含有该系统水印的《主要业绩信息一览表》。</w:t>
      </w:r>
    </w:p>
    <w:p>
      <w:pPr>
        <w:spacing w:line="360" w:lineRule="exact"/>
        <w:rPr>
          <w:rFonts w:hint="eastAsia" w:ascii="宋体" w:hAnsi="宋体" w:eastAsia="宋体" w:cs="宋体"/>
          <w:color w:val="auto"/>
          <w:szCs w:val="21"/>
        </w:rPr>
      </w:pPr>
    </w:p>
    <w:p>
      <w:pPr>
        <w:spacing w:line="360" w:lineRule="exact"/>
        <w:rPr>
          <w:rFonts w:hint="eastAsia" w:ascii="宋体" w:hAnsi="宋体" w:eastAsia="宋体" w:cs="宋体"/>
          <w:color w:val="auto"/>
          <w:szCs w:val="21"/>
        </w:rPr>
      </w:pPr>
    </w:p>
    <w:p>
      <w:pPr>
        <w:spacing w:line="360" w:lineRule="exact"/>
        <w:rPr>
          <w:rFonts w:hint="eastAsia" w:ascii="宋体" w:hAnsi="宋体" w:eastAsia="宋体" w:cs="宋体"/>
          <w:color w:val="auto"/>
          <w:szCs w:val="21"/>
        </w:rPr>
      </w:pPr>
    </w:p>
    <w:p>
      <w:pPr>
        <w:pStyle w:val="3"/>
        <w:spacing w:before="240" w:after="240" w:line="240" w:lineRule="auto"/>
        <w:jc w:val="center"/>
        <w:rPr>
          <w:rFonts w:hint="eastAsia" w:ascii="宋体" w:hAnsi="宋体"/>
          <w:color w:val="auto"/>
          <w:sz w:val="24"/>
          <w:szCs w:val="24"/>
        </w:rPr>
      </w:pPr>
      <w:bookmarkStart w:id="17" w:name="_Toc146"/>
      <w:r>
        <w:rPr>
          <w:rFonts w:hint="eastAsia" w:ascii="宋体" w:hAnsi="宋体"/>
          <w:color w:val="auto"/>
          <w:sz w:val="24"/>
          <w:szCs w:val="24"/>
        </w:rPr>
        <w:t>附录4   资格审查条件(信誉最低要求)</w:t>
      </w:r>
      <w:bookmarkEnd w:id="17"/>
    </w:p>
    <w:p>
      <w:pPr>
        <w:rPr>
          <w:rFonts w:hint="eastAsia" w:ascii="宋体" w:hAnsi="宋体" w:eastAsia="宋体" w:cs="宋体"/>
          <w:color w:val="auto"/>
          <w:sz w:val="24"/>
        </w:rPr>
      </w:pPr>
    </w:p>
    <w:tbl>
      <w:tblPr>
        <w:tblStyle w:val="5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3"/>
        <w:gridCol w:w="6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943"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标段</w:t>
            </w:r>
          </w:p>
        </w:tc>
        <w:tc>
          <w:tcPr>
            <w:tcW w:w="6465"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943"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施工标段</w:t>
            </w:r>
          </w:p>
        </w:tc>
        <w:tc>
          <w:tcPr>
            <w:tcW w:w="6465" w:type="dxa"/>
            <w:tcBorders>
              <w:top w:val="single" w:color="auto" w:sz="6" w:space="0"/>
              <w:left w:val="single" w:color="auto" w:sz="6" w:space="0"/>
              <w:bottom w:val="single" w:color="auto" w:sz="12" w:space="0"/>
              <w:right w:val="single" w:color="auto" w:sz="12" w:space="0"/>
            </w:tcBorders>
            <w:vAlign w:val="center"/>
          </w:tcPr>
          <w:p>
            <w:pPr>
              <w:spacing w:line="360" w:lineRule="exact"/>
              <w:rPr>
                <w:rFonts w:ascii="宋体" w:hAnsi="宋体" w:eastAsia="宋体" w:cs="宋体"/>
                <w:color w:val="auto"/>
                <w:szCs w:val="21"/>
              </w:rPr>
            </w:pPr>
            <w:r>
              <w:rPr>
                <w:rFonts w:hint="eastAsia" w:ascii="宋体" w:hAnsi="宋体" w:eastAsia="宋体" w:cs="宋体"/>
                <w:color w:val="auto"/>
                <w:szCs w:val="21"/>
              </w:rPr>
              <w:t>1、不存在投标人须知第1.4.3项的情形；</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2、近三年（自</w:t>
            </w:r>
            <w:r>
              <w:rPr>
                <w:rFonts w:hint="eastAsia" w:ascii="宋体" w:hAnsi="宋体" w:eastAsia="宋体" w:cs="宋体"/>
                <w:b/>
                <w:color w:val="auto"/>
                <w:szCs w:val="21"/>
                <w:u w:val="single"/>
              </w:rPr>
              <w:t>201</w:t>
            </w:r>
            <w:r>
              <w:rPr>
                <w:rFonts w:hint="eastAsia" w:ascii="宋体" w:hAnsi="宋体" w:eastAsia="宋体" w:cs="宋体"/>
                <w:b/>
                <w:color w:val="auto"/>
                <w:szCs w:val="21"/>
                <w:u w:val="single"/>
                <w:lang w:val="en-US" w:eastAsia="zh-CN"/>
              </w:rPr>
              <w:t>9</w:t>
            </w:r>
            <w:r>
              <w:rPr>
                <w:rFonts w:hint="eastAsia" w:ascii="宋体" w:hAnsi="宋体" w:eastAsia="宋体" w:cs="宋体"/>
                <w:color w:val="auto"/>
                <w:szCs w:val="21"/>
              </w:rPr>
              <w:t>年</w:t>
            </w:r>
            <w:r>
              <w:rPr>
                <w:rFonts w:hint="eastAsia" w:ascii="宋体" w:hAnsi="宋体" w:eastAsia="宋体" w:cs="宋体"/>
                <w:b/>
                <w:color w:val="auto"/>
                <w:szCs w:val="21"/>
                <w:u w:val="single"/>
                <w:lang w:val="en-US" w:eastAsia="zh-CN"/>
              </w:rPr>
              <w:t>1</w:t>
            </w:r>
            <w:r>
              <w:rPr>
                <w:rFonts w:hint="eastAsia" w:ascii="宋体" w:hAnsi="宋体" w:eastAsia="宋体" w:cs="宋体"/>
                <w:color w:val="auto"/>
                <w:szCs w:val="21"/>
              </w:rPr>
              <w:t>月</w:t>
            </w:r>
            <w:r>
              <w:rPr>
                <w:rFonts w:hint="eastAsia" w:ascii="宋体" w:hAnsi="宋体" w:eastAsia="宋体" w:cs="宋体"/>
                <w:b/>
                <w:color w:val="auto"/>
                <w:szCs w:val="21"/>
                <w:u w:val="single"/>
              </w:rPr>
              <w:t>1</w:t>
            </w:r>
            <w:r>
              <w:rPr>
                <w:rFonts w:hint="eastAsia" w:ascii="宋体" w:hAnsi="宋体" w:eastAsia="宋体" w:cs="宋体"/>
                <w:color w:val="auto"/>
                <w:szCs w:val="21"/>
              </w:rPr>
              <w:t>日以来），投标人无行贿犯罪行为；</w:t>
            </w:r>
          </w:p>
          <w:p>
            <w:pPr>
              <w:spacing w:line="360" w:lineRule="exact"/>
              <w:rPr>
                <w:rFonts w:ascii="宋体" w:hAnsi="宋体" w:eastAsia="宋体" w:cs="宋体"/>
                <w:color w:val="auto"/>
                <w:szCs w:val="21"/>
              </w:rPr>
            </w:pPr>
            <w:r>
              <w:rPr>
                <w:rFonts w:hint="eastAsia" w:ascii="宋体" w:hAnsi="宋体" w:eastAsia="宋体" w:cs="宋体"/>
                <w:color w:val="auto"/>
                <w:szCs w:val="21"/>
              </w:rPr>
              <w:t>3、浙江省交通运输厅最新1年公布的投标人信用等级未被评为D级；或者无浙江省交通运输厅最新1年公布信用等级时，交通运输部最新1年公布的投标人信用等级未被评为D级。</w:t>
            </w:r>
          </w:p>
        </w:tc>
      </w:tr>
    </w:tbl>
    <w:p>
      <w:pPr>
        <w:rPr>
          <w:rFonts w:hint="eastAsia" w:ascii="宋体" w:hAnsi="宋体" w:eastAsia="宋体" w:cs="宋体"/>
          <w:color w:val="auto"/>
          <w:szCs w:val="21"/>
        </w:rPr>
      </w:pPr>
    </w:p>
    <w:p>
      <w:pPr>
        <w:rPr>
          <w:rFonts w:hint="eastAsia" w:ascii="宋体" w:hAnsi="宋体" w:eastAsia="宋体" w:cs="宋体"/>
          <w:color w:val="auto"/>
          <w:szCs w:val="21"/>
        </w:rPr>
      </w:pPr>
      <w:r>
        <w:rPr>
          <w:rFonts w:hint="eastAsia" w:ascii="宋体" w:hAnsi="宋体" w:eastAsia="宋体" w:cs="宋体"/>
          <w:color w:val="auto"/>
          <w:szCs w:val="21"/>
        </w:rPr>
        <w:t>注：投标人无行贿受贿犯罪行为查询投标时无需提供，中标人在领取中标通知书时携带“中国裁判文书网”查询结果截图。</w:t>
      </w:r>
    </w:p>
    <w:p>
      <w:pPr>
        <w:rPr>
          <w:rFonts w:hint="eastAsia" w:ascii="宋体" w:hAnsi="宋体" w:eastAsia="宋体" w:cs="宋体"/>
          <w:color w:val="auto"/>
          <w:szCs w:val="21"/>
        </w:rPr>
      </w:pPr>
    </w:p>
    <w:p>
      <w:pPr>
        <w:rPr>
          <w:rFonts w:hint="eastAsia" w:ascii="宋体" w:hAnsi="宋体" w:eastAsia="宋体" w:cs="宋体"/>
          <w:color w:val="auto"/>
          <w:szCs w:val="21"/>
        </w:rPr>
      </w:pPr>
      <w:r>
        <w:rPr>
          <w:rFonts w:hint="eastAsia" w:ascii="宋体" w:hAnsi="宋体" w:eastAsia="宋体" w:cs="宋体"/>
          <w:color w:val="auto"/>
          <w:szCs w:val="21"/>
        </w:rPr>
        <w:br w:type="page"/>
      </w:r>
    </w:p>
    <w:p>
      <w:pPr>
        <w:pStyle w:val="3"/>
        <w:spacing w:before="240" w:after="240" w:line="240" w:lineRule="auto"/>
        <w:jc w:val="center"/>
        <w:rPr>
          <w:rFonts w:hint="eastAsia" w:ascii="宋体" w:hAnsi="宋体"/>
          <w:color w:val="auto"/>
          <w:sz w:val="24"/>
          <w:szCs w:val="24"/>
        </w:rPr>
      </w:pPr>
      <w:bookmarkStart w:id="18" w:name="_Toc11545"/>
      <w:r>
        <w:rPr>
          <w:rFonts w:hint="eastAsia" w:ascii="宋体" w:hAnsi="宋体"/>
          <w:color w:val="auto"/>
          <w:sz w:val="24"/>
          <w:szCs w:val="24"/>
        </w:rPr>
        <w:t>附录5   资格审查条件(项目经理和项目总工最低要求)</w:t>
      </w:r>
      <w:bookmarkEnd w:id="18"/>
    </w:p>
    <w:tbl>
      <w:tblPr>
        <w:tblStyle w:val="5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984"/>
        <w:gridCol w:w="5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trPr>
        <w:tc>
          <w:tcPr>
            <w:tcW w:w="2235"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人  员</w:t>
            </w:r>
          </w:p>
        </w:tc>
        <w:tc>
          <w:tcPr>
            <w:tcW w:w="1984"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数  量</w:t>
            </w:r>
          </w:p>
        </w:tc>
        <w:tc>
          <w:tcPr>
            <w:tcW w:w="502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235"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项目经理</w:t>
            </w:r>
          </w:p>
        </w:tc>
        <w:tc>
          <w:tcPr>
            <w:tcW w:w="198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1</w:t>
            </w:r>
          </w:p>
        </w:tc>
        <w:tc>
          <w:tcPr>
            <w:tcW w:w="5020" w:type="dxa"/>
            <w:tcBorders>
              <w:top w:val="single" w:color="auto" w:sz="6" w:space="0"/>
              <w:left w:val="single" w:color="auto" w:sz="6" w:space="0"/>
              <w:bottom w:val="single" w:color="auto" w:sz="6" w:space="0"/>
              <w:right w:val="single" w:color="auto" w:sz="12" w:space="0"/>
            </w:tcBorders>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rPr>
              <w:t>1、具有公路工程专业注册建造师二级及以上</w:t>
            </w:r>
            <w:r>
              <w:rPr>
                <w:rFonts w:hint="eastAsia" w:ascii="宋体" w:hAnsi="宋体" w:eastAsia="宋体" w:cs="宋体"/>
                <w:color w:val="auto"/>
                <w:kern w:val="2"/>
                <w:sz w:val="21"/>
                <w:szCs w:val="21"/>
                <w:lang w:val="en-US" w:eastAsia="zh-CN" w:bidi="ar-SA"/>
              </w:rPr>
              <w:t>，无在建工程</w:t>
            </w:r>
            <w:r>
              <w:rPr>
                <w:rFonts w:hint="eastAsia" w:ascii="宋体" w:hAnsi="宋体" w:eastAsia="宋体" w:cs="宋体"/>
                <w:color w:val="auto"/>
                <w:szCs w:val="21"/>
                <w:lang w:val="en-US" w:eastAsia="zh-CN"/>
              </w:rPr>
              <w:t>，</w:t>
            </w:r>
            <w:r>
              <w:rPr>
                <w:rFonts w:hint="eastAsia" w:ascii="宋体" w:hAnsi="宋体" w:eastAsia="宋体" w:cs="宋体"/>
                <w:color w:val="auto"/>
                <w:szCs w:val="21"/>
              </w:rPr>
              <w:t>并有有效期内的</w:t>
            </w:r>
            <w:r>
              <w:rPr>
                <w:rFonts w:hint="eastAsia" w:ascii="宋体" w:hAnsi="宋体" w:eastAsia="宋体" w:cs="宋体"/>
                <w:color w:val="auto"/>
                <w:szCs w:val="21"/>
                <w:lang w:eastAsia="zh-CN"/>
              </w:rPr>
              <w:t>公路水运工程</w:t>
            </w:r>
            <w:r>
              <w:rPr>
                <w:rFonts w:hint="eastAsia" w:ascii="宋体" w:hAnsi="宋体" w:eastAsia="宋体" w:cs="宋体"/>
                <w:color w:val="auto"/>
                <w:szCs w:val="21"/>
              </w:rPr>
              <w:t>施工企业项目负责人安全生产考核合格证书（B类）。</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2、拟委任的项目经理的安全生产考核合格证书（B类）上的企业名称应与投标人名称一致，否则资格审查不予通过。</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3、拟委任项目经理未在其他在建合同工程中任项目经理。</w:t>
            </w:r>
          </w:p>
          <w:p>
            <w:pPr>
              <w:spacing w:line="360" w:lineRule="exact"/>
              <w:rPr>
                <w:rFonts w:ascii="宋体" w:hAnsi="宋体" w:eastAsia="宋体" w:cs="宋体"/>
                <w:color w:val="auto"/>
                <w:szCs w:val="21"/>
              </w:rPr>
            </w:pPr>
            <w:r>
              <w:rPr>
                <w:rFonts w:hint="eastAsia" w:ascii="宋体" w:hAnsi="宋体" w:eastAsia="宋体" w:cs="宋体"/>
                <w:color w:val="auto"/>
                <w:szCs w:val="21"/>
              </w:rPr>
              <w:t>4、近三年（自</w:t>
            </w:r>
            <w:r>
              <w:rPr>
                <w:rFonts w:hint="eastAsia" w:ascii="宋体" w:hAnsi="宋体" w:eastAsia="宋体" w:cs="宋体"/>
                <w:b/>
                <w:color w:val="auto"/>
                <w:szCs w:val="21"/>
                <w:u w:val="single"/>
              </w:rPr>
              <w:t>201</w:t>
            </w:r>
            <w:r>
              <w:rPr>
                <w:rFonts w:hint="eastAsia" w:ascii="宋体" w:hAnsi="宋体" w:eastAsia="宋体" w:cs="宋体"/>
                <w:b/>
                <w:color w:val="auto"/>
                <w:szCs w:val="21"/>
                <w:u w:val="single"/>
                <w:lang w:val="en-US" w:eastAsia="zh-CN"/>
              </w:rPr>
              <w:t>9</w:t>
            </w:r>
            <w:r>
              <w:rPr>
                <w:rFonts w:hint="eastAsia" w:ascii="宋体" w:hAnsi="宋体" w:eastAsia="宋体" w:cs="宋体"/>
                <w:color w:val="auto"/>
                <w:szCs w:val="21"/>
              </w:rPr>
              <w:t>年</w:t>
            </w:r>
            <w:r>
              <w:rPr>
                <w:rFonts w:hint="eastAsia" w:ascii="宋体" w:hAnsi="宋体" w:eastAsia="宋体" w:cs="宋体"/>
                <w:b/>
                <w:color w:val="auto"/>
                <w:szCs w:val="21"/>
                <w:u w:val="single"/>
                <w:lang w:val="en-US" w:eastAsia="zh-CN"/>
              </w:rPr>
              <w:t>1</w:t>
            </w:r>
            <w:r>
              <w:rPr>
                <w:rFonts w:hint="eastAsia" w:ascii="宋体" w:hAnsi="宋体" w:eastAsia="宋体" w:cs="宋体"/>
                <w:color w:val="auto"/>
                <w:szCs w:val="21"/>
              </w:rPr>
              <w:t>月</w:t>
            </w:r>
            <w:r>
              <w:rPr>
                <w:rFonts w:hint="eastAsia" w:ascii="宋体" w:hAnsi="宋体" w:eastAsia="宋体" w:cs="宋体"/>
                <w:b/>
                <w:color w:val="auto"/>
                <w:szCs w:val="21"/>
                <w:u w:val="single"/>
              </w:rPr>
              <w:t>1</w:t>
            </w:r>
            <w:r>
              <w:rPr>
                <w:rFonts w:hint="eastAsia" w:ascii="宋体" w:hAnsi="宋体" w:eastAsia="宋体" w:cs="宋体"/>
                <w:color w:val="auto"/>
                <w:szCs w:val="21"/>
              </w:rPr>
              <w:t>日以来），无行贿犯罪行为。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2" w:hRule="atLeast"/>
        </w:trPr>
        <w:tc>
          <w:tcPr>
            <w:tcW w:w="2235" w:type="dxa"/>
            <w:tcBorders>
              <w:top w:val="single" w:color="auto" w:sz="6" w:space="0"/>
              <w:left w:val="single" w:color="auto" w:sz="12" w:space="0"/>
              <w:bottom w:val="single" w:color="auto" w:sz="12" w:space="0"/>
              <w:right w:val="single" w:color="auto" w:sz="6" w:space="0"/>
            </w:tcBorders>
            <w:vAlign w:val="center"/>
          </w:tcPr>
          <w:p>
            <w:pPr>
              <w:spacing w:line="360" w:lineRule="exact"/>
              <w:ind w:firstLine="210" w:firstLineChars="100"/>
              <w:rPr>
                <w:rFonts w:ascii="宋体" w:hAnsi="宋体" w:eastAsia="宋体" w:cs="宋体"/>
                <w:color w:val="auto"/>
                <w:szCs w:val="21"/>
              </w:rPr>
            </w:pPr>
            <w:r>
              <w:rPr>
                <w:rFonts w:hint="eastAsia" w:ascii="宋体" w:hAnsi="宋体" w:eastAsia="宋体" w:cs="宋体"/>
                <w:color w:val="auto"/>
                <w:szCs w:val="21"/>
              </w:rPr>
              <w:t>项目总工程师</w:t>
            </w:r>
          </w:p>
        </w:tc>
        <w:tc>
          <w:tcPr>
            <w:tcW w:w="1984" w:type="dxa"/>
            <w:tcBorders>
              <w:top w:val="single" w:color="auto" w:sz="6" w:space="0"/>
              <w:left w:val="single" w:color="auto" w:sz="6" w:space="0"/>
              <w:bottom w:val="single" w:color="auto" w:sz="12" w:space="0"/>
              <w:right w:val="single" w:color="auto" w:sz="6" w:space="0"/>
            </w:tcBorders>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5020" w:type="dxa"/>
            <w:tcBorders>
              <w:top w:val="single" w:color="auto" w:sz="6" w:space="0"/>
              <w:left w:val="single" w:color="auto" w:sz="6" w:space="0"/>
              <w:bottom w:val="single" w:color="auto" w:sz="12" w:space="0"/>
              <w:right w:val="single" w:color="auto" w:sz="12" w:space="0"/>
            </w:tcBorders>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公路工程相关专业中级及以上技术职称，并有有效期内的</w:t>
            </w:r>
            <w:r>
              <w:rPr>
                <w:rFonts w:hint="eastAsia" w:ascii="宋体" w:hAnsi="宋体" w:eastAsia="宋体" w:cs="宋体"/>
                <w:color w:val="auto"/>
                <w:szCs w:val="21"/>
                <w:lang w:eastAsia="zh-CN"/>
              </w:rPr>
              <w:t>公路水运工程</w:t>
            </w:r>
            <w:r>
              <w:rPr>
                <w:rFonts w:hint="eastAsia" w:ascii="宋体" w:hAnsi="宋体" w:eastAsia="宋体" w:cs="宋体"/>
                <w:color w:val="auto"/>
                <w:szCs w:val="21"/>
                <w:lang w:val="en-US" w:eastAsia="zh-CN"/>
              </w:rPr>
              <w:t>施工企业项目负责人安全生产考核合格证书（B 类）。</w:t>
            </w:r>
          </w:p>
          <w:p>
            <w:pPr>
              <w:spacing w:line="360" w:lineRule="exact"/>
              <w:rPr>
                <w:rFonts w:ascii="宋体" w:hAnsi="宋体" w:eastAsia="宋体" w:cs="宋体"/>
                <w:color w:val="auto"/>
                <w:szCs w:val="21"/>
              </w:rPr>
            </w:pPr>
            <w:r>
              <w:rPr>
                <w:rFonts w:hint="eastAsia" w:ascii="宋体" w:hAnsi="宋体" w:eastAsia="宋体" w:cs="宋体"/>
                <w:color w:val="auto"/>
                <w:szCs w:val="21"/>
              </w:rPr>
              <w:t>2、拟委任的项目总工的安全生产考核合格证书（B类）上的企业名称应与投标人名称一致，否则资格审查不予通过。</w:t>
            </w:r>
          </w:p>
        </w:tc>
      </w:tr>
    </w:tbl>
    <w:p>
      <w:pPr>
        <w:spacing w:line="320" w:lineRule="exact"/>
        <w:rPr>
          <w:rFonts w:hint="eastAsia" w:ascii="宋体" w:hAnsi="宋体" w:eastAsia="宋体" w:cs="宋体"/>
          <w:color w:val="auto"/>
          <w:szCs w:val="21"/>
        </w:rPr>
      </w:pPr>
      <w:r>
        <w:rPr>
          <w:rFonts w:hint="eastAsia" w:ascii="宋体" w:hAnsi="宋体" w:eastAsia="宋体" w:cs="宋体"/>
          <w:color w:val="auto"/>
          <w:szCs w:val="21"/>
        </w:rPr>
        <w:t>注：1.拟委任的项目经理无行贿受贿犯罪行为的认定，投标时无需提供，中标人在领取中标通知书时携带“中国裁判文书网”查询结果截图。</w:t>
      </w:r>
    </w:p>
    <w:p>
      <w:pPr>
        <w:spacing w:line="3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 在建合同工程的开始时间为该合同工程中标通知书发出之日（不通过招标方式的，开始时间为合同签订之日），结束时间为该合同工程通过交工验收或合同解除之日。</w:t>
      </w:r>
    </w:p>
    <w:p>
      <w:pPr>
        <w:spacing w:line="3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3.其余拟委任项目经理是否有“在建合同工程”按以下原则认定：</w:t>
      </w:r>
    </w:p>
    <w:p>
      <w:pPr>
        <w:spacing w:line="3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(1).若该合同工程协议书尚未签订，则其中标通知书中明确的项目经理和备选项目经理均视为有“在建合同工程”；</w:t>
      </w:r>
    </w:p>
    <w:p>
      <w:pPr>
        <w:spacing w:line="3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(2).若该合同工程协议书已签订的，则仅合同协议书中明确的项目经理视为有“在建合同工程”。</w:t>
      </w:r>
    </w:p>
    <w:p>
      <w:pPr>
        <w:spacing w:line="3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pPr>
        <w:spacing w:line="3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 “在建合同工程”范围：包括在中华人民共和国境内所有建设工程，不受地域、行业和投资性质的限制。</w:t>
      </w:r>
    </w:p>
    <w:p>
      <w:pPr>
        <w:spacing w:line="320" w:lineRule="exact"/>
        <w:ind w:firstLine="420" w:firstLineChars="200"/>
        <w:rPr>
          <w:rFonts w:hint="eastAsia" w:ascii="宋体" w:hAnsi="宋体" w:eastAsia="宋体" w:cs="宋体"/>
          <w:color w:val="auto"/>
          <w:szCs w:val="21"/>
        </w:rPr>
      </w:pPr>
    </w:p>
    <w:p>
      <w:pPr>
        <w:spacing w:line="320" w:lineRule="exact"/>
        <w:ind w:firstLine="420" w:firstLineChars="200"/>
        <w:rPr>
          <w:rFonts w:hint="eastAsia" w:ascii="宋体" w:hAnsi="宋体" w:eastAsia="宋体" w:cs="宋体"/>
          <w:color w:val="auto"/>
          <w:szCs w:val="21"/>
        </w:rPr>
      </w:pPr>
    </w:p>
    <w:p>
      <w:pPr>
        <w:spacing w:line="320" w:lineRule="exact"/>
        <w:ind w:firstLine="420" w:firstLineChars="200"/>
        <w:rPr>
          <w:rFonts w:hint="eastAsia" w:ascii="宋体" w:hAnsi="宋体" w:eastAsia="宋体" w:cs="宋体"/>
          <w:color w:val="auto"/>
          <w:szCs w:val="21"/>
        </w:rPr>
      </w:pPr>
    </w:p>
    <w:p>
      <w:pPr>
        <w:rPr>
          <w:rFonts w:hint="eastAsia" w:ascii="宋体" w:hAnsi="宋体"/>
          <w:color w:val="auto"/>
          <w:sz w:val="28"/>
          <w:szCs w:val="28"/>
        </w:rPr>
      </w:pPr>
      <w:r>
        <w:rPr>
          <w:rFonts w:hint="eastAsia" w:ascii="宋体" w:hAnsi="宋体"/>
          <w:color w:val="auto"/>
          <w:sz w:val="28"/>
          <w:szCs w:val="28"/>
        </w:rPr>
        <w:br w:type="page"/>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8"/>
          <w:szCs w:val="28"/>
        </w:rPr>
      </w:pPr>
      <w:bookmarkStart w:id="19" w:name="_Toc25083"/>
      <w:bookmarkStart w:id="20" w:name="_Toc445"/>
      <w:r>
        <w:rPr>
          <w:rFonts w:hint="eastAsia" w:ascii="宋体" w:hAnsi="宋体"/>
          <w:color w:val="auto"/>
          <w:sz w:val="28"/>
          <w:szCs w:val="28"/>
        </w:rPr>
        <w:t>1. 总则</w:t>
      </w:r>
      <w:bookmarkEnd w:id="19"/>
      <w:bookmarkEnd w:id="20"/>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21" w:name="_Toc17813"/>
      <w:bookmarkStart w:id="22" w:name="_Toc10596"/>
      <w:r>
        <w:rPr>
          <w:rFonts w:hint="eastAsia" w:ascii="宋体" w:hAnsi="宋体"/>
          <w:color w:val="auto"/>
          <w:sz w:val="21"/>
          <w:szCs w:val="21"/>
        </w:rPr>
        <w:t>1.1 项目概况</w:t>
      </w:r>
      <w:bookmarkEnd w:id="21"/>
      <w:bookmarkEnd w:id="22"/>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1.1.1根据《中华人民共和国招标投标法》等有关法律、法规和规章的规定，本招标项目已具备招标条件，现对本标段施工进行招标。</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1.1.2 本招标项目发包人：见投标人须知前附表。</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1.1.3 本标段招标代理机构：见投标人须知前附表。</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1.1.4 本招标项目名称：见投标人须知前附表。</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1.1.5 本标段建设地点：见投标人须知前附表。</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23" w:name="_Toc881"/>
      <w:bookmarkStart w:id="24" w:name="_Toc21899"/>
      <w:r>
        <w:rPr>
          <w:rFonts w:hint="eastAsia" w:ascii="宋体" w:hAnsi="宋体"/>
          <w:color w:val="auto"/>
          <w:sz w:val="21"/>
          <w:szCs w:val="21"/>
        </w:rPr>
        <w:t>1.2 资金来源和落实情况</w:t>
      </w:r>
      <w:bookmarkEnd w:id="23"/>
      <w:bookmarkEnd w:id="24"/>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1.2.1 本招标项目的资金来源：见投标人须知前附表。</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1.2.2 本招标项目的出资比例：见投标人须知前附表。</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1.2.3 本招标项目的资金落实情况：见投标人须知前附表。</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25" w:name="_Toc417"/>
      <w:bookmarkStart w:id="26" w:name="_Toc29023"/>
      <w:r>
        <w:rPr>
          <w:rFonts w:hint="eastAsia" w:ascii="宋体" w:hAnsi="宋体"/>
          <w:color w:val="auto"/>
          <w:sz w:val="21"/>
          <w:szCs w:val="21"/>
        </w:rPr>
        <w:t>1.3 招标范围、计划工期和质量要求</w:t>
      </w:r>
      <w:bookmarkEnd w:id="25"/>
      <w:bookmarkEnd w:id="26"/>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1.3.1 本次招标范围：见投标人须知前附表。</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1.3.2 本标段的计划工期：见投标人须知前附表。</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1.3.3 本标段的质量要求：见投标人须知前附表。</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27" w:name="_Toc9206"/>
      <w:bookmarkStart w:id="28" w:name="_Toc1726"/>
      <w:r>
        <w:rPr>
          <w:rFonts w:hint="eastAsia" w:ascii="宋体" w:hAnsi="宋体"/>
          <w:color w:val="auto"/>
          <w:sz w:val="21"/>
          <w:szCs w:val="21"/>
        </w:rPr>
        <w:t>1.4 投标人资格要求</w:t>
      </w:r>
      <w:bookmarkEnd w:id="27"/>
      <w:bookmarkEnd w:id="28"/>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1.4.1 投标人应具备承担本标段施工的资质条件、能力和信誉。</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（1）资质条件：见投标人须知前附表；</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（2）财务要求：见投标人须知前附表；</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（3）业绩要求：见投标人须知前附表；</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（4）信誉要求：见投标人须知前附表;</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（5）项目经理资格：见投标人须知前附表；</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（6）其他要求：见投标人须知前附表。</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1.4.2 投标人须知前附表规定接受联合体投标的，除应符合本章第1.4.1项和投标人须知前附表的要求外，还应遵守以下规定：</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（1）联合体各方应按招标文件提供的格式签订联合体协议书，明确联合体牵头人和各方权利义务；</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（2）由同一专业的单位组成的联合体，按照资质等级较低的单位确定资质等级；</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（3）联合体各方不得再以自己名义单独或参加其他联合体在同一标段中投标；</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（4）联合体所有成员数量不得超过投标人须知前附表规定的数量；</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（5）联合体牵头人所承担的工程量必须超过总工程量的50%；</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6）联合体各方应分别按照本招标文件的要求，填写投标文件中的相应表格，并由联合体牵头人负责对联合体各成员的资料进行统一汇总后一并提交给发包人；联合体牵头人所提交的投标文件应认为已代表了联合体各成员的真实情况；</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（7）尽管委任了联合体牵头人，但联合体各成员在投标、签约与履行合同过程中，仍负有连带的和各自的法律责任。</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1.4.3 投标人不得存在下列情形之一：</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（1）为发包人不具有独立法人资格的附属机构（单位）；</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（2）为本标段前期准备提供设计或咨询服务的，但设计施工总承包的除外；</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（3）为本标段的监理人；</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（4）为本标段的代建人；</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（5）为本标段提供招标代理服务的；</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（6）与本标段的监理人或代建人或招标代理机构同为一个法定代表人的；</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（7）与本标段的监理人或代建人或招标代理机构相互控股或参股的；</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（8）与本标段的监理人或代建人或招标代理机构相互任职或工作的；</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（9）被责令停业的；</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（10）被暂停或取消投标资格的；</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（11）财产被接管或冻结的；</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（12）在最近三年内有骗取中标或严重违约或重大工程质量问题的；</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（13）涉及正在诉讼的案件，或涉及正在诉讼的案件但经审查委员会认定不会对承担本项目造成重大影响；</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（14）被省级及以上交通主管部门取消项目所在地的投标资格或禁止进入该区域公路建设市场且处于有效期内；</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（15）为投资参股本项目的法人单位。</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29" w:name="_Toc22965"/>
      <w:bookmarkStart w:id="30" w:name="_Toc28412"/>
      <w:r>
        <w:rPr>
          <w:rFonts w:hint="eastAsia" w:ascii="宋体" w:hAnsi="宋体"/>
          <w:color w:val="auto"/>
          <w:sz w:val="21"/>
          <w:szCs w:val="21"/>
        </w:rPr>
        <w:t>1.5 费用承担</w:t>
      </w:r>
      <w:bookmarkEnd w:id="29"/>
      <w:bookmarkEnd w:id="30"/>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投标人准备和参加投标活动发生的费用自理。</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31" w:name="_Toc18415"/>
      <w:bookmarkStart w:id="32" w:name="_Toc21599"/>
      <w:r>
        <w:rPr>
          <w:rFonts w:hint="eastAsia" w:ascii="宋体" w:hAnsi="宋体"/>
          <w:color w:val="auto"/>
          <w:sz w:val="21"/>
          <w:szCs w:val="21"/>
        </w:rPr>
        <w:t>1.6 保密</w:t>
      </w:r>
      <w:bookmarkEnd w:id="31"/>
      <w:bookmarkEnd w:id="32"/>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参与招标投标活动的各方应对招标文件和投标文件中的商业和技术等秘密保密，违者应对由此造成的后果承担法律责任。</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33" w:name="_Toc17491"/>
      <w:bookmarkStart w:id="34" w:name="_Toc24013"/>
      <w:r>
        <w:rPr>
          <w:rFonts w:hint="eastAsia" w:ascii="宋体" w:hAnsi="宋体"/>
          <w:color w:val="auto"/>
          <w:sz w:val="21"/>
          <w:szCs w:val="21"/>
        </w:rPr>
        <w:t>1.7 语言文字</w:t>
      </w:r>
      <w:bookmarkEnd w:id="33"/>
      <w:bookmarkEnd w:id="34"/>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除专用术语外，与招标投标有关的语言均使用中文。必要时专用术语应附有中文注释。</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35" w:name="_Toc3522"/>
      <w:bookmarkStart w:id="36" w:name="_Toc25808"/>
      <w:r>
        <w:rPr>
          <w:rFonts w:hint="eastAsia" w:ascii="宋体" w:hAnsi="宋体"/>
          <w:color w:val="auto"/>
          <w:sz w:val="21"/>
          <w:szCs w:val="21"/>
        </w:rPr>
        <w:t>1.8 计量单位</w:t>
      </w:r>
      <w:bookmarkEnd w:id="35"/>
      <w:bookmarkEnd w:id="36"/>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所有计量均采用中华人民共和国法定计量单位。</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37" w:name="_Toc12199"/>
      <w:bookmarkStart w:id="38" w:name="_Toc56"/>
      <w:r>
        <w:rPr>
          <w:rFonts w:hint="eastAsia" w:ascii="宋体" w:hAnsi="宋体"/>
          <w:color w:val="auto"/>
          <w:sz w:val="21"/>
          <w:szCs w:val="21"/>
        </w:rPr>
        <w:t>1.9 踏勘现场</w:t>
      </w:r>
      <w:bookmarkEnd w:id="37"/>
      <w:bookmarkEnd w:id="38"/>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1.9.1 投标人须知前附表规定组织踏勘现场的，发包人按投标人须知前附表规定的时间、地点组织投标人踏勘项目现场。</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1.9.2 投标人踏勘现场发生的费用自理。</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1.9.3 除发包人的原因外，投标人自行负责在踏勘现场中所发生的人员伤亡和财产损失。</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1.9.4 发包人在踏勘现场中介绍的工程场地和相关的周边环境情况，供投标人在编制投标文件时参考，发包人不对投标人据此作出的判断和决策负责。</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1.9.5 发包人提供的本合同工程的水文、地质、气象和料场分布、取土场、弃土场位置等参考资料，并不构成合同文件的组成部分，投标人应对自己对上述资料的解释、推论和应用负责，发包人不对投标人据此作出的判断和决策承担任何责任。</w:t>
      </w:r>
    </w:p>
    <w:p>
      <w:pPr>
        <w:pageBreakBefore w:val="0"/>
        <w:widowControl w:val="0"/>
        <w:kinsoku/>
        <w:wordWrap/>
        <w:overflowPunct/>
        <w:topLinePunct w:val="0"/>
        <w:autoSpaceDE/>
        <w:autoSpaceDN/>
        <w:bidi w:val="0"/>
        <w:spacing w:beforeAutospacing="0" w:line="280" w:lineRule="exact"/>
        <w:textAlignment w:val="auto"/>
        <w:outlineLvl w:val="2"/>
        <w:rPr>
          <w:rFonts w:ascii="宋体" w:hAnsi="宋体" w:eastAsia="宋体" w:cs="宋体"/>
          <w:color w:val="auto"/>
        </w:rPr>
      </w:pPr>
      <w:bookmarkStart w:id="39" w:name="_Toc467421042"/>
      <w:bookmarkStart w:id="40" w:name="_Toc441076966"/>
      <w:bookmarkStart w:id="41" w:name="_Toc467421238"/>
      <w:bookmarkStart w:id="42" w:name="_Toc24857"/>
      <w:r>
        <w:rPr>
          <w:rFonts w:hint="eastAsia" w:ascii="宋体" w:hAnsi="宋体" w:eastAsia="宋体" w:cs="宋体"/>
          <w:color w:val="auto"/>
        </w:rPr>
        <w:t>1.10 投标预备会</w:t>
      </w:r>
      <w:bookmarkEnd w:id="39"/>
      <w:bookmarkEnd w:id="40"/>
      <w:bookmarkEnd w:id="41"/>
      <w:bookmarkEnd w:id="42"/>
    </w:p>
    <w:p>
      <w:pPr>
        <w:pageBreakBefore w:val="0"/>
        <w:widowControl w:val="0"/>
        <w:kinsoku/>
        <w:wordWrap/>
        <w:overflowPunct/>
        <w:topLinePunct w:val="0"/>
        <w:autoSpaceDE/>
        <w:autoSpaceDN/>
        <w:bidi w:val="0"/>
        <w:spacing w:beforeAutospacing="0" w:line="280" w:lineRule="exact"/>
        <w:ind w:firstLine="435"/>
        <w:textAlignment w:val="auto"/>
        <w:rPr>
          <w:rFonts w:ascii="宋体" w:hAnsi="宋体" w:eastAsia="宋体" w:cs="宋体"/>
          <w:color w:val="auto"/>
        </w:rPr>
      </w:pPr>
      <w:r>
        <w:rPr>
          <w:rFonts w:hint="eastAsia" w:ascii="宋体" w:hAnsi="宋体" w:eastAsia="宋体" w:cs="宋体"/>
          <w:color w:val="auto"/>
        </w:rPr>
        <w:t>1.10.1 发包人将按投标人须知前附表规定召开投标预备会。</w:t>
      </w:r>
    </w:p>
    <w:p>
      <w:pPr>
        <w:pageBreakBefore w:val="0"/>
        <w:widowControl w:val="0"/>
        <w:kinsoku/>
        <w:wordWrap/>
        <w:overflowPunct/>
        <w:topLinePunct w:val="0"/>
        <w:autoSpaceDE/>
        <w:autoSpaceDN/>
        <w:bidi w:val="0"/>
        <w:spacing w:beforeAutospacing="0" w:line="280" w:lineRule="exact"/>
        <w:ind w:firstLine="435"/>
        <w:textAlignment w:val="auto"/>
        <w:rPr>
          <w:rFonts w:ascii="宋体" w:hAnsi="宋体" w:eastAsia="宋体" w:cs="宋体"/>
          <w:color w:val="auto"/>
        </w:rPr>
      </w:pPr>
      <w:r>
        <w:rPr>
          <w:rFonts w:hint="eastAsia" w:ascii="宋体" w:hAnsi="宋体" w:eastAsia="宋体" w:cs="宋体"/>
          <w:color w:val="auto"/>
        </w:rPr>
        <w:t>1.10.2 投标人在踏勘现场（如果有）及阅读招标文件后提出的与投标有关的问题，发包人将在投标预备会上予以解答。投标人应在投标人须知前附表规定的截止时间之前，以书面形式将要求答复的问题提交给发包人，以便发包人进行准备。</w:t>
      </w:r>
    </w:p>
    <w:p>
      <w:pPr>
        <w:pageBreakBefore w:val="0"/>
        <w:widowControl w:val="0"/>
        <w:kinsoku/>
        <w:wordWrap/>
        <w:overflowPunct/>
        <w:topLinePunct w:val="0"/>
        <w:autoSpaceDE/>
        <w:autoSpaceDN/>
        <w:bidi w:val="0"/>
        <w:spacing w:beforeAutospacing="0" w:line="280" w:lineRule="exact"/>
        <w:textAlignment w:val="auto"/>
        <w:outlineLvl w:val="2"/>
        <w:rPr>
          <w:rFonts w:ascii="宋体" w:hAnsi="宋体" w:eastAsia="宋体" w:cs="宋体"/>
          <w:color w:val="auto"/>
          <w:szCs w:val="21"/>
        </w:rPr>
      </w:pPr>
      <w:bookmarkStart w:id="43" w:name="_Toc22426"/>
      <w:r>
        <w:rPr>
          <w:rFonts w:hint="eastAsia" w:ascii="宋体" w:hAnsi="宋体" w:eastAsia="宋体" w:cs="宋体"/>
          <w:color w:val="auto"/>
        </w:rPr>
        <w:t xml:space="preserve">1.10.3 </w:t>
      </w:r>
      <w:r>
        <w:rPr>
          <w:rFonts w:hint="eastAsia" w:ascii="宋体" w:hAnsi="宋体" w:eastAsia="宋体" w:cs="宋体"/>
          <w:color w:val="auto"/>
          <w:szCs w:val="21"/>
        </w:rPr>
        <w:t>发包人将以补遗书形式书面答复投标人提出的问题，按规定报备后，发包人将在三门县公共资源交易中心网 “网址：</w:t>
      </w:r>
      <w:r>
        <w:rPr>
          <w:color w:val="auto"/>
        </w:rPr>
        <w:fldChar w:fldCharType="begin"/>
      </w:r>
      <w:r>
        <w:rPr>
          <w:color w:val="auto"/>
        </w:rPr>
        <w:instrText xml:space="preserve"> HYPERLINK "http://www.smztb.com" </w:instrText>
      </w:r>
      <w:r>
        <w:rPr>
          <w:color w:val="auto"/>
        </w:rPr>
        <w:fldChar w:fldCharType="separate"/>
      </w:r>
      <w:r>
        <w:rPr>
          <w:rStyle w:val="59"/>
          <w:rFonts w:hint="eastAsia" w:ascii="宋体" w:hAnsi="宋体" w:eastAsia="宋体" w:cs="宋体"/>
          <w:color w:val="auto"/>
          <w:szCs w:val="21"/>
          <w:lang w:eastAsia="zh-CN"/>
        </w:rPr>
        <w:t>http://jyzx.sanmen.gov.cn</w:t>
      </w:r>
      <w:r>
        <w:rPr>
          <w:rStyle w:val="59"/>
          <w:rFonts w:hint="eastAsia" w:ascii="宋体" w:hAnsi="宋体" w:eastAsia="宋体" w:cs="宋体"/>
          <w:color w:val="auto"/>
          <w:szCs w:val="21"/>
        </w:rPr>
        <w:t>”上公开发布补遗书（补充、澄清、修改文件）对招标文件进行答复。</w:t>
      </w:r>
      <w:r>
        <w:rPr>
          <w:rStyle w:val="59"/>
          <w:rFonts w:hint="eastAsia" w:ascii="宋体" w:hAnsi="宋体" w:eastAsia="宋体" w:cs="宋体"/>
          <w:b/>
          <w:bCs/>
          <w:color w:val="auto"/>
          <w:szCs w:val="21"/>
        </w:rPr>
        <w:t>潜在投标人应自行关注网站公告，发包人不再一一通知。</w:t>
      </w:r>
      <w:r>
        <w:rPr>
          <w:rStyle w:val="59"/>
          <w:rFonts w:hint="eastAsia" w:ascii="宋体" w:hAnsi="宋体" w:eastAsia="宋体" w:cs="宋体"/>
          <w:b/>
          <w:bCs/>
          <w:color w:val="auto"/>
          <w:szCs w:val="21"/>
        </w:rPr>
        <w:fldChar w:fldCharType="end"/>
      </w:r>
      <w:bookmarkEnd w:id="43"/>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44" w:name="_Toc24926"/>
      <w:bookmarkStart w:id="45" w:name="_Toc3473"/>
      <w:r>
        <w:rPr>
          <w:rFonts w:hint="eastAsia" w:ascii="宋体" w:hAnsi="宋体"/>
          <w:color w:val="auto"/>
          <w:sz w:val="21"/>
          <w:szCs w:val="21"/>
        </w:rPr>
        <w:t>1.11 分包</w:t>
      </w:r>
      <w:bookmarkEnd w:id="44"/>
      <w:bookmarkEnd w:id="45"/>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 xml:space="preserve">本项目严禁转包和违规分包，且不得再次分包。投标人拟在中标后将中标项目的部分非主体、非关键性工作进行分包的，应符合以下规定： </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分包内容要求：允许分包的工程范围仅限于非关键性工程或者适合专业化队伍施工的专业工程；</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分包金额要求：专业工程分包的工程量累计不得超过总工程量的30%；</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接受分包的第三人资质要求：分包人的资格能力应与其分包工程的标准和规模相适应，具备相应的专业承包资质或劳务分包资质；</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其他要求；投标人如有分包计划，应按第八章“投标文件格式”的要求填写“拟分包项目调查表”，且投标人中标后的分包应满足合同条款第4.3款的相关要求。</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vertAlign w:val="superscript"/>
        </w:rPr>
      </w:pPr>
      <w:bookmarkStart w:id="46" w:name="_Toc16375"/>
      <w:bookmarkStart w:id="47" w:name="_Toc1094"/>
      <w:r>
        <w:rPr>
          <w:rFonts w:hint="eastAsia" w:ascii="宋体" w:hAnsi="宋体"/>
          <w:color w:val="auto"/>
          <w:sz w:val="21"/>
          <w:szCs w:val="21"/>
        </w:rPr>
        <w:t>1.12 偏离</w:t>
      </w:r>
      <w:bookmarkEnd w:id="46"/>
      <w:bookmarkEnd w:id="47"/>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投标人须知前附表允许投标文件偏离招标文件某些要求的，偏离应当符合招标文件规定的偏离范围和幅度。</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偏离即偏差，偏差分重大偏差和细微偏差。</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1.12.1 投标文件不符合第三章“评标办法”第2.1款所列的初步评审标准以及按照第三章“评标办法”第3.1.3项的规定对投标价进行算术性错误修正及其他错误修正后，最终投标报价超过投标报价范围（如有）的，属于重大偏差，视为对招标文件未作出实质性响应，按废标处理。</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1.12.2 投标文件中的下列偏差为细微偏差：</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在按照第三章“评标办法”第3.1.3项的规定对投标价进行算术性错误修正及其他错误修正后，最终投标报价未超过投标有效报价范围（如有）的情况下，出现第三章“评标办法”第3.1.3项所列的投标报价的算术性错误；</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1.12.3 评标委员会对投标文件中的细微偏差按如下规定处理：</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（1）对于本章第1.12.2项（1）目所述的细微偏差，按照第三章“评标办法”第3.1.3项的规定予以修正并要求投标人进行澄清；</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48" w:name="_Toc23329"/>
      <w:bookmarkStart w:id="49" w:name="_Toc19356"/>
      <w:r>
        <w:rPr>
          <w:rFonts w:hint="eastAsia" w:ascii="宋体" w:hAnsi="宋体"/>
          <w:color w:val="auto"/>
          <w:sz w:val="21"/>
          <w:szCs w:val="21"/>
        </w:rPr>
        <w:t>2. 招标文件</w:t>
      </w:r>
      <w:bookmarkEnd w:id="48"/>
      <w:bookmarkEnd w:id="49"/>
    </w:p>
    <w:p>
      <w:pPr>
        <w:pStyle w:val="3"/>
        <w:keepNext w:val="0"/>
        <w:keepLines w:val="0"/>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50" w:name="_Toc28216"/>
      <w:bookmarkStart w:id="51" w:name="_Toc7209"/>
      <w:r>
        <w:rPr>
          <w:rFonts w:hint="eastAsia" w:ascii="宋体" w:hAnsi="宋体"/>
          <w:color w:val="auto"/>
          <w:sz w:val="21"/>
          <w:szCs w:val="21"/>
        </w:rPr>
        <w:t>2.1 招标文件的组成</w:t>
      </w:r>
      <w:bookmarkEnd w:id="50"/>
      <w:bookmarkEnd w:id="51"/>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本招标文件包括：</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（1）招标公告（或投标邀请书）；</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（2）投标人须知；</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（3）评标办法；</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（4）合同条款及格式；</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（5）工程量清单；</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（6）图纸；</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（7）技术规范；</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（8）投标文件格式；</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（9）投标人须知前附表规定的其他材料。</w:t>
      </w:r>
    </w:p>
    <w:p>
      <w:pPr>
        <w:pageBreakBefore w:val="0"/>
        <w:widowControl w:val="0"/>
        <w:kinsoku/>
        <w:wordWrap/>
        <w:overflowPunct/>
        <w:topLinePunct w:val="0"/>
        <w:autoSpaceDE/>
        <w:autoSpaceDN/>
        <w:bidi w:val="0"/>
        <w:spacing w:beforeAutospacing="0" w:line="280" w:lineRule="exact"/>
        <w:ind w:firstLine="422" w:firstLineChars="200"/>
        <w:textAlignment w:val="auto"/>
        <w:rPr>
          <w:rFonts w:ascii="宋体" w:hAnsi="宋体" w:eastAsia="宋体" w:cs="宋体"/>
          <w:b/>
          <w:color w:val="auto"/>
        </w:rPr>
      </w:pPr>
      <w:r>
        <w:rPr>
          <w:rFonts w:hint="eastAsia" w:ascii="宋体" w:hAnsi="宋体" w:eastAsia="宋体" w:cs="宋体"/>
          <w:b/>
          <w:color w:val="auto"/>
        </w:rPr>
        <w:t>除上款内容外，发包人在提交投标文件截止时间前，发布在三门县公共资源交易中心网站（</w:t>
      </w:r>
      <w:r>
        <w:rPr>
          <w:rFonts w:hint="eastAsia" w:ascii="宋体" w:hAnsi="宋体" w:eastAsia="宋体" w:cs="宋体"/>
          <w:b/>
          <w:color w:val="auto"/>
          <w:lang w:eastAsia="zh-CN"/>
        </w:rPr>
        <w:t>http://jyzx.sanmen.gov.cn</w:t>
      </w:r>
      <w:r>
        <w:rPr>
          <w:rFonts w:hint="eastAsia" w:ascii="宋体" w:hAnsi="宋体" w:eastAsia="宋体" w:cs="宋体"/>
          <w:b/>
          <w:color w:val="auto"/>
        </w:rPr>
        <w:t>）对招标文件的澄清或修改内容，均为招标文件的组成部分，对发包人和投标人起约束作用，投标人应经常浏览发布招标公告的媒体。</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rPr>
      </w:pPr>
      <w:r>
        <w:rPr>
          <w:rFonts w:hint="eastAsia" w:ascii="宋体" w:hAnsi="宋体" w:eastAsia="宋体" w:cs="宋体"/>
          <w:color w:val="auto"/>
        </w:rPr>
        <w:t>投标人通过在三门县公共资源交易中心网站（</w:t>
      </w:r>
      <w:r>
        <w:rPr>
          <w:rFonts w:hint="eastAsia" w:ascii="宋体" w:hAnsi="宋体" w:eastAsia="宋体" w:cs="宋体"/>
          <w:color w:val="auto"/>
          <w:lang w:eastAsia="zh-CN"/>
        </w:rPr>
        <w:t>http://jyzx.sanmen.gov.cn</w:t>
      </w:r>
      <w:r>
        <w:rPr>
          <w:rFonts w:hint="eastAsia" w:ascii="宋体" w:hAnsi="宋体" w:eastAsia="宋体" w:cs="宋体"/>
          <w:color w:val="auto"/>
        </w:rPr>
        <w:t>）自行下载的方式获取招标文件及相关附件。投标人在获取招标文件后，应仔细检查招标文件的所有内容，如有残缺等问题应自招标文件发布在三门县公共资源交易中心网站（</w:t>
      </w:r>
      <w:r>
        <w:rPr>
          <w:rFonts w:hint="eastAsia" w:ascii="宋体" w:hAnsi="宋体" w:eastAsia="宋体" w:cs="宋体"/>
          <w:color w:val="auto"/>
          <w:lang w:eastAsia="zh-CN"/>
        </w:rPr>
        <w:t>http://jyzx.sanmen.gov.cn</w:t>
      </w:r>
      <w:r>
        <w:rPr>
          <w:rFonts w:hint="eastAsia" w:ascii="宋体" w:hAnsi="宋体" w:eastAsia="宋体" w:cs="宋体"/>
          <w:color w:val="auto"/>
        </w:rPr>
        <w:t>）3日内向发包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103"/>
        <w:pageBreakBefore w:val="0"/>
        <w:widowControl w:val="0"/>
        <w:kinsoku/>
        <w:wordWrap/>
        <w:overflowPunct/>
        <w:topLinePunct w:val="0"/>
        <w:autoSpaceDE/>
        <w:autoSpaceDN/>
        <w:bidi w:val="0"/>
        <w:spacing w:before="0" w:beforeAutospacing="0" w:after="0" w:line="280" w:lineRule="exact"/>
        <w:textAlignment w:val="auto"/>
        <w:rPr>
          <w:rFonts w:ascii="宋体" w:hAnsi="宋体" w:eastAsia="宋体"/>
          <w:color w:val="auto"/>
          <w:sz w:val="21"/>
          <w:szCs w:val="21"/>
        </w:rPr>
      </w:pPr>
      <w:bookmarkStart w:id="52" w:name="_Toc283976500"/>
      <w:bookmarkStart w:id="53" w:name="_Toc372899826"/>
      <w:bookmarkStart w:id="54" w:name="_Toc152045544"/>
      <w:bookmarkStart w:id="55" w:name="_Toc179632562"/>
      <w:bookmarkStart w:id="56" w:name="_Toc283886209"/>
      <w:bookmarkStart w:id="57" w:name="_Toc282596264"/>
      <w:bookmarkStart w:id="58" w:name="_Toc466827128"/>
      <w:bookmarkStart w:id="59" w:name="_Toc321925386"/>
      <w:bookmarkStart w:id="60" w:name="_Toc466827895"/>
      <w:bookmarkStart w:id="61" w:name="_Toc474850381"/>
      <w:bookmarkStart w:id="62" w:name="_Toc237768793"/>
      <w:bookmarkStart w:id="63" w:name="_Toc144974512"/>
      <w:bookmarkStart w:id="64" w:name="_Toc372899703"/>
      <w:bookmarkStart w:id="65" w:name="_Toc237769257"/>
      <w:bookmarkStart w:id="66" w:name="_Toc152042320"/>
      <w:bookmarkStart w:id="67" w:name="_Toc288556251"/>
      <w:bookmarkStart w:id="68" w:name="_Toc394573897"/>
      <w:bookmarkStart w:id="69" w:name="_Toc16316"/>
      <w:r>
        <w:rPr>
          <w:rFonts w:hint="eastAsia" w:ascii="宋体" w:hAnsi="宋体" w:eastAsia="宋体"/>
          <w:color w:val="auto"/>
          <w:sz w:val="21"/>
          <w:szCs w:val="21"/>
        </w:rPr>
        <w:t>2.2 招标文件的澄清</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rPr>
      </w:pPr>
      <w:r>
        <w:rPr>
          <w:rFonts w:hint="eastAsia" w:ascii="宋体" w:hAnsi="宋体" w:eastAsia="宋体" w:cs="宋体"/>
          <w:color w:val="auto"/>
        </w:rPr>
        <w:t>投标人获取招标文件后，若有问题需要澄清，应自招标文件发布在三门县公共资源交易中心网站（</w:t>
      </w:r>
      <w:r>
        <w:rPr>
          <w:rFonts w:hint="eastAsia" w:ascii="宋体" w:hAnsi="宋体" w:eastAsia="宋体" w:cs="宋体"/>
          <w:color w:val="auto"/>
          <w:lang w:eastAsia="zh-CN"/>
        </w:rPr>
        <w:t>http://jyzx.sanmen.gov.cn</w:t>
      </w:r>
      <w:r>
        <w:rPr>
          <w:rFonts w:hint="eastAsia" w:ascii="宋体" w:hAnsi="宋体" w:eastAsia="宋体" w:cs="宋体"/>
          <w:color w:val="auto"/>
        </w:rPr>
        <w:t>）3 日内，以无记名书面形式向招标人提出，招标人的答复将发布在三门县公共资源交易中心网站（</w:t>
      </w:r>
      <w:r>
        <w:rPr>
          <w:rFonts w:hint="eastAsia" w:ascii="宋体" w:hAnsi="宋体" w:eastAsia="宋体" w:cs="宋体"/>
          <w:color w:val="auto"/>
          <w:lang w:eastAsia="zh-CN"/>
        </w:rPr>
        <w:t>http://jyzx.sanmen.gov.cn</w:t>
      </w:r>
      <w:r>
        <w:rPr>
          <w:rFonts w:hint="eastAsia" w:ascii="宋体" w:hAnsi="宋体" w:eastAsia="宋体" w:cs="宋体"/>
          <w:color w:val="auto"/>
        </w:rPr>
        <w:t>）。招标人及招标代理机构的任何工作人员对投标人所作的任何口头解释、介绍、答复，只能供投标人参考，对招标人无任何约束力。</w:t>
      </w:r>
    </w:p>
    <w:p>
      <w:pPr>
        <w:pStyle w:val="103"/>
        <w:pageBreakBefore w:val="0"/>
        <w:widowControl w:val="0"/>
        <w:kinsoku/>
        <w:wordWrap/>
        <w:overflowPunct/>
        <w:topLinePunct w:val="0"/>
        <w:autoSpaceDE/>
        <w:autoSpaceDN/>
        <w:bidi w:val="0"/>
        <w:spacing w:before="0" w:beforeAutospacing="0" w:after="0" w:line="280" w:lineRule="exact"/>
        <w:textAlignment w:val="auto"/>
        <w:rPr>
          <w:rFonts w:ascii="宋体" w:hAnsi="宋体" w:eastAsia="宋体"/>
          <w:color w:val="auto"/>
          <w:sz w:val="21"/>
          <w:szCs w:val="21"/>
        </w:rPr>
      </w:pPr>
      <w:bookmarkStart w:id="70" w:name="_Toc282596265"/>
      <w:bookmarkStart w:id="71" w:name="_Toc466827896"/>
      <w:bookmarkStart w:id="72" w:name="_Toc237769258"/>
      <w:bookmarkStart w:id="73" w:name="_Toc283886210"/>
      <w:bookmarkStart w:id="74" w:name="_Toc30297"/>
      <w:bookmarkStart w:id="75" w:name="_Toc152045545"/>
      <w:bookmarkStart w:id="76" w:name="_Toc372899827"/>
      <w:bookmarkStart w:id="77" w:name="_Toc152042321"/>
      <w:bookmarkStart w:id="78" w:name="_Toc321925387"/>
      <w:bookmarkStart w:id="79" w:name="_Toc237768794"/>
      <w:bookmarkStart w:id="80" w:name="_Toc288556252"/>
      <w:bookmarkStart w:id="81" w:name="_Toc283976501"/>
      <w:bookmarkStart w:id="82" w:name="_Toc466827129"/>
      <w:bookmarkStart w:id="83" w:name="_Toc394573898"/>
      <w:bookmarkStart w:id="84" w:name="_Toc372899704"/>
      <w:bookmarkStart w:id="85" w:name="_Toc179632563"/>
      <w:bookmarkStart w:id="86" w:name="_Toc144974513"/>
      <w:bookmarkStart w:id="87" w:name="_Toc474850382"/>
      <w:r>
        <w:rPr>
          <w:rFonts w:hint="eastAsia" w:ascii="宋体" w:hAnsi="宋体" w:eastAsia="宋体"/>
          <w:color w:val="auto"/>
          <w:sz w:val="21"/>
          <w:szCs w:val="21"/>
        </w:rPr>
        <w:t>2.3 招标文件的修改</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pageBreakBefore w:val="0"/>
        <w:widowControl w:val="0"/>
        <w:kinsoku/>
        <w:wordWrap/>
        <w:overflowPunct/>
        <w:topLinePunct w:val="0"/>
        <w:autoSpaceDE/>
        <w:autoSpaceDN/>
        <w:bidi w:val="0"/>
        <w:adjustRightInd w:val="0"/>
        <w:snapToGrid w:val="0"/>
        <w:spacing w:beforeAutospacing="0" w:line="280" w:lineRule="exact"/>
        <w:ind w:firstLine="420" w:firstLineChars="200"/>
        <w:textAlignment w:val="auto"/>
        <w:rPr>
          <w:rFonts w:ascii="宋体" w:hAnsi="宋体" w:eastAsia="宋体" w:cs="宋体"/>
          <w:color w:val="auto"/>
        </w:rPr>
      </w:pPr>
      <w:r>
        <w:rPr>
          <w:rFonts w:hint="eastAsia" w:ascii="宋体" w:hAnsi="宋体" w:eastAsia="宋体" w:cs="宋体"/>
          <w:color w:val="auto"/>
        </w:rPr>
        <w:t>发包人可以对已发出的招标文件进行必要的澄清或者修改。澄清或者修改的内容可能影响投标文件编制的，</w:t>
      </w:r>
      <w:bookmarkStart w:id="88" w:name="OLE_LINK1"/>
      <w:r>
        <w:rPr>
          <w:rFonts w:hint="eastAsia" w:ascii="宋体" w:hAnsi="宋体" w:eastAsia="宋体" w:cs="宋体"/>
          <w:color w:val="auto"/>
        </w:rPr>
        <w:t>发包人应当在提交投标截止时间至少2日前</w:t>
      </w:r>
      <w:bookmarkEnd w:id="88"/>
      <w:r>
        <w:rPr>
          <w:rFonts w:hint="eastAsia" w:ascii="宋体" w:hAnsi="宋体" w:eastAsia="宋体" w:cs="宋体"/>
          <w:color w:val="auto"/>
        </w:rPr>
        <w:t>，在三门县公共资源交易中心网站（</w:t>
      </w:r>
      <w:r>
        <w:rPr>
          <w:rFonts w:hint="eastAsia" w:ascii="宋体" w:hAnsi="宋体" w:eastAsia="宋体" w:cs="宋体"/>
          <w:color w:val="auto"/>
          <w:lang w:eastAsia="zh-CN"/>
        </w:rPr>
        <w:t>http://jyzx.sanmen.gov.cn</w:t>
      </w:r>
      <w:r>
        <w:rPr>
          <w:rFonts w:hint="eastAsia" w:ascii="宋体" w:hAnsi="宋体" w:eastAsia="宋体" w:cs="宋体"/>
          <w:color w:val="auto"/>
        </w:rPr>
        <w:t>）以补遗书形式通知所有潜在投标人；不足2日的，发包人应当顺延提交投标文件的截止时间。</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89" w:name="_Toc10978"/>
      <w:bookmarkStart w:id="90" w:name="_Toc31749"/>
      <w:r>
        <w:rPr>
          <w:rFonts w:hint="eastAsia" w:ascii="宋体" w:hAnsi="宋体"/>
          <w:color w:val="auto"/>
          <w:sz w:val="21"/>
          <w:szCs w:val="21"/>
        </w:rPr>
        <w:t>3. 投标文件</w:t>
      </w:r>
      <w:bookmarkEnd w:id="89"/>
      <w:bookmarkEnd w:id="90"/>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91" w:name="_Toc22620"/>
      <w:bookmarkStart w:id="92" w:name="_Toc26626"/>
      <w:r>
        <w:rPr>
          <w:rFonts w:hint="eastAsia" w:ascii="宋体" w:hAnsi="宋体"/>
          <w:color w:val="auto"/>
          <w:sz w:val="21"/>
          <w:szCs w:val="21"/>
        </w:rPr>
        <w:t>3.1 投标文件的组成</w:t>
      </w:r>
      <w:bookmarkEnd w:id="91"/>
      <w:bookmarkEnd w:id="92"/>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3.1.1 投标文件应包括下列内容：</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（1）投标函及投标函附录；</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（2）法定代表人身份证明或附有法定代表人身份证明的授权委托书；</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（3）联合体协议书</w:t>
      </w:r>
      <w:r>
        <w:rPr>
          <w:rFonts w:hint="eastAsia"/>
          <w:color w:val="auto"/>
          <w:spacing w:val="-3"/>
        </w:rPr>
        <w:t>（</w:t>
      </w:r>
      <w:r>
        <w:rPr>
          <w:rFonts w:hint="eastAsia"/>
          <w:color w:val="auto"/>
          <w:spacing w:val="-2"/>
        </w:rPr>
        <w:t>如有</w:t>
      </w:r>
      <w:r>
        <w:rPr>
          <w:rFonts w:hint="eastAsia"/>
          <w:color w:val="auto"/>
        </w:rPr>
        <w:t>）；（</w:t>
      </w:r>
      <w:r>
        <w:rPr>
          <w:rFonts w:hint="eastAsia"/>
          <w:color w:val="auto"/>
          <w:spacing w:val="-3"/>
        </w:rPr>
        <w:t>本项目不适用</w:t>
      </w:r>
      <w:r>
        <w:rPr>
          <w:rFonts w:hint="eastAsia"/>
          <w:color w:val="auto"/>
        </w:rPr>
        <w:t>）</w:t>
      </w:r>
      <w:r>
        <w:rPr>
          <w:rFonts w:hint="eastAsia" w:ascii="宋体" w:hAnsi="宋体" w:eastAsia="宋体" w:cs="宋体"/>
          <w:color w:val="auto"/>
          <w:szCs w:val="21"/>
        </w:rPr>
        <w:t>；</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（4）投标保证金；</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（5）项目管理机构；</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（6）拟分包项目情况表；</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（7）资格审查资料；</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（8）承诺函；</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（9）投标人须知前附表规定的其他材料。</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3.1.2 投标人须知前附表规定不接受联合体投标的，或投标人没有组成联合体的，投标文件不包括本章第 3.1.1（3）目所指的联合体协议书。</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93" w:name="_Toc6263"/>
      <w:bookmarkStart w:id="94" w:name="_Toc15939"/>
      <w:r>
        <w:rPr>
          <w:rFonts w:hint="eastAsia" w:ascii="宋体" w:hAnsi="宋体"/>
          <w:color w:val="auto"/>
          <w:sz w:val="21"/>
          <w:szCs w:val="21"/>
        </w:rPr>
        <w:t>3.2 投标报价</w:t>
      </w:r>
      <w:bookmarkEnd w:id="93"/>
      <w:bookmarkEnd w:id="94"/>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3.2.1 投标人应按第五章“工程量清单”的要求填写相应表格。</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工程量清单的填写分下列两种方式。投标人应按投标人须知前附表规定的方式填写工程量清单。</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（1）本项目招标由发包人提供电子版工程量清单审核书，由投标人按照发包人提供的工程量清单结合自身实际情况，综合考虑后，在规定下浮范围内填报下浮率。评标委员会将按照第三章“评标办法” 第 3.1.3 项的规定对投标价进行算术性错误修正及其他错误修正。</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3.2.2 投标人在投标截止时间前修改投标函中的投标报价。此修改须符合本章第 4.3 款的有关要求。</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3.2.3 标人如果发现工程量清单中的数量与图纸中数量不一致时，应立即通知发包人核查，除非发包人以书面方式予以更正，否则，应以工程量清单中列出的数量为准。</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3.2.4投标人应根据《公路水运工程安全生产监督管理办法》，在投标总价中计入安全生产费用，安全生产费用应符合合同条款第9.2.5项的规定。</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3.2.5 除投标人须知前附表另有规定外，发包人不接受调价函。若发包人接受调价函，则应在招标文件中给出调价函的格式。投标人若有调价函则应遵循如下规定：</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（1）调价函必须采用招标文件规定的格式；调价函应说明调价后的最终报价，并以最终报价为准，而且投标人只能有一次调价的机会。</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（2）工程量清单中发包人指定的报价不允许调价。</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（3）调价函必须附有调价后的工程量清单；调价函必须粘贴或机械装订在投标文件正本首页，与投标文件一起密封提交。</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（4）若发包人接受调价函，投标人调价后的工程量清单和有效调价函的大写金额报价应保持一致，如果报价金额出现差异时，则以有效调价函的大写金额报价为准。</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3.2.6 在合同实施期间，招标人提供的单价、合价和总额价是否由于物价波动进行价格调整按照合同条款第16.1款的规定处理。如果按照合同条款第16.1.1项的规定采用价格调整公式进行价格调整，由发包人根据项目实际情况测算确定价格调整公式中的变值权重范围，并在投标函附录价格指数和权重表中约定范围；投标人在此范围内填写各可调因子的权重，合同实施期间将按此权重进行调价。</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95" w:name="_Toc19467"/>
      <w:bookmarkStart w:id="96" w:name="_Toc4025"/>
      <w:r>
        <w:rPr>
          <w:rFonts w:hint="eastAsia" w:ascii="宋体" w:hAnsi="宋体"/>
          <w:color w:val="auto"/>
          <w:sz w:val="21"/>
          <w:szCs w:val="21"/>
        </w:rPr>
        <w:t>3.3 投标有效期</w:t>
      </w:r>
      <w:bookmarkEnd w:id="95"/>
      <w:bookmarkEnd w:id="96"/>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3.3.1 在投标人须知前附表规定的投标有效期内，投标人不得要求撤销或修改其投标文件。</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3.3.2 出现特殊情况需要延长投标有效期的，发包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97" w:name="_Toc11558"/>
      <w:bookmarkStart w:id="98" w:name="_Toc30215"/>
      <w:r>
        <w:rPr>
          <w:rFonts w:hint="eastAsia" w:ascii="宋体" w:hAnsi="宋体"/>
          <w:color w:val="auto"/>
          <w:sz w:val="21"/>
          <w:szCs w:val="21"/>
        </w:rPr>
        <w:t>3.4 投标保证金</w:t>
      </w:r>
      <w:bookmarkEnd w:id="97"/>
      <w:bookmarkEnd w:id="98"/>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3.4.2 投标人不按本章第 3.4.1 项要求提交投标保证金的，其投标文件作废标处理。</w:t>
      </w:r>
    </w:p>
    <w:p>
      <w:pPr>
        <w:pageBreakBefore w:val="0"/>
        <w:widowControl w:val="0"/>
        <w:kinsoku/>
        <w:wordWrap/>
        <w:overflowPunct/>
        <w:topLinePunct w:val="0"/>
        <w:autoSpaceDE/>
        <w:autoSpaceDN/>
        <w:bidi w:val="0"/>
        <w:spacing w:beforeAutospacing="0" w:line="280" w:lineRule="exact"/>
        <w:textAlignment w:val="auto"/>
        <w:rPr>
          <w:rFonts w:ascii="宋体" w:hAnsi="宋体" w:eastAsia="宋体" w:cs="宋体"/>
          <w:color w:val="auto"/>
          <w:szCs w:val="21"/>
        </w:rPr>
      </w:pPr>
      <w:r>
        <w:rPr>
          <w:rFonts w:hint="eastAsia" w:ascii="宋体" w:hAnsi="宋体" w:eastAsia="宋体" w:cs="宋体"/>
          <w:color w:val="auto"/>
          <w:szCs w:val="21"/>
        </w:rPr>
        <w:t xml:space="preserve">    3.4.3 发包人与中标人签订合同后 5 个工作日内，向未中标的投标人和中标人退还投标保证金。</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3.4.4 有下列情形之一的，投标保证金将不予退还：</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（1）投标人在规定的投标有效期内撤销或修改其投标文件；</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（2）中标人在收到中标通知书后，无正当理由拒签合同协议书或未按招标文件规定提交履约担保；</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（3）投标人不接受依据评标办法的规定对其投标文件中细微偏差进行澄清和补正；</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（4）投标人提交了虚假资料。</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99" w:name="_Toc18049"/>
      <w:bookmarkStart w:id="100" w:name="_Toc30272"/>
      <w:r>
        <w:rPr>
          <w:rFonts w:hint="eastAsia" w:ascii="宋体" w:hAnsi="宋体"/>
          <w:color w:val="auto"/>
          <w:sz w:val="21"/>
          <w:szCs w:val="21"/>
        </w:rPr>
        <w:t>3.5 资格审查资料</w:t>
      </w:r>
      <w:bookmarkEnd w:id="99"/>
      <w:bookmarkEnd w:id="100"/>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3.5.1 3.5.1“投标人基本情况表”应附企业法人营业执照副本（全本）的扫描件（并加盖单位电子公章）、施工资质证书副本（全本）的扫描件（并加盖单位电子公章）、安全生产许可证副本（全本）的扫描件（并加盖单位电子公章）、基本账户开户许可证的清晰可辨的扫描件（并加盖单位电子公章）。</w:t>
      </w:r>
    </w:p>
    <w:p>
      <w:pPr>
        <w:pageBreakBefore w:val="0"/>
        <w:widowControl w:val="0"/>
        <w:kinsoku/>
        <w:wordWrap/>
        <w:overflowPunct/>
        <w:topLinePunct w:val="0"/>
        <w:autoSpaceDE/>
        <w:autoSpaceDN/>
        <w:bidi w:val="0"/>
        <w:spacing w:beforeAutospacing="0" w:line="280" w:lineRule="exact"/>
        <w:ind w:firstLine="315" w:firstLineChars="150"/>
        <w:textAlignment w:val="auto"/>
        <w:rPr>
          <w:rFonts w:ascii="宋体" w:hAnsi="宋体" w:eastAsia="宋体" w:cs="宋体"/>
          <w:color w:val="auto"/>
          <w:szCs w:val="21"/>
        </w:rPr>
      </w:pPr>
      <w:r>
        <w:rPr>
          <w:rFonts w:hint="eastAsia" w:ascii="宋体" w:hAnsi="宋体" w:eastAsia="宋体" w:cs="宋体"/>
          <w:color w:val="auto"/>
          <w:szCs w:val="21"/>
        </w:rPr>
        <w:t>“拟委任的项目经理和项目总工资格符合招标文件规定，并在“拟委任的项目经理和项目总工资历表”后附：</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（1）项目经理和项目总工的身份证（第二代身份证须双面复印）、职称资格证书、安全生产考核合格证书（B证）、以及项目经理的建造师注册证书（含经延续注册的临时执业证书）等的清晰可辨的</w:t>
      </w:r>
      <w:r>
        <w:rPr>
          <w:rFonts w:hint="eastAsia"/>
          <w:color w:val="auto"/>
          <w:spacing w:val="-3"/>
        </w:rPr>
        <w:t>扫描件</w:t>
      </w:r>
      <w:r>
        <w:rPr>
          <w:rFonts w:hint="eastAsia" w:ascii="宋体" w:hAnsi="宋体" w:eastAsia="宋体" w:cs="宋体"/>
          <w:color w:val="auto"/>
          <w:szCs w:val="21"/>
        </w:rPr>
        <w:t>。</w:t>
      </w:r>
    </w:p>
    <w:p>
      <w:pPr>
        <w:pageBreakBefore w:val="0"/>
        <w:widowControl w:val="0"/>
        <w:kinsoku/>
        <w:wordWrap/>
        <w:overflowPunct/>
        <w:topLinePunct w:val="0"/>
        <w:autoSpaceDE/>
        <w:autoSpaceDN/>
        <w:bidi w:val="0"/>
        <w:spacing w:beforeAutospacing="0" w:line="280" w:lineRule="exact"/>
        <w:ind w:firstLine="422" w:firstLineChars="200"/>
        <w:textAlignment w:val="auto"/>
        <w:rPr>
          <w:rFonts w:ascii="宋体" w:hAnsi="宋体" w:eastAsia="宋体" w:cs="宋体"/>
          <w:b/>
          <w:color w:val="auto"/>
          <w:szCs w:val="21"/>
        </w:rPr>
      </w:pPr>
      <w:r>
        <w:rPr>
          <w:rFonts w:hint="eastAsia" w:ascii="宋体" w:hAnsi="宋体" w:eastAsia="宋体" w:cs="宋体"/>
          <w:b/>
          <w:color w:val="auto"/>
          <w:szCs w:val="21"/>
        </w:rPr>
        <w:t>（2）项目经理的建造师注册证书和安全生产考核合格证书以及项目总工的安全生产考核合格证书中的聘用企业名称应与投标人名称一致，否则资格审查不予通过。</w:t>
      </w:r>
    </w:p>
    <w:p>
      <w:pPr>
        <w:pageBreakBefore w:val="0"/>
        <w:widowControl w:val="0"/>
        <w:kinsoku/>
        <w:wordWrap/>
        <w:overflowPunct/>
        <w:topLinePunct w:val="0"/>
        <w:autoSpaceDE/>
        <w:autoSpaceDN/>
        <w:bidi w:val="0"/>
        <w:spacing w:beforeAutospacing="0" w:line="280" w:lineRule="exact"/>
        <w:ind w:firstLine="422" w:firstLineChars="200"/>
        <w:textAlignment w:val="auto"/>
        <w:rPr>
          <w:rFonts w:ascii="宋体" w:hAnsi="宋体" w:eastAsia="宋体" w:cs="宋体"/>
          <w:color w:val="auto"/>
          <w:szCs w:val="21"/>
        </w:rPr>
      </w:pPr>
      <w:r>
        <w:rPr>
          <w:rFonts w:hint="eastAsia" w:ascii="宋体" w:hAnsi="宋体" w:eastAsia="宋体" w:cs="宋体"/>
          <w:b/>
          <w:bCs/>
          <w:color w:val="auto"/>
          <w:szCs w:val="21"/>
        </w:rPr>
        <w:t>注：企业营业执照副本（全本）、施工资质证书副本（全本）、安全生产许可证副本（全本）、项目经理的注册建造师执业证书、项目经理的安全生产考核合格证书（B类）、项目总工的安全生产考核合格证书（B类）和职称资格证书等可以不提交原件，但应提交相关原件的扫描件，扫描件应清晰可辨，如投标人提供的扫描件模糊不清，又无法提供原件核对，评标委员会有权不予认可。</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3.5.2 “近年财务状况表”应附经会计师事务所或审计机构审计的财务会计报表，包括资产负债表、现金流量表、利润表和财务情况说明书的复印件，具体年份要求见投标人须知前附表。</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3.5.3 “近年完成的类似项目情况表”应附中标通知书和合同协议书、工程接收证书（工程竣工验收证书）的复印件，具体年份要求见投标人须知前附表。每张表格只填写一个项目，并标明序号。</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工程接收证书（工程竣工验收证书）可以是发包人出具的公路工程（标段）交工验收证书或竣工验收委员会出具的公路工程竣工验收鉴定书或质量监督机构对各参建单位签发的工作综合评价等级证书。</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3.5.4 “正在施工和新承接的项目情况表”应附中标通知书和合同协议书复印件。每张表格只填写一个项目，并标明序号。</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3.5.5 “近年发生的诉讼及仲裁情况”应说明相关情况，并附法院或仲裁机构作出的判决、裁决等有关法律文书复印件，具体年份要求见投标人须知前附表。</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3.5.6 投标人须知前附表规定接受联合体投标的，本章第3.5.1项至第3.5.5项规定的表格和资料应包括联合体各方相关情况。</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3.5.7投标人在投标文件中填报的项目经理和项目总工不允许更换。</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3.5.8发包人将进一步核查投标人在投标文件中提供的材料，若在评标期间发现投标人提供了虚假资料，发包人有权对投标人的投标文件作废标处理，并没收其投标担保；若在评标结果公示期间发现作为中标候选人的投标人提供了虚假资料，发包人有权取消其中标资格并没收其投标担保；若在合同实施期间发现投标人提供了虚假资料，发包人有权从工程支付款或履约保证金中扣除不超过10%签约合同价的金额作为违约金。同时发包人将投标人以上弄虚作假行为上报省级交通主管部门，作为不良记录纳入公路建设市场信用信息管理系统。</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01" w:name="_Toc20625"/>
      <w:bookmarkStart w:id="102" w:name="_Toc30178"/>
      <w:r>
        <w:rPr>
          <w:rFonts w:hint="eastAsia" w:ascii="宋体" w:hAnsi="宋体"/>
          <w:color w:val="auto"/>
          <w:sz w:val="21"/>
          <w:szCs w:val="21"/>
        </w:rPr>
        <w:t>3.6 备选投标方案</w:t>
      </w:r>
      <w:bookmarkEnd w:id="101"/>
      <w:bookmarkEnd w:id="102"/>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发包人可以接受该备选投标方案。</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03" w:name="_Toc28373"/>
      <w:bookmarkStart w:id="104" w:name="_Toc17817"/>
      <w:r>
        <w:rPr>
          <w:rFonts w:hint="eastAsia" w:ascii="宋体" w:hAnsi="宋体"/>
          <w:color w:val="auto"/>
          <w:sz w:val="21"/>
          <w:szCs w:val="21"/>
        </w:rPr>
        <w:t>3.7 投标文件的编制</w:t>
      </w:r>
      <w:bookmarkEnd w:id="103"/>
      <w:bookmarkEnd w:id="104"/>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3.7.1投标文件应按招标文件提供的格式进行编写。投标文件其它格式要求见投标人须知前附表。</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 xml:space="preserve">3.7.2 </w:t>
      </w:r>
      <w:r>
        <w:rPr>
          <w:rFonts w:hint="eastAsia" w:ascii="宋体" w:hAnsi="宋体" w:eastAsia="宋体" w:cs="宋体"/>
          <w:b/>
          <w:bCs/>
          <w:color w:val="auto"/>
          <w:szCs w:val="21"/>
        </w:rPr>
        <w:t xml:space="preserve">由三门投标编制 </w:t>
      </w:r>
      <w:r>
        <w:rPr>
          <w:rFonts w:hint="eastAsia" w:ascii="宋体" w:hAnsi="宋体" w:eastAsia="宋体" w:cs="宋体"/>
          <w:b/>
          <w:bCs/>
          <w:color w:val="auto"/>
          <w:szCs w:val="21"/>
          <w:lang w:eastAsia="zh-CN"/>
        </w:rPr>
        <w:t>4.0.2.8</w:t>
      </w:r>
      <w:r>
        <w:rPr>
          <w:rFonts w:hint="eastAsia" w:ascii="宋体" w:hAnsi="宋体" w:eastAsia="宋体" w:cs="宋体"/>
          <w:b/>
          <w:bCs/>
          <w:color w:val="auto"/>
          <w:szCs w:val="21"/>
        </w:rPr>
        <w:t xml:space="preserve"> 版本打印生成的投标文件中注明签署或盖章的，投标人均应按要求进行电子签署或盖章。</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05" w:name="_Toc4575"/>
      <w:bookmarkStart w:id="106" w:name="_Toc3149"/>
      <w:r>
        <w:rPr>
          <w:rFonts w:hint="eastAsia" w:ascii="宋体" w:hAnsi="宋体"/>
          <w:color w:val="auto"/>
          <w:sz w:val="21"/>
          <w:szCs w:val="21"/>
        </w:rPr>
        <w:t>4. 投标</w:t>
      </w:r>
      <w:bookmarkEnd w:id="105"/>
      <w:bookmarkEnd w:id="106"/>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07" w:name="_Toc21934"/>
      <w:bookmarkStart w:id="108" w:name="_Toc29075"/>
      <w:r>
        <w:rPr>
          <w:rFonts w:hint="eastAsia" w:ascii="宋体" w:hAnsi="宋体"/>
          <w:color w:val="auto"/>
          <w:sz w:val="21"/>
          <w:szCs w:val="21"/>
        </w:rPr>
        <w:t>4.1 投标文件的密封和标记</w:t>
      </w:r>
      <w:bookmarkEnd w:id="107"/>
      <w:bookmarkEnd w:id="108"/>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09" w:name="_Toc20527"/>
      <w:bookmarkStart w:id="110" w:name="_Toc17611"/>
      <w:r>
        <w:rPr>
          <w:rFonts w:hint="eastAsia" w:ascii="宋体" w:hAnsi="宋体"/>
          <w:color w:val="auto"/>
          <w:sz w:val="21"/>
          <w:szCs w:val="21"/>
        </w:rPr>
        <w:t>4.2 投标文件的递交</w:t>
      </w:r>
      <w:bookmarkEnd w:id="109"/>
      <w:bookmarkEnd w:id="110"/>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4.2.1 投标人应在投标人须知前附表规定的投标截止时间前递交投标文件。</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4.2.2 投标人递交投标文件的地点：见投标人须知前附表。</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4.2.3 除投标人须知前附表另有规定外，投标人所递交的投标文件不予退还。</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4.2.4 发包人收到投标文件后，向投标人出具签收凭证。</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4.2.5 逾期送达的或者未送达指定地点的投标文件，发包人不予受理。</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4.2.6在特殊情况下，发包人如果决定延后投标截止时间，应在投标人须知前附表规定的时间前，以书面形式通知所有投标人延后投标截止时间。在此情况下，发包人和投标人的权利和义务相应延后至新的投标截止时间。</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11" w:name="_Toc29815"/>
      <w:bookmarkStart w:id="112" w:name="_Toc26834"/>
      <w:r>
        <w:rPr>
          <w:rFonts w:hint="eastAsia" w:ascii="宋体" w:hAnsi="宋体"/>
          <w:color w:val="auto"/>
          <w:sz w:val="21"/>
          <w:szCs w:val="21"/>
        </w:rPr>
        <w:t>4.3 投标文件的修改与撤回</w:t>
      </w:r>
      <w:bookmarkEnd w:id="111"/>
      <w:bookmarkEnd w:id="112"/>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4.3.1 在投标人须知前附表规定的投标截止时间前，投标人可以修改或撤回已递交的电子投标文件。</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4.3.2 投标人上传修改后的投标文件应在投标截止时间前进行。投标人应先撤回已上传的电子投标文件，再上传修改后重新生成后缀名为“.已加密投标文件”的电子投标文件，并保证在投标截止时间前完成上传。</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13" w:name="_Toc14501"/>
      <w:bookmarkStart w:id="114" w:name="_Toc4652"/>
      <w:r>
        <w:rPr>
          <w:rFonts w:hint="eastAsia" w:ascii="宋体" w:hAnsi="宋体"/>
          <w:color w:val="auto"/>
          <w:sz w:val="21"/>
          <w:szCs w:val="21"/>
        </w:rPr>
        <w:t>5. 开标</w:t>
      </w:r>
      <w:bookmarkEnd w:id="113"/>
      <w:bookmarkEnd w:id="114"/>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15" w:name="_Toc9575"/>
      <w:bookmarkStart w:id="116" w:name="_Toc30931"/>
      <w:r>
        <w:rPr>
          <w:rFonts w:hint="eastAsia" w:ascii="宋体" w:hAnsi="宋体"/>
          <w:color w:val="auto"/>
          <w:sz w:val="21"/>
          <w:szCs w:val="21"/>
        </w:rPr>
        <w:t>5.1 开标时间和地点</w:t>
      </w:r>
      <w:bookmarkEnd w:id="115"/>
      <w:bookmarkEnd w:id="116"/>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发包人在投标人须知前附表规定的投标截止时间（开标时间）和投标人须知前附表规定的地点公开开标，并邀请所有投标人的法定代表人或其委托代理人准时参加。</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投标人若未派法定代表人或委托代理人出席开标活动，视为该投标人默认开标结果。</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17" w:name="_Toc3610"/>
      <w:bookmarkStart w:id="118" w:name="_Toc29627"/>
      <w:r>
        <w:rPr>
          <w:rFonts w:hint="eastAsia" w:ascii="宋体" w:hAnsi="宋体"/>
          <w:color w:val="auto"/>
          <w:sz w:val="21"/>
          <w:szCs w:val="21"/>
        </w:rPr>
        <w:t>5.2 开标程序</w:t>
      </w:r>
      <w:bookmarkEnd w:id="117"/>
      <w:bookmarkEnd w:id="118"/>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Cs w:val="21"/>
        </w:rPr>
      </w:pPr>
      <w:bookmarkStart w:id="119" w:name="_Toc27608"/>
      <w:bookmarkStart w:id="120" w:name="_Toc15369"/>
      <w:r>
        <w:rPr>
          <w:rFonts w:hint="eastAsia" w:ascii="宋体" w:hAnsi="宋体"/>
          <w:b w:val="0"/>
          <w:bCs w:val="0"/>
          <w:color w:val="auto"/>
          <w:kern w:val="2"/>
          <w:sz w:val="21"/>
          <w:szCs w:val="21"/>
        </w:rPr>
        <w:t>开标程序：见投标人须知前附表。</w:t>
      </w:r>
      <w:bookmarkEnd w:id="119"/>
      <w:bookmarkEnd w:id="120"/>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21" w:name="_Toc23383"/>
      <w:bookmarkStart w:id="122" w:name="_Toc10422"/>
      <w:r>
        <w:rPr>
          <w:rFonts w:hint="eastAsia" w:ascii="宋体" w:hAnsi="宋体"/>
          <w:color w:val="auto"/>
          <w:sz w:val="21"/>
          <w:szCs w:val="21"/>
        </w:rPr>
        <w:t>6. 评标</w:t>
      </w:r>
      <w:bookmarkEnd w:id="121"/>
      <w:bookmarkEnd w:id="122"/>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23" w:name="_Toc7817"/>
      <w:bookmarkStart w:id="124" w:name="_Toc9072"/>
      <w:r>
        <w:rPr>
          <w:rFonts w:hint="eastAsia" w:ascii="宋体" w:hAnsi="宋体"/>
          <w:color w:val="auto"/>
          <w:sz w:val="21"/>
          <w:szCs w:val="21"/>
        </w:rPr>
        <w:t>6.1 评标委员会</w:t>
      </w:r>
      <w:bookmarkEnd w:id="123"/>
      <w:bookmarkEnd w:id="124"/>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6.1.1 评标由发包人依法组建的评标委员会负责。评标委员会由发包人或其委托的招标代理机构熟悉相关业务的代表，以及有关技术、经济等方面的专家组成。评标委员会成员人数以及技术、经济等方面专家的确定方式见投标人须知前附表。</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6.1.2 评标委员会成员有下列情形之一的，应当回避：</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（1）发包人或投标人的主要负责人的近亲属；</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（2）项目主管部门或者行政监督部门的人员；</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（3）与投标人有经济利益关系，可能影响对投标公正评审的；</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（4）曾因在招标、评标以及其他与招标投标有关活动中从事违法行为而受过行政处罚或刑事处罚的。</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25" w:name="_Toc23635"/>
      <w:bookmarkStart w:id="126" w:name="_Toc31856"/>
      <w:r>
        <w:rPr>
          <w:rFonts w:hint="eastAsia" w:ascii="宋体" w:hAnsi="宋体"/>
          <w:color w:val="auto"/>
          <w:sz w:val="21"/>
          <w:szCs w:val="21"/>
        </w:rPr>
        <w:t>6.2 评标原则</w:t>
      </w:r>
      <w:bookmarkEnd w:id="125"/>
      <w:bookmarkEnd w:id="126"/>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评标活动遵循公平、公正、科学和择优的原则。</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27" w:name="_Toc15954"/>
      <w:bookmarkStart w:id="128" w:name="_Toc3269"/>
      <w:r>
        <w:rPr>
          <w:rFonts w:hint="eastAsia" w:ascii="宋体" w:hAnsi="宋体"/>
          <w:color w:val="auto"/>
          <w:sz w:val="21"/>
          <w:szCs w:val="21"/>
        </w:rPr>
        <w:t>6.3 评标</w:t>
      </w:r>
      <w:bookmarkEnd w:id="127"/>
      <w:bookmarkEnd w:id="128"/>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评标委员会按照第三章“评标办法”规定的方法、评审因素、标准和程序对投标文件进行评审。第三章“评标办法”没有规定的方法、评审因素和标准，不作为评标依据。</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29" w:name="_Toc22711"/>
      <w:bookmarkStart w:id="130" w:name="_Toc32297"/>
      <w:r>
        <w:rPr>
          <w:rFonts w:hint="eastAsia" w:ascii="宋体" w:hAnsi="宋体"/>
          <w:color w:val="auto"/>
          <w:sz w:val="21"/>
          <w:szCs w:val="21"/>
        </w:rPr>
        <w:t>7. 合同授予</w:t>
      </w:r>
      <w:bookmarkEnd w:id="129"/>
      <w:bookmarkEnd w:id="130"/>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31" w:name="_Toc8514"/>
      <w:bookmarkStart w:id="132" w:name="_Toc21849"/>
      <w:r>
        <w:rPr>
          <w:rFonts w:hint="eastAsia" w:ascii="宋体" w:hAnsi="宋体"/>
          <w:color w:val="auto"/>
          <w:sz w:val="21"/>
          <w:szCs w:val="21"/>
        </w:rPr>
        <w:t>7.1 定标方式</w:t>
      </w:r>
      <w:bookmarkEnd w:id="131"/>
      <w:bookmarkEnd w:id="132"/>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除投标人须知前附表规定评标委员会直接确定中标人外，发包人依据评标委员会推荐的中标候选人确定中标人，评标委员会推荐中标候选人的人数见投标人须知前附表。</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33" w:name="_Toc5081"/>
      <w:bookmarkStart w:id="134" w:name="_Toc30769"/>
      <w:r>
        <w:rPr>
          <w:rFonts w:hint="eastAsia" w:ascii="宋体" w:hAnsi="宋体"/>
          <w:color w:val="auto"/>
          <w:sz w:val="21"/>
          <w:szCs w:val="21"/>
        </w:rPr>
        <w:t>7.2 中标通知</w:t>
      </w:r>
      <w:bookmarkEnd w:id="133"/>
      <w:bookmarkEnd w:id="134"/>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在本章第3.3款规定的投标有效期内，发包人以书面形式向中标人发出中标通知书，同时将中标结果通知未中标的投标人。</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35" w:name="_Toc9056"/>
      <w:bookmarkStart w:id="136" w:name="_Toc4325"/>
      <w:r>
        <w:rPr>
          <w:rFonts w:hint="eastAsia" w:ascii="宋体" w:hAnsi="宋体"/>
          <w:color w:val="auto"/>
          <w:sz w:val="21"/>
          <w:szCs w:val="21"/>
        </w:rPr>
        <w:t>7.3 履约担保</w:t>
      </w:r>
      <w:bookmarkEnd w:id="135"/>
      <w:bookmarkEnd w:id="136"/>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7.3.1 在签订合同前，中标人应按投标人须知前附表规定的金额、担保形式和招标文件第四章“合同条款及格式”规定的履约担保格式向发包人提交履约担保。联合体中标的，其履约担保由牵头人递交，并应符合投标人须知前附表规定的金额、担保形式和招标文件第四章“合同条款及格式”规定的履约担保格式要求。</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（1）采用银行保函时，出具银行保函的银行级别在投标人须知前附表中说明，所需的费用由中标人承担，中标人应保证银行保函有效。</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（2）若采用经评审的最低投标价法评标，当(A-B)/A &gt;15%时，履约担保为10%签约合同价的银行保函加5%签约合同价的现金（电汇或银行汇票形式）。</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其中：A为发包人标底或所有投标人评标价的平均值（除按本章第5.2.2项规定在开标现场被宣布为废标的投标报价之外）；B为中标候选人的评标价。</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7.3.2 中标人不能按本章第7.3.1项要求提交履约担保的，视为放弃中标，其投标保证金不予退还，给发包人造成的损失超过投标保证金数额的，中标人还应当对超过部分予以赔偿。</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37" w:name="_Toc8390"/>
      <w:bookmarkStart w:id="138" w:name="_Toc3612"/>
      <w:r>
        <w:rPr>
          <w:rFonts w:hint="eastAsia" w:ascii="宋体" w:hAnsi="宋体"/>
          <w:color w:val="auto"/>
          <w:sz w:val="21"/>
          <w:szCs w:val="21"/>
        </w:rPr>
        <w:t>7.4 签订合同</w:t>
      </w:r>
      <w:bookmarkEnd w:id="137"/>
      <w:bookmarkEnd w:id="138"/>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7.4.1发包人和中标人应当自中标通知书发出之日起30天内，根据招标文件和中标人的投标文件订立书面合同。中标人无正当理由拒签合同的，发包人取消其中标资格，其投标保证金不予退还；给发包人造成的损失超过投标保证金数额的，中标人还应当对超过部分予以赔偿。</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7.4.2 发出中标通知书后，发包人无正当理由拒签合同的，发包人向中标人退还投标保证金；给中标人造成损失的，还应当赔偿损失。</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7.4.3签约合同价的确定原则如下：</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(1)按照评标办法规定对投标报价进行修正后，若修正后的最终投标报价小于开标时的投标函文字报价，则签订合同时以修正后的最终投标报价为准；</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(2)按照评标办法规定对投标报价进行修正后，若修正后的最终投标报价大于开标时的投标函文字报价，则签订合同时以开标时的投标函文字报价为准，同时按比例修正相应子目的单价或合价。</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7.4.4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和安全生产方面的权利和义务以及应承担的违约责任。</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7.4.5 如果根据本章第3.5.8项、第7.3.2项或第7.4.1项规定，发包人取消了中标人的中标资格，在此情况下，发包人可将合同授予下一个中标候选人，或者按规定重新组织招标。</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39" w:name="_Toc21601"/>
      <w:bookmarkStart w:id="140" w:name="_Toc2588"/>
      <w:r>
        <w:rPr>
          <w:rFonts w:hint="eastAsia" w:ascii="宋体" w:hAnsi="宋体"/>
          <w:color w:val="auto"/>
          <w:sz w:val="21"/>
          <w:szCs w:val="21"/>
        </w:rPr>
        <w:t>8. 重新招标和不再招标</w:t>
      </w:r>
      <w:bookmarkEnd w:id="139"/>
      <w:bookmarkEnd w:id="140"/>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41" w:name="_Toc20062"/>
      <w:bookmarkStart w:id="142" w:name="_Toc14036"/>
      <w:r>
        <w:rPr>
          <w:rFonts w:hint="eastAsia" w:ascii="宋体" w:hAnsi="宋体"/>
          <w:color w:val="auto"/>
          <w:sz w:val="21"/>
          <w:szCs w:val="21"/>
        </w:rPr>
        <w:t>8.1 重新招标</w:t>
      </w:r>
      <w:bookmarkEnd w:id="141"/>
      <w:bookmarkEnd w:id="142"/>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有下列情形之一的，发包人将重新招标：</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（1）投标截止时间止，投标人少于3个的；</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（2）经评标委员会评审后否决所有投标的；</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（3）中标候选人均未与发包人签订合同的；</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（4）法律规定的其他情形。</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43" w:name="_Toc21928"/>
      <w:bookmarkStart w:id="144" w:name="_Toc24377"/>
      <w:r>
        <w:rPr>
          <w:rFonts w:hint="eastAsia" w:ascii="宋体" w:hAnsi="宋体"/>
          <w:color w:val="auto"/>
          <w:sz w:val="21"/>
          <w:szCs w:val="21"/>
        </w:rPr>
        <w:t>8.2 不再招标</w:t>
      </w:r>
      <w:bookmarkEnd w:id="143"/>
      <w:bookmarkEnd w:id="144"/>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重新招标后投标人仍少于3个或者所有投标被否决的，属于必须审批或核准的工程建设项目，经原审批或核准部门批准后不再进行招标。</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45" w:name="_Toc13522"/>
      <w:bookmarkStart w:id="146" w:name="_Toc14452"/>
      <w:r>
        <w:rPr>
          <w:rFonts w:hint="eastAsia" w:ascii="宋体" w:hAnsi="宋体"/>
          <w:color w:val="auto"/>
          <w:sz w:val="21"/>
          <w:szCs w:val="21"/>
        </w:rPr>
        <w:t>9. 纪律和监督</w:t>
      </w:r>
      <w:bookmarkEnd w:id="145"/>
      <w:bookmarkEnd w:id="146"/>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47" w:name="_Toc23374"/>
      <w:bookmarkStart w:id="148" w:name="_Toc31184"/>
      <w:r>
        <w:rPr>
          <w:rFonts w:hint="eastAsia" w:ascii="宋体" w:hAnsi="宋体"/>
          <w:color w:val="auto"/>
          <w:sz w:val="21"/>
          <w:szCs w:val="21"/>
        </w:rPr>
        <w:t>9.1 对发包人的纪律要求</w:t>
      </w:r>
      <w:bookmarkEnd w:id="147"/>
      <w:bookmarkEnd w:id="148"/>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发包人不得泄漏招标投标活动中应当保密的情况和资料，不得与投标人串通损害国家利益、社会公共利益或者他人合法权益。</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49" w:name="_Toc787"/>
      <w:bookmarkStart w:id="150" w:name="_Toc12619"/>
      <w:r>
        <w:rPr>
          <w:rFonts w:hint="eastAsia" w:ascii="宋体" w:hAnsi="宋体"/>
          <w:color w:val="auto"/>
          <w:sz w:val="21"/>
          <w:szCs w:val="21"/>
        </w:rPr>
        <w:t>9.2 对投标人的纪律要求</w:t>
      </w:r>
      <w:bookmarkEnd w:id="149"/>
      <w:bookmarkEnd w:id="150"/>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投标人不得相互串通投标或者与发包人串通投标，不得向发包人或者评标委员会成员行贿谋取中标，不得以他人名义投标或者以其他方式弄虚作假骗取中标；投标人不得以任何方式干扰、影响评标工作。</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51" w:name="_Toc8071"/>
      <w:bookmarkStart w:id="152" w:name="_Toc21799"/>
      <w:r>
        <w:rPr>
          <w:rFonts w:hint="eastAsia" w:ascii="宋体" w:hAnsi="宋体"/>
          <w:color w:val="auto"/>
          <w:sz w:val="21"/>
          <w:szCs w:val="21"/>
        </w:rPr>
        <w:t>9.3 对评标委员会成员的纪律要求</w:t>
      </w:r>
      <w:bookmarkEnd w:id="151"/>
      <w:bookmarkEnd w:id="152"/>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53" w:name="_Toc7841"/>
      <w:bookmarkStart w:id="154" w:name="_Toc5066"/>
      <w:r>
        <w:rPr>
          <w:rFonts w:hint="eastAsia" w:ascii="宋体" w:hAnsi="宋体"/>
          <w:color w:val="auto"/>
          <w:sz w:val="21"/>
          <w:szCs w:val="21"/>
        </w:rPr>
        <w:t>9.4 对与评标活动有关的工作人员的纪律要求</w:t>
      </w:r>
      <w:bookmarkEnd w:id="153"/>
      <w:bookmarkEnd w:id="154"/>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55" w:name="_Toc27742"/>
      <w:bookmarkStart w:id="156" w:name="_Toc17965"/>
      <w:r>
        <w:rPr>
          <w:rFonts w:hint="eastAsia" w:ascii="宋体" w:hAnsi="宋体"/>
          <w:color w:val="auto"/>
          <w:sz w:val="21"/>
          <w:szCs w:val="21"/>
        </w:rPr>
        <w:t>9.5 投诉</w:t>
      </w:r>
      <w:bookmarkEnd w:id="155"/>
      <w:bookmarkEnd w:id="156"/>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投标人和其他利害关系人认为本次招标活动违反法律、法规和规章规定的，有权向有关行政监督部门投诉。</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监督部门的联系方式见投标人须知前附表。</w:t>
      </w:r>
    </w:p>
    <w:p>
      <w:pPr>
        <w:pStyle w:val="3"/>
        <w:pageBreakBefore w:val="0"/>
        <w:widowControl w:val="0"/>
        <w:kinsoku/>
        <w:wordWrap/>
        <w:overflowPunct/>
        <w:topLinePunct w:val="0"/>
        <w:autoSpaceDE/>
        <w:autoSpaceDN/>
        <w:bidi w:val="0"/>
        <w:spacing w:before="0" w:beforeAutospacing="0" w:after="0" w:line="280" w:lineRule="exact"/>
        <w:textAlignment w:val="auto"/>
        <w:rPr>
          <w:rFonts w:ascii="宋体" w:hAnsi="宋体"/>
          <w:color w:val="auto"/>
          <w:sz w:val="21"/>
          <w:szCs w:val="21"/>
        </w:rPr>
      </w:pPr>
      <w:bookmarkStart w:id="157" w:name="_Toc23886"/>
      <w:bookmarkStart w:id="158" w:name="_Toc2232"/>
      <w:r>
        <w:rPr>
          <w:rFonts w:hint="eastAsia" w:ascii="宋体" w:hAnsi="宋体"/>
          <w:color w:val="auto"/>
          <w:sz w:val="21"/>
          <w:szCs w:val="21"/>
        </w:rPr>
        <w:t>10. 需要补充的其他内容</w:t>
      </w:r>
      <w:bookmarkEnd w:id="157"/>
      <w:bookmarkEnd w:id="158"/>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10.1自购买招标文件之日起，投标人应保证其提共的联系方式（电话、传真、电子邮件）一直有效，以保证往来函件（招标文件的澄清、修改等）能及时通知投标人，并能及时反馈信息，否则发包人不承担由此引起的一切后果。</w:t>
      </w:r>
    </w:p>
    <w:p>
      <w:pPr>
        <w:pageBreakBefore w:val="0"/>
        <w:widowControl w:val="0"/>
        <w:kinsoku/>
        <w:wordWrap/>
        <w:overflowPunct/>
        <w:topLinePunct w:val="0"/>
        <w:autoSpaceDE/>
        <w:autoSpaceDN/>
        <w:bidi w:val="0"/>
        <w:spacing w:beforeAutospacing="0" w:line="28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需要补充的其他内容：见投标人须知前附表。</w:t>
      </w:r>
    </w:p>
    <w:p>
      <w:pPr>
        <w:rPr>
          <w:rFonts w:ascii="宋体" w:hAnsi="宋体" w:eastAsia="宋体" w:cs="宋体"/>
          <w:color w:val="auto"/>
          <w:sz w:val="24"/>
        </w:rPr>
      </w:pPr>
    </w:p>
    <w:p>
      <w:pPr>
        <w:pStyle w:val="3"/>
        <w:spacing w:before="120" w:beforeLines="50" w:after="0" w:line="400" w:lineRule="exact"/>
        <w:rPr>
          <w:rFonts w:hint="eastAsia" w:ascii="宋体" w:hAnsi="宋体"/>
          <w:color w:val="auto"/>
          <w:sz w:val="24"/>
          <w:szCs w:val="24"/>
        </w:rPr>
      </w:pPr>
      <w:r>
        <w:rPr>
          <w:rFonts w:hint="eastAsia" w:ascii="宋体" w:hAnsi="宋体"/>
          <w:b w:val="0"/>
          <w:bCs w:val="0"/>
          <w:color w:val="auto"/>
          <w:sz w:val="24"/>
        </w:rPr>
        <w:br w:type="page"/>
      </w:r>
      <w:bookmarkStart w:id="159" w:name="_Toc24955"/>
      <w:r>
        <w:rPr>
          <w:rFonts w:hint="eastAsia" w:ascii="宋体" w:hAnsi="宋体"/>
          <w:color w:val="auto"/>
          <w:sz w:val="24"/>
          <w:szCs w:val="24"/>
        </w:rPr>
        <w:t>附表一：开标记录表</w:t>
      </w:r>
      <w:bookmarkEnd w:id="159"/>
    </w:p>
    <w:p>
      <w:pPr>
        <w:rPr>
          <w:rFonts w:hint="eastAsia" w:ascii="宋体" w:hAnsi="宋体" w:eastAsia="宋体" w:cs="宋体"/>
          <w:color w:val="auto"/>
        </w:rPr>
      </w:pPr>
    </w:p>
    <w:p>
      <w:pPr>
        <w:rPr>
          <w:rFonts w:hint="eastAsia" w:ascii="宋体" w:hAnsi="宋体" w:eastAsia="宋体" w:cs="宋体"/>
          <w:color w:val="auto"/>
          <w:sz w:val="24"/>
        </w:rPr>
      </w:pPr>
    </w:p>
    <w:p>
      <w:pPr>
        <w:jc w:val="center"/>
        <w:rPr>
          <w:rFonts w:hint="eastAsia" w:ascii="宋体" w:hAnsi="宋体" w:eastAsia="宋体" w:cs="宋体"/>
          <w:b/>
          <w:bCs/>
          <w:color w:val="auto"/>
          <w:kern w:val="44"/>
          <w:sz w:val="28"/>
          <w:szCs w:val="28"/>
        </w:rPr>
      </w:pPr>
      <w:r>
        <w:rPr>
          <w:rFonts w:hint="eastAsia" w:ascii="宋体" w:hAnsi="宋体" w:eastAsia="宋体" w:cs="宋体"/>
          <w:b/>
          <w:bCs/>
          <w:color w:val="auto"/>
          <w:kern w:val="44"/>
          <w:sz w:val="28"/>
          <w:szCs w:val="28"/>
          <w:u w:val="single"/>
        </w:rPr>
        <w:t xml:space="preserve">      </w:t>
      </w:r>
      <w:r>
        <w:rPr>
          <w:rFonts w:hint="eastAsia" w:ascii="宋体" w:hAnsi="宋体" w:eastAsia="宋体" w:cs="宋体"/>
          <w:b/>
          <w:bCs/>
          <w:color w:val="auto"/>
          <w:kern w:val="44"/>
          <w:sz w:val="28"/>
          <w:szCs w:val="28"/>
        </w:rPr>
        <w:t>（项目名称）</w:t>
      </w:r>
      <w:r>
        <w:rPr>
          <w:rFonts w:hint="eastAsia" w:ascii="宋体" w:hAnsi="宋体" w:eastAsia="宋体" w:cs="宋体"/>
          <w:b/>
          <w:bCs/>
          <w:color w:val="auto"/>
          <w:kern w:val="44"/>
          <w:sz w:val="28"/>
          <w:szCs w:val="28"/>
          <w:u w:val="single"/>
        </w:rPr>
        <w:t xml:space="preserve">    </w:t>
      </w:r>
      <w:r>
        <w:rPr>
          <w:rFonts w:hint="eastAsia" w:ascii="宋体" w:hAnsi="宋体" w:eastAsia="宋体" w:cs="宋体"/>
          <w:b/>
          <w:bCs/>
          <w:color w:val="auto"/>
          <w:kern w:val="44"/>
          <w:sz w:val="28"/>
          <w:szCs w:val="28"/>
        </w:rPr>
        <w:t>标段施工开标记录表</w:t>
      </w:r>
    </w:p>
    <w:p>
      <w:pPr>
        <w:rPr>
          <w:rFonts w:hint="eastAsia" w:ascii="宋体" w:hAnsi="宋体" w:eastAsia="宋体" w:cs="宋体"/>
          <w:color w:val="auto"/>
        </w:rPr>
      </w:pPr>
    </w:p>
    <w:p>
      <w:pPr>
        <w:spacing w:after="120" w:afterLines="50"/>
        <w:jc w:val="right"/>
        <w:rPr>
          <w:rFonts w:hint="eastAsia" w:ascii="宋体" w:hAnsi="宋体" w:eastAsia="宋体" w:cs="宋体"/>
          <w:color w:val="auto"/>
          <w:sz w:val="24"/>
        </w:rPr>
      </w:pPr>
      <w:r>
        <w:rPr>
          <w:rFonts w:hint="eastAsia" w:ascii="宋体" w:hAnsi="宋体" w:eastAsia="宋体" w:cs="宋体"/>
          <w:color w:val="auto"/>
          <w:sz w:val="24"/>
        </w:rPr>
        <w:t>开标时间：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r>
        <w:rPr>
          <w:rFonts w:hint="eastAsia" w:ascii="宋体" w:hAnsi="宋体" w:eastAsia="宋体" w:cs="宋体"/>
          <w:color w:val="auto"/>
          <w:sz w:val="24"/>
          <w:u w:val="single"/>
        </w:rPr>
        <w:t xml:space="preserve">    </w:t>
      </w:r>
      <w:r>
        <w:rPr>
          <w:rFonts w:hint="eastAsia" w:ascii="宋体" w:hAnsi="宋体" w:eastAsia="宋体" w:cs="宋体"/>
          <w:color w:val="auto"/>
          <w:sz w:val="24"/>
        </w:rPr>
        <w:t>时</w:t>
      </w:r>
      <w:r>
        <w:rPr>
          <w:rFonts w:hint="eastAsia" w:ascii="宋体" w:hAnsi="宋体" w:eastAsia="宋体" w:cs="宋体"/>
          <w:color w:val="auto"/>
          <w:sz w:val="24"/>
          <w:u w:val="single"/>
        </w:rPr>
        <w:t xml:space="preserve">    </w:t>
      </w:r>
      <w:r>
        <w:rPr>
          <w:rFonts w:hint="eastAsia" w:ascii="宋体" w:hAnsi="宋体" w:eastAsia="宋体" w:cs="宋体"/>
          <w:color w:val="auto"/>
          <w:sz w:val="24"/>
        </w:rPr>
        <w:t>分</w:t>
      </w:r>
    </w:p>
    <w:tbl>
      <w:tblPr>
        <w:tblStyle w:val="52"/>
        <w:tblW w:w="0" w:type="auto"/>
        <w:jc w:val="center"/>
        <w:tblLayout w:type="fixed"/>
        <w:tblCellMar>
          <w:top w:w="0" w:type="dxa"/>
          <w:left w:w="0" w:type="dxa"/>
          <w:bottom w:w="0" w:type="dxa"/>
          <w:right w:w="0" w:type="dxa"/>
        </w:tblCellMar>
      </w:tblPr>
      <w:tblGrid>
        <w:gridCol w:w="713"/>
        <w:gridCol w:w="1341"/>
        <w:gridCol w:w="1030"/>
        <w:gridCol w:w="809"/>
        <w:gridCol w:w="1226"/>
        <w:gridCol w:w="1051"/>
        <w:gridCol w:w="1051"/>
        <w:gridCol w:w="1051"/>
        <w:gridCol w:w="1043"/>
      </w:tblGrid>
      <w:tr>
        <w:tblPrEx>
          <w:tblCellMar>
            <w:top w:w="0" w:type="dxa"/>
            <w:left w:w="0" w:type="dxa"/>
            <w:bottom w:w="0" w:type="dxa"/>
            <w:right w:w="0" w:type="dxa"/>
          </w:tblCellMar>
        </w:tblPrEx>
        <w:trPr>
          <w:trHeight w:val="861"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序号</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投标人</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送达情况</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密封</w:t>
            </w:r>
          </w:p>
          <w:p>
            <w:pPr>
              <w:jc w:val="center"/>
              <w:rPr>
                <w:rFonts w:ascii="宋体" w:hAnsi="宋体" w:eastAsia="宋体" w:cs="宋体"/>
                <w:color w:val="auto"/>
                <w:szCs w:val="21"/>
              </w:rPr>
            </w:pPr>
            <w:r>
              <w:rPr>
                <w:rFonts w:hint="eastAsia" w:ascii="宋体" w:hAnsi="宋体" w:eastAsia="宋体" w:cs="宋体"/>
                <w:color w:val="auto"/>
                <w:szCs w:val="21"/>
              </w:rPr>
              <w:t>情况</w:t>
            </w:r>
          </w:p>
        </w:tc>
        <w:tc>
          <w:tcPr>
            <w:tcW w:w="122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投标报价</w:t>
            </w:r>
          </w:p>
          <w:p>
            <w:pPr>
              <w:jc w:val="center"/>
              <w:rPr>
                <w:rFonts w:ascii="宋体" w:hAnsi="宋体" w:eastAsia="宋体" w:cs="宋体"/>
                <w:color w:val="auto"/>
                <w:szCs w:val="21"/>
              </w:rPr>
            </w:pPr>
            <w:r>
              <w:rPr>
                <w:rFonts w:hint="eastAsia" w:ascii="宋体" w:hAnsi="宋体" w:eastAsia="宋体" w:cs="宋体"/>
                <w:color w:val="auto"/>
                <w:szCs w:val="21"/>
              </w:rPr>
              <w:t>（元）</w:t>
            </w: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质量目标</w:t>
            </w: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工期</w:t>
            </w: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备注</w:t>
            </w:r>
          </w:p>
        </w:tc>
        <w:tc>
          <w:tcPr>
            <w:tcW w:w="10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签名</w:t>
            </w:r>
          </w:p>
        </w:tc>
      </w:tr>
      <w:tr>
        <w:tblPrEx>
          <w:tblCellMar>
            <w:top w:w="0" w:type="dxa"/>
            <w:left w:w="0" w:type="dxa"/>
            <w:bottom w:w="0" w:type="dxa"/>
            <w:right w:w="0" w:type="dxa"/>
          </w:tblCellMar>
        </w:tblPrEx>
        <w:trPr>
          <w:trHeight w:val="61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22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r>
      <w:tr>
        <w:tblPrEx>
          <w:tblCellMar>
            <w:top w:w="0" w:type="dxa"/>
            <w:left w:w="0" w:type="dxa"/>
            <w:bottom w:w="0" w:type="dxa"/>
            <w:right w:w="0" w:type="dxa"/>
          </w:tblCellMar>
        </w:tblPrEx>
        <w:trPr>
          <w:trHeight w:val="61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22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r>
      <w:tr>
        <w:tblPrEx>
          <w:tblCellMar>
            <w:top w:w="0" w:type="dxa"/>
            <w:left w:w="0" w:type="dxa"/>
            <w:bottom w:w="0" w:type="dxa"/>
            <w:right w:w="0" w:type="dxa"/>
          </w:tblCellMar>
        </w:tblPrEx>
        <w:trPr>
          <w:trHeight w:val="61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22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r>
      <w:tr>
        <w:tblPrEx>
          <w:tblCellMar>
            <w:top w:w="0" w:type="dxa"/>
            <w:left w:w="0" w:type="dxa"/>
            <w:bottom w:w="0" w:type="dxa"/>
            <w:right w:w="0" w:type="dxa"/>
          </w:tblCellMar>
        </w:tblPrEx>
        <w:trPr>
          <w:trHeight w:val="61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22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r>
      <w:tr>
        <w:tblPrEx>
          <w:tblCellMar>
            <w:top w:w="0" w:type="dxa"/>
            <w:left w:w="0" w:type="dxa"/>
            <w:bottom w:w="0" w:type="dxa"/>
            <w:right w:w="0" w:type="dxa"/>
          </w:tblCellMar>
        </w:tblPrEx>
        <w:trPr>
          <w:trHeight w:val="61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22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r>
      <w:tr>
        <w:tblPrEx>
          <w:tblCellMar>
            <w:top w:w="0" w:type="dxa"/>
            <w:left w:w="0" w:type="dxa"/>
            <w:bottom w:w="0" w:type="dxa"/>
            <w:right w:w="0" w:type="dxa"/>
          </w:tblCellMar>
        </w:tblPrEx>
        <w:trPr>
          <w:trHeight w:val="61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22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r>
      <w:tr>
        <w:tblPrEx>
          <w:tblCellMar>
            <w:top w:w="0" w:type="dxa"/>
            <w:left w:w="0" w:type="dxa"/>
            <w:bottom w:w="0" w:type="dxa"/>
            <w:right w:w="0" w:type="dxa"/>
          </w:tblCellMar>
        </w:tblPrEx>
        <w:trPr>
          <w:trHeight w:val="61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22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r>
      <w:tr>
        <w:tblPrEx>
          <w:tblCellMar>
            <w:top w:w="0" w:type="dxa"/>
            <w:left w:w="0" w:type="dxa"/>
            <w:bottom w:w="0" w:type="dxa"/>
            <w:right w:w="0" w:type="dxa"/>
          </w:tblCellMar>
        </w:tblPrEx>
        <w:trPr>
          <w:trHeight w:val="61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22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r>
      <w:tr>
        <w:tblPrEx>
          <w:tblCellMar>
            <w:top w:w="0" w:type="dxa"/>
            <w:left w:w="0" w:type="dxa"/>
            <w:bottom w:w="0" w:type="dxa"/>
            <w:right w:w="0" w:type="dxa"/>
          </w:tblCellMar>
        </w:tblPrEx>
        <w:trPr>
          <w:trHeight w:val="61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22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r>
      <w:tr>
        <w:tblPrEx>
          <w:tblCellMar>
            <w:top w:w="0" w:type="dxa"/>
            <w:left w:w="0" w:type="dxa"/>
            <w:bottom w:w="0" w:type="dxa"/>
            <w:right w:w="0" w:type="dxa"/>
          </w:tblCellMar>
        </w:tblPrEx>
        <w:trPr>
          <w:trHeight w:val="61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22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r>
      <w:tr>
        <w:tblPrEx>
          <w:tblCellMar>
            <w:top w:w="0" w:type="dxa"/>
            <w:left w:w="0" w:type="dxa"/>
            <w:bottom w:w="0" w:type="dxa"/>
            <w:right w:w="0" w:type="dxa"/>
          </w:tblCellMar>
        </w:tblPrEx>
        <w:trPr>
          <w:trHeight w:val="61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22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10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r>
      <w:tr>
        <w:tblPrEx>
          <w:tblCellMar>
            <w:top w:w="0" w:type="dxa"/>
            <w:left w:w="0" w:type="dxa"/>
            <w:bottom w:w="0" w:type="dxa"/>
            <w:right w:w="0" w:type="dxa"/>
          </w:tblCellMar>
        </w:tblPrEx>
        <w:trPr>
          <w:trHeight w:val="615" w:hRule="atLeast"/>
          <w:jc w:val="center"/>
        </w:trPr>
        <w:tc>
          <w:tcPr>
            <w:tcW w:w="389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发包人编制的工程量清单预算价（元）：</w:t>
            </w:r>
          </w:p>
        </w:tc>
        <w:tc>
          <w:tcPr>
            <w:tcW w:w="122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21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调整系数：</w:t>
            </w:r>
          </w:p>
        </w:tc>
        <w:tc>
          <w:tcPr>
            <w:tcW w:w="2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r>
      <w:tr>
        <w:tblPrEx>
          <w:tblCellMar>
            <w:top w:w="0" w:type="dxa"/>
            <w:left w:w="0" w:type="dxa"/>
            <w:bottom w:w="0" w:type="dxa"/>
            <w:right w:w="0" w:type="dxa"/>
          </w:tblCellMar>
        </w:tblPrEx>
        <w:trPr>
          <w:trHeight w:val="615" w:hRule="atLeast"/>
          <w:jc w:val="center"/>
        </w:trPr>
        <w:tc>
          <w:tcPr>
            <w:tcW w:w="3893" w:type="dxa"/>
            <w:gridSpan w:val="4"/>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复合系数（ K）：</w:t>
            </w:r>
          </w:p>
        </w:tc>
        <w:tc>
          <w:tcPr>
            <w:tcW w:w="122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color w:val="auto"/>
                <w:szCs w:val="21"/>
              </w:rPr>
            </w:pPr>
          </w:p>
        </w:tc>
        <w:tc>
          <w:tcPr>
            <w:tcW w:w="21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下浮系数（ i）：</w:t>
            </w:r>
          </w:p>
        </w:tc>
        <w:tc>
          <w:tcPr>
            <w:tcW w:w="2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Cs w:val="21"/>
              </w:rPr>
            </w:pPr>
          </w:p>
        </w:tc>
      </w:tr>
    </w:tbl>
    <w:p>
      <w:pPr>
        <w:rPr>
          <w:rFonts w:hint="eastAsia" w:ascii="宋体" w:hAnsi="宋体" w:eastAsia="宋体" w:cs="宋体"/>
          <w:color w:val="auto"/>
          <w:sz w:val="24"/>
        </w:rPr>
      </w:pPr>
    </w:p>
    <w:p>
      <w:pPr>
        <w:rPr>
          <w:rFonts w:hint="eastAsia" w:ascii="宋体" w:hAnsi="宋体" w:eastAsia="宋体" w:cs="宋体"/>
          <w:color w:val="auto"/>
          <w:szCs w:val="21"/>
          <w:u w:val="single"/>
        </w:rPr>
      </w:pPr>
      <w:r>
        <w:rPr>
          <w:rFonts w:hint="eastAsia" w:ascii="宋体" w:hAnsi="宋体" w:eastAsia="宋体" w:cs="宋体"/>
          <w:color w:val="auto"/>
          <w:szCs w:val="21"/>
        </w:rPr>
        <w:t>发包人代表：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记录人：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监标人：</w:t>
      </w:r>
      <w:r>
        <w:rPr>
          <w:rFonts w:hint="eastAsia" w:ascii="宋体" w:hAnsi="宋体" w:eastAsia="宋体" w:cs="宋体"/>
          <w:color w:val="auto"/>
          <w:szCs w:val="21"/>
          <w:u w:val="single"/>
        </w:rPr>
        <w:t xml:space="preserve">          </w:t>
      </w:r>
    </w:p>
    <w:p>
      <w:pPr>
        <w:rPr>
          <w:rFonts w:hint="eastAsia" w:ascii="宋体" w:hAnsi="宋体" w:eastAsia="宋体" w:cs="宋体"/>
          <w:color w:val="auto"/>
          <w:szCs w:val="21"/>
        </w:rPr>
      </w:pPr>
    </w:p>
    <w:p>
      <w:pPr>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rPr>
          <w:rFonts w:hint="eastAsia" w:ascii="宋体" w:hAnsi="宋体" w:eastAsia="宋体" w:cs="宋体"/>
          <w:color w:val="auto"/>
          <w:sz w:val="24"/>
        </w:rPr>
      </w:pPr>
      <w:r>
        <w:rPr>
          <w:rFonts w:hint="eastAsia" w:ascii="宋体" w:hAnsi="宋体" w:eastAsia="宋体" w:cs="宋体"/>
          <w:color w:val="auto"/>
          <w:sz w:val="24"/>
        </w:rPr>
        <w:br w:type="page"/>
      </w:r>
    </w:p>
    <w:p>
      <w:pPr>
        <w:pStyle w:val="3"/>
        <w:spacing w:before="120" w:beforeLines="50" w:after="0" w:line="400" w:lineRule="exact"/>
        <w:rPr>
          <w:rFonts w:hint="eastAsia" w:ascii="宋体" w:hAnsi="宋体"/>
          <w:color w:val="auto"/>
          <w:sz w:val="24"/>
          <w:szCs w:val="24"/>
        </w:rPr>
      </w:pPr>
      <w:bookmarkStart w:id="160" w:name="_Toc15091"/>
      <w:r>
        <w:rPr>
          <w:rFonts w:hint="eastAsia" w:ascii="宋体" w:hAnsi="宋体"/>
          <w:color w:val="auto"/>
          <w:sz w:val="24"/>
          <w:szCs w:val="24"/>
        </w:rPr>
        <w:t>附表二：问题澄清通知</w:t>
      </w:r>
      <w:bookmarkEnd w:id="160"/>
    </w:p>
    <w:p>
      <w:pPr>
        <w:rPr>
          <w:rFonts w:hint="eastAsia" w:ascii="宋体" w:hAnsi="宋体" w:eastAsia="宋体" w:cs="宋体"/>
          <w:color w:val="auto"/>
          <w:sz w:val="24"/>
        </w:rPr>
      </w:pPr>
    </w:p>
    <w:p>
      <w:pPr>
        <w:jc w:val="center"/>
        <w:rPr>
          <w:rFonts w:hint="eastAsia" w:ascii="宋体" w:hAnsi="宋体" w:eastAsia="宋体" w:cs="宋体"/>
          <w:b/>
          <w:bCs/>
          <w:color w:val="auto"/>
          <w:kern w:val="44"/>
          <w:sz w:val="28"/>
          <w:szCs w:val="28"/>
        </w:rPr>
      </w:pPr>
      <w:r>
        <w:rPr>
          <w:rFonts w:hint="eastAsia" w:ascii="宋体" w:hAnsi="宋体" w:eastAsia="宋体" w:cs="宋体"/>
          <w:b/>
          <w:bCs/>
          <w:color w:val="auto"/>
          <w:kern w:val="44"/>
          <w:sz w:val="28"/>
          <w:szCs w:val="28"/>
        </w:rPr>
        <w:t>问题澄清通知</w:t>
      </w:r>
    </w:p>
    <w:p>
      <w:pPr>
        <w:rPr>
          <w:rFonts w:hint="eastAsia" w:ascii="宋体" w:hAnsi="宋体" w:eastAsia="宋体" w:cs="宋体"/>
          <w:color w:val="auto"/>
          <w:sz w:val="24"/>
        </w:rPr>
      </w:pPr>
    </w:p>
    <w:p>
      <w:pPr>
        <w:jc w:val="center"/>
        <w:rPr>
          <w:rFonts w:hint="eastAsia" w:ascii="宋体" w:hAnsi="宋体" w:eastAsia="宋体" w:cs="宋体"/>
          <w:color w:val="auto"/>
          <w:szCs w:val="21"/>
        </w:rPr>
      </w:pPr>
      <w:r>
        <w:rPr>
          <w:rFonts w:hint="eastAsia" w:ascii="宋体" w:hAnsi="宋体" w:eastAsia="宋体" w:cs="宋体"/>
          <w:color w:val="auto"/>
          <w:szCs w:val="21"/>
        </w:rPr>
        <w:t>编号：</w:t>
      </w:r>
    </w:p>
    <w:p>
      <w:pPr>
        <w:rPr>
          <w:rFonts w:hint="eastAsia" w:ascii="宋体" w:hAnsi="宋体" w:eastAsia="宋体" w:cs="宋体"/>
          <w:color w:val="auto"/>
          <w:szCs w:val="21"/>
        </w:rPr>
      </w:pPr>
    </w:p>
    <w:p>
      <w:pPr>
        <w:spacing w:line="360" w:lineRule="exact"/>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r>
        <w:rPr>
          <w:rFonts w:hint="eastAsia" w:ascii="宋体" w:hAnsi="宋体" w:eastAsia="宋体" w:cs="宋体"/>
          <w:color w:val="auto"/>
          <w:szCs w:val="21"/>
        </w:rPr>
        <w:t>（投标人名称）：</w:t>
      </w:r>
    </w:p>
    <w:p>
      <w:pPr>
        <w:spacing w:line="360" w:lineRule="exact"/>
        <w:rPr>
          <w:rFonts w:hint="eastAsia" w:ascii="宋体" w:hAnsi="宋体" w:eastAsia="宋体" w:cs="宋体"/>
          <w:color w:val="auto"/>
          <w:szCs w:val="21"/>
        </w:rPr>
      </w:pPr>
    </w:p>
    <w:p>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标段施工招标的评标委员会，对你方的投标文件进行了仔细的审查，现需你方对下列问题以书面形式予以澄清：</w:t>
      </w:r>
    </w:p>
    <w:p>
      <w:pPr>
        <w:spacing w:line="360" w:lineRule="exact"/>
        <w:rPr>
          <w:rFonts w:hint="eastAsia" w:ascii="宋体" w:hAnsi="宋体" w:eastAsia="宋体" w:cs="宋体"/>
          <w:color w:val="auto"/>
          <w:szCs w:val="21"/>
        </w:rPr>
      </w:pPr>
    </w:p>
    <w:p>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 </w:t>
      </w:r>
    </w:p>
    <w:p>
      <w:pPr>
        <w:spacing w:line="360" w:lineRule="exact"/>
        <w:ind w:firstLine="420" w:firstLineChars="200"/>
        <w:rPr>
          <w:rFonts w:hint="eastAsia" w:ascii="宋体" w:hAnsi="宋体" w:eastAsia="宋体" w:cs="宋体"/>
          <w:color w:val="auto"/>
          <w:szCs w:val="21"/>
        </w:rPr>
      </w:pPr>
    </w:p>
    <w:p>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 </w:t>
      </w:r>
    </w:p>
    <w:p>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p>
    <w:p>
      <w:pPr>
        <w:spacing w:line="360" w:lineRule="exact"/>
        <w:rPr>
          <w:rFonts w:hint="eastAsia" w:ascii="宋体" w:hAnsi="宋体" w:eastAsia="宋体" w:cs="宋体"/>
          <w:color w:val="auto"/>
          <w:szCs w:val="21"/>
        </w:rPr>
      </w:pPr>
    </w:p>
    <w:p>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请将上述问题的澄清于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时前递交至</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（详细地址）或传真至</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（传真号码）。采用传真方式的，应在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时前将原件递交至</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（详细地址）。</w:t>
      </w:r>
    </w:p>
    <w:p>
      <w:pPr>
        <w:spacing w:line="360" w:lineRule="exact"/>
        <w:rPr>
          <w:rFonts w:hint="eastAsia" w:ascii="宋体" w:hAnsi="宋体" w:eastAsia="宋体" w:cs="宋体"/>
          <w:color w:val="auto"/>
          <w:szCs w:val="21"/>
        </w:rPr>
      </w:pPr>
    </w:p>
    <w:p>
      <w:pPr>
        <w:spacing w:line="360" w:lineRule="exact"/>
        <w:rPr>
          <w:rFonts w:hint="eastAsia" w:ascii="宋体" w:hAnsi="宋体" w:eastAsia="宋体" w:cs="宋体"/>
          <w:color w:val="auto"/>
          <w:szCs w:val="21"/>
        </w:rPr>
      </w:pPr>
    </w:p>
    <w:p>
      <w:pPr>
        <w:spacing w:line="360" w:lineRule="exact"/>
        <w:rPr>
          <w:rFonts w:hint="eastAsia" w:ascii="宋体" w:hAnsi="宋体" w:eastAsia="宋体" w:cs="宋体"/>
          <w:color w:val="auto"/>
          <w:szCs w:val="21"/>
        </w:rPr>
      </w:pPr>
    </w:p>
    <w:p>
      <w:pPr>
        <w:spacing w:line="360" w:lineRule="exact"/>
        <w:rPr>
          <w:rFonts w:hint="eastAsia" w:ascii="宋体" w:hAnsi="宋体" w:eastAsia="宋体" w:cs="宋体"/>
          <w:color w:val="auto"/>
          <w:szCs w:val="21"/>
        </w:rPr>
      </w:pPr>
    </w:p>
    <w:p>
      <w:pPr>
        <w:spacing w:line="360" w:lineRule="exact"/>
        <w:rPr>
          <w:rFonts w:hint="eastAsia" w:ascii="宋体" w:hAnsi="宋体" w:eastAsia="宋体" w:cs="宋体"/>
          <w:color w:val="auto"/>
          <w:szCs w:val="21"/>
          <w:u w:val="single"/>
        </w:rPr>
      </w:pPr>
      <w:r>
        <w:rPr>
          <w:rFonts w:hint="eastAsia" w:ascii="宋体" w:hAnsi="宋体" w:eastAsia="宋体" w:cs="宋体"/>
          <w:color w:val="auto"/>
          <w:szCs w:val="21"/>
        </w:rPr>
        <w:t xml:space="preserve">                                     （项目名称）</w:t>
      </w:r>
      <w:r>
        <w:rPr>
          <w:rFonts w:hint="eastAsia" w:ascii="宋体" w:hAnsi="宋体" w:eastAsia="宋体" w:cs="宋体"/>
          <w:color w:val="auto"/>
          <w:szCs w:val="21"/>
          <w:u w:val="single"/>
        </w:rPr>
        <w:t xml:space="preserve">  标段施工招标评标委员会（负责人签名）</w:t>
      </w:r>
    </w:p>
    <w:p>
      <w:pPr>
        <w:spacing w:line="360" w:lineRule="exact"/>
        <w:jc w:val="right"/>
        <w:rPr>
          <w:rFonts w:hint="eastAsia" w:ascii="宋体" w:hAnsi="宋体" w:eastAsia="宋体" w:cs="宋体"/>
          <w:color w:val="auto"/>
          <w:szCs w:val="21"/>
        </w:rPr>
      </w:pPr>
      <w:r>
        <w:rPr>
          <w:rFonts w:hint="eastAsia" w:ascii="宋体" w:hAnsi="宋体" w:eastAsia="宋体" w:cs="宋体"/>
          <w:color w:val="auto"/>
          <w:szCs w:val="21"/>
        </w:rPr>
        <w:t>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360" w:lineRule="exact"/>
        <w:rPr>
          <w:rFonts w:hint="eastAsia" w:ascii="宋体" w:hAnsi="宋体" w:eastAsia="宋体" w:cs="宋体"/>
          <w:color w:val="auto"/>
          <w:szCs w:val="21"/>
        </w:rPr>
      </w:pP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rPr>
          <w:rFonts w:hint="eastAsia" w:ascii="宋体" w:hAnsi="宋体" w:eastAsia="宋体" w:cs="宋体"/>
          <w:color w:val="auto"/>
          <w:szCs w:val="21"/>
        </w:rPr>
      </w:pPr>
    </w:p>
    <w:p>
      <w:pPr>
        <w:rPr>
          <w:rFonts w:hint="eastAsia" w:ascii="宋体" w:hAnsi="宋体" w:eastAsia="宋体" w:cs="宋体"/>
          <w:color w:val="auto"/>
          <w:sz w:val="24"/>
        </w:rPr>
      </w:pPr>
      <w:r>
        <w:rPr>
          <w:rFonts w:hint="eastAsia" w:ascii="宋体" w:hAnsi="宋体" w:eastAsia="宋体" w:cs="宋体"/>
          <w:color w:val="auto"/>
          <w:sz w:val="24"/>
        </w:rPr>
        <w:br w:type="page"/>
      </w:r>
    </w:p>
    <w:p>
      <w:pPr>
        <w:pStyle w:val="3"/>
        <w:spacing w:before="120" w:beforeLines="50" w:after="0" w:line="400" w:lineRule="exact"/>
        <w:rPr>
          <w:rFonts w:hint="eastAsia" w:ascii="宋体" w:hAnsi="宋体"/>
          <w:color w:val="auto"/>
          <w:sz w:val="24"/>
          <w:szCs w:val="24"/>
        </w:rPr>
      </w:pPr>
      <w:bookmarkStart w:id="161" w:name="_Toc29828"/>
      <w:r>
        <w:rPr>
          <w:rFonts w:hint="eastAsia" w:ascii="宋体" w:hAnsi="宋体"/>
          <w:color w:val="auto"/>
          <w:sz w:val="24"/>
          <w:szCs w:val="24"/>
        </w:rPr>
        <w:t>附表三：问题的澄清</w:t>
      </w:r>
      <w:bookmarkEnd w:id="161"/>
    </w:p>
    <w:p>
      <w:pPr>
        <w:rPr>
          <w:rFonts w:hint="eastAsia" w:ascii="宋体" w:hAnsi="宋体" w:eastAsia="宋体" w:cs="宋体"/>
          <w:color w:val="auto"/>
          <w:sz w:val="24"/>
        </w:rPr>
      </w:pPr>
    </w:p>
    <w:p>
      <w:pPr>
        <w:jc w:val="center"/>
        <w:rPr>
          <w:rFonts w:hint="eastAsia" w:ascii="宋体" w:hAnsi="宋体" w:eastAsia="宋体" w:cs="宋体"/>
          <w:b/>
          <w:bCs/>
          <w:color w:val="auto"/>
          <w:kern w:val="44"/>
          <w:sz w:val="28"/>
          <w:szCs w:val="28"/>
        </w:rPr>
      </w:pPr>
      <w:r>
        <w:rPr>
          <w:rFonts w:hint="eastAsia" w:ascii="宋体" w:hAnsi="宋体" w:eastAsia="宋体" w:cs="宋体"/>
          <w:b/>
          <w:bCs/>
          <w:color w:val="auto"/>
          <w:kern w:val="44"/>
          <w:sz w:val="28"/>
          <w:szCs w:val="28"/>
        </w:rPr>
        <w:t>问题的澄清</w:t>
      </w:r>
    </w:p>
    <w:p>
      <w:pPr>
        <w:rPr>
          <w:rFonts w:hint="eastAsia" w:ascii="宋体" w:hAnsi="宋体" w:eastAsia="宋体" w:cs="宋体"/>
          <w:color w:val="auto"/>
          <w:sz w:val="24"/>
        </w:rPr>
      </w:pPr>
    </w:p>
    <w:p>
      <w:pPr>
        <w:jc w:val="center"/>
        <w:rPr>
          <w:rFonts w:hint="eastAsia" w:ascii="宋体" w:hAnsi="宋体" w:eastAsia="宋体" w:cs="宋体"/>
          <w:color w:val="auto"/>
          <w:szCs w:val="21"/>
        </w:rPr>
      </w:pPr>
      <w:r>
        <w:rPr>
          <w:rFonts w:hint="eastAsia" w:ascii="宋体" w:hAnsi="宋体" w:eastAsia="宋体" w:cs="宋体"/>
          <w:color w:val="auto"/>
          <w:szCs w:val="21"/>
        </w:rPr>
        <w:t>编号：</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标段施工招标评标委员会： </w:t>
      </w:r>
    </w:p>
    <w:p>
      <w:pPr>
        <w:spacing w:line="400" w:lineRule="exact"/>
        <w:ind w:firstLine="420" w:firstLineChars="200"/>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问题澄清通知（编号：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）已收悉，现澄清如下：</w:t>
      </w:r>
    </w:p>
    <w:p>
      <w:pPr>
        <w:spacing w:line="400" w:lineRule="exact"/>
        <w:ind w:firstLine="420" w:firstLineChars="200"/>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 </w:t>
      </w:r>
    </w:p>
    <w:p>
      <w:pPr>
        <w:spacing w:line="400" w:lineRule="exact"/>
        <w:ind w:firstLine="420" w:firstLineChars="200"/>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 </w:t>
      </w:r>
    </w:p>
    <w:p>
      <w:pPr>
        <w:rPr>
          <w:rFonts w:hint="eastAsia" w:ascii="宋体" w:hAnsi="宋体" w:eastAsia="宋体" w:cs="宋体"/>
          <w:color w:val="auto"/>
          <w:szCs w:val="21"/>
        </w:rPr>
      </w:pPr>
    </w:p>
    <w:p>
      <w:pPr>
        <w:rPr>
          <w:rFonts w:hint="eastAsia" w:ascii="宋体" w:hAnsi="宋体" w:eastAsia="宋体" w:cs="宋体"/>
          <w:color w:val="auto"/>
          <w:szCs w:val="21"/>
        </w:rPr>
      </w:pPr>
      <w:r>
        <w:rPr>
          <w:rFonts w:hint="eastAsia" w:ascii="宋体" w:hAnsi="宋体" w:eastAsia="宋体" w:cs="宋体"/>
          <w:color w:val="auto"/>
          <w:szCs w:val="21"/>
        </w:rPr>
        <w:t>.....</w:t>
      </w: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                         投标人：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（盖单位章） </w:t>
      </w: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                         法定代表人或其委托代理人：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pPr>
        <w:rPr>
          <w:rFonts w:hint="eastAsia" w:ascii="宋体" w:hAnsi="宋体" w:eastAsia="宋体" w:cs="宋体"/>
          <w:color w:val="auto"/>
          <w:szCs w:val="21"/>
        </w:rPr>
      </w:pPr>
    </w:p>
    <w:p>
      <w:pPr>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 w:val="24"/>
        </w:rPr>
      </w:pPr>
      <w:r>
        <w:rPr>
          <w:rFonts w:hint="eastAsia" w:ascii="宋体" w:hAnsi="宋体" w:eastAsia="宋体" w:cs="宋体"/>
          <w:color w:val="auto"/>
          <w:sz w:val="24"/>
        </w:rPr>
        <w:br w:type="page"/>
      </w:r>
    </w:p>
    <w:p>
      <w:pPr>
        <w:pStyle w:val="3"/>
        <w:spacing w:before="120" w:beforeLines="50" w:after="0" w:line="400" w:lineRule="exact"/>
        <w:rPr>
          <w:rFonts w:hint="eastAsia" w:ascii="宋体" w:hAnsi="宋体"/>
          <w:color w:val="auto"/>
          <w:sz w:val="24"/>
          <w:szCs w:val="24"/>
        </w:rPr>
      </w:pPr>
      <w:bookmarkStart w:id="162" w:name="_Toc19991"/>
      <w:r>
        <w:rPr>
          <w:rFonts w:hint="eastAsia" w:ascii="宋体" w:hAnsi="宋体"/>
          <w:color w:val="auto"/>
          <w:sz w:val="24"/>
          <w:szCs w:val="24"/>
        </w:rPr>
        <w:t>附表四：中标通知书</w:t>
      </w:r>
      <w:bookmarkEnd w:id="162"/>
    </w:p>
    <w:p>
      <w:pPr>
        <w:rPr>
          <w:rFonts w:hint="eastAsia" w:ascii="宋体" w:hAnsi="宋体" w:eastAsia="宋体" w:cs="宋体"/>
          <w:color w:val="auto"/>
          <w:sz w:val="24"/>
        </w:rPr>
      </w:pPr>
    </w:p>
    <w:p>
      <w:pPr>
        <w:jc w:val="center"/>
        <w:rPr>
          <w:rFonts w:hint="eastAsia" w:ascii="宋体" w:hAnsi="宋体" w:eastAsia="宋体" w:cs="宋体"/>
          <w:b/>
          <w:bCs/>
          <w:color w:val="auto"/>
          <w:kern w:val="44"/>
          <w:sz w:val="28"/>
          <w:szCs w:val="28"/>
        </w:rPr>
      </w:pPr>
      <w:r>
        <w:rPr>
          <w:rFonts w:hint="eastAsia" w:ascii="宋体" w:hAnsi="宋体" w:eastAsia="宋体" w:cs="宋体"/>
          <w:b/>
          <w:bCs/>
          <w:color w:val="auto"/>
          <w:kern w:val="44"/>
          <w:sz w:val="28"/>
          <w:szCs w:val="28"/>
        </w:rPr>
        <w:t>中标通知书</w:t>
      </w:r>
    </w:p>
    <w:p>
      <w:pPr>
        <w:rPr>
          <w:rFonts w:hint="eastAsia" w:ascii="宋体" w:hAnsi="宋体" w:eastAsia="宋体" w:cs="宋体"/>
          <w:color w:val="auto"/>
          <w:sz w:val="24"/>
        </w:rPr>
      </w:pPr>
    </w:p>
    <w:p>
      <w:pPr>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（中标人名称）：</w:t>
      </w:r>
    </w:p>
    <w:p>
      <w:pPr>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你方于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（投标日期）所递交的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标段施工投标文件已被我方接受，被确定为中标人。</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中标价：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日历天。</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工程质量：符合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标准。 </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项目经理：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项目总工：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请你方在接到本通知书后的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日内到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（指定地点）与我方签订施工承包合同，在此之前按招标文件第二章“投标人须知”第 7.3 款规定向我方提交履约担保。</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特此通知。</w:t>
      </w: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                                    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（盖单位章） </w:t>
      </w: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                                    招标代理：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rPr>
          <w:rFonts w:hint="eastAsia" w:ascii="宋体" w:hAnsi="宋体" w:eastAsia="宋体" w:cs="宋体"/>
          <w:color w:val="auto"/>
          <w:szCs w:val="21"/>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br w:type="page"/>
      </w:r>
    </w:p>
    <w:p>
      <w:pPr>
        <w:pStyle w:val="3"/>
        <w:spacing w:before="120" w:beforeLines="50" w:after="0" w:line="400" w:lineRule="exact"/>
        <w:rPr>
          <w:rFonts w:hint="eastAsia" w:ascii="宋体" w:hAnsi="宋体"/>
          <w:color w:val="auto"/>
          <w:sz w:val="24"/>
          <w:szCs w:val="24"/>
        </w:rPr>
      </w:pPr>
      <w:bookmarkStart w:id="163" w:name="_Toc26104"/>
      <w:r>
        <w:rPr>
          <w:rFonts w:hint="eastAsia" w:ascii="宋体" w:hAnsi="宋体"/>
          <w:color w:val="auto"/>
          <w:sz w:val="24"/>
          <w:szCs w:val="24"/>
        </w:rPr>
        <w:t>附表五：中标结果通知书</w:t>
      </w:r>
      <w:bookmarkEnd w:id="163"/>
    </w:p>
    <w:p>
      <w:pPr>
        <w:rPr>
          <w:rFonts w:hint="eastAsia" w:ascii="宋体" w:hAnsi="宋体" w:eastAsia="宋体" w:cs="宋体"/>
          <w:color w:val="auto"/>
          <w:sz w:val="24"/>
        </w:rPr>
      </w:pPr>
    </w:p>
    <w:p>
      <w:pPr>
        <w:jc w:val="center"/>
        <w:rPr>
          <w:rFonts w:hint="eastAsia" w:ascii="宋体" w:hAnsi="宋体" w:eastAsia="宋体" w:cs="宋体"/>
          <w:b/>
          <w:bCs/>
          <w:color w:val="auto"/>
          <w:kern w:val="44"/>
          <w:sz w:val="28"/>
          <w:szCs w:val="28"/>
        </w:rPr>
      </w:pPr>
      <w:r>
        <w:rPr>
          <w:rFonts w:hint="eastAsia" w:ascii="宋体" w:hAnsi="宋体" w:eastAsia="宋体" w:cs="宋体"/>
          <w:b/>
          <w:bCs/>
          <w:color w:val="auto"/>
          <w:kern w:val="44"/>
          <w:sz w:val="28"/>
          <w:szCs w:val="28"/>
        </w:rPr>
        <w:t>中标结果通知书</w:t>
      </w:r>
    </w:p>
    <w:p>
      <w:pPr>
        <w:rPr>
          <w:rFonts w:hint="eastAsia" w:ascii="宋体" w:hAnsi="宋体" w:eastAsia="宋体" w:cs="宋体"/>
          <w:color w:val="auto"/>
          <w:sz w:val="24"/>
        </w:rPr>
      </w:pPr>
    </w:p>
    <w:p>
      <w:pPr>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（未中标人名称）：</w:t>
      </w:r>
    </w:p>
    <w:p>
      <w:pPr>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我方已接受</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（中标人名称）于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（投标日期）所递交的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标段施工投标文件，确定</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（中标人名称）为中标人。</w:t>
      </w:r>
    </w:p>
    <w:p>
      <w:pPr>
        <w:spacing w:line="400" w:lineRule="exact"/>
        <w:ind w:firstLine="420" w:firstLineChars="200"/>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感谢你单位对我们工作的大力支持！</w:t>
      </w: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（盖单位章） </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招标代理：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br w:type="page"/>
      </w:r>
    </w:p>
    <w:p>
      <w:pPr>
        <w:pStyle w:val="3"/>
        <w:spacing w:before="120" w:beforeLines="50" w:after="0" w:line="400" w:lineRule="exact"/>
        <w:rPr>
          <w:rFonts w:hint="eastAsia" w:ascii="宋体" w:hAnsi="宋体"/>
          <w:color w:val="auto"/>
          <w:sz w:val="24"/>
          <w:szCs w:val="24"/>
        </w:rPr>
      </w:pPr>
      <w:bookmarkStart w:id="164" w:name="_Toc18997"/>
      <w:r>
        <w:rPr>
          <w:rFonts w:hint="eastAsia" w:ascii="宋体" w:hAnsi="宋体"/>
          <w:color w:val="auto"/>
          <w:sz w:val="24"/>
          <w:szCs w:val="24"/>
        </w:rPr>
        <w:t>附表六：确认通知</w:t>
      </w:r>
      <w:bookmarkEnd w:id="164"/>
    </w:p>
    <w:p>
      <w:pPr>
        <w:rPr>
          <w:rFonts w:hint="eastAsia" w:ascii="宋体" w:hAnsi="宋体" w:eastAsia="宋体" w:cs="宋体"/>
          <w:color w:val="auto"/>
          <w:sz w:val="24"/>
        </w:rPr>
      </w:pPr>
    </w:p>
    <w:p>
      <w:pPr>
        <w:jc w:val="center"/>
        <w:rPr>
          <w:rFonts w:hint="eastAsia" w:ascii="宋体" w:hAnsi="宋体" w:eastAsia="宋体" w:cs="宋体"/>
          <w:b/>
          <w:bCs/>
          <w:color w:val="auto"/>
          <w:kern w:val="44"/>
          <w:sz w:val="28"/>
          <w:szCs w:val="28"/>
        </w:rPr>
      </w:pPr>
      <w:r>
        <w:rPr>
          <w:rFonts w:hint="eastAsia" w:ascii="宋体" w:hAnsi="宋体" w:eastAsia="宋体" w:cs="宋体"/>
          <w:b/>
          <w:bCs/>
          <w:color w:val="auto"/>
          <w:kern w:val="44"/>
          <w:sz w:val="28"/>
          <w:szCs w:val="28"/>
        </w:rPr>
        <w:t>确认通知</w:t>
      </w:r>
    </w:p>
    <w:p>
      <w:pPr>
        <w:rPr>
          <w:rFonts w:hint="eastAsia" w:ascii="宋体" w:hAnsi="宋体" w:eastAsia="宋体" w:cs="宋体"/>
          <w:color w:val="auto"/>
          <w:sz w:val="24"/>
        </w:rPr>
      </w:pPr>
    </w:p>
    <w:p>
      <w:pPr>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tab/>
      </w:r>
      <w:r>
        <w:rPr>
          <w:rFonts w:hint="eastAsia" w:ascii="宋体" w:hAnsi="宋体" w:eastAsia="宋体" w:cs="宋体"/>
          <w:color w:val="auto"/>
          <w:szCs w:val="21"/>
        </w:rPr>
        <w:t>（发包人名称）：</w:t>
      </w:r>
    </w:p>
    <w:p>
      <w:pPr>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我方已接到你方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日发出的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标段施工招标关于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的通知，我方已于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日收到。</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特此确认。</w:t>
      </w: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r>
        <w:rPr>
          <w:rFonts w:hint="eastAsia" w:ascii="宋体" w:hAnsi="宋体" w:eastAsia="宋体" w:cs="宋体"/>
          <w:color w:val="auto"/>
          <w:szCs w:val="21"/>
        </w:rPr>
        <w:t xml:space="preserve">                                    投标人：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rPr>
          <w:rFonts w:hint="eastAsia" w:ascii="宋体" w:hAnsi="宋体" w:eastAsia="宋体" w:cs="宋体"/>
          <w:color w:val="auto"/>
          <w:szCs w:val="21"/>
        </w:rPr>
      </w:pPr>
    </w:p>
    <w:p>
      <w:pPr>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br w:type="page"/>
      </w: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jc w:val="center"/>
        <w:rPr>
          <w:rFonts w:hint="eastAsia" w:ascii="宋体" w:hAnsi="宋体" w:eastAsia="宋体" w:cs="宋体"/>
          <w:color w:val="auto"/>
          <w:sz w:val="52"/>
          <w:szCs w:val="52"/>
        </w:rPr>
      </w:pPr>
    </w:p>
    <w:p>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第三章  评 标 办 法</w:t>
      </w:r>
    </w:p>
    <w:p>
      <w:pPr>
        <w:rPr>
          <w:rFonts w:hint="eastAsia" w:ascii="宋体" w:hAnsi="宋体" w:eastAsia="宋体" w:cs="宋体"/>
          <w:color w:val="auto"/>
          <w:sz w:val="24"/>
        </w:rPr>
      </w:pPr>
    </w:p>
    <w:p>
      <w:pPr>
        <w:pStyle w:val="3"/>
        <w:spacing w:line="26" w:lineRule="exact"/>
        <w:jc w:val="center"/>
        <w:rPr>
          <w:rFonts w:hint="eastAsia" w:ascii="宋体" w:hAnsi="宋体"/>
          <w:color w:val="auto"/>
          <w:sz w:val="30"/>
          <w:szCs w:val="30"/>
        </w:rPr>
      </w:pPr>
      <w:r>
        <w:rPr>
          <w:rFonts w:hint="eastAsia" w:ascii="宋体" w:hAnsi="宋体"/>
          <w:b w:val="0"/>
          <w:bCs w:val="0"/>
          <w:color w:val="auto"/>
          <w:sz w:val="24"/>
        </w:rPr>
        <w:br w:type="page"/>
      </w:r>
      <w:bookmarkStart w:id="165" w:name="_Toc3279"/>
      <w:r>
        <w:rPr>
          <w:rFonts w:hint="eastAsia" w:ascii="宋体" w:hAnsi="宋体"/>
          <w:color w:val="auto"/>
          <w:sz w:val="30"/>
          <w:szCs w:val="30"/>
        </w:rPr>
        <w:t>第三章 评标办法（合理区间抽取定价法）</w:t>
      </w:r>
      <w:bookmarkEnd w:id="165"/>
    </w:p>
    <w:p>
      <w:pPr>
        <w:pStyle w:val="3"/>
        <w:spacing w:before="0" w:after="120" w:afterLines="50" w:line="400" w:lineRule="exact"/>
        <w:jc w:val="left"/>
        <w:rPr>
          <w:rFonts w:hint="eastAsia" w:ascii="宋体" w:hAnsi="宋体"/>
          <w:color w:val="auto"/>
          <w:sz w:val="30"/>
          <w:szCs w:val="30"/>
        </w:rPr>
      </w:pPr>
      <w:bookmarkStart w:id="166" w:name="_Toc24128"/>
      <w:r>
        <w:rPr>
          <w:rFonts w:hint="eastAsia" w:ascii="宋体" w:hAnsi="宋体"/>
          <w:color w:val="auto"/>
          <w:sz w:val="30"/>
          <w:szCs w:val="30"/>
        </w:rPr>
        <w:t>评标办法前附表</w:t>
      </w:r>
      <w:bookmarkEnd w:id="166"/>
    </w:p>
    <w:tbl>
      <w:tblPr>
        <w:tblStyle w:val="5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57"/>
        <w:gridCol w:w="1248"/>
        <w:gridCol w:w="72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2" w:hRule="exact"/>
          <w:jc w:val="center"/>
        </w:trPr>
        <w:tc>
          <w:tcPr>
            <w:tcW w:w="2005" w:type="dxa"/>
            <w:gridSpan w:val="2"/>
            <w:tcBorders>
              <w:top w:val="single" w:color="000000" w:sz="12" w:space="0"/>
              <w:left w:val="single" w:color="000000" w:sz="12" w:space="0"/>
              <w:bottom w:val="single" w:color="000000" w:sz="6" w:space="0"/>
              <w:right w:val="single" w:color="000000" w:sz="6" w:space="0"/>
            </w:tcBorders>
            <w:vAlign w:val="center"/>
          </w:tcPr>
          <w:p>
            <w:pPr>
              <w:jc w:val="center"/>
              <w:rPr>
                <w:rFonts w:ascii="宋体" w:hAnsi="宋体" w:eastAsia="宋体" w:cs="宋体"/>
                <w:b/>
                <w:color w:val="auto"/>
              </w:rPr>
            </w:pPr>
            <w:r>
              <w:rPr>
                <w:rFonts w:hint="eastAsia" w:ascii="宋体" w:hAnsi="宋体" w:eastAsia="宋体" w:cs="宋体"/>
                <w:b/>
                <w:color w:val="auto"/>
              </w:rPr>
              <w:t>条款号</w:t>
            </w:r>
          </w:p>
        </w:tc>
        <w:tc>
          <w:tcPr>
            <w:tcW w:w="7245" w:type="dxa"/>
            <w:tcBorders>
              <w:top w:val="single" w:color="000000" w:sz="12" w:space="0"/>
              <w:left w:val="single" w:color="000000" w:sz="6" w:space="0"/>
              <w:bottom w:val="single" w:color="000000" w:sz="6" w:space="0"/>
              <w:right w:val="single" w:color="000000" w:sz="12" w:space="0"/>
            </w:tcBorders>
            <w:vAlign w:val="center"/>
          </w:tcPr>
          <w:p>
            <w:pPr>
              <w:jc w:val="center"/>
              <w:rPr>
                <w:rFonts w:ascii="宋体" w:hAnsi="宋体" w:eastAsia="宋体" w:cs="宋体"/>
                <w:b/>
                <w:color w:val="auto"/>
              </w:rPr>
            </w:pPr>
            <w:r>
              <w:rPr>
                <w:rFonts w:hint="eastAsia" w:ascii="宋体" w:hAnsi="宋体" w:eastAsia="宋体" w:cs="宋体"/>
                <w:b/>
                <w:color w:val="auto"/>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757" w:type="dxa"/>
            <w:tcBorders>
              <w:top w:val="single" w:color="000000" w:sz="6" w:space="0"/>
              <w:left w:val="single" w:color="000000" w:sz="12" w:space="0"/>
              <w:bottom w:val="single" w:color="000000" w:sz="12" w:space="0"/>
              <w:right w:val="single" w:color="000000" w:sz="6" w:space="0"/>
            </w:tcBorders>
            <w:vAlign w:val="center"/>
          </w:tcPr>
          <w:p>
            <w:pPr>
              <w:spacing w:line="300" w:lineRule="exact"/>
              <w:jc w:val="center"/>
              <w:rPr>
                <w:rFonts w:ascii="宋体" w:hAnsi="宋体" w:eastAsia="宋体" w:cs="宋体"/>
                <w:color w:val="auto"/>
                <w:szCs w:val="21"/>
              </w:rPr>
            </w:pPr>
            <w:r>
              <w:rPr>
                <w:rFonts w:hint="eastAsia" w:ascii="宋体" w:hAnsi="宋体" w:eastAsia="宋体" w:cs="宋体"/>
                <w:color w:val="auto"/>
                <w:szCs w:val="21"/>
              </w:rPr>
              <w:t>2.1.1</w:t>
            </w:r>
          </w:p>
          <w:p>
            <w:pPr>
              <w:spacing w:line="300" w:lineRule="exact"/>
              <w:jc w:val="center"/>
              <w:rPr>
                <w:rFonts w:ascii="宋体" w:hAnsi="宋体" w:eastAsia="宋体" w:cs="宋体"/>
                <w:color w:val="auto"/>
                <w:szCs w:val="21"/>
              </w:rPr>
            </w:pPr>
            <w:r>
              <w:rPr>
                <w:rFonts w:hint="eastAsia" w:ascii="宋体" w:hAnsi="宋体" w:eastAsia="宋体" w:cs="宋体"/>
                <w:color w:val="auto"/>
                <w:szCs w:val="21"/>
              </w:rPr>
              <w:t>2.1.3</w:t>
            </w:r>
          </w:p>
        </w:tc>
        <w:tc>
          <w:tcPr>
            <w:tcW w:w="1248" w:type="dxa"/>
            <w:tcBorders>
              <w:top w:val="single" w:color="000000" w:sz="6" w:space="0"/>
              <w:left w:val="single" w:color="000000" w:sz="6" w:space="0"/>
              <w:bottom w:val="single" w:color="000000" w:sz="12" w:space="0"/>
              <w:right w:val="single" w:color="000000" w:sz="6" w:space="0"/>
            </w:tcBorders>
            <w:vAlign w:val="center"/>
          </w:tcPr>
          <w:p>
            <w:pPr>
              <w:snapToGrid w:val="0"/>
              <w:spacing w:line="300" w:lineRule="exact"/>
              <w:ind w:left="113" w:right="113"/>
              <w:contextualSpacing/>
              <w:jc w:val="left"/>
              <w:rPr>
                <w:rFonts w:ascii="宋体" w:hAnsi="宋体" w:eastAsia="宋体" w:cs="宋体"/>
                <w:color w:val="auto"/>
                <w:szCs w:val="21"/>
              </w:rPr>
            </w:pPr>
            <w:r>
              <w:rPr>
                <w:rFonts w:hint="eastAsia" w:ascii="宋体" w:hAnsi="宋体" w:eastAsia="宋体" w:cs="宋体"/>
                <w:color w:val="auto"/>
                <w:szCs w:val="21"/>
              </w:rPr>
              <w:t>形式评审与响应性评审标准</w:t>
            </w:r>
          </w:p>
        </w:tc>
        <w:tc>
          <w:tcPr>
            <w:tcW w:w="7245" w:type="dxa"/>
            <w:tcBorders>
              <w:top w:val="single" w:color="000000" w:sz="6" w:space="0"/>
              <w:left w:val="single" w:color="000000" w:sz="6" w:space="0"/>
              <w:bottom w:val="single" w:color="000000" w:sz="12" w:space="0"/>
              <w:right w:val="single" w:color="000000" w:sz="12" w:space="0"/>
            </w:tcBorders>
            <w:vAlign w:val="center"/>
          </w:tcPr>
          <w:p>
            <w:pPr>
              <w:spacing w:line="280" w:lineRule="exact"/>
              <w:ind w:left="113" w:right="113" w:firstLine="210" w:firstLineChars="100"/>
              <w:rPr>
                <w:rFonts w:ascii="宋体" w:hAnsi="宋体" w:eastAsia="宋体" w:cs="宋体"/>
                <w:color w:val="auto"/>
                <w:szCs w:val="21"/>
              </w:rPr>
            </w:pPr>
            <w:r>
              <w:rPr>
                <w:rFonts w:hint="eastAsia" w:ascii="宋体" w:hAnsi="宋体" w:eastAsia="宋体" w:cs="宋体"/>
                <w:color w:val="auto"/>
                <w:szCs w:val="21"/>
              </w:rPr>
              <w:t>(1) 投标文件按照招标文件规定的格式、内容填写，字迹清晰可辨：</w:t>
            </w:r>
          </w:p>
          <w:p>
            <w:pPr>
              <w:spacing w:line="280" w:lineRule="exact"/>
              <w:ind w:left="113" w:right="113" w:firstLine="420" w:firstLineChars="200"/>
              <w:rPr>
                <w:rFonts w:hint="eastAsia" w:ascii="宋体" w:hAnsi="宋体" w:eastAsia="宋体" w:cs="宋体"/>
                <w:color w:val="auto"/>
                <w:szCs w:val="21"/>
              </w:rPr>
            </w:pPr>
            <w:r>
              <w:rPr>
                <w:rFonts w:hint="eastAsia" w:ascii="宋体" w:hAnsi="宋体" w:eastAsia="宋体" w:cs="宋体"/>
                <w:color w:val="auto"/>
                <w:szCs w:val="21"/>
              </w:rPr>
              <w:t>a．投标函按招标文件规定填报了项目名称、标段名称、投标保证金金额、 投标价、工期及工程质量目标；</w:t>
            </w:r>
          </w:p>
          <w:p>
            <w:pPr>
              <w:spacing w:line="280" w:lineRule="exact"/>
              <w:ind w:left="113" w:right="113" w:firstLine="420" w:firstLineChars="200"/>
              <w:rPr>
                <w:rFonts w:hint="eastAsia" w:ascii="宋体" w:hAnsi="宋体" w:eastAsia="宋体" w:cs="宋体"/>
                <w:color w:val="auto"/>
                <w:szCs w:val="21"/>
              </w:rPr>
            </w:pPr>
            <w:r>
              <w:rPr>
                <w:rFonts w:hint="eastAsia" w:ascii="宋体" w:hAnsi="宋体" w:eastAsia="宋体" w:cs="宋体"/>
                <w:color w:val="auto"/>
                <w:szCs w:val="21"/>
              </w:rPr>
              <w:t>b．投标函附录的所有数据均符合招标文件规定；</w:t>
            </w:r>
          </w:p>
          <w:p>
            <w:pPr>
              <w:spacing w:line="280" w:lineRule="exact"/>
              <w:ind w:left="113" w:right="113" w:firstLine="420" w:firstLineChars="200"/>
              <w:rPr>
                <w:rFonts w:hint="eastAsia" w:ascii="宋体" w:hAnsi="宋体" w:eastAsia="宋体" w:cs="宋体"/>
                <w:color w:val="auto"/>
                <w:szCs w:val="21"/>
              </w:rPr>
            </w:pPr>
            <w:r>
              <w:rPr>
                <w:rFonts w:hint="eastAsia" w:ascii="宋体" w:hAnsi="宋体" w:eastAsia="宋体" w:cs="宋体"/>
                <w:color w:val="auto"/>
                <w:szCs w:val="21"/>
              </w:rPr>
              <w:t>c．承诺函文字与招标文件规定一致，未进行修改和删减；</w:t>
            </w:r>
          </w:p>
          <w:p>
            <w:pPr>
              <w:spacing w:line="280" w:lineRule="exact"/>
              <w:ind w:left="113" w:right="113" w:firstLine="420" w:firstLineChars="200"/>
              <w:rPr>
                <w:rFonts w:hint="eastAsia" w:ascii="宋体" w:hAnsi="宋体" w:eastAsia="宋体" w:cs="宋体"/>
                <w:color w:val="auto"/>
                <w:szCs w:val="21"/>
              </w:rPr>
            </w:pPr>
            <w:r>
              <w:rPr>
                <w:rFonts w:hint="eastAsia" w:ascii="宋体" w:hAnsi="宋体" w:eastAsia="宋体" w:cs="宋体"/>
                <w:color w:val="auto"/>
                <w:szCs w:val="21"/>
              </w:rPr>
              <w:t>d．按照招标文件规定的格式、内容编制了项目管理机构相关图表；</w:t>
            </w:r>
          </w:p>
          <w:p>
            <w:pPr>
              <w:spacing w:line="280" w:lineRule="exact"/>
              <w:ind w:left="113" w:right="113" w:firstLine="420" w:firstLineChars="200"/>
              <w:rPr>
                <w:rFonts w:hint="eastAsia" w:ascii="宋体" w:hAnsi="宋体" w:eastAsia="宋体" w:cs="宋体"/>
                <w:color w:val="auto"/>
                <w:szCs w:val="21"/>
              </w:rPr>
            </w:pPr>
            <w:r>
              <w:rPr>
                <w:rFonts w:hint="eastAsia" w:ascii="宋体" w:hAnsi="宋体" w:eastAsia="宋体" w:cs="宋体"/>
                <w:color w:val="auto"/>
                <w:szCs w:val="21"/>
              </w:rPr>
              <w:t>e．投标文件组成齐全完整，内容均按规定填写，并按招标文件规定的形式装订。</w:t>
            </w:r>
          </w:p>
          <w:p>
            <w:pPr>
              <w:spacing w:line="28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(2) 投标文件上法定代表人或其授权代理人的盖章、投标人的单位章盖章齐全，符合招标文件规定：</w:t>
            </w:r>
          </w:p>
          <w:p>
            <w:pPr>
              <w:spacing w:line="28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投标函及投标函附录、承诺函的内容，应由投标人的法定代表人或其委托代理人逐页盖章并逐页加盖投标人单位章（本页正文内容已加盖单位章的除外）。</w:t>
            </w:r>
          </w:p>
          <w:p>
            <w:pPr>
              <w:adjustRightInd w:val="0"/>
              <w:spacing w:line="28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(3)投标人按照招标文件规定的金额、形式、时效和内容提供了投标保证金：</w:t>
            </w:r>
          </w:p>
          <w:p>
            <w:pPr>
              <w:spacing w:line="280" w:lineRule="exact"/>
              <w:ind w:left="113" w:right="113" w:firstLine="420" w:firstLineChars="200"/>
              <w:rPr>
                <w:rFonts w:hint="eastAsia" w:ascii="宋体" w:hAnsi="宋体" w:eastAsia="宋体" w:cs="宋体"/>
                <w:color w:val="auto"/>
                <w:szCs w:val="21"/>
              </w:rPr>
            </w:pPr>
            <w:r>
              <w:rPr>
                <w:rFonts w:hint="eastAsia" w:ascii="宋体" w:hAnsi="宋体" w:eastAsia="宋体" w:cs="宋体"/>
                <w:color w:val="auto"/>
                <w:szCs w:val="21"/>
              </w:rPr>
              <w:t>a．投标保证金金额符合招标文件规定的金额；</w:t>
            </w:r>
          </w:p>
          <w:p>
            <w:pPr>
              <w:spacing w:line="280" w:lineRule="exact"/>
              <w:ind w:left="113" w:right="113" w:firstLine="420" w:firstLineChars="200"/>
              <w:rPr>
                <w:rFonts w:hint="eastAsia" w:ascii="宋体" w:hAnsi="宋体" w:eastAsia="宋体" w:cs="宋体"/>
                <w:color w:val="auto"/>
                <w:szCs w:val="21"/>
              </w:rPr>
            </w:pPr>
            <w:r>
              <w:rPr>
                <w:rFonts w:hint="eastAsia" w:ascii="宋体" w:hAnsi="宋体" w:eastAsia="宋体" w:cs="宋体"/>
                <w:color w:val="auto"/>
                <w:szCs w:val="21"/>
              </w:rPr>
              <w:t>b．若采用电汇，投标人在投标人须知前附表规定的时间之前，将投标保证金由投标人的基本账户一次性汇入发包人指定账户；</w:t>
            </w:r>
          </w:p>
          <w:p>
            <w:pPr>
              <w:spacing w:line="280" w:lineRule="exact"/>
              <w:ind w:left="113" w:right="113" w:firstLine="420" w:firstLineChars="200"/>
              <w:rPr>
                <w:rFonts w:hint="eastAsia" w:ascii="宋体" w:hAnsi="宋体" w:eastAsia="宋体" w:cs="宋体"/>
                <w:color w:val="auto"/>
                <w:szCs w:val="21"/>
              </w:rPr>
            </w:pPr>
            <w:r>
              <w:rPr>
                <w:rFonts w:hint="eastAsia" w:ascii="宋体" w:hAnsi="宋体" w:eastAsia="宋体" w:cs="宋体"/>
                <w:color w:val="auto"/>
                <w:szCs w:val="21"/>
              </w:rPr>
              <w:t>c．若采用银行保函，银行保函的格式、开具保函的银行、银行保函的有效期均满足招标文件要求，且银行保函原件装订在投标文件的正本之中。</w:t>
            </w:r>
          </w:p>
          <w:p>
            <w:pPr>
              <w:spacing w:line="280" w:lineRule="exact"/>
              <w:ind w:left="113" w:right="113" w:firstLine="210" w:firstLineChars="100"/>
              <w:jc w:val="left"/>
              <w:rPr>
                <w:rFonts w:hint="eastAsia" w:ascii="宋体" w:hAnsi="宋体" w:eastAsia="宋体" w:cs="宋体"/>
                <w:color w:val="auto"/>
                <w:szCs w:val="21"/>
                <w:highlight w:val="green"/>
              </w:rPr>
            </w:pPr>
            <w:r>
              <w:rPr>
                <w:rFonts w:hint="eastAsia" w:ascii="宋体" w:hAnsi="宋体" w:eastAsia="宋体" w:cs="宋体"/>
                <w:color w:val="auto"/>
                <w:szCs w:val="21"/>
              </w:rPr>
              <w:t>(4) 投标人法定代表人的授权代理人，需提交附有法定代表人身份证明的授权委托书。</w:t>
            </w:r>
          </w:p>
          <w:p>
            <w:pPr>
              <w:spacing w:line="280" w:lineRule="exact"/>
              <w:ind w:left="113" w:right="113"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 xml:space="preserve"> (5) 投标人法定代表人若亲自签署投标文件的，提供了法定代表人身份证明；</w:t>
            </w:r>
          </w:p>
          <w:p>
            <w:pPr>
              <w:spacing w:line="28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 xml:space="preserve"> (6) 投标人是独家投标。</w:t>
            </w:r>
          </w:p>
          <w:p>
            <w:pPr>
              <w:spacing w:line="320" w:lineRule="exact"/>
              <w:ind w:right="113"/>
              <w:rPr>
                <w:rFonts w:hint="eastAsia" w:ascii="宋体" w:hAnsi="宋体" w:eastAsia="宋体" w:cs="宋体"/>
                <w:color w:val="auto"/>
                <w:szCs w:val="21"/>
              </w:rPr>
            </w:pPr>
            <w:r>
              <w:rPr>
                <w:rFonts w:hint="eastAsia" w:ascii="宋体" w:hAnsi="宋体" w:eastAsia="宋体" w:cs="宋体"/>
                <w:color w:val="auto"/>
                <w:szCs w:val="21"/>
              </w:rPr>
              <w:t xml:space="preserve">   (7)投标人如有分包计划，应按第八章“投标文件格式”的要求填写“拟分包项目情况表”，且分包内容符合规定。</w:t>
            </w:r>
          </w:p>
          <w:p>
            <w:pPr>
              <w:spacing w:line="280" w:lineRule="exact"/>
              <w:ind w:left="113" w:right="113" w:firstLine="210" w:firstLineChars="100"/>
              <w:rPr>
                <w:rFonts w:ascii="宋体" w:hAnsi="宋体" w:eastAsia="宋体" w:cs="宋体"/>
                <w:color w:val="auto"/>
                <w:szCs w:val="21"/>
              </w:rPr>
            </w:pPr>
            <w:r>
              <w:rPr>
                <w:rFonts w:hint="eastAsia" w:ascii="宋体" w:hAnsi="宋体" w:eastAsia="宋体" w:cs="宋体"/>
                <w:color w:val="auto"/>
                <w:szCs w:val="21"/>
              </w:rPr>
              <w:t>(8)一份投标文件应只有一个投标报价，在招标文件没有规定的情况下，未提交选择性报价。</w:t>
            </w:r>
          </w:p>
        </w:tc>
      </w:tr>
    </w:tbl>
    <w:p>
      <w:pPr>
        <w:jc w:val="right"/>
        <w:rPr>
          <w:rFonts w:hint="eastAsia" w:ascii="宋体" w:hAnsi="宋体" w:eastAsia="宋体" w:cs="宋体"/>
          <w:color w:val="auto"/>
          <w:szCs w:val="21"/>
        </w:rPr>
      </w:pPr>
    </w:p>
    <w:p>
      <w:pPr>
        <w:jc w:val="right"/>
        <w:rPr>
          <w:rFonts w:hint="eastAsia" w:ascii="宋体" w:hAnsi="宋体" w:eastAsia="宋体" w:cs="宋体"/>
          <w:color w:val="auto"/>
          <w:szCs w:val="21"/>
        </w:rPr>
      </w:pPr>
      <w:r>
        <w:rPr>
          <w:rFonts w:hint="eastAsia" w:ascii="宋体" w:hAnsi="宋体" w:eastAsia="宋体" w:cs="宋体"/>
          <w:color w:val="auto"/>
          <w:szCs w:val="21"/>
        </w:rPr>
        <w:br w:type="page"/>
      </w:r>
      <w:r>
        <w:rPr>
          <w:rFonts w:hint="eastAsia" w:ascii="宋体" w:hAnsi="宋体" w:eastAsia="宋体" w:cs="宋体"/>
          <w:color w:val="auto"/>
          <w:szCs w:val="21"/>
        </w:rPr>
        <w:t>续上表</w:t>
      </w:r>
    </w:p>
    <w:tbl>
      <w:tblPr>
        <w:tblStyle w:val="5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57"/>
        <w:gridCol w:w="1030"/>
        <w:gridCol w:w="773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3" w:hRule="atLeast"/>
          <w:jc w:val="center"/>
        </w:trPr>
        <w:tc>
          <w:tcPr>
            <w:tcW w:w="1787" w:type="dxa"/>
            <w:gridSpan w:val="2"/>
            <w:tcBorders>
              <w:top w:val="single" w:color="000000" w:sz="12" w:space="0"/>
              <w:left w:val="single" w:color="000000" w:sz="12" w:space="0"/>
              <w:bottom w:val="single" w:color="000000" w:sz="6" w:space="0"/>
              <w:right w:val="single" w:color="000000" w:sz="6"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条款号</w:t>
            </w:r>
          </w:p>
        </w:tc>
        <w:tc>
          <w:tcPr>
            <w:tcW w:w="7734" w:type="dxa"/>
            <w:tcBorders>
              <w:top w:val="single" w:color="000000" w:sz="12" w:space="0"/>
              <w:left w:val="single" w:color="000000" w:sz="6" w:space="0"/>
              <w:bottom w:val="single" w:color="000000" w:sz="6" w:space="0"/>
              <w:right w:val="single" w:color="000000" w:sz="12"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757" w:type="dxa"/>
            <w:tcBorders>
              <w:top w:val="single" w:color="000000" w:sz="6" w:space="0"/>
              <w:left w:val="single" w:color="000000" w:sz="12" w:space="0"/>
              <w:bottom w:val="single" w:color="000000" w:sz="6" w:space="0"/>
              <w:right w:val="single" w:color="000000"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2.1.1</w:t>
            </w:r>
          </w:p>
          <w:p>
            <w:pPr>
              <w:jc w:val="center"/>
              <w:rPr>
                <w:rFonts w:ascii="宋体" w:hAnsi="宋体" w:eastAsia="宋体" w:cs="宋体"/>
                <w:color w:val="auto"/>
                <w:szCs w:val="21"/>
              </w:rPr>
            </w:pPr>
            <w:r>
              <w:rPr>
                <w:rFonts w:hint="eastAsia" w:ascii="宋体" w:hAnsi="宋体" w:eastAsia="宋体" w:cs="宋体"/>
                <w:color w:val="auto"/>
                <w:szCs w:val="21"/>
              </w:rPr>
              <w:t>2.1.3</w:t>
            </w:r>
          </w:p>
        </w:tc>
        <w:tc>
          <w:tcPr>
            <w:tcW w:w="1030" w:type="dxa"/>
            <w:tcBorders>
              <w:top w:val="single" w:color="000000" w:sz="6" w:space="0"/>
              <w:left w:val="single" w:color="000000" w:sz="6" w:space="0"/>
              <w:bottom w:val="single" w:color="000000" w:sz="6" w:space="0"/>
              <w:right w:val="single" w:color="000000" w:sz="6" w:space="0"/>
            </w:tcBorders>
            <w:vAlign w:val="center"/>
          </w:tcPr>
          <w:p>
            <w:pPr>
              <w:snapToGrid w:val="0"/>
              <w:ind w:left="113" w:right="113" w:firstLine="210" w:firstLineChars="100"/>
              <w:contextualSpacing/>
              <w:rPr>
                <w:rFonts w:ascii="宋体" w:hAnsi="宋体" w:eastAsia="宋体" w:cs="宋体"/>
                <w:color w:val="auto"/>
                <w:szCs w:val="21"/>
              </w:rPr>
            </w:pPr>
            <w:r>
              <w:rPr>
                <w:rFonts w:hint="eastAsia" w:ascii="宋体" w:hAnsi="宋体" w:eastAsia="宋体" w:cs="宋体"/>
                <w:color w:val="auto"/>
                <w:szCs w:val="21"/>
              </w:rPr>
              <w:t>形式评审与响应性评审标准</w:t>
            </w:r>
          </w:p>
        </w:tc>
        <w:tc>
          <w:tcPr>
            <w:tcW w:w="7734" w:type="dxa"/>
            <w:tcBorders>
              <w:top w:val="single" w:color="000000" w:sz="6" w:space="0"/>
              <w:left w:val="single" w:color="000000" w:sz="6" w:space="0"/>
              <w:bottom w:val="single" w:color="000000" w:sz="6" w:space="0"/>
              <w:right w:val="single" w:color="000000" w:sz="12" w:space="0"/>
            </w:tcBorders>
            <w:vAlign w:val="center"/>
          </w:tcPr>
          <w:p>
            <w:pPr>
              <w:spacing w:line="280" w:lineRule="exact"/>
              <w:ind w:left="113" w:right="113" w:firstLine="210" w:firstLineChars="100"/>
              <w:rPr>
                <w:rFonts w:ascii="宋体" w:hAnsi="宋体" w:eastAsia="宋体" w:cs="宋体"/>
                <w:color w:val="auto"/>
                <w:szCs w:val="21"/>
              </w:rPr>
            </w:pPr>
            <w:r>
              <w:rPr>
                <w:rFonts w:hint="eastAsia" w:ascii="宋体" w:hAnsi="宋体" w:eastAsia="宋体" w:cs="宋体"/>
                <w:color w:val="auto"/>
                <w:szCs w:val="21"/>
              </w:rPr>
              <w:t>(9) 投标人未提交调价函。</w:t>
            </w:r>
          </w:p>
          <w:p>
            <w:pPr>
              <w:spacing w:line="320" w:lineRule="exact"/>
              <w:rPr>
                <w:rFonts w:hint="eastAsia" w:ascii="宋体" w:hAnsi="宋体" w:eastAsia="宋体" w:cs="宋体"/>
                <w:color w:val="auto"/>
                <w:spacing w:val="-7"/>
                <w:szCs w:val="21"/>
              </w:rPr>
            </w:pPr>
            <w:r>
              <w:rPr>
                <w:rFonts w:hint="eastAsia" w:ascii="宋体" w:hAnsi="宋体" w:eastAsia="宋体" w:cs="宋体"/>
                <w:color w:val="auto"/>
                <w:spacing w:val="-7"/>
                <w:szCs w:val="21"/>
              </w:rPr>
              <w:t>（10）投标文件载明的招标项目完成期限不得超过招标文件规定的时限。</w:t>
            </w:r>
          </w:p>
          <w:p>
            <w:pPr>
              <w:spacing w:line="320" w:lineRule="exact"/>
              <w:rPr>
                <w:rFonts w:hint="eastAsia" w:ascii="宋体" w:hAnsi="宋体" w:eastAsia="宋体" w:cs="宋体"/>
                <w:color w:val="auto"/>
                <w:szCs w:val="21"/>
              </w:rPr>
            </w:pPr>
            <w:r>
              <w:rPr>
                <w:rFonts w:hint="eastAsia" w:ascii="宋体" w:hAnsi="宋体" w:eastAsia="宋体" w:cs="宋体"/>
                <w:color w:val="auto"/>
                <w:szCs w:val="21"/>
              </w:rPr>
              <w:t>（11）投标文件未附有发包人不能接受的条件。</w:t>
            </w:r>
          </w:p>
          <w:p>
            <w:pPr>
              <w:spacing w:line="320" w:lineRule="exact"/>
              <w:rPr>
                <w:rFonts w:hint="eastAsia" w:ascii="宋体" w:hAnsi="宋体" w:eastAsia="宋体" w:cs="宋体"/>
                <w:color w:val="auto"/>
                <w:szCs w:val="21"/>
              </w:rPr>
            </w:pPr>
            <w:r>
              <w:rPr>
                <w:rFonts w:hint="eastAsia" w:ascii="宋体" w:hAnsi="宋体" w:eastAsia="宋体" w:cs="宋体"/>
                <w:color w:val="auto"/>
                <w:szCs w:val="21"/>
              </w:rPr>
              <w:t>（12）权利义务符合招标文件规定：</w:t>
            </w:r>
          </w:p>
          <w:p>
            <w:pPr>
              <w:spacing w:line="32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a. 投标人应接受招标文件规定的风险划分原则，未提出新的风险划分办法；</w:t>
            </w:r>
          </w:p>
          <w:p>
            <w:pPr>
              <w:spacing w:line="32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b. 投标人未增加发包人的责任范围，或减少投标人义务；</w:t>
            </w:r>
          </w:p>
          <w:p>
            <w:pPr>
              <w:spacing w:line="32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c．投标人未提出不同的工程验收、计量、支付办法；</w:t>
            </w:r>
          </w:p>
          <w:p>
            <w:pPr>
              <w:spacing w:line="32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d．投标人对合同纠纷、事故处理办法未提出异议；</w:t>
            </w:r>
          </w:p>
          <w:p>
            <w:pPr>
              <w:spacing w:line="32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e．投标人在投标活动中无欺诈行为；</w:t>
            </w:r>
          </w:p>
          <w:p>
            <w:pPr>
              <w:spacing w:line="32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f．投标人未对合同条款有重要保留。</w:t>
            </w:r>
          </w:p>
          <w:p>
            <w:pPr>
              <w:spacing w:line="320" w:lineRule="exact"/>
              <w:rPr>
                <w:rFonts w:hint="eastAsia" w:ascii="宋体" w:hAnsi="宋体" w:eastAsia="宋体" w:cs="宋体"/>
                <w:color w:val="auto"/>
                <w:szCs w:val="21"/>
              </w:rPr>
            </w:pPr>
            <w:r>
              <w:rPr>
                <w:rFonts w:hint="eastAsia" w:ascii="宋体" w:hAnsi="宋体" w:eastAsia="宋体" w:cs="宋体"/>
                <w:color w:val="auto"/>
                <w:szCs w:val="21"/>
              </w:rPr>
              <w:t>（13）投标人承诺的质量目标符合招标文件规定，承诺的质量检验标准不低于国家强制性标准要求；</w:t>
            </w:r>
          </w:p>
          <w:p>
            <w:pPr>
              <w:spacing w:line="320" w:lineRule="exact"/>
              <w:rPr>
                <w:rFonts w:hint="eastAsia" w:ascii="宋体" w:hAnsi="宋体" w:eastAsia="宋体" w:cs="宋体"/>
                <w:color w:val="auto"/>
                <w:szCs w:val="21"/>
              </w:rPr>
            </w:pPr>
            <w:r>
              <w:rPr>
                <w:rFonts w:hint="eastAsia" w:ascii="宋体" w:hAnsi="宋体" w:eastAsia="宋体" w:cs="宋体"/>
                <w:color w:val="auto"/>
                <w:szCs w:val="21"/>
              </w:rPr>
              <w:t>（14）人员、履约信誉证明材料真实；</w:t>
            </w:r>
          </w:p>
          <w:p>
            <w:pPr>
              <w:spacing w:line="320" w:lineRule="exact"/>
              <w:rPr>
                <w:rFonts w:ascii="宋体" w:hAnsi="宋体" w:eastAsia="宋体" w:cs="宋体"/>
                <w:color w:val="auto"/>
                <w:spacing w:val="-8"/>
                <w:szCs w:val="21"/>
              </w:rPr>
            </w:pPr>
            <w:r>
              <w:rPr>
                <w:rFonts w:hint="eastAsia" w:ascii="宋体" w:hAnsi="宋体" w:eastAsia="宋体" w:cs="宋体"/>
                <w:color w:val="auto"/>
                <w:spacing w:val="-8"/>
                <w:szCs w:val="21"/>
              </w:rPr>
              <w:t>（15）未发生“投标人须知”第5.2.2项规定当场宣布为否决投标情况；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21" w:hRule="atLeast"/>
          <w:jc w:val="center"/>
        </w:trPr>
        <w:tc>
          <w:tcPr>
            <w:tcW w:w="757" w:type="dxa"/>
            <w:tcBorders>
              <w:top w:val="single" w:color="000000" w:sz="6" w:space="0"/>
              <w:left w:val="single" w:color="000000" w:sz="12" w:space="0"/>
              <w:bottom w:val="single" w:color="000000" w:sz="12" w:space="0"/>
              <w:right w:val="single" w:color="000000" w:sz="6" w:space="0"/>
            </w:tcBorders>
            <w:vAlign w:val="center"/>
          </w:tcPr>
          <w:p>
            <w:pPr>
              <w:spacing w:line="300" w:lineRule="exact"/>
              <w:jc w:val="center"/>
              <w:rPr>
                <w:rFonts w:ascii="宋体" w:hAnsi="宋体" w:eastAsia="宋体" w:cs="宋体"/>
                <w:color w:val="auto"/>
                <w:szCs w:val="21"/>
              </w:rPr>
            </w:pPr>
            <w:r>
              <w:rPr>
                <w:rFonts w:hint="eastAsia" w:ascii="宋体" w:hAnsi="宋体" w:eastAsia="宋体" w:cs="宋体"/>
                <w:color w:val="auto"/>
                <w:szCs w:val="21"/>
              </w:rPr>
              <w:t>2.1.2</w:t>
            </w:r>
          </w:p>
        </w:tc>
        <w:tc>
          <w:tcPr>
            <w:tcW w:w="1030" w:type="dxa"/>
            <w:tcBorders>
              <w:top w:val="single" w:color="000000" w:sz="6" w:space="0"/>
              <w:left w:val="single" w:color="000000" w:sz="6" w:space="0"/>
              <w:bottom w:val="single" w:color="000000" w:sz="12" w:space="0"/>
              <w:right w:val="single" w:color="000000" w:sz="6" w:space="0"/>
            </w:tcBorders>
            <w:vAlign w:val="center"/>
          </w:tcPr>
          <w:p>
            <w:pPr>
              <w:spacing w:line="300" w:lineRule="exact"/>
              <w:ind w:left="113" w:right="113"/>
              <w:rPr>
                <w:rFonts w:ascii="宋体" w:hAnsi="宋体" w:eastAsia="宋体" w:cs="宋体"/>
                <w:color w:val="auto"/>
                <w:szCs w:val="21"/>
              </w:rPr>
            </w:pPr>
            <w:r>
              <w:rPr>
                <w:rFonts w:hint="eastAsia" w:ascii="宋体" w:hAnsi="宋体" w:eastAsia="宋体" w:cs="宋体"/>
                <w:color w:val="auto"/>
                <w:szCs w:val="21"/>
              </w:rPr>
              <w:t>资格评审标准</w:t>
            </w:r>
          </w:p>
        </w:tc>
        <w:tc>
          <w:tcPr>
            <w:tcW w:w="7734" w:type="dxa"/>
            <w:tcBorders>
              <w:top w:val="single" w:color="000000" w:sz="6" w:space="0"/>
              <w:left w:val="single" w:color="000000" w:sz="6" w:space="0"/>
              <w:bottom w:val="single" w:color="000000" w:sz="12" w:space="0"/>
              <w:right w:val="single" w:color="000000" w:sz="12" w:space="0"/>
            </w:tcBorders>
            <w:vAlign w:val="center"/>
          </w:tcPr>
          <w:p>
            <w:pPr>
              <w:spacing w:line="300" w:lineRule="exact"/>
              <w:ind w:left="113" w:right="113" w:firstLine="210" w:firstLineChars="100"/>
              <w:rPr>
                <w:rFonts w:ascii="宋体" w:hAnsi="宋体" w:eastAsia="宋体" w:cs="宋体"/>
                <w:color w:val="auto"/>
                <w:szCs w:val="21"/>
              </w:rPr>
            </w:pPr>
            <w:r>
              <w:rPr>
                <w:rFonts w:hint="eastAsia" w:ascii="宋体" w:hAnsi="宋体" w:eastAsia="宋体" w:cs="宋体"/>
                <w:color w:val="auto"/>
                <w:szCs w:val="21"/>
              </w:rPr>
              <w:t>(1) 投标人具备有效的营业执照、资质证书和安全生产许可证和基本账户开户许可证；</w:t>
            </w:r>
          </w:p>
          <w:p>
            <w:pPr>
              <w:spacing w:line="30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(2) 投标人的资质条件符合招标文件规定；</w:t>
            </w:r>
          </w:p>
          <w:p>
            <w:pPr>
              <w:spacing w:line="30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(3) 投标人的财务状况符合招标文件规定；</w:t>
            </w:r>
          </w:p>
          <w:p>
            <w:pPr>
              <w:spacing w:line="30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(4) 投标人的信誉符合招标文件规定；</w:t>
            </w:r>
          </w:p>
          <w:p>
            <w:pPr>
              <w:spacing w:line="30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(5) 投标人的项目经理和项目总工资格符合招标文件规定，并在“拟委任的项目经理和项目总工资历表”后附：</w:t>
            </w:r>
          </w:p>
          <w:p>
            <w:pPr>
              <w:spacing w:line="3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a.项目经理和项目总工的身份证（第二代身份证须双面复印）、职称资格证书、安全生产考核合格证书（B证）；</w:t>
            </w:r>
          </w:p>
          <w:p>
            <w:pPr>
              <w:spacing w:line="3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b.项目经理以及项目总工的安全生产考核合格证书中的聘用企业名称应与投标人名称一致，否则资格审查不予通过。</w:t>
            </w:r>
          </w:p>
          <w:p>
            <w:pPr>
              <w:spacing w:line="30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c.拟委任的项目经理若曾在其他在建合同工程中担任项目经理但已进行更换的，应附项目发包人的同意更换证明材料，否则更换前后的项目经理均视为有“在建合同工程”；</w:t>
            </w:r>
          </w:p>
          <w:p>
            <w:pPr>
              <w:spacing w:line="300" w:lineRule="exact"/>
              <w:ind w:left="113" w:right="113" w:firstLine="210" w:firstLineChars="100"/>
              <w:rPr>
                <w:rFonts w:hint="eastAsia" w:ascii="宋体" w:hAnsi="宋体" w:eastAsia="宋体" w:cs="宋体"/>
                <w:color w:val="auto"/>
                <w:szCs w:val="21"/>
              </w:rPr>
            </w:pPr>
            <w:r>
              <w:rPr>
                <w:rFonts w:hint="eastAsia" w:ascii="宋体" w:hAnsi="宋体" w:eastAsia="宋体" w:cs="宋体"/>
                <w:color w:val="auto"/>
                <w:szCs w:val="21"/>
              </w:rPr>
              <w:t>(6) 投标人的其他要求符合招标文件规定；</w:t>
            </w:r>
          </w:p>
          <w:p>
            <w:pPr>
              <w:spacing w:line="300" w:lineRule="exact"/>
              <w:ind w:left="113" w:right="113" w:firstLine="210" w:firstLineChars="100"/>
              <w:rPr>
                <w:rFonts w:ascii="宋体" w:hAnsi="宋体" w:eastAsia="宋体" w:cs="宋体"/>
                <w:color w:val="auto"/>
                <w:szCs w:val="21"/>
              </w:rPr>
            </w:pPr>
            <w:r>
              <w:rPr>
                <w:rFonts w:hint="eastAsia" w:ascii="宋体" w:hAnsi="宋体" w:eastAsia="宋体" w:cs="宋体"/>
                <w:color w:val="auto"/>
                <w:szCs w:val="21"/>
              </w:rPr>
              <w:t>(7) 投标人不存在第二章“投标人须知”第 1.4.3 项规定的任何一种情形；</w:t>
            </w:r>
          </w:p>
        </w:tc>
      </w:tr>
    </w:tbl>
    <w:p>
      <w:pPr>
        <w:jc w:val="right"/>
        <w:rPr>
          <w:rFonts w:hint="eastAsia" w:ascii="宋体" w:hAnsi="宋体" w:eastAsia="宋体" w:cs="宋体"/>
          <w:color w:val="auto"/>
          <w:sz w:val="24"/>
        </w:rPr>
      </w:pPr>
      <w:r>
        <w:rPr>
          <w:rFonts w:hint="eastAsia" w:ascii="宋体" w:hAnsi="宋体" w:eastAsia="宋体" w:cs="宋体"/>
          <w:color w:val="auto"/>
          <w:sz w:val="24"/>
        </w:rPr>
        <w:t xml:space="preserve">     </w:t>
      </w:r>
    </w:p>
    <w:p>
      <w:pPr>
        <w:jc w:val="right"/>
        <w:rPr>
          <w:rFonts w:hint="eastAsia" w:ascii="宋体" w:hAnsi="宋体" w:eastAsia="宋体" w:cs="宋体"/>
          <w:color w:val="auto"/>
          <w:sz w:val="24"/>
        </w:rPr>
      </w:pPr>
      <w:r>
        <w:rPr>
          <w:rFonts w:hint="eastAsia" w:ascii="宋体" w:hAnsi="宋体" w:eastAsia="宋体" w:cs="宋体"/>
          <w:color w:val="auto"/>
          <w:sz w:val="24"/>
        </w:rPr>
        <w:br w:type="page"/>
      </w:r>
      <w:r>
        <w:rPr>
          <w:rFonts w:hint="eastAsia" w:ascii="宋体" w:hAnsi="宋体" w:eastAsia="宋体" w:cs="宋体"/>
          <w:color w:val="auto"/>
          <w:szCs w:val="21"/>
        </w:rPr>
        <w:t>续上表</w:t>
      </w:r>
    </w:p>
    <w:tbl>
      <w:tblPr>
        <w:tblStyle w:val="5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38"/>
        <w:gridCol w:w="1621"/>
        <w:gridCol w:w="641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238" w:type="dxa"/>
            <w:tcBorders>
              <w:top w:val="single" w:color="000000" w:sz="12" w:space="0"/>
              <w:left w:val="single" w:color="000000" w:sz="12" w:space="0"/>
              <w:bottom w:val="single" w:color="000000" w:sz="6" w:space="0"/>
              <w:right w:val="single" w:color="000000" w:sz="6" w:space="0"/>
            </w:tcBorders>
            <w:vAlign w:val="center"/>
          </w:tcPr>
          <w:p>
            <w:pPr>
              <w:spacing w:line="300" w:lineRule="exact"/>
              <w:ind w:right="113"/>
              <w:jc w:val="center"/>
              <w:rPr>
                <w:rFonts w:ascii="宋体" w:hAnsi="宋体" w:eastAsia="宋体" w:cs="宋体"/>
                <w:b/>
                <w:color w:val="auto"/>
                <w:szCs w:val="21"/>
              </w:rPr>
            </w:pPr>
          </w:p>
          <w:p>
            <w:pPr>
              <w:spacing w:line="300" w:lineRule="exact"/>
              <w:ind w:right="113"/>
              <w:jc w:val="center"/>
              <w:rPr>
                <w:rFonts w:hint="eastAsia" w:ascii="宋体" w:hAnsi="宋体" w:eastAsia="宋体" w:cs="宋体"/>
                <w:b/>
                <w:color w:val="auto"/>
                <w:szCs w:val="21"/>
              </w:rPr>
            </w:pPr>
            <w:r>
              <w:rPr>
                <w:rFonts w:hint="eastAsia" w:ascii="宋体" w:hAnsi="宋体" w:eastAsia="宋体" w:cs="宋体"/>
                <w:b/>
                <w:color w:val="auto"/>
                <w:szCs w:val="21"/>
              </w:rPr>
              <w:t>条款号</w:t>
            </w:r>
          </w:p>
          <w:p>
            <w:pPr>
              <w:spacing w:line="300" w:lineRule="exact"/>
              <w:ind w:right="113"/>
              <w:jc w:val="center"/>
              <w:rPr>
                <w:rFonts w:ascii="宋体" w:hAnsi="宋体" w:eastAsia="宋体" w:cs="宋体"/>
                <w:b/>
                <w:color w:val="auto"/>
                <w:szCs w:val="21"/>
              </w:rPr>
            </w:pPr>
          </w:p>
        </w:tc>
        <w:tc>
          <w:tcPr>
            <w:tcW w:w="1621" w:type="dxa"/>
            <w:tcBorders>
              <w:top w:val="single" w:color="000000" w:sz="12" w:space="0"/>
              <w:left w:val="single" w:color="000000" w:sz="6" w:space="0"/>
              <w:bottom w:val="single" w:color="000000" w:sz="6" w:space="0"/>
              <w:right w:val="single" w:color="000000" w:sz="6" w:space="0"/>
            </w:tcBorders>
            <w:vAlign w:val="center"/>
          </w:tcPr>
          <w:p>
            <w:pPr>
              <w:spacing w:line="300" w:lineRule="exact"/>
              <w:ind w:right="113"/>
              <w:jc w:val="center"/>
              <w:rPr>
                <w:rFonts w:ascii="宋体" w:hAnsi="宋体" w:eastAsia="宋体" w:cs="宋体"/>
                <w:b/>
                <w:color w:val="auto"/>
                <w:szCs w:val="21"/>
              </w:rPr>
            </w:pPr>
            <w:r>
              <w:rPr>
                <w:rFonts w:hint="eastAsia" w:ascii="宋体" w:hAnsi="宋体" w:eastAsia="宋体" w:cs="宋体"/>
                <w:b/>
                <w:color w:val="auto"/>
                <w:szCs w:val="21"/>
              </w:rPr>
              <w:t>条款内容</w:t>
            </w:r>
          </w:p>
        </w:tc>
        <w:tc>
          <w:tcPr>
            <w:tcW w:w="6411" w:type="dxa"/>
            <w:tcBorders>
              <w:top w:val="single" w:color="000000" w:sz="12" w:space="0"/>
              <w:left w:val="single" w:color="000000" w:sz="6" w:space="0"/>
              <w:bottom w:val="single" w:color="000000" w:sz="6" w:space="0"/>
              <w:right w:val="single" w:color="000000" w:sz="12" w:space="0"/>
            </w:tcBorders>
            <w:vAlign w:val="center"/>
          </w:tcPr>
          <w:p>
            <w:pPr>
              <w:spacing w:line="300" w:lineRule="exact"/>
              <w:ind w:right="113"/>
              <w:jc w:val="center"/>
              <w:rPr>
                <w:rFonts w:ascii="宋体" w:hAnsi="宋体" w:eastAsia="宋体" w:cs="宋体"/>
                <w:b/>
                <w:color w:val="auto"/>
                <w:szCs w:val="21"/>
              </w:rPr>
            </w:pPr>
            <w:r>
              <w:rPr>
                <w:rFonts w:hint="eastAsia" w:ascii="宋体" w:hAnsi="宋体" w:eastAsia="宋体" w:cs="宋体"/>
                <w:b/>
                <w:color w:val="auto"/>
                <w:szCs w:val="21"/>
              </w:rPr>
              <w:t>编 列 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238" w:type="dxa"/>
            <w:tcBorders>
              <w:top w:val="single" w:color="000000" w:sz="6" w:space="0"/>
              <w:left w:val="single" w:color="000000" w:sz="12" w:space="0"/>
              <w:bottom w:val="single" w:color="000000" w:sz="6" w:space="0"/>
              <w:right w:val="single" w:color="000000" w:sz="6" w:space="0"/>
            </w:tcBorders>
            <w:vAlign w:val="center"/>
          </w:tcPr>
          <w:p>
            <w:pPr>
              <w:spacing w:line="300" w:lineRule="exact"/>
              <w:ind w:right="113"/>
              <w:jc w:val="center"/>
              <w:rPr>
                <w:rFonts w:ascii="宋体" w:hAnsi="宋体" w:eastAsia="宋体" w:cs="宋体"/>
                <w:color w:val="auto"/>
                <w:szCs w:val="21"/>
              </w:rPr>
            </w:pPr>
            <w:r>
              <w:rPr>
                <w:rFonts w:hint="eastAsia" w:ascii="宋体" w:hAnsi="宋体" w:eastAsia="宋体" w:cs="宋体"/>
                <w:color w:val="auto"/>
                <w:szCs w:val="21"/>
              </w:rPr>
              <w:t>2.2.1</w:t>
            </w:r>
          </w:p>
        </w:tc>
        <w:tc>
          <w:tcPr>
            <w:tcW w:w="1621"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3"/>
              <w:jc w:val="center"/>
              <w:rPr>
                <w:rFonts w:ascii="宋体" w:hAnsi="宋体" w:eastAsia="宋体" w:cs="宋体"/>
                <w:color w:val="auto"/>
                <w:szCs w:val="21"/>
              </w:rPr>
            </w:pPr>
            <w:r>
              <w:rPr>
                <w:rFonts w:hint="eastAsia" w:ascii="宋体" w:hAnsi="宋体" w:eastAsia="宋体" w:cs="宋体"/>
                <w:color w:val="auto"/>
                <w:szCs w:val="21"/>
              </w:rPr>
              <w:t>分值构成</w:t>
            </w:r>
          </w:p>
          <w:p>
            <w:pPr>
              <w:spacing w:line="300" w:lineRule="exact"/>
              <w:ind w:right="113"/>
              <w:jc w:val="center"/>
              <w:rPr>
                <w:rFonts w:ascii="宋体" w:hAnsi="宋体" w:eastAsia="宋体" w:cs="宋体"/>
                <w:color w:val="auto"/>
                <w:szCs w:val="21"/>
              </w:rPr>
            </w:pPr>
            <w:r>
              <w:rPr>
                <w:rFonts w:hint="eastAsia" w:ascii="宋体" w:hAnsi="宋体" w:eastAsia="宋体" w:cs="宋体"/>
                <w:color w:val="auto"/>
                <w:szCs w:val="21"/>
              </w:rPr>
              <w:t>（总分100分）</w:t>
            </w:r>
          </w:p>
        </w:tc>
        <w:tc>
          <w:tcPr>
            <w:tcW w:w="6411" w:type="dxa"/>
            <w:tcBorders>
              <w:top w:val="single" w:color="000000" w:sz="6" w:space="0"/>
              <w:left w:val="single" w:color="000000" w:sz="6" w:space="0"/>
              <w:bottom w:val="single" w:color="000000" w:sz="6" w:space="0"/>
              <w:right w:val="single" w:color="000000" w:sz="12" w:space="0"/>
            </w:tcBorders>
            <w:vAlign w:val="center"/>
          </w:tcPr>
          <w:p>
            <w:pPr>
              <w:spacing w:line="300" w:lineRule="exact"/>
              <w:ind w:left="113" w:right="113" w:firstLine="210" w:firstLineChars="100"/>
              <w:rPr>
                <w:rFonts w:ascii="宋体" w:hAnsi="宋体" w:eastAsia="宋体" w:cs="宋体"/>
                <w:color w:val="auto"/>
                <w:szCs w:val="21"/>
              </w:rPr>
            </w:pPr>
            <w:r>
              <w:rPr>
                <w:rFonts w:hint="eastAsia" w:ascii="宋体" w:hAnsi="宋体" w:eastAsia="宋体" w:cs="宋体"/>
                <w:color w:val="auto"/>
                <w:szCs w:val="21"/>
              </w:rPr>
              <w:t>评标价：100分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238" w:type="dxa"/>
            <w:tcBorders>
              <w:top w:val="single" w:color="000000" w:sz="6" w:space="0"/>
              <w:left w:val="single" w:color="000000" w:sz="12" w:space="0"/>
              <w:bottom w:val="single" w:color="000000" w:sz="12" w:space="0"/>
              <w:right w:val="single" w:color="000000" w:sz="6" w:space="0"/>
            </w:tcBorders>
            <w:vAlign w:val="center"/>
          </w:tcPr>
          <w:p>
            <w:pPr>
              <w:spacing w:line="300" w:lineRule="exact"/>
              <w:ind w:right="113"/>
              <w:jc w:val="center"/>
              <w:rPr>
                <w:rFonts w:ascii="宋体" w:hAnsi="宋体" w:eastAsia="宋体" w:cs="宋体"/>
                <w:color w:val="auto"/>
                <w:szCs w:val="21"/>
              </w:rPr>
            </w:pPr>
            <w:r>
              <w:rPr>
                <w:rFonts w:hint="eastAsia" w:ascii="宋体" w:hAnsi="宋体" w:eastAsia="宋体" w:cs="宋体"/>
                <w:color w:val="auto"/>
                <w:szCs w:val="21"/>
              </w:rPr>
              <w:t>2.2.1</w:t>
            </w:r>
          </w:p>
        </w:tc>
        <w:tc>
          <w:tcPr>
            <w:tcW w:w="1621" w:type="dxa"/>
            <w:tcBorders>
              <w:top w:val="single" w:color="000000" w:sz="6" w:space="0"/>
              <w:left w:val="single" w:color="000000" w:sz="6" w:space="0"/>
              <w:bottom w:val="single" w:color="000000" w:sz="12" w:space="0"/>
              <w:right w:val="single" w:color="000000" w:sz="6" w:space="0"/>
            </w:tcBorders>
            <w:vAlign w:val="center"/>
          </w:tcPr>
          <w:p>
            <w:pPr>
              <w:spacing w:line="300" w:lineRule="exact"/>
              <w:ind w:left="113" w:right="113" w:firstLine="210" w:firstLineChars="100"/>
              <w:rPr>
                <w:rFonts w:ascii="宋体" w:hAnsi="宋体" w:eastAsia="宋体" w:cs="宋体"/>
                <w:color w:val="auto"/>
                <w:szCs w:val="21"/>
              </w:rPr>
            </w:pPr>
            <w:r>
              <w:rPr>
                <w:rFonts w:hint="eastAsia" w:ascii="宋体" w:hAnsi="宋体" w:eastAsia="宋体" w:cs="宋体"/>
                <w:color w:val="auto"/>
                <w:szCs w:val="21"/>
              </w:rPr>
              <w:t>评标价得分</w:t>
            </w:r>
          </w:p>
        </w:tc>
        <w:tc>
          <w:tcPr>
            <w:tcW w:w="6411" w:type="dxa"/>
            <w:tcBorders>
              <w:top w:val="single" w:color="000000" w:sz="6" w:space="0"/>
              <w:left w:val="single" w:color="000000" w:sz="6" w:space="0"/>
              <w:bottom w:val="single" w:color="000000" w:sz="12" w:space="0"/>
              <w:right w:val="single" w:color="000000" w:sz="12" w:space="0"/>
            </w:tcBorders>
            <w:vAlign w:val="center"/>
          </w:tcPr>
          <w:p>
            <w:pPr>
              <w:adjustRightInd w:val="0"/>
              <w:snapToGrid w:val="0"/>
              <w:spacing w:line="300" w:lineRule="exact"/>
              <w:ind w:firstLine="420" w:firstLineChars="200"/>
              <w:rPr>
                <w:rFonts w:ascii="宋体" w:hAnsi="宋体" w:eastAsia="宋体" w:cs="宋体"/>
                <w:color w:val="auto"/>
                <w:szCs w:val="21"/>
              </w:rPr>
            </w:pPr>
            <w:r>
              <w:rPr>
                <w:rFonts w:hint="eastAsia" w:ascii="宋体" w:hAnsi="宋体" w:eastAsia="宋体" w:cs="宋体"/>
                <w:color w:val="auto"/>
                <w:szCs w:val="21"/>
              </w:rPr>
              <w:t>一、第一阶段为初步评审。</w:t>
            </w:r>
          </w:p>
          <w:p>
            <w:pPr>
              <w:adjustRightInd w:val="0"/>
              <w:snapToGrid w:val="0"/>
              <w:spacing w:line="3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评标委员会按照招标文件载明的资格后审条款对投标人进行形式、响应性和资格审查，凡有一项不符合要求的，以无效标处理，不再进入下一阶段评审。</w:t>
            </w:r>
          </w:p>
          <w:p>
            <w:pPr>
              <w:adjustRightInd w:val="0"/>
              <w:snapToGrid w:val="0"/>
              <w:spacing w:line="3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二、第二阶段为评标价评审（100分）。</w:t>
            </w:r>
          </w:p>
          <w:p>
            <w:pPr>
              <w:adjustRightInd w:val="0"/>
              <w:snapToGrid w:val="0"/>
              <w:spacing w:line="3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1）评标标底浮动率的确定：</w:t>
            </w:r>
          </w:p>
          <w:p>
            <w:pPr>
              <w:pStyle w:val="2"/>
              <w:spacing w:line="300" w:lineRule="exact"/>
              <w:ind w:firstLine="420" w:firstLineChars="200"/>
              <w:rPr>
                <w:rFonts w:hint="eastAsia" w:ascii="宋体" w:hAnsi="宋体" w:eastAsia="宋体" w:cs="宋体"/>
                <w:color w:val="auto"/>
                <w:szCs w:val="21"/>
              </w:rPr>
            </w:pPr>
            <w:r>
              <w:rPr>
                <w:rFonts w:hint="eastAsia" w:ascii="宋体" w:hAnsi="宋体" w:eastAsia="宋体" w:cs="宋体"/>
                <w:color w:val="auto"/>
              </w:rPr>
              <w:t>开标时现场公开由招标单位代表人，在规定下浮范围内（10%～15%）按每隔0.2%的排序值分别在10.0%、10.2%、10.4%、10.6%、10.8%…14.6%、14.8%、15.0%共26个数中随机抽取3次，每次随机抽定1个数值，再取该3个数值的算术平均值作为评标标底浮动率</w:t>
            </w:r>
            <w:r>
              <w:rPr>
                <w:rFonts w:hint="eastAsia" w:ascii="宋体" w:hAnsi="宋体" w:eastAsia="宋体" w:cs="宋体"/>
                <w:color w:val="auto"/>
                <w:szCs w:val="21"/>
              </w:rPr>
              <w:t>（作为工程变更，结算依据，计算结果小数点后保留2位，第3位四舍五入）。</w:t>
            </w:r>
          </w:p>
          <w:p>
            <w:pPr>
              <w:adjustRightInd w:val="0"/>
              <w:snapToGrid w:val="0"/>
              <w:spacing w:line="3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2）评标价分值的计算：</w:t>
            </w:r>
          </w:p>
          <w:p>
            <w:pPr>
              <w:adjustRightInd w:val="0"/>
              <w:snapToGrid w:val="0"/>
              <w:spacing w:line="3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以评标标底浮动率为基础，将通过第一阶段审查合格的有效投标报价浮动率与评标标底浮动率对比，进行计分。</w:t>
            </w:r>
          </w:p>
          <w:p>
            <w:pPr>
              <w:adjustRightInd w:val="0"/>
              <w:snapToGrid w:val="0"/>
              <w:spacing w:line="3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投标报价浮动率等于评标标底浮动率时，得满分</w:t>
            </w:r>
            <w:r>
              <w:rPr>
                <w:rFonts w:hint="eastAsia" w:ascii="宋体" w:hAnsi="宋体" w:eastAsia="宋体" w:cs="宋体"/>
                <w:b/>
                <w:i/>
                <w:color w:val="auto"/>
                <w:szCs w:val="21"/>
                <w:u w:val="single"/>
              </w:rPr>
              <w:t>100</w:t>
            </w:r>
            <w:r>
              <w:rPr>
                <w:rFonts w:hint="eastAsia" w:ascii="宋体" w:hAnsi="宋体" w:eastAsia="宋体" w:cs="宋体"/>
                <w:color w:val="auto"/>
                <w:szCs w:val="21"/>
              </w:rPr>
              <w:t>分。</w:t>
            </w:r>
          </w:p>
          <w:p>
            <w:pPr>
              <w:adjustRightInd w:val="0"/>
              <w:snapToGrid w:val="0"/>
              <w:spacing w:line="3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投标报价浮动率每低于评标标底浮动率1个百分点，扣</w:t>
            </w:r>
            <w:r>
              <w:rPr>
                <w:rFonts w:hint="eastAsia" w:ascii="宋体" w:hAnsi="宋体" w:eastAsia="宋体" w:cs="宋体"/>
                <w:b/>
                <w:i/>
                <w:color w:val="auto"/>
                <w:szCs w:val="21"/>
                <w:u w:val="single"/>
              </w:rPr>
              <w:t>1.5</w:t>
            </w:r>
            <w:r>
              <w:rPr>
                <w:rFonts w:hint="eastAsia" w:ascii="宋体" w:hAnsi="宋体" w:eastAsia="宋体" w:cs="宋体"/>
                <w:color w:val="auto"/>
                <w:szCs w:val="21"/>
              </w:rPr>
              <w:t>分。</w:t>
            </w:r>
          </w:p>
          <w:p>
            <w:pPr>
              <w:tabs>
                <w:tab w:val="left" w:pos="6402"/>
              </w:tabs>
              <w:adjustRightInd w:val="0"/>
              <w:snapToGrid w:val="0"/>
              <w:spacing w:line="300" w:lineRule="exact"/>
              <w:ind w:right="168" w:rightChars="80" w:firstLine="420" w:firstLineChars="200"/>
              <w:rPr>
                <w:rFonts w:hint="eastAsia" w:ascii="宋体" w:hAnsi="宋体" w:eastAsia="宋体" w:cs="宋体"/>
                <w:color w:val="auto"/>
                <w:szCs w:val="21"/>
              </w:rPr>
            </w:pPr>
            <w:r>
              <w:rPr>
                <w:rFonts w:hint="eastAsia" w:ascii="宋体" w:hAnsi="宋体" w:eastAsia="宋体" w:cs="宋体"/>
                <w:color w:val="auto"/>
                <w:szCs w:val="21"/>
              </w:rPr>
              <w:t>投标报价浮动率每高于评标标底浮动率1个百分点，扣</w:t>
            </w:r>
            <w:r>
              <w:rPr>
                <w:rFonts w:hint="eastAsia" w:ascii="宋体" w:hAnsi="宋体" w:eastAsia="宋体" w:cs="宋体"/>
                <w:b/>
                <w:i/>
                <w:color w:val="auto"/>
                <w:szCs w:val="21"/>
                <w:u w:val="single"/>
              </w:rPr>
              <w:t>1</w:t>
            </w:r>
            <w:r>
              <w:rPr>
                <w:rFonts w:hint="eastAsia" w:ascii="宋体" w:hAnsi="宋体" w:eastAsia="宋体" w:cs="宋体"/>
                <w:color w:val="auto"/>
                <w:szCs w:val="21"/>
              </w:rPr>
              <w:t>分。</w:t>
            </w:r>
          </w:p>
          <w:p>
            <w:pPr>
              <w:adjustRightInd w:val="0"/>
              <w:snapToGrid w:val="0"/>
              <w:spacing w:line="3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评分不足1 个百分点时，使用直线插入法计算，计算公式如下（计算结果小数点后保留2位，第3位四舍五入）：</w:t>
            </w:r>
          </w:p>
          <w:p>
            <w:pPr>
              <w:adjustRightInd w:val="0"/>
              <w:snapToGrid w:val="0"/>
              <w:spacing w:before="120" w:beforeLines="50" w:after="120" w:afterLines="50" w:line="300" w:lineRule="exact"/>
              <w:jc w:val="center"/>
              <w:rPr>
                <w:rFonts w:hint="eastAsia" w:ascii="宋体" w:hAnsi="宋体" w:eastAsia="宋体" w:cs="宋体"/>
                <w:color w:val="auto"/>
                <w:szCs w:val="21"/>
              </w:rPr>
            </w:pPr>
            <w:r>
              <w:rPr>
                <w:rFonts w:hint="eastAsia" w:ascii="宋体" w:hAnsi="宋体" w:eastAsia="宋体" w:cs="宋体"/>
                <w:color w:val="auto"/>
                <w:szCs w:val="21"/>
              </w:rPr>
              <w:t>评标价分值=100－|</w:t>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EQ \F(投标报价浮动率-评标标底浮动率,评标标底浮动率) </w:instrText>
            </w:r>
            <w:r>
              <w:rPr>
                <w:rFonts w:hint="eastAsia" w:ascii="宋体" w:hAnsi="宋体" w:eastAsia="宋体" w:cs="宋体"/>
                <w:color w:val="auto"/>
                <w:szCs w:val="21"/>
              </w:rPr>
              <w:fldChar w:fldCharType="end"/>
            </w:r>
            <w:r>
              <w:rPr>
                <w:rFonts w:hint="eastAsia" w:ascii="宋体" w:hAnsi="宋体" w:eastAsia="宋体" w:cs="宋体"/>
                <w:color w:val="auto"/>
                <w:szCs w:val="21"/>
              </w:rPr>
              <w:t>|×100×扣</w:t>
            </w:r>
          </w:p>
          <w:p>
            <w:pPr>
              <w:pStyle w:val="2"/>
              <w:spacing w:line="3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分值（标准）</w:t>
            </w:r>
          </w:p>
          <w:p>
            <w:pPr>
              <w:pStyle w:val="2"/>
              <w:spacing w:line="300" w:lineRule="exact"/>
              <w:ind w:firstLine="420" w:firstLineChars="200"/>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四、投标人总得分</w:t>
            </w:r>
          </w:p>
          <w:p>
            <w:pPr>
              <w:pStyle w:val="2"/>
              <w:spacing w:line="300" w:lineRule="exact"/>
              <w:ind w:firstLine="420" w:firstLineChars="200"/>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投标人总得分=评标价得分</w:t>
            </w:r>
          </w:p>
          <w:p>
            <w:pPr>
              <w:pStyle w:val="2"/>
              <w:spacing w:line="300" w:lineRule="exact"/>
              <w:ind w:firstLine="420" w:firstLineChars="200"/>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五、中标候选人</w:t>
            </w:r>
          </w:p>
          <w:p>
            <w:pPr>
              <w:adjustRightInd w:val="0"/>
              <w:snapToGrid w:val="0"/>
              <w:spacing w:line="300" w:lineRule="exact"/>
              <w:ind w:firstLine="420" w:firstLineChars="200"/>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评标委员会按投标人总得分由高到低的顺序推荐1名中标候选人，即得分最高者为中标候选人，若出现总得分并列，以下浮数值大者为中标候选人；如均相同的，则抽签确定。</w:t>
            </w:r>
          </w:p>
          <w:p>
            <w:pPr>
              <w:adjustRightInd w:val="0"/>
              <w:snapToGrid w:val="0"/>
              <w:spacing w:line="300" w:lineRule="exact"/>
              <w:ind w:firstLine="420" w:firstLineChars="200"/>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（1）中标价（合同价）＝预算审核造价×(1－评标标底浮动率)。</w:t>
            </w:r>
          </w:p>
          <w:p>
            <w:pPr>
              <w:pStyle w:val="2"/>
              <w:spacing w:line="300" w:lineRule="exact"/>
              <w:ind w:firstLine="420" w:firstLineChars="200"/>
              <w:rPr>
                <w:rFonts w:ascii="宋体" w:hAnsi="宋体" w:eastAsia="宋体" w:cs="宋体"/>
                <w:color w:val="auto"/>
                <w:szCs w:val="21"/>
              </w:rPr>
            </w:pPr>
            <w:r>
              <w:rPr>
                <w:rFonts w:hint="eastAsia" w:ascii="宋体" w:hAnsi="宋体" w:eastAsia="宋体" w:cs="宋体"/>
                <w:color w:val="auto"/>
                <w:kern w:val="0"/>
                <w:szCs w:val="21"/>
                <w:lang w:bidi="ar"/>
              </w:rPr>
              <w:t>（2）中标人确定后，招标人不对未中标人就未能中标原因作出任何解释。</w:t>
            </w:r>
          </w:p>
        </w:tc>
      </w:tr>
    </w:tbl>
    <w:p>
      <w:pPr>
        <w:jc w:val="left"/>
        <w:rPr>
          <w:rFonts w:hint="eastAsia" w:ascii="宋体" w:hAnsi="宋体" w:eastAsia="宋体" w:cs="宋体"/>
          <w:color w:val="auto"/>
          <w:sz w:val="24"/>
        </w:rPr>
      </w:pPr>
    </w:p>
    <w:p>
      <w:pPr>
        <w:jc w:val="left"/>
        <w:rPr>
          <w:rFonts w:hint="eastAsia" w:ascii="宋体" w:hAnsi="宋体" w:eastAsia="宋体" w:cs="宋体"/>
          <w:color w:val="auto"/>
          <w:sz w:val="24"/>
        </w:rPr>
      </w:pPr>
    </w:p>
    <w:p>
      <w:pPr>
        <w:jc w:val="left"/>
        <w:rPr>
          <w:rFonts w:hint="eastAsia" w:ascii="宋体" w:hAnsi="宋体" w:eastAsia="宋体" w:cs="宋体"/>
          <w:color w:val="auto"/>
          <w:sz w:val="24"/>
        </w:rPr>
      </w:pPr>
      <w:r>
        <w:rPr>
          <w:rFonts w:hint="eastAsia" w:ascii="宋体" w:hAnsi="宋体" w:eastAsia="宋体" w:cs="宋体"/>
          <w:color w:val="auto"/>
          <w:sz w:val="24"/>
        </w:rPr>
        <w:br w:type="page"/>
      </w:r>
    </w:p>
    <w:p>
      <w:pPr>
        <w:pStyle w:val="3"/>
        <w:spacing w:before="120" w:beforeLines="50" w:after="0" w:line="400" w:lineRule="exact"/>
        <w:rPr>
          <w:rFonts w:hint="eastAsia" w:ascii="宋体" w:hAnsi="宋体"/>
          <w:color w:val="auto"/>
          <w:sz w:val="24"/>
          <w:szCs w:val="24"/>
        </w:rPr>
      </w:pPr>
      <w:bookmarkStart w:id="167" w:name="_Toc10397"/>
      <w:r>
        <w:rPr>
          <w:rFonts w:hint="eastAsia" w:ascii="宋体" w:hAnsi="宋体"/>
          <w:color w:val="auto"/>
          <w:sz w:val="24"/>
          <w:szCs w:val="24"/>
        </w:rPr>
        <w:t>1. 评标方法</w:t>
      </w:r>
      <w:bookmarkEnd w:id="167"/>
    </w:p>
    <w:p>
      <w:pPr>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本次评标采用合理区间抽取定价法。评标委员会对满足招标文件实质性要求的投标文件，按照本章第 2.2款规定的评分标准进行打分，并按评标办法前附表规定推荐中标候选人。</w:t>
      </w:r>
    </w:p>
    <w:p>
      <w:pPr>
        <w:pStyle w:val="3"/>
        <w:spacing w:before="120" w:beforeLines="50" w:after="0" w:line="400" w:lineRule="exact"/>
        <w:rPr>
          <w:rFonts w:hint="eastAsia" w:ascii="宋体" w:hAnsi="宋体"/>
          <w:color w:val="auto"/>
          <w:sz w:val="24"/>
          <w:szCs w:val="24"/>
        </w:rPr>
      </w:pPr>
      <w:bookmarkStart w:id="168" w:name="_Toc11814"/>
      <w:r>
        <w:rPr>
          <w:rFonts w:hint="eastAsia" w:ascii="宋体" w:hAnsi="宋体"/>
          <w:color w:val="auto"/>
          <w:sz w:val="24"/>
          <w:szCs w:val="24"/>
        </w:rPr>
        <w:t>2. 评审标准</w:t>
      </w:r>
      <w:bookmarkEnd w:id="168"/>
    </w:p>
    <w:p>
      <w:pPr>
        <w:pStyle w:val="3"/>
        <w:spacing w:before="0" w:after="0" w:line="400" w:lineRule="exact"/>
        <w:rPr>
          <w:rFonts w:hint="eastAsia" w:ascii="宋体" w:hAnsi="宋体"/>
          <w:color w:val="auto"/>
          <w:sz w:val="24"/>
          <w:szCs w:val="24"/>
        </w:rPr>
      </w:pPr>
      <w:bookmarkStart w:id="169" w:name="_Toc19872"/>
      <w:r>
        <w:rPr>
          <w:rFonts w:hint="eastAsia" w:ascii="宋体" w:hAnsi="宋体"/>
          <w:color w:val="auto"/>
          <w:sz w:val="24"/>
          <w:szCs w:val="24"/>
        </w:rPr>
        <w:t>2.1 初步评审标准</w:t>
      </w:r>
      <w:bookmarkEnd w:id="169"/>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2.1.1 形式评审标准：见评标办法前附表。</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2.1.2 资格评审标准：见评标办法前附表。</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2.1.3 响应性评审标准：见评标办法前附表。</w:t>
      </w:r>
    </w:p>
    <w:p>
      <w:pPr>
        <w:pStyle w:val="3"/>
        <w:spacing w:before="120" w:beforeLines="50" w:after="0" w:line="400" w:lineRule="exact"/>
        <w:rPr>
          <w:rFonts w:hint="eastAsia" w:ascii="宋体" w:hAnsi="宋体"/>
          <w:color w:val="auto"/>
          <w:sz w:val="24"/>
          <w:szCs w:val="24"/>
        </w:rPr>
      </w:pPr>
      <w:bookmarkStart w:id="170" w:name="_Toc1317"/>
      <w:r>
        <w:rPr>
          <w:rFonts w:hint="eastAsia" w:ascii="宋体" w:hAnsi="宋体"/>
          <w:color w:val="auto"/>
          <w:sz w:val="24"/>
          <w:szCs w:val="24"/>
        </w:rPr>
        <w:t>2.2 分值构成与评分标准</w:t>
      </w:r>
      <w:bookmarkEnd w:id="170"/>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2.2.1 分值构成</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(l）评标价标评审：见评标办法前附表；</w:t>
      </w:r>
    </w:p>
    <w:p>
      <w:pPr>
        <w:pStyle w:val="3"/>
        <w:spacing w:before="120" w:beforeLines="50" w:after="0" w:line="400" w:lineRule="exact"/>
        <w:rPr>
          <w:rFonts w:hint="eastAsia" w:ascii="宋体" w:hAnsi="宋体"/>
          <w:color w:val="auto"/>
          <w:sz w:val="24"/>
          <w:szCs w:val="24"/>
        </w:rPr>
      </w:pPr>
      <w:bookmarkStart w:id="171" w:name="_Toc27175"/>
      <w:r>
        <w:rPr>
          <w:rFonts w:hint="eastAsia" w:ascii="宋体" w:hAnsi="宋体"/>
          <w:color w:val="auto"/>
          <w:sz w:val="24"/>
          <w:szCs w:val="24"/>
        </w:rPr>
        <w:t>3. 评标程序</w:t>
      </w:r>
      <w:bookmarkEnd w:id="171"/>
    </w:p>
    <w:p>
      <w:pPr>
        <w:pStyle w:val="3"/>
        <w:spacing w:before="0" w:after="0" w:line="400" w:lineRule="exact"/>
        <w:rPr>
          <w:rFonts w:hint="eastAsia" w:ascii="宋体" w:hAnsi="宋体"/>
          <w:color w:val="auto"/>
          <w:sz w:val="24"/>
          <w:szCs w:val="24"/>
        </w:rPr>
      </w:pPr>
      <w:bookmarkStart w:id="172" w:name="_Toc28700"/>
      <w:r>
        <w:rPr>
          <w:rFonts w:hint="eastAsia" w:ascii="宋体" w:hAnsi="宋体"/>
          <w:color w:val="auto"/>
          <w:sz w:val="24"/>
          <w:szCs w:val="24"/>
        </w:rPr>
        <w:t>3.1 初步评审</w:t>
      </w:r>
      <w:bookmarkEnd w:id="172"/>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3.1.1 评标委员会可以要求投标人提交第二章“投标人须知”第 3.5.1 项至第 3.5.5 项规定的有关证明和证件的原件，以便核验。评标委员会依据本章第 2.1 款规定的标准对投标文件进行初步评审。有一项不符合评审标准的，作废标处理。</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3.1.2 投标人有以下情形之一的，其投标作废标处理：</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(l）第二章“投标人须知”第 1.4.3 项规定的任何一种情形的：</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(2）串通投标或弄虚作假或有其他违法行为的；</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(3）不按评标委员会要求澄清、说明或补正的;</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(4)招标文件中明确规定作废标处理其它情形；</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(5)投标文件被认定为没有实质性响应招标文件要求的。</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3.1.3 投标报价有算术错误的，评标委员会按以下原则对投标报价进行修正，修正的价格经投标人书面确认后具有约束力。投标人不接受修正价格的，其投标作废标处理，并没收其投标担保。</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 </w:t>
      </w:r>
      <w:r>
        <w:rPr>
          <w:rFonts w:hint="eastAsia" w:ascii="宋体" w:hAnsi="宋体" w:eastAsia="宋体" w:cs="宋体"/>
          <w:color w:val="auto"/>
        </w:rPr>
        <w:t>投标单位报价下浮率未按招标文件要求保留小数位数,在不影响投标总报价前提下,由评标委员会根据招标文件要求对其小数点保留位数进行修正,修正后的报价对投标人具有约束作用,投标单位拒绝修正的,其投标将被拒绝</w:t>
      </w:r>
      <w:r>
        <w:rPr>
          <w:rFonts w:hint="eastAsia" w:ascii="宋体" w:hAnsi="宋体" w:eastAsia="宋体" w:cs="宋体"/>
          <w:color w:val="auto"/>
          <w:szCs w:val="21"/>
        </w:rPr>
        <w:t>；</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 投标总价依据评标标底浮动率计算出结果不一致时，以标标底浮动率为准进行核算。</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3.1.4投标报价若超过招标人有效报价范围（如有），投标人的投标文件作废标处理。</w:t>
      </w:r>
    </w:p>
    <w:p>
      <w:pPr>
        <w:pStyle w:val="3"/>
        <w:spacing w:before="120" w:beforeLines="50" w:after="0" w:line="400" w:lineRule="exact"/>
        <w:rPr>
          <w:rFonts w:hint="eastAsia" w:ascii="宋体" w:hAnsi="宋体"/>
          <w:color w:val="auto"/>
          <w:sz w:val="24"/>
          <w:szCs w:val="24"/>
        </w:rPr>
      </w:pPr>
      <w:bookmarkStart w:id="173" w:name="_Toc30785"/>
      <w:r>
        <w:rPr>
          <w:rFonts w:hint="eastAsia" w:ascii="宋体" w:hAnsi="宋体"/>
          <w:color w:val="auto"/>
          <w:sz w:val="24"/>
          <w:szCs w:val="24"/>
        </w:rPr>
        <w:t>3.2  详细评审</w:t>
      </w:r>
      <w:bookmarkEnd w:id="173"/>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3.2.1 评标委员会按本章第 2.2.1 款规定的量化因素和分值进行打分，并计算出综合评估得分。</w:t>
      </w:r>
    </w:p>
    <w:p>
      <w:pPr>
        <w:pStyle w:val="3"/>
        <w:spacing w:before="120" w:beforeLines="50" w:after="0" w:line="400" w:lineRule="exact"/>
        <w:rPr>
          <w:rFonts w:hint="eastAsia" w:ascii="宋体" w:hAnsi="宋体"/>
          <w:color w:val="auto"/>
          <w:sz w:val="24"/>
          <w:szCs w:val="24"/>
        </w:rPr>
      </w:pPr>
      <w:bookmarkStart w:id="174" w:name="_Toc9974"/>
      <w:r>
        <w:rPr>
          <w:rFonts w:hint="eastAsia" w:ascii="宋体" w:hAnsi="宋体"/>
          <w:color w:val="auto"/>
          <w:sz w:val="24"/>
          <w:szCs w:val="24"/>
        </w:rPr>
        <w:t>3.3  投标文件的澄清和补正</w:t>
      </w:r>
      <w:bookmarkEnd w:id="174"/>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3.3.2 澄清、说明和补正不得改变投标文件的实质性内容（算术性错误修正的除外）。投标人的书面澄清、说明和补正属于投标文件的组成部分。</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3.3.4 凡超出招标文件规定的或给发包人带来未曾要求的利益的变化、偏差或其他因素在评标时不予考虑。</w:t>
      </w:r>
    </w:p>
    <w:p>
      <w:pPr>
        <w:pStyle w:val="3"/>
        <w:spacing w:before="120" w:beforeLines="50" w:after="0" w:line="400" w:lineRule="exact"/>
        <w:rPr>
          <w:rFonts w:hint="eastAsia" w:ascii="宋体" w:hAnsi="宋体"/>
          <w:color w:val="auto"/>
          <w:sz w:val="24"/>
          <w:szCs w:val="24"/>
        </w:rPr>
      </w:pPr>
      <w:bookmarkStart w:id="175" w:name="_Toc17879"/>
      <w:r>
        <w:rPr>
          <w:rFonts w:hint="eastAsia" w:ascii="宋体" w:hAnsi="宋体"/>
          <w:color w:val="auto"/>
          <w:sz w:val="24"/>
          <w:szCs w:val="24"/>
        </w:rPr>
        <w:t>3.4  评标结果</w:t>
      </w:r>
      <w:bookmarkEnd w:id="175"/>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3.4.1 除第二章“投标人须知”前附表授权直接确定中标人外，评标委员会按照得分由高到低的顺序推荐中标候选人。</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3.4.2 评标委员会完成评标后，由应当向发包人提交书面评标报告。</w:t>
      </w:r>
    </w:p>
    <w:p>
      <w:pPr>
        <w:spacing w:line="400" w:lineRule="exact"/>
        <w:ind w:firstLine="420" w:firstLineChars="200"/>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szCs w:val="21"/>
        </w:rPr>
      </w:pP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br w:type="page"/>
      </w:r>
    </w:p>
    <w:p>
      <w:pPr>
        <w:spacing w:line="400" w:lineRule="exact"/>
        <w:ind w:firstLine="480" w:firstLineChars="200"/>
        <w:rPr>
          <w:rFonts w:hint="eastAsia" w:ascii="宋体" w:hAnsi="宋体" w:eastAsia="宋体" w:cs="宋体"/>
          <w:color w:val="auto"/>
          <w:sz w:val="24"/>
        </w:rPr>
      </w:pPr>
    </w:p>
    <w:p>
      <w:pPr>
        <w:spacing w:line="400" w:lineRule="exact"/>
        <w:ind w:firstLine="480" w:firstLineChars="200"/>
        <w:rPr>
          <w:rFonts w:hint="eastAsia" w:ascii="宋体" w:hAnsi="宋体" w:eastAsia="宋体" w:cs="宋体"/>
          <w:color w:val="auto"/>
          <w:sz w:val="24"/>
        </w:rPr>
      </w:pPr>
    </w:p>
    <w:p>
      <w:pPr>
        <w:spacing w:line="400" w:lineRule="exact"/>
        <w:ind w:firstLine="480" w:firstLineChars="200"/>
        <w:rPr>
          <w:rFonts w:hint="eastAsia" w:ascii="宋体" w:hAnsi="宋体" w:eastAsia="宋体" w:cs="宋体"/>
          <w:color w:val="auto"/>
          <w:sz w:val="24"/>
        </w:rPr>
      </w:pPr>
    </w:p>
    <w:p>
      <w:pPr>
        <w:spacing w:line="400" w:lineRule="exact"/>
        <w:ind w:firstLine="480" w:firstLineChars="200"/>
        <w:rPr>
          <w:rFonts w:hint="eastAsia" w:ascii="宋体" w:hAnsi="宋体" w:eastAsia="宋体" w:cs="宋体"/>
          <w:color w:val="auto"/>
          <w:sz w:val="24"/>
        </w:rPr>
      </w:pPr>
    </w:p>
    <w:p>
      <w:pPr>
        <w:spacing w:line="400" w:lineRule="exact"/>
        <w:ind w:firstLine="480" w:firstLineChars="200"/>
        <w:rPr>
          <w:rFonts w:hint="eastAsia" w:ascii="宋体" w:hAnsi="宋体" w:eastAsia="宋体" w:cs="宋体"/>
          <w:color w:val="auto"/>
          <w:sz w:val="24"/>
        </w:rPr>
      </w:pPr>
    </w:p>
    <w:p>
      <w:pPr>
        <w:spacing w:line="400" w:lineRule="exact"/>
        <w:ind w:firstLine="480" w:firstLineChars="200"/>
        <w:rPr>
          <w:rFonts w:hint="eastAsia" w:ascii="宋体" w:hAnsi="宋体" w:eastAsia="宋体" w:cs="宋体"/>
          <w:color w:val="auto"/>
          <w:sz w:val="24"/>
        </w:rPr>
      </w:pPr>
    </w:p>
    <w:p>
      <w:pPr>
        <w:spacing w:line="400" w:lineRule="exact"/>
        <w:ind w:firstLine="480" w:firstLineChars="200"/>
        <w:rPr>
          <w:rFonts w:hint="eastAsia" w:ascii="宋体" w:hAnsi="宋体" w:eastAsia="宋体" w:cs="宋体"/>
          <w:color w:val="auto"/>
          <w:sz w:val="24"/>
        </w:rPr>
      </w:pPr>
    </w:p>
    <w:p>
      <w:pPr>
        <w:spacing w:line="400" w:lineRule="exact"/>
        <w:ind w:firstLine="480" w:firstLineChars="200"/>
        <w:rPr>
          <w:rFonts w:hint="eastAsia" w:ascii="宋体" w:hAnsi="宋体" w:eastAsia="宋体" w:cs="宋体"/>
          <w:color w:val="auto"/>
          <w:sz w:val="24"/>
        </w:rPr>
      </w:pPr>
    </w:p>
    <w:p>
      <w:pPr>
        <w:pStyle w:val="3"/>
        <w:jc w:val="center"/>
        <w:rPr>
          <w:rFonts w:hint="eastAsia" w:ascii="宋体" w:hAnsi="宋体"/>
          <w:color w:val="auto"/>
          <w:sz w:val="48"/>
          <w:szCs w:val="48"/>
        </w:rPr>
      </w:pPr>
      <w:bookmarkStart w:id="176" w:name="_Toc9957"/>
      <w:r>
        <w:rPr>
          <w:rFonts w:hint="eastAsia" w:ascii="宋体" w:hAnsi="宋体"/>
          <w:color w:val="auto"/>
          <w:sz w:val="48"/>
          <w:szCs w:val="48"/>
        </w:rPr>
        <w:t>第四章  合同条款及格式</w:t>
      </w:r>
      <w:bookmarkEnd w:id="176"/>
    </w:p>
    <w:p>
      <w:pPr>
        <w:rPr>
          <w:rFonts w:hint="eastAsia" w:ascii="宋体" w:hAnsi="宋体" w:eastAsia="宋体" w:cs="宋体"/>
          <w:color w:val="auto"/>
          <w:sz w:val="24"/>
        </w:rPr>
      </w:pPr>
    </w:p>
    <w:p>
      <w:pPr>
        <w:pStyle w:val="3"/>
        <w:spacing w:after="120" w:line="240" w:lineRule="auto"/>
        <w:jc w:val="center"/>
        <w:rPr>
          <w:rFonts w:hint="eastAsia" w:ascii="宋体" w:hAnsi="宋体"/>
          <w:color w:val="auto"/>
          <w:sz w:val="28"/>
          <w:szCs w:val="28"/>
        </w:rPr>
      </w:pPr>
      <w:r>
        <w:rPr>
          <w:rFonts w:hint="eastAsia" w:ascii="宋体" w:hAnsi="宋体"/>
          <w:b w:val="0"/>
          <w:bCs w:val="0"/>
          <w:color w:val="auto"/>
          <w:sz w:val="24"/>
        </w:rPr>
        <w:br w:type="page"/>
      </w:r>
      <w:bookmarkStart w:id="177" w:name="_Toc20123"/>
      <w:r>
        <w:rPr>
          <w:rFonts w:hint="eastAsia" w:ascii="宋体" w:hAnsi="宋体"/>
          <w:color w:val="auto"/>
          <w:sz w:val="28"/>
          <w:szCs w:val="28"/>
        </w:rPr>
        <w:t>第一节  通用合同条款</w:t>
      </w:r>
      <w:bookmarkEnd w:id="177"/>
    </w:p>
    <w:p>
      <w:pPr>
        <w:tabs>
          <w:tab w:val="left" w:pos="3193"/>
        </w:tabs>
        <w:spacing w:line="400" w:lineRule="exact"/>
        <w:ind w:firstLine="480" w:firstLineChars="200"/>
        <w:rPr>
          <w:rFonts w:hint="eastAsia" w:ascii="宋体" w:hAnsi="宋体" w:eastAsia="宋体" w:cs="宋体"/>
          <w:color w:val="auto"/>
          <w:sz w:val="24"/>
        </w:rPr>
      </w:pPr>
    </w:p>
    <w:p>
      <w:pPr>
        <w:tabs>
          <w:tab w:val="left" w:pos="3193"/>
        </w:tabs>
        <w:spacing w:line="400" w:lineRule="exact"/>
        <w:ind w:firstLine="480" w:firstLineChars="200"/>
        <w:rPr>
          <w:rFonts w:hint="eastAsia" w:ascii="宋体" w:hAnsi="宋体" w:eastAsia="宋体" w:cs="宋体"/>
          <w:color w:val="auto"/>
          <w:sz w:val="24"/>
        </w:rPr>
      </w:pPr>
    </w:p>
    <w:p>
      <w:pPr>
        <w:tabs>
          <w:tab w:val="left" w:pos="3193"/>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“通用合同条款”采用《标准施工招标文件》第四章第一节“通用合同条款”。</w:t>
      </w:r>
    </w:p>
    <w:p>
      <w:pPr>
        <w:tabs>
          <w:tab w:val="left" w:pos="3193"/>
        </w:tabs>
        <w:spacing w:line="400" w:lineRule="exact"/>
        <w:ind w:firstLine="420" w:firstLineChars="200"/>
        <w:rPr>
          <w:rFonts w:hint="eastAsia" w:ascii="宋体" w:hAnsi="宋体" w:eastAsia="宋体" w:cs="宋体"/>
          <w:color w:val="auto"/>
          <w:szCs w:val="21"/>
        </w:rPr>
      </w:pPr>
    </w:p>
    <w:p>
      <w:pPr>
        <w:tabs>
          <w:tab w:val="left" w:pos="3193"/>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br w:type="page"/>
      </w:r>
    </w:p>
    <w:p>
      <w:pPr>
        <w:pStyle w:val="3"/>
        <w:spacing w:after="120" w:line="240" w:lineRule="auto"/>
        <w:jc w:val="center"/>
        <w:rPr>
          <w:rFonts w:hint="eastAsia" w:ascii="宋体" w:hAnsi="宋体"/>
          <w:color w:val="auto"/>
          <w:sz w:val="28"/>
          <w:szCs w:val="28"/>
        </w:rPr>
      </w:pPr>
      <w:bookmarkStart w:id="178" w:name="_Toc11019"/>
      <w:r>
        <w:rPr>
          <w:rFonts w:hint="eastAsia" w:ascii="宋体" w:hAnsi="宋体"/>
          <w:color w:val="auto"/>
          <w:sz w:val="28"/>
          <w:szCs w:val="28"/>
        </w:rPr>
        <w:t>第二节 专用合同条款</w:t>
      </w:r>
      <w:bookmarkEnd w:id="178"/>
    </w:p>
    <w:p>
      <w:pPr>
        <w:ind w:left="420"/>
        <w:jc w:val="center"/>
        <w:rPr>
          <w:rFonts w:hint="eastAsia" w:ascii="宋体" w:hAnsi="宋体" w:eastAsia="宋体" w:cs="宋体"/>
          <w:color w:val="auto"/>
          <w:szCs w:val="21"/>
        </w:rPr>
      </w:pPr>
    </w:p>
    <w:p>
      <w:pPr>
        <w:ind w:left="420"/>
        <w:jc w:val="center"/>
        <w:rPr>
          <w:rFonts w:hint="eastAsia" w:ascii="宋体" w:hAnsi="宋体" w:eastAsia="宋体" w:cs="宋体"/>
          <w:color w:val="auto"/>
          <w:szCs w:val="21"/>
        </w:rPr>
      </w:pPr>
    </w:p>
    <w:p>
      <w:pPr>
        <w:ind w:left="420"/>
        <w:jc w:val="center"/>
        <w:rPr>
          <w:rFonts w:hint="eastAsia" w:ascii="宋体" w:hAnsi="宋体" w:eastAsia="宋体" w:cs="宋体"/>
          <w:color w:val="auto"/>
          <w:szCs w:val="21"/>
        </w:rPr>
      </w:pPr>
    </w:p>
    <w:p>
      <w:pPr>
        <w:ind w:left="420"/>
        <w:jc w:val="center"/>
        <w:rPr>
          <w:rFonts w:hint="eastAsia" w:ascii="宋体" w:hAnsi="宋体" w:eastAsia="宋体" w:cs="宋体"/>
          <w:color w:val="auto"/>
          <w:szCs w:val="21"/>
        </w:rPr>
      </w:pPr>
    </w:p>
    <w:p>
      <w:pPr>
        <w:ind w:left="420"/>
        <w:jc w:val="center"/>
        <w:rPr>
          <w:rFonts w:hint="eastAsia" w:ascii="宋体" w:hAnsi="宋体" w:eastAsia="宋体" w:cs="宋体"/>
          <w:color w:val="auto"/>
          <w:sz w:val="28"/>
          <w:szCs w:val="28"/>
        </w:rPr>
      </w:pPr>
      <w:r>
        <w:rPr>
          <w:rFonts w:hint="eastAsia" w:ascii="宋体" w:hAnsi="宋体" w:eastAsia="宋体" w:cs="宋体"/>
          <w:color w:val="auto"/>
          <w:sz w:val="36"/>
          <w:szCs w:val="36"/>
        </w:rPr>
        <w:br w:type="page"/>
      </w:r>
      <w:r>
        <w:rPr>
          <w:rFonts w:hint="eastAsia" w:ascii="宋体" w:hAnsi="宋体" w:eastAsia="宋体" w:cs="宋体"/>
          <w:color w:val="auto"/>
          <w:sz w:val="28"/>
          <w:szCs w:val="28"/>
        </w:rPr>
        <w:t>A．公路工程专用合同条款</w:t>
      </w:r>
    </w:p>
    <w:p>
      <w:pPr>
        <w:ind w:left="420"/>
        <w:jc w:val="center"/>
        <w:rPr>
          <w:rFonts w:hint="eastAsia" w:ascii="宋体" w:hAnsi="宋体" w:eastAsia="宋体" w:cs="宋体"/>
          <w:color w:val="auto"/>
          <w:sz w:val="36"/>
          <w:szCs w:val="36"/>
        </w:rPr>
      </w:pPr>
      <w:r>
        <w:rPr>
          <w:rFonts w:hint="eastAsia" w:ascii="宋体" w:hAnsi="宋体" w:eastAsia="宋体" w:cs="宋体"/>
          <w:color w:val="auto"/>
          <w:sz w:val="36"/>
          <w:szCs w:val="36"/>
        </w:rPr>
        <w:t xml:space="preserve"> </w:t>
      </w:r>
    </w:p>
    <w:p>
      <w:pPr>
        <w:ind w:left="420"/>
        <w:jc w:val="center"/>
        <w:rPr>
          <w:rFonts w:hint="eastAsia" w:ascii="宋体" w:hAnsi="宋体" w:eastAsia="宋体" w:cs="宋体"/>
          <w:color w:val="auto"/>
          <w:sz w:val="36"/>
          <w:szCs w:val="36"/>
        </w:rPr>
      </w:pPr>
    </w:p>
    <w:p>
      <w:pPr>
        <w:spacing w:line="360" w:lineRule="exact"/>
        <w:ind w:left="420" w:firstLine="420" w:firstLineChars="200"/>
        <w:rPr>
          <w:rFonts w:hint="eastAsia" w:ascii="宋体" w:hAnsi="宋体" w:eastAsia="宋体" w:cs="宋体"/>
          <w:color w:val="auto"/>
          <w:szCs w:val="21"/>
        </w:rPr>
      </w:pPr>
      <w:r>
        <w:rPr>
          <w:rFonts w:hint="eastAsia" w:ascii="宋体" w:hAnsi="宋体" w:eastAsia="宋体" w:cs="宋体"/>
          <w:color w:val="auto"/>
          <w:szCs w:val="21"/>
        </w:rPr>
        <w:t>“A. 公路工程专用合同条款”采用《公路工程标准施工招标文件》（上册） 第四章第二节“ A. 公路工程专用合同条款”。</w:t>
      </w:r>
    </w:p>
    <w:p>
      <w:pPr>
        <w:spacing w:line="360" w:lineRule="exact"/>
        <w:ind w:left="420"/>
        <w:jc w:val="center"/>
        <w:rPr>
          <w:rFonts w:hint="eastAsia" w:ascii="宋体" w:hAnsi="宋体" w:eastAsia="宋体" w:cs="宋体"/>
          <w:color w:val="auto"/>
          <w:szCs w:val="21"/>
        </w:rPr>
      </w:pPr>
    </w:p>
    <w:p>
      <w:pPr>
        <w:spacing w:line="360" w:lineRule="exact"/>
        <w:ind w:left="420"/>
        <w:jc w:val="center"/>
        <w:rPr>
          <w:rFonts w:hint="eastAsia" w:ascii="宋体" w:hAnsi="宋体" w:eastAsia="宋体" w:cs="宋体"/>
          <w:color w:val="auto"/>
          <w:szCs w:val="21"/>
        </w:rPr>
      </w:pPr>
    </w:p>
    <w:p>
      <w:pPr>
        <w:ind w:left="420"/>
        <w:jc w:val="center"/>
        <w:rPr>
          <w:rFonts w:hint="eastAsia" w:ascii="宋体" w:hAnsi="宋体" w:eastAsia="宋体" w:cs="宋体"/>
          <w:color w:val="auto"/>
          <w:sz w:val="28"/>
          <w:szCs w:val="28"/>
        </w:rPr>
      </w:pPr>
      <w:r>
        <w:rPr>
          <w:rFonts w:hint="eastAsia" w:ascii="宋体" w:hAnsi="宋体" w:eastAsia="宋体" w:cs="宋体"/>
          <w:color w:val="auto"/>
          <w:sz w:val="28"/>
          <w:szCs w:val="28"/>
        </w:rPr>
        <w:br w:type="page"/>
      </w:r>
      <w:r>
        <w:rPr>
          <w:rFonts w:hint="eastAsia" w:ascii="宋体" w:hAnsi="宋体" w:eastAsia="宋体" w:cs="宋体"/>
          <w:color w:val="auto"/>
          <w:sz w:val="28"/>
          <w:szCs w:val="28"/>
        </w:rPr>
        <w:t>B、项目专用合同条款</w:t>
      </w:r>
    </w:p>
    <w:p>
      <w:pPr>
        <w:spacing w:line="40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说明：</w:t>
      </w:r>
    </w:p>
    <w:p>
      <w:pPr>
        <w:rPr>
          <w:rFonts w:hint="eastAsia" w:ascii="宋体" w:hAnsi="宋体" w:eastAsia="宋体" w:cs="宋体"/>
          <w:color w:val="auto"/>
          <w:sz w:val="24"/>
        </w:rPr>
      </w:pPr>
    </w:p>
    <w:p>
      <w:pPr>
        <w:spacing w:line="4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 发包人在根据《标准施工招标文件》、《公路工程标准施工招标文件》编制项目 施工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pPr>
        <w:spacing w:line="4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 项目专用合同条款的序号应与通用合同条款和公路工程专用合同条款一致。</w:t>
      </w:r>
    </w:p>
    <w:p>
      <w:pPr>
        <w:spacing w:line="4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 项目专用合同条款可对下列内容进行补充和细化：</w:t>
      </w:r>
    </w:p>
    <w:p>
      <w:pPr>
        <w:spacing w:line="4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 “通用合同条款”中明确指出“专用合同条款”可对“通用合同条款”进行补充和细化的内容(在“通用合同条款”中用“应按合同约定”、“应按专用合同条款约定”“除合同另有约定外”、“除专用合同条款另有约定外”、“在专用合同条款中约定”等多种文字形式表达) ；</w:t>
      </w:r>
    </w:p>
    <w:p>
      <w:pPr>
        <w:spacing w:line="4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公路工程专用合同条款”中明确指出“项目专用合同条款”可对“公路工程专用合同条款”进行补充和细化的内容(在“公路工程专用合同条款”中用“除项目专用合同条款另有约定外”，“项目专用合同条款可能约定的”，“项目专用合同条款约定的其他情形”等多种文字形式表达) ；</w:t>
      </w:r>
    </w:p>
    <w:p>
      <w:pPr>
        <w:spacing w:line="4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 其他需要补充、细化的内容。</w:t>
      </w:r>
    </w:p>
    <w:p>
      <w:pPr>
        <w:spacing w:line="480" w:lineRule="exact"/>
        <w:ind w:firstLine="420" w:firstLineChars="200"/>
        <w:rPr>
          <w:rFonts w:hint="eastAsia" w:ascii="宋体" w:hAnsi="宋体" w:eastAsia="宋体" w:cs="宋体"/>
          <w:color w:val="auto"/>
          <w:szCs w:val="21"/>
        </w:rPr>
      </w:pPr>
    </w:p>
    <w:p>
      <w:pPr>
        <w:spacing w:line="480" w:lineRule="exact"/>
        <w:ind w:firstLine="420" w:firstLineChars="200"/>
        <w:rPr>
          <w:rFonts w:hint="eastAsia" w:ascii="宋体" w:hAnsi="宋体" w:eastAsia="宋体" w:cs="宋体"/>
          <w:color w:val="auto"/>
          <w:szCs w:val="21"/>
        </w:rPr>
      </w:pPr>
    </w:p>
    <w:p>
      <w:pPr>
        <w:spacing w:before="240" w:after="240"/>
        <w:jc w:val="center"/>
        <w:rPr>
          <w:rFonts w:hint="eastAsia" w:ascii="宋体" w:hAnsi="宋体" w:eastAsia="宋体" w:cs="宋体"/>
          <w:b/>
          <w:color w:val="auto"/>
          <w:sz w:val="28"/>
          <w:szCs w:val="28"/>
        </w:rPr>
      </w:pPr>
      <w:r>
        <w:rPr>
          <w:rFonts w:hint="eastAsia" w:ascii="宋体" w:hAnsi="宋体" w:eastAsia="宋体" w:cs="宋体"/>
          <w:b/>
          <w:color w:val="auto"/>
          <w:sz w:val="30"/>
          <w:szCs w:val="30"/>
        </w:rPr>
        <w:br w:type="page"/>
      </w:r>
      <w:r>
        <w:rPr>
          <w:rFonts w:hint="eastAsia" w:ascii="宋体" w:hAnsi="宋体" w:eastAsia="宋体" w:cs="宋体"/>
          <w:b/>
          <w:color w:val="auto"/>
          <w:sz w:val="28"/>
          <w:szCs w:val="28"/>
        </w:rPr>
        <w:t>项目专用条款数据表</w:t>
      </w:r>
    </w:p>
    <w:p>
      <w:pPr>
        <w:rPr>
          <w:rFonts w:hint="eastAsia" w:ascii="宋体" w:hAnsi="宋体" w:eastAsia="宋体" w:cs="宋体"/>
          <w:color w:val="auto"/>
          <w:sz w:val="24"/>
        </w:rPr>
      </w:pPr>
      <w:r>
        <w:rPr>
          <w:rFonts w:hint="eastAsia" w:ascii="宋体" w:hAnsi="宋体" w:eastAsia="宋体" w:cs="宋体"/>
          <w:color w:val="auto"/>
          <w:sz w:val="24"/>
        </w:rPr>
        <w:t>说明：本数据表是项目专用合同条款中适用于本项目的信息和数据的归纳与提示，是项目专用合同条款的组成部分。</w:t>
      </w:r>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484"/>
        <w:gridCol w:w="7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12"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484" w:type="dxa"/>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b/>
                <w:color w:val="auto"/>
                <w:szCs w:val="21"/>
              </w:rPr>
            </w:pPr>
            <w:r>
              <w:rPr>
                <w:rFonts w:hint="eastAsia" w:ascii="宋体" w:hAnsi="宋体" w:eastAsia="宋体" w:cs="宋体"/>
                <w:b/>
                <w:color w:val="auto"/>
                <w:szCs w:val="21"/>
              </w:rPr>
              <w:t>条款号</w:t>
            </w:r>
          </w:p>
        </w:tc>
        <w:tc>
          <w:tcPr>
            <w:tcW w:w="7426" w:type="dxa"/>
            <w:tcBorders>
              <w:top w:val="single" w:color="auto" w:sz="12" w:space="0"/>
              <w:left w:val="single" w:color="auto" w:sz="6" w:space="0"/>
              <w:bottom w:val="single" w:color="auto" w:sz="6" w:space="0"/>
              <w:right w:val="single" w:color="auto" w:sz="12" w:space="0"/>
            </w:tcBorders>
            <w:vAlign w:val="center"/>
          </w:tcPr>
          <w:p>
            <w:pPr>
              <w:spacing w:line="440" w:lineRule="exact"/>
              <w:jc w:val="center"/>
              <w:rPr>
                <w:rFonts w:ascii="宋体" w:hAnsi="宋体" w:eastAsia="宋体" w:cs="宋体"/>
                <w:b/>
                <w:color w:val="auto"/>
                <w:szCs w:val="21"/>
              </w:rPr>
            </w:pPr>
            <w:r>
              <w:rPr>
                <w:rFonts w:hint="eastAsia" w:ascii="宋体" w:hAnsi="宋体" w:eastAsia="宋体" w:cs="宋体"/>
                <w:b/>
                <w:color w:val="auto"/>
                <w:szCs w:val="21"/>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1.1.2.2</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rPr>
              <w:t>发 包 人：</w:t>
            </w:r>
            <w:r>
              <w:rPr>
                <w:rFonts w:hint="eastAsia" w:ascii="宋体" w:hAnsi="宋体" w:eastAsia="宋体" w:cs="宋体"/>
                <w:color w:val="auto"/>
                <w:szCs w:val="21"/>
                <w:lang w:eastAsia="zh-CN"/>
              </w:rPr>
              <w:t>三门县人民政府沙柳街道办事处</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地    址：三门县 </w:t>
            </w:r>
          </w:p>
          <w:p>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rPr>
              <w:t>邮政编码：31710</w:t>
            </w:r>
            <w:r>
              <w:rPr>
                <w:rFonts w:hint="eastAsia" w:ascii="宋体" w:hAnsi="宋体" w:eastAsia="宋体" w:cs="宋体"/>
                <w:color w:val="auto"/>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1.1.2.6</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eastAsia="宋体" w:cs="宋体"/>
                <w:color w:val="auto"/>
                <w:szCs w:val="21"/>
              </w:rPr>
            </w:pPr>
            <w:r>
              <w:rPr>
                <w:rFonts w:hint="eastAsia" w:ascii="宋体" w:hAnsi="宋体" w:eastAsia="宋体" w:cs="宋体"/>
                <w:color w:val="auto"/>
                <w:szCs w:val="21"/>
              </w:rPr>
              <w:t>监 理 人：</w:t>
            </w: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地    址：                        </w:t>
            </w:r>
          </w:p>
          <w:p>
            <w:pPr>
              <w:spacing w:line="440" w:lineRule="exact"/>
              <w:rPr>
                <w:rFonts w:ascii="宋体" w:hAnsi="宋体" w:eastAsia="宋体" w:cs="宋体"/>
                <w:color w:val="auto"/>
                <w:szCs w:val="21"/>
              </w:rPr>
            </w:pPr>
            <w:r>
              <w:rPr>
                <w:rFonts w:hint="eastAsia" w:ascii="宋体" w:hAnsi="宋体" w:eastAsia="宋体" w:cs="宋体"/>
                <w:color w:val="auto"/>
                <w:szCs w:val="21"/>
              </w:rPr>
              <w:t>(监理人将在签订合同协议书后，由发包人书面通知承包人)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3</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1.1.4.5</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eastAsia="宋体" w:cs="宋体"/>
                <w:color w:val="auto"/>
                <w:szCs w:val="21"/>
              </w:rPr>
            </w:pPr>
            <w:r>
              <w:rPr>
                <w:rFonts w:hint="eastAsia" w:ascii="宋体" w:hAnsi="宋体" w:eastAsia="宋体" w:cs="宋体"/>
                <w:color w:val="auto"/>
                <w:szCs w:val="21"/>
              </w:rPr>
              <w:t>缺陷责任期：自实际交工日期起计算</w:t>
            </w:r>
            <w:r>
              <w:rPr>
                <w:rFonts w:hint="eastAsia" w:ascii="宋体" w:hAnsi="宋体" w:eastAsia="宋体" w:cs="宋体"/>
                <w:b/>
                <w:i/>
                <w:color w:val="auto"/>
                <w:szCs w:val="21"/>
                <w:u w:val="single"/>
              </w:rPr>
              <w:t xml:space="preserve"> 1 </w:t>
            </w:r>
            <w:r>
              <w:rPr>
                <w:rFonts w:hint="eastAsia" w:ascii="宋体" w:hAnsi="宋体" w:eastAsia="宋体" w:cs="宋体"/>
                <w:color w:val="auto"/>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4</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1.6.3</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eastAsia="宋体" w:cs="宋体"/>
                <w:color w:val="auto"/>
                <w:szCs w:val="21"/>
              </w:rPr>
            </w:pPr>
            <w:r>
              <w:rPr>
                <w:rFonts w:hint="eastAsia" w:ascii="宋体" w:hAnsi="宋体" w:eastAsia="宋体" w:cs="宋体"/>
                <w:color w:val="auto"/>
                <w:szCs w:val="21"/>
              </w:rPr>
              <w:t>图纸需要修改和补充的，应由监理人取得发包人同意后，在该项工程或工程相应部位施工前</w:t>
            </w:r>
            <w:r>
              <w:rPr>
                <w:rFonts w:hint="eastAsia" w:ascii="宋体" w:hAnsi="宋体" w:eastAsia="宋体" w:cs="宋体"/>
                <w:b/>
                <w:i/>
                <w:color w:val="auto"/>
                <w:szCs w:val="21"/>
                <w:u w:val="single"/>
              </w:rPr>
              <w:t xml:space="preserve"> 7 </w:t>
            </w:r>
            <w:r>
              <w:rPr>
                <w:rFonts w:hint="eastAsia" w:ascii="宋体" w:hAnsi="宋体" w:eastAsia="宋体" w:cs="宋体"/>
                <w:color w:val="auto"/>
                <w:szCs w:val="21"/>
              </w:rPr>
              <w:t>天签发图纸修改图给承包人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5</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3.1.1</w:t>
            </w:r>
          </w:p>
        </w:tc>
        <w:tc>
          <w:tcPr>
            <w:tcW w:w="7426" w:type="dxa"/>
            <w:tcBorders>
              <w:top w:val="single" w:color="auto" w:sz="6" w:space="0"/>
              <w:left w:val="single" w:color="auto" w:sz="6" w:space="0"/>
              <w:bottom w:val="single" w:color="auto" w:sz="6" w:space="0"/>
              <w:right w:val="single" w:color="auto" w:sz="12" w:space="0"/>
            </w:tcBorders>
            <w:vAlign w:val="center"/>
          </w:tcPr>
          <w:p>
            <w:pPr>
              <w:rPr>
                <w:rFonts w:ascii="宋体" w:hAnsi="宋体" w:eastAsia="宋体" w:cs="宋体"/>
                <w:color w:val="auto"/>
                <w:szCs w:val="21"/>
              </w:rPr>
            </w:pPr>
            <w:r>
              <w:rPr>
                <w:rFonts w:hint="eastAsia" w:ascii="宋体" w:hAnsi="宋体" w:eastAsia="宋体" w:cs="宋体"/>
                <w:color w:val="auto"/>
                <w:szCs w:val="21"/>
              </w:rPr>
              <w:t>监理人在行使下列权力前需要经发包人事先批准：</w:t>
            </w:r>
          </w:p>
          <w:p>
            <w:pPr>
              <w:spacing w:line="440" w:lineRule="exact"/>
              <w:rPr>
                <w:rFonts w:ascii="宋体" w:hAnsi="宋体" w:eastAsia="宋体" w:cs="宋体"/>
                <w:color w:val="auto"/>
                <w:szCs w:val="21"/>
              </w:rPr>
            </w:pPr>
            <w:r>
              <w:rPr>
                <w:rFonts w:hint="eastAsia" w:ascii="宋体" w:hAnsi="宋体" w:eastAsia="宋体" w:cs="宋体"/>
                <w:color w:val="auto"/>
                <w:szCs w:val="21"/>
              </w:rPr>
              <w:t>(6)根据第15.3款发出的所有变更指示，需要经发包人事先批准。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6</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5.2.4</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eastAsia="宋体" w:cs="宋体"/>
                <w:color w:val="auto"/>
                <w:szCs w:val="21"/>
              </w:rPr>
            </w:pPr>
            <w:r>
              <w:rPr>
                <w:rFonts w:hint="eastAsia" w:ascii="宋体" w:hAnsi="宋体" w:eastAsia="宋体" w:cs="宋体"/>
                <w:color w:val="auto"/>
                <w:szCs w:val="21"/>
              </w:rPr>
              <w:t>发包人是否提供材料或工程设备：</w:t>
            </w:r>
            <w:r>
              <w:rPr>
                <w:rFonts w:hint="eastAsia" w:ascii="宋体" w:hAnsi="宋体" w:eastAsia="宋体" w:cs="宋体"/>
                <w:b/>
                <w:color w:val="auto"/>
                <w:szCs w:val="21"/>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7</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6.2</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eastAsia="宋体" w:cs="宋体"/>
                <w:color w:val="auto"/>
                <w:szCs w:val="21"/>
              </w:rPr>
            </w:pPr>
            <w:r>
              <w:rPr>
                <w:rFonts w:hint="eastAsia" w:ascii="宋体" w:hAnsi="宋体" w:eastAsia="宋体" w:cs="宋体"/>
                <w:color w:val="auto"/>
                <w:szCs w:val="21"/>
              </w:rPr>
              <w:t>发包人是否提供施工设备和临时设施：</w:t>
            </w:r>
            <w:r>
              <w:rPr>
                <w:rFonts w:hint="eastAsia" w:ascii="宋体" w:hAnsi="宋体" w:eastAsia="宋体" w:cs="宋体"/>
                <w:b/>
                <w:color w:val="auto"/>
                <w:szCs w:val="21"/>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8</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8.1.1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eastAsia="宋体" w:cs="宋体"/>
                <w:color w:val="auto"/>
                <w:szCs w:val="21"/>
              </w:rPr>
            </w:pPr>
            <w:r>
              <w:rPr>
                <w:rFonts w:hint="eastAsia" w:ascii="宋体" w:hAnsi="宋体" w:eastAsia="宋体" w:cs="宋体"/>
                <w:color w:val="auto"/>
                <w:szCs w:val="21"/>
              </w:rPr>
              <w:t>发包人提供测量基准点、基准先和水准点及其书面资料的期限：</w:t>
            </w:r>
            <w:r>
              <w:rPr>
                <w:rFonts w:hint="eastAsia" w:ascii="宋体" w:hAnsi="宋体" w:eastAsia="宋体" w:cs="宋体"/>
                <w:b/>
                <w:color w:val="auto"/>
                <w:szCs w:val="21"/>
                <w:u w:val="single"/>
              </w:rPr>
              <w:t>在签订本合同后7天内</w:t>
            </w:r>
          </w:p>
          <w:p>
            <w:pPr>
              <w:spacing w:line="440" w:lineRule="exact"/>
              <w:rPr>
                <w:rFonts w:ascii="宋体" w:hAnsi="宋体" w:eastAsia="宋体" w:cs="宋体"/>
                <w:color w:val="auto"/>
                <w:szCs w:val="21"/>
              </w:rPr>
            </w:pPr>
            <w:r>
              <w:rPr>
                <w:rFonts w:hint="eastAsia" w:ascii="宋体" w:hAnsi="宋体" w:eastAsia="宋体" w:cs="宋体"/>
                <w:color w:val="auto"/>
                <w:szCs w:val="21"/>
              </w:rPr>
              <w:t>承包人将施工控制网资料报送监理人审批的期限：</w:t>
            </w:r>
            <w:r>
              <w:rPr>
                <w:rFonts w:hint="eastAsia" w:ascii="宋体" w:hAnsi="宋体" w:eastAsia="宋体" w:cs="宋体"/>
                <w:b/>
                <w:color w:val="auto"/>
                <w:szCs w:val="21"/>
                <w:u w:val="single"/>
              </w:rPr>
              <w:t xml:space="preserve">在收到发包人提供的上述资料后7天内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9</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11.5</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eastAsia="宋体" w:cs="宋体"/>
                <w:color w:val="auto"/>
                <w:szCs w:val="21"/>
              </w:rPr>
            </w:pPr>
            <w:r>
              <w:rPr>
                <w:rFonts w:hint="eastAsia" w:ascii="宋体" w:hAnsi="宋体" w:eastAsia="宋体" w:cs="宋体"/>
                <w:color w:val="auto"/>
                <w:szCs w:val="21"/>
              </w:rPr>
              <w:t>逾期交工违约金：</w:t>
            </w:r>
            <w:r>
              <w:rPr>
                <w:rFonts w:hint="eastAsia" w:ascii="宋体" w:hAnsi="宋体" w:eastAsia="宋体" w:cs="宋体"/>
                <w:b/>
                <w:bCs/>
                <w:color w:val="auto"/>
                <w:szCs w:val="21"/>
                <w:u w:val="single"/>
              </w:rPr>
              <w:t>1000</w:t>
            </w:r>
            <w:r>
              <w:rPr>
                <w:rFonts w:hint="eastAsia" w:ascii="宋体" w:hAnsi="宋体" w:eastAsia="宋体" w:cs="宋体"/>
                <w:color w:val="auto"/>
                <w:szCs w:val="21"/>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10</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11.5</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eastAsia="宋体" w:cs="宋体"/>
                <w:color w:val="auto"/>
                <w:szCs w:val="21"/>
              </w:rPr>
            </w:pPr>
            <w:r>
              <w:rPr>
                <w:rFonts w:hint="eastAsia" w:ascii="宋体" w:hAnsi="宋体" w:eastAsia="宋体" w:cs="宋体"/>
                <w:color w:val="auto"/>
                <w:szCs w:val="21"/>
              </w:rPr>
              <w:t>逾期交工违约金限额：</w:t>
            </w:r>
            <w:r>
              <w:rPr>
                <w:rFonts w:hint="eastAsia" w:ascii="宋体" w:hAnsi="宋体" w:eastAsia="宋体" w:cs="宋体"/>
                <w:b/>
                <w:color w:val="auto"/>
                <w:szCs w:val="21"/>
                <w:u w:val="single"/>
              </w:rPr>
              <w:t xml:space="preserve">10 </w:t>
            </w:r>
            <w:r>
              <w:rPr>
                <w:rFonts w:hint="eastAsia" w:ascii="宋体" w:hAnsi="宋体" w:eastAsia="宋体" w:cs="宋体"/>
                <w:color w:val="auto"/>
                <w:szCs w:val="21"/>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11</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11.6</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eastAsia="宋体" w:cs="宋体"/>
                <w:color w:val="auto"/>
                <w:szCs w:val="21"/>
              </w:rPr>
            </w:pPr>
            <w:r>
              <w:rPr>
                <w:rFonts w:hint="eastAsia" w:ascii="宋体" w:hAnsi="宋体" w:eastAsia="宋体" w:cs="宋体"/>
                <w:color w:val="auto"/>
                <w:szCs w:val="21"/>
              </w:rPr>
              <w:t>提前交工的奖金：</w:t>
            </w:r>
            <w:r>
              <w:rPr>
                <w:rFonts w:hint="eastAsia" w:ascii="宋体" w:hAnsi="宋体" w:eastAsia="宋体" w:cs="宋体"/>
                <w:b/>
                <w:color w:val="auto"/>
                <w:szCs w:val="21"/>
                <w:u w:val="single"/>
              </w:rPr>
              <w:t xml:space="preserve"> / </w:t>
            </w:r>
            <w:r>
              <w:rPr>
                <w:rFonts w:hint="eastAsia" w:ascii="宋体" w:hAnsi="宋体" w:eastAsia="宋体" w:cs="宋体"/>
                <w:color w:val="auto"/>
                <w:szCs w:val="21"/>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12</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11.6</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eastAsia="宋体" w:cs="宋体"/>
                <w:color w:val="auto"/>
                <w:szCs w:val="21"/>
              </w:rPr>
            </w:pPr>
            <w:r>
              <w:rPr>
                <w:rFonts w:hint="eastAsia" w:ascii="宋体" w:hAnsi="宋体" w:eastAsia="宋体" w:cs="宋体"/>
                <w:color w:val="auto"/>
                <w:szCs w:val="21"/>
              </w:rPr>
              <w:t>提前交工的奖金限额：</w:t>
            </w:r>
            <w:r>
              <w:rPr>
                <w:rFonts w:hint="eastAsia" w:ascii="宋体" w:hAnsi="宋体" w:eastAsia="宋体" w:cs="宋体"/>
                <w:b/>
                <w:color w:val="auto"/>
                <w:szCs w:val="21"/>
                <w:u w:val="single"/>
              </w:rPr>
              <w:t xml:space="preserve"> /  </w:t>
            </w:r>
            <w:r>
              <w:rPr>
                <w:rFonts w:hint="eastAsia" w:ascii="宋体" w:hAnsi="宋体" w:eastAsia="宋体" w:cs="宋体"/>
                <w:color w:val="auto"/>
                <w:szCs w:val="21"/>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13</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15.2.2</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40" w:lineRule="exact"/>
              <w:ind w:firstLine="420" w:firstLineChars="200"/>
              <w:rPr>
                <w:rFonts w:ascii="宋体" w:hAnsi="宋体" w:eastAsia="宋体" w:cs="宋体"/>
                <w:color w:val="auto"/>
                <w:szCs w:val="21"/>
              </w:rPr>
            </w:pPr>
            <w:r>
              <w:rPr>
                <w:rFonts w:hint="eastAsia" w:ascii="宋体" w:hAnsi="宋体" w:eastAsia="宋体" w:cs="宋体"/>
                <w:color w:val="auto"/>
                <w:szCs w:val="21"/>
              </w:rPr>
              <w:t>承包人提出的合理化建议降低了合同价格或者提高了工程经济效益的，发包人按所节约成本的</w:t>
            </w:r>
            <w:r>
              <w:rPr>
                <w:rFonts w:hint="eastAsia" w:ascii="宋体" w:hAnsi="宋体" w:eastAsia="宋体" w:cs="宋体"/>
                <w:b/>
                <w:color w:val="auto"/>
                <w:szCs w:val="21"/>
                <w:u w:val="single"/>
              </w:rPr>
              <w:t xml:space="preserve"> / </w:t>
            </w:r>
            <w:r>
              <w:rPr>
                <w:rFonts w:hint="eastAsia" w:ascii="宋体" w:hAnsi="宋体" w:eastAsia="宋体" w:cs="宋体"/>
                <w:color w:val="auto"/>
                <w:szCs w:val="21"/>
              </w:rPr>
              <w:t>%或增加收益的</w:t>
            </w:r>
            <w:r>
              <w:rPr>
                <w:rFonts w:hint="eastAsia" w:ascii="宋体" w:hAnsi="宋体" w:eastAsia="宋体" w:cs="宋体"/>
                <w:b/>
                <w:color w:val="auto"/>
                <w:szCs w:val="21"/>
                <w:u w:val="single"/>
              </w:rPr>
              <w:t xml:space="preserve"> / </w:t>
            </w:r>
            <w:r>
              <w:rPr>
                <w:rFonts w:hint="eastAsia" w:ascii="宋体" w:hAnsi="宋体" w:eastAsia="宋体" w:cs="宋体"/>
                <w:color w:val="auto"/>
                <w:szCs w:val="21"/>
              </w:rPr>
              <w:t>%给予奖励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12"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14</w:t>
            </w:r>
          </w:p>
        </w:tc>
        <w:tc>
          <w:tcPr>
            <w:tcW w:w="1484" w:type="dxa"/>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16.1</w:t>
            </w:r>
          </w:p>
        </w:tc>
        <w:tc>
          <w:tcPr>
            <w:tcW w:w="7426" w:type="dxa"/>
            <w:tcBorders>
              <w:top w:val="single" w:color="auto" w:sz="6" w:space="0"/>
              <w:left w:val="single" w:color="auto" w:sz="6" w:space="0"/>
              <w:bottom w:val="single" w:color="auto" w:sz="12" w:space="0"/>
              <w:right w:val="single" w:color="auto" w:sz="12" w:space="0"/>
            </w:tcBorders>
            <w:vAlign w:val="center"/>
          </w:tcPr>
          <w:p>
            <w:pPr>
              <w:spacing w:line="400" w:lineRule="exact"/>
              <w:rPr>
                <w:rFonts w:ascii="宋体" w:hAnsi="宋体" w:eastAsia="宋体" w:cs="宋体"/>
                <w:color w:val="auto"/>
                <w:szCs w:val="21"/>
              </w:rPr>
            </w:pPr>
            <w:r>
              <w:rPr>
                <w:rFonts w:hint="eastAsia" w:ascii="宋体" w:hAnsi="宋体" w:eastAsia="宋体" w:cs="宋体"/>
                <w:color w:val="auto"/>
                <w:szCs w:val="21"/>
              </w:rPr>
              <w:t>因物价波动引起的价格不调整</w:t>
            </w:r>
          </w:p>
        </w:tc>
      </w:tr>
    </w:tbl>
    <w:p>
      <w:pPr>
        <w:jc w:val="right"/>
        <w:rPr>
          <w:rFonts w:hint="eastAsia" w:ascii="宋体" w:hAnsi="宋体" w:eastAsia="宋体" w:cs="宋体"/>
          <w:color w:val="auto"/>
          <w:sz w:val="24"/>
        </w:rPr>
      </w:pPr>
    </w:p>
    <w:p>
      <w:pPr>
        <w:jc w:val="right"/>
        <w:rPr>
          <w:rFonts w:hint="eastAsia" w:ascii="宋体" w:hAnsi="宋体" w:eastAsia="宋体" w:cs="宋体"/>
          <w:color w:val="auto"/>
          <w:sz w:val="24"/>
        </w:rPr>
      </w:pPr>
      <w:r>
        <w:rPr>
          <w:rFonts w:hint="eastAsia" w:ascii="宋体" w:hAnsi="宋体" w:eastAsia="宋体" w:cs="宋体"/>
          <w:color w:val="auto"/>
          <w:sz w:val="24"/>
        </w:rPr>
        <w:br w:type="page"/>
      </w:r>
      <w:r>
        <w:rPr>
          <w:rFonts w:hint="eastAsia" w:ascii="宋体" w:hAnsi="宋体" w:eastAsia="宋体" w:cs="宋体"/>
          <w:color w:val="auto"/>
          <w:sz w:val="24"/>
        </w:rPr>
        <w:t>续上表</w:t>
      </w:r>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484"/>
        <w:gridCol w:w="7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12"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b/>
                <w:color w:val="auto"/>
                <w:szCs w:val="21"/>
              </w:rPr>
            </w:pPr>
          </w:p>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p>
            <w:pPr>
              <w:spacing w:line="400" w:lineRule="exact"/>
              <w:jc w:val="center"/>
              <w:rPr>
                <w:rFonts w:ascii="宋体" w:hAnsi="宋体" w:eastAsia="宋体" w:cs="宋体"/>
                <w:b/>
                <w:color w:val="auto"/>
                <w:szCs w:val="21"/>
              </w:rPr>
            </w:pPr>
          </w:p>
        </w:tc>
        <w:tc>
          <w:tcPr>
            <w:tcW w:w="1484" w:type="dxa"/>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b/>
                <w:color w:val="auto"/>
                <w:szCs w:val="21"/>
              </w:rPr>
            </w:pPr>
            <w:r>
              <w:rPr>
                <w:rFonts w:hint="eastAsia" w:ascii="宋体" w:hAnsi="宋体" w:eastAsia="宋体" w:cs="宋体"/>
                <w:b/>
                <w:color w:val="auto"/>
                <w:szCs w:val="21"/>
              </w:rPr>
              <w:t>条款号</w:t>
            </w:r>
          </w:p>
        </w:tc>
        <w:tc>
          <w:tcPr>
            <w:tcW w:w="7426" w:type="dxa"/>
            <w:tcBorders>
              <w:top w:val="single" w:color="auto" w:sz="12" w:space="0"/>
              <w:left w:val="single" w:color="auto" w:sz="6" w:space="0"/>
              <w:bottom w:val="single" w:color="auto" w:sz="6" w:space="0"/>
              <w:right w:val="single" w:color="auto" w:sz="12" w:space="0"/>
            </w:tcBorders>
            <w:vAlign w:val="center"/>
          </w:tcPr>
          <w:p>
            <w:pPr>
              <w:spacing w:line="400" w:lineRule="exact"/>
              <w:jc w:val="center"/>
              <w:rPr>
                <w:rFonts w:ascii="宋体" w:hAnsi="宋体" w:eastAsia="宋体" w:cs="宋体"/>
                <w:b/>
                <w:color w:val="auto"/>
                <w:szCs w:val="21"/>
              </w:rPr>
            </w:pPr>
            <w:r>
              <w:rPr>
                <w:rFonts w:hint="eastAsia" w:ascii="宋体" w:hAnsi="宋体" w:eastAsia="宋体" w:cs="宋体"/>
                <w:b/>
                <w:color w:val="auto"/>
                <w:szCs w:val="21"/>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15</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17.2.1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eastAsia="宋体" w:cs="宋体"/>
                <w:color w:val="auto"/>
                <w:szCs w:val="21"/>
              </w:rPr>
            </w:pPr>
            <w:r>
              <w:rPr>
                <w:rFonts w:hint="eastAsia" w:ascii="宋体" w:hAnsi="宋体" w:eastAsia="宋体" w:cs="宋体"/>
                <w:color w:val="auto"/>
                <w:szCs w:val="21"/>
              </w:rPr>
              <w:t>开工预付款金额：</w:t>
            </w:r>
            <w:r>
              <w:rPr>
                <w:rFonts w:hint="eastAsia" w:ascii="宋体" w:hAnsi="宋体" w:eastAsia="宋体" w:cs="宋体"/>
                <w:b/>
                <w:color w:val="auto"/>
                <w:szCs w:val="21"/>
                <w:u w:val="single"/>
                <w:lang w:val="en-US" w:eastAsia="zh-CN"/>
              </w:rPr>
              <w:t>/</w:t>
            </w:r>
            <w:r>
              <w:rPr>
                <w:rFonts w:hint="eastAsia" w:ascii="宋体" w:hAnsi="宋体" w:eastAsia="宋体" w:cs="宋体"/>
                <w:b/>
                <w:color w:val="auto"/>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16</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17.2.1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eastAsia="宋体" w:cs="宋体"/>
                <w:color w:val="auto"/>
                <w:szCs w:val="21"/>
              </w:rPr>
            </w:pPr>
            <w:r>
              <w:rPr>
                <w:rFonts w:hint="eastAsia" w:ascii="宋体" w:hAnsi="宋体" w:eastAsia="宋体" w:cs="宋体"/>
                <w:color w:val="auto"/>
                <w:szCs w:val="21"/>
              </w:rPr>
              <w:t>材料、设备预付款比例：</w:t>
            </w:r>
            <w:r>
              <w:rPr>
                <w:rFonts w:hint="eastAsia" w:ascii="宋体" w:hAnsi="宋体" w:eastAsia="宋体" w:cs="宋体"/>
                <w:b/>
                <w:color w:val="auto"/>
                <w:szCs w:val="21"/>
                <w:u w:val="single"/>
              </w:rPr>
              <w:t xml:space="preserve"> / </w:t>
            </w:r>
            <w:r>
              <w:rPr>
                <w:rFonts w:hint="eastAsia" w:ascii="宋体" w:hAnsi="宋体" w:eastAsia="宋体" w:cs="宋体"/>
                <w:color w:val="auto"/>
                <w:szCs w:val="21"/>
              </w:rPr>
              <w:t>等主要材料、设备单据所列费用的</w:t>
            </w:r>
            <w:r>
              <w:rPr>
                <w:rFonts w:hint="eastAsia" w:ascii="宋体" w:hAnsi="宋体" w:eastAsia="宋体" w:cs="宋体"/>
                <w:b/>
                <w:color w:val="auto"/>
                <w:szCs w:val="21"/>
                <w:u w:val="single"/>
              </w:rPr>
              <w:t xml:space="preserve"> /  </w:t>
            </w:r>
            <w:r>
              <w:rPr>
                <w:rFonts w:hint="eastAsia" w:ascii="宋体" w:hAnsi="宋体" w:eastAsia="宋体" w:cs="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17</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17.3.2</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eastAsia="宋体" w:cs="宋体"/>
                <w:color w:val="auto"/>
                <w:szCs w:val="21"/>
              </w:rPr>
            </w:pPr>
            <w:r>
              <w:rPr>
                <w:rFonts w:hint="eastAsia" w:ascii="宋体" w:hAnsi="宋体" w:eastAsia="宋体" w:cs="宋体"/>
                <w:color w:val="auto"/>
                <w:szCs w:val="21"/>
              </w:rPr>
              <w:t>承包人在每个付款周期末向监理人提交进度付款申请单的份数：</w:t>
            </w:r>
            <w:r>
              <w:rPr>
                <w:rFonts w:hint="eastAsia" w:ascii="宋体" w:hAnsi="宋体" w:eastAsia="宋体" w:cs="宋体"/>
                <w:b/>
                <w:color w:val="auto"/>
                <w:szCs w:val="21"/>
                <w:u w:val="single"/>
              </w:rPr>
              <w:t>6</w:t>
            </w:r>
            <w:r>
              <w:rPr>
                <w:rFonts w:hint="eastAsia" w:ascii="宋体" w:hAnsi="宋体" w:eastAsia="宋体" w:cs="宋体"/>
                <w:color w:val="auto"/>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18</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17.3.3（1）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eastAsia="宋体" w:cs="宋体"/>
                <w:color w:val="auto"/>
                <w:szCs w:val="21"/>
              </w:rPr>
            </w:pPr>
            <w:r>
              <w:rPr>
                <w:rFonts w:hint="eastAsia" w:ascii="宋体" w:hAnsi="宋体" w:eastAsia="宋体" w:cs="宋体"/>
                <w:color w:val="auto"/>
                <w:szCs w:val="21"/>
              </w:rPr>
              <w:t xml:space="preserve">进度付款证书最低限额的 </w:t>
            </w:r>
            <w:r>
              <w:rPr>
                <w:rFonts w:hint="eastAsia" w:ascii="宋体" w:hAnsi="宋体" w:eastAsia="宋体" w:cs="宋体"/>
                <w:color w:val="auto"/>
                <w:szCs w:val="21"/>
                <w:u w:val="single"/>
              </w:rPr>
              <w:t>/</w:t>
            </w:r>
            <w:r>
              <w:rPr>
                <w:rFonts w:hint="eastAsia" w:ascii="宋体" w:hAnsi="宋体" w:eastAsia="宋体" w:cs="宋体"/>
                <w:color w:val="auto"/>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19</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17.3.3（2）</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eastAsia="宋体" w:cs="宋体"/>
                <w:color w:val="auto"/>
                <w:szCs w:val="21"/>
              </w:rPr>
            </w:pPr>
            <w:r>
              <w:rPr>
                <w:rFonts w:hint="eastAsia" w:ascii="宋体" w:hAnsi="宋体" w:eastAsia="宋体" w:cs="宋体"/>
                <w:color w:val="auto"/>
                <w:szCs w:val="21"/>
              </w:rPr>
              <w:t>逾期付款违约金的利率：</w:t>
            </w:r>
            <w:r>
              <w:rPr>
                <w:rFonts w:hint="eastAsia" w:ascii="宋体" w:hAnsi="宋体" w:eastAsia="宋体" w:cs="宋体"/>
                <w:bCs/>
                <w:color w:val="auto"/>
                <w:szCs w:val="21"/>
              </w:rPr>
              <w:t>中国人民银行发布的同期六个月以内（含六个月）短期贷款基准利率（不计复利），另加手续费。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20</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17.4.1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hint="eastAsia" w:ascii="宋体" w:hAnsi="宋体" w:eastAsia="宋体" w:cs="宋体"/>
                <w:color w:val="auto"/>
                <w:szCs w:val="21"/>
                <w:lang w:eastAsia="zh-CN"/>
              </w:rPr>
            </w:pPr>
            <w:r>
              <w:rPr>
                <w:rFonts w:hint="eastAsia" w:ascii="宋体" w:hAnsi="宋体" w:eastAsia="宋体" w:cs="宋体"/>
                <w:color w:val="auto"/>
                <w:szCs w:val="21"/>
              </w:rPr>
              <w:t>质量保证金百分比：</w:t>
            </w:r>
            <w:r>
              <w:rPr>
                <w:rFonts w:hint="eastAsia" w:ascii="宋体" w:hAnsi="宋体" w:eastAsia="宋体" w:cs="宋体"/>
                <w:color w:val="auto"/>
                <w:szCs w:val="21"/>
                <w:lang w:val="en-US" w:eastAsia="zh-CN"/>
              </w:rPr>
              <w:t>1</w:t>
            </w:r>
            <w:r>
              <w:rPr>
                <w:rFonts w:hint="eastAsia" w:ascii="宋体" w:hAnsi="宋体" w:eastAsia="宋体" w:cs="宋体"/>
                <w:color w:val="auto"/>
                <w:szCs w:val="21"/>
              </w:rPr>
              <w:t>.5%</w:t>
            </w:r>
            <w:r>
              <w:rPr>
                <w:rFonts w:hint="eastAsia" w:ascii="宋体" w:hAnsi="宋体" w:eastAsia="宋体" w:cs="宋体"/>
                <w:color w:val="auto"/>
                <w:szCs w:val="21"/>
                <w:lang w:eastAsia="zh-CN"/>
              </w:rPr>
              <w:t>的结算</w:t>
            </w:r>
            <w:r>
              <w:rPr>
                <w:rFonts w:hint="eastAsia" w:ascii="宋体" w:hAnsi="宋体" w:eastAsia="宋体" w:cs="宋体"/>
                <w:color w:val="auto"/>
                <w:szCs w:val="21"/>
              </w:rPr>
              <w:t>价</w:t>
            </w:r>
            <w:r>
              <w:rPr>
                <w:rFonts w:hint="eastAsia" w:ascii="宋体" w:hAnsi="宋体" w:eastAsia="宋体" w:cs="宋体"/>
                <w:color w:val="auto"/>
                <w:szCs w:val="21"/>
                <w:lang w:eastAsia="zh-CN"/>
              </w:rPr>
              <w:t>，采用</w:t>
            </w:r>
            <w:r>
              <w:rPr>
                <w:rFonts w:hint="eastAsia"/>
                <w:color w:val="auto"/>
              </w:rPr>
              <w:t>现金或工程保函（银行保函、保险机构保证保险保单）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21</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17.4.1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hint="eastAsia" w:ascii="宋体" w:hAnsi="宋体" w:eastAsia="宋体" w:cs="宋体"/>
                <w:color w:val="auto"/>
                <w:szCs w:val="21"/>
                <w:lang w:eastAsia="zh-CN"/>
              </w:rPr>
            </w:pPr>
            <w:r>
              <w:rPr>
                <w:rFonts w:hint="eastAsia" w:ascii="宋体" w:hAnsi="宋体" w:eastAsia="宋体" w:cs="宋体"/>
                <w:color w:val="auto"/>
                <w:szCs w:val="21"/>
              </w:rPr>
              <w:t>质量保证金限额：</w:t>
            </w:r>
            <w:r>
              <w:rPr>
                <w:rFonts w:hint="eastAsia" w:ascii="宋体" w:hAnsi="宋体" w:eastAsia="宋体" w:cs="宋体"/>
                <w:color w:val="auto"/>
                <w:szCs w:val="21"/>
                <w:u w:val="single"/>
                <w:lang w:val="en-US" w:eastAsia="zh-CN"/>
              </w:rPr>
              <w:t>1</w:t>
            </w:r>
            <w:r>
              <w:rPr>
                <w:rFonts w:hint="eastAsia" w:ascii="宋体" w:hAnsi="宋体" w:eastAsia="宋体" w:cs="宋体"/>
                <w:color w:val="auto"/>
                <w:szCs w:val="21"/>
                <w:u w:val="single"/>
              </w:rPr>
              <w:t>.5%</w:t>
            </w:r>
            <w:r>
              <w:rPr>
                <w:rFonts w:hint="eastAsia" w:ascii="宋体" w:hAnsi="宋体" w:eastAsia="宋体" w:cs="宋体"/>
                <w:color w:val="auto"/>
                <w:szCs w:val="21"/>
                <w:u w:val="none"/>
                <w:lang w:eastAsia="zh-CN"/>
              </w:rPr>
              <w:t>的</w:t>
            </w:r>
            <w:r>
              <w:rPr>
                <w:rFonts w:hint="eastAsia" w:ascii="宋体" w:hAnsi="宋体" w:eastAsia="宋体" w:cs="宋体"/>
                <w:color w:val="auto"/>
                <w:szCs w:val="21"/>
                <w:lang w:eastAsia="zh-CN"/>
              </w:rPr>
              <w:t>结算价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22</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17.5.1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eastAsia="宋体" w:cs="宋体"/>
                <w:color w:val="auto"/>
                <w:szCs w:val="21"/>
              </w:rPr>
            </w:pPr>
            <w:r>
              <w:rPr>
                <w:rFonts w:hint="eastAsia" w:ascii="宋体" w:hAnsi="宋体" w:eastAsia="宋体" w:cs="宋体"/>
                <w:color w:val="auto"/>
                <w:szCs w:val="21"/>
              </w:rPr>
              <w:t>承包人向监理人提交交工付款申请单（包括相关证明材料）的份数：</w:t>
            </w:r>
            <w:r>
              <w:rPr>
                <w:rFonts w:hint="eastAsia" w:ascii="宋体" w:hAnsi="宋体" w:eastAsia="宋体" w:cs="宋体"/>
                <w:b/>
                <w:color w:val="auto"/>
                <w:szCs w:val="21"/>
                <w:u w:val="single"/>
              </w:rPr>
              <w:t>4</w:t>
            </w:r>
            <w:r>
              <w:rPr>
                <w:rFonts w:hint="eastAsia" w:ascii="宋体" w:hAnsi="宋体" w:eastAsia="宋体" w:cs="宋体"/>
                <w:color w:val="auto"/>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23</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17.6.1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eastAsia="宋体" w:cs="宋体"/>
                <w:color w:val="auto"/>
                <w:szCs w:val="21"/>
              </w:rPr>
            </w:pPr>
            <w:r>
              <w:rPr>
                <w:rFonts w:hint="eastAsia" w:ascii="宋体" w:hAnsi="宋体" w:eastAsia="宋体" w:cs="宋体"/>
                <w:color w:val="auto"/>
                <w:szCs w:val="21"/>
              </w:rPr>
              <w:t>承包人向监理人提交最终结清申请单（包括相关证明材料）的份数：</w:t>
            </w:r>
            <w:r>
              <w:rPr>
                <w:rFonts w:hint="eastAsia" w:ascii="宋体" w:hAnsi="宋体" w:eastAsia="宋体" w:cs="宋体"/>
                <w:b/>
                <w:color w:val="auto"/>
                <w:szCs w:val="21"/>
                <w:u w:val="single"/>
              </w:rPr>
              <w:t>4</w:t>
            </w:r>
            <w:r>
              <w:rPr>
                <w:rFonts w:hint="eastAsia" w:ascii="宋体" w:hAnsi="宋体" w:eastAsia="宋体" w:cs="宋体"/>
                <w:color w:val="auto"/>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24</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18.2</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eastAsia="宋体" w:cs="宋体"/>
                <w:color w:val="auto"/>
                <w:szCs w:val="21"/>
              </w:rPr>
            </w:pPr>
            <w:r>
              <w:rPr>
                <w:rFonts w:hint="eastAsia" w:ascii="宋体" w:hAnsi="宋体" w:eastAsia="宋体" w:cs="宋体"/>
                <w:color w:val="auto"/>
                <w:szCs w:val="21"/>
              </w:rPr>
              <w:t>竣工资料的份数：</w:t>
            </w:r>
            <w:r>
              <w:rPr>
                <w:rFonts w:hint="eastAsia" w:ascii="宋体" w:hAnsi="宋体" w:eastAsia="宋体" w:cs="宋体"/>
                <w:b/>
                <w:color w:val="auto"/>
                <w:szCs w:val="21"/>
                <w:u w:val="single"/>
              </w:rPr>
              <w:t>6</w:t>
            </w:r>
            <w:r>
              <w:rPr>
                <w:rFonts w:hint="eastAsia" w:ascii="宋体" w:hAnsi="宋体" w:eastAsia="宋体" w:cs="宋体"/>
                <w:color w:val="auto"/>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25</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18.5.1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eastAsia="宋体" w:cs="宋体"/>
                <w:color w:val="auto"/>
                <w:szCs w:val="21"/>
                <w:u w:val="single"/>
              </w:rPr>
            </w:pPr>
            <w:r>
              <w:rPr>
                <w:rFonts w:hint="eastAsia" w:ascii="宋体" w:hAnsi="宋体" w:eastAsia="宋体" w:cs="宋体"/>
                <w:color w:val="auto"/>
                <w:szCs w:val="21"/>
              </w:rPr>
              <w:t>单位工程或工程设备是否需投入施工期运行：</w:t>
            </w:r>
            <w:r>
              <w:rPr>
                <w:rFonts w:hint="eastAsia" w:ascii="宋体" w:hAnsi="宋体" w:eastAsia="宋体" w:cs="宋体"/>
                <w:b/>
                <w:color w:val="auto"/>
                <w:szCs w:val="21"/>
                <w:u w:val="single"/>
              </w:rPr>
              <w:t>否</w:t>
            </w:r>
          </w:p>
          <w:p>
            <w:pPr>
              <w:spacing w:line="400" w:lineRule="exact"/>
              <w:rPr>
                <w:rFonts w:ascii="宋体" w:hAnsi="宋体" w:eastAsia="宋体" w:cs="宋体"/>
                <w:color w:val="auto"/>
                <w:szCs w:val="21"/>
              </w:rPr>
            </w:pPr>
            <w:r>
              <w:rPr>
                <w:rFonts w:hint="eastAsia" w:ascii="宋体" w:hAnsi="宋体" w:eastAsia="宋体" w:cs="宋体"/>
                <w:color w:val="auto"/>
                <w:szCs w:val="21"/>
              </w:rPr>
              <w:t>如单位工程或工程设备需要进行施工期运行，需要施工期运行的单位工程或工程设备规定如下：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26</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18.6.1</w:t>
            </w:r>
          </w:p>
        </w:tc>
        <w:tc>
          <w:tcPr>
            <w:tcW w:w="7426"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eastAsia="宋体" w:cs="宋体"/>
                <w:color w:val="auto"/>
                <w:szCs w:val="21"/>
                <w:u w:val="single"/>
              </w:rPr>
            </w:pPr>
            <w:r>
              <w:rPr>
                <w:rFonts w:hint="eastAsia" w:ascii="宋体" w:hAnsi="宋体" w:eastAsia="宋体" w:cs="宋体"/>
                <w:color w:val="auto"/>
                <w:szCs w:val="21"/>
              </w:rPr>
              <w:t>本工程及工程设备是否进行试运行：</w:t>
            </w:r>
            <w:r>
              <w:rPr>
                <w:rFonts w:hint="eastAsia" w:ascii="宋体" w:hAnsi="宋体" w:eastAsia="宋体" w:cs="宋体"/>
                <w:b/>
                <w:color w:val="auto"/>
                <w:szCs w:val="21"/>
                <w:u w:val="single"/>
              </w:rPr>
              <w:t>否</w:t>
            </w:r>
          </w:p>
          <w:p>
            <w:pPr>
              <w:spacing w:line="400" w:lineRule="exact"/>
              <w:rPr>
                <w:rFonts w:ascii="宋体" w:hAnsi="宋体" w:eastAsia="宋体" w:cs="宋体"/>
                <w:color w:val="auto"/>
                <w:szCs w:val="21"/>
                <w:u w:val="single"/>
              </w:rPr>
            </w:pPr>
            <w:r>
              <w:rPr>
                <w:rFonts w:hint="eastAsia" w:ascii="宋体" w:hAnsi="宋体" w:eastAsia="宋体" w:cs="宋体"/>
                <w:color w:val="auto"/>
                <w:szCs w:val="21"/>
              </w:rPr>
              <w:t>如本工程及工程设备需要进行试运行，试运行的具体规定如下：</w:t>
            </w:r>
            <w:r>
              <w:rPr>
                <w:rFonts w:hint="eastAsia" w:ascii="宋体" w:hAnsi="宋体" w:eastAsia="宋体" w:cs="宋体"/>
                <w:color w:val="auto"/>
                <w:szCs w:val="21"/>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27</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19.7</w:t>
            </w:r>
          </w:p>
        </w:tc>
        <w:tc>
          <w:tcPr>
            <w:tcW w:w="7426" w:type="dxa"/>
            <w:tcBorders>
              <w:top w:val="single" w:color="auto" w:sz="6" w:space="0"/>
              <w:left w:val="single" w:color="auto" w:sz="6" w:space="0"/>
              <w:bottom w:val="single" w:color="auto" w:sz="6" w:space="0"/>
              <w:right w:val="single" w:color="auto" w:sz="12" w:space="0"/>
            </w:tcBorders>
          </w:tcPr>
          <w:p>
            <w:pPr>
              <w:spacing w:line="400" w:lineRule="exact"/>
              <w:rPr>
                <w:rFonts w:ascii="宋体" w:hAnsi="宋体" w:eastAsia="宋体" w:cs="宋体"/>
                <w:color w:val="auto"/>
                <w:szCs w:val="21"/>
              </w:rPr>
            </w:pPr>
            <w:r>
              <w:rPr>
                <w:rFonts w:hint="eastAsia" w:ascii="宋体" w:hAnsi="宋体" w:eastAsia="宋体" w:cs="宋体"/>
                <w:color w:val="auto"/>
                <w:szCs w:val="21"/>
              </w:rPr>
              <w:t>保修期：自实际交工日期起计算</w:t>
            </w:r>
            <w:r>
              <w:rPr>
                <w:rFonts w:hint="eastAsia" w:ascii="宋体" w:hAnsi="宋体" w:eastAsia="宋体" w:cs="宋体"/>
                <w:color w:val="auto"/>
                <w:szCs w:val="21"/>
                <w:u w:val="single"/>
              </w:rPr>
              <w:t xml:space="preserve"> </w:t>
            </w:r>
            <w:r>
              <w:rPr>
                <w:rFonts w:hint="eastAsia" w:ascii="宋体" w:hAnsi="宋体" w:eastAsia="宋体" w:cs="宋体"/>
                <w:b/>
                <w:color w:val="auto"/>
                <w:szCs w:val="21"/>
                <w:u w:val="single"/>
              </w:rPr>
              <w:t>1</w:t>
            </w:r>
            <w:r>
              <w:rPr>
                <w:rFonts w:hint="eastAsia" w:ascii="宋体" w:hAnsi="宋体" w:eastAsia="宋体" w:cs="宋体"/>
                <w:color w:val="auto"/>
                <w:szCs w:val="21"/>
              </w:rPr>
              <w:t>年（同缺陷责任期）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28</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20.1</w:t>
            </w:r>
          </w:p>
        </w:tc>
        <w:tc>
          <w:tcPr>
            <w:tcW w:w="7426" w:type="dxa"/>
            <w:tcBorders>
              <w:top w:val="single" w:color="auto" w:sz="6" w:space="0"/>
              <w:left w:val="single" w:color="auto" w:sz="6" w:space="0"/>
              <w:bottom w:val="single" w:color="auto" w:sz="6" w:space="0"/>
              <w:right w:val="single" w:color="auto" w:sz="12" w:space="0"/>
            </w:tcBorders>
          </w:tcPr>
          <w:p>
            <w:pPr>
              <w:spacing w:line="400" w:lineRule="exact"/>
              <w:rPr>
                <w:rFonts w:ascii="宋体" w:hAnsi="宋体" w:eastAsia="宋体" w:cs="宋体"/>
                <w:color w:val="auto"/>
                <w:szCs w:val="21"/>
              </w:rPr>
            </w:pPr>
            <w:r>
              <w:rPr>
                <w:rFonts w:hint="eastAsia" w:ascii="宋体" w:hAnsi="宋体" w:eastAsia="宋体" w:cs="宋体"/>
                <w:color w:val="auto"/>
                <w:szCs w:val="21"/>
              </w:rPr>
              <w:t>建筑工程一切险的保险费率：</w:t>
            </w:r>
            <w:r>
              <w:rPr>
                <w:rFonts w:hint="eastAsia" w:ascii="宋体" w:hAnsi="宋体" w:eastAsia="宋体" w:cs="宋体"/>
                <w:b/>
                <w:color w:val="auto"/>
                <w:szCs w:val="21"/>
                <w:u w:val="single"/>
              </w:rPr>
              <w:t>3</w:t>
            </w:r>
            <w:r>
              <w:rPr>
                <w:rFonts w:hint="eastAsia" w:ascii="宋体" w:hAnsi="宋体" w:eastAsia="宋体" w:cs="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29</w:t>
            </w:r>
          </w:p>
        </w:tc>
        <w:tc>
          <w:tcPr>
            <w:tcW w:w="14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20.4.2</w:t>
            </w:r>
          </w:p>
        </w:tc>
        <w:tc>
          <w:tcPr>
            <w:tcW w:w="7426" w:type="dxa"/>
            <w:tcBorders>
              <w:top w:val="single" w:color="auto" w:sz="6" w:space="0"/>
              <w:left w:val="single" w:color="auto" w:sz="6" w:space="0"/>
              <w:bottom w:val="single" w:color="auto" w:sz="6" w:space="0"/>
              <w:right w:val="single" w:color="auto" w:sz="12" w:space="0"/>
            </w:tcBorders>
          </w:tcPr>
          <w:p>
            <w:pPr>
              <w:spacing w:line="400" w:lineRule="exact"/>
              <w:rPr>
                <w:rFonts w:ascii="宋体" w:hAnsi="宋体" w:eastAsia="宋体" w:cs="宋体"/>
                <w:color w:val="auto"/>
                <w:szCs w:val="21"/>
              </w:rPr>
            </w:pPr>
            <w:r>
              <w:rPr>
                <w:rFonts w:hint="eastAsia" w:ascii="宋体" w:hAnsi="宋体" w:eastAsia="宋体" w:cs="宋体"/>
                <w:color w:val="auto"/>
                <w:szCs w:val="21"/>
              </w:rPr>
              <w:t>第三者责任险的最低投保金额：</w:t>
            </w:r>
            <w:r>
              <w:rPr>
                <w:rFonts w:hint="eastAsia" w:ascii="宋体" w:hAnsi="宋体" w:eastAsia="宋体" w:cs="宋体"/>
                <w:b/>
                <w:color w:val="auto"/>
                <w:szCs w:val="21"/>
                <w:u w:val="single"/>
              </w:rPr>
              <w:t>100</w:t>
            </w:r>
            <w:r>
              <w:rPr>
                <w:rFonts w:hint="eastAsia" w:ascii="宋体" w:hAnsi="宋体" w:eastAsia="宋体" w:cs="宋体"/>
                <w:color w:val="auto"/>
                <w:szCs w:val="21"/>
              </w:rPr>
              <w:t>万元，事故次数不限(不计免赔额)</w:t>
            </w:r>
          </w:p>
          <w:p>
            <w:pPr>
              <w:spacing w:line="400" w:lineRule="exact"/>
              <w:rPr>
                <w:rFonts w:ascii="宋体" w:hAnsi="宋体" w:eastAsia="宋体" w:cs="宋体"/>
                <w:color w:val="auto"/>
                <w:szCs w:val="21"/>
              </w:rPr>
            </w:pPr>
            <w:r>
              <w:rPr>
                <w:rFonts w:hint="eastAsia" w:ascii="宋体" w:hAnsi="宋体" w:eastAsia="宋体" w:cs="宋体"/>
                <w:color w:val="auto"/>
                <w:szCs w:val="21"/>
              </w:rPr>
              <w:t>保险费率：</w:t>
            </w:r>
            <w:r>
              <w:rPr>
                <w:rFonts w:hint="eastAsia" w:ascii="宋体" w:hAnsi="宋体" w:eastAsia="宋体" w:cs="宋体"/>
                <w:b/>
                <w:color w:val="auto"/>
                <w:szCs w:val="21"/>
                <w:u w:val="single"/>
              </w:rPr>
              <w:t>5</w:t>
            </w:r>
            <w:r>
              <w:rPr>
                <w:rFonts w:hint="eastAsia" w:ascii="宋体" w:hAnsi="宋体" w:eastAsia="宋体" w:cs="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tcBorders>
              <w:top w:val="single" w:color="auto" w:sz="6" w:space="0"/>
              <w:left w:val="single" w:color="auto" w:sz="12" w:space="0"/>
              <w:bottom w:val="single" w:color="auto" w:sz="12"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30</w:t>
            </w:r>
          </w:p>
        </w:tc>
        <w:tc>
          <w:tcPr>
            <w:tcW w:w="1484" w:type="dxa"/>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eastAsia="宋体" w:cs="宋体"/>
                <w:color w:val="auto"/>
                <w:szCs w:val="21"/>
              </w:rPr>
            </w:pPr>
            <w:r>
              <w:rPr>
                <w:rFonts w:hint="eastAsia" w:ascii="宋体" w:hAnsi="宋体" w:eastAsia="宋体" w:cs="宋体"/>
                <w:color w:val="auto"/>
                <w:szCs w:val="21"/>
              </w:rPr>
              <w:t>24.1</w:t>
            </w:r>
          </w:p>
        </w:tc>
        <w:tc>
          <w:tcPr>
            <w:tcW w:w="7426" w:type="dxa"/>
            <w:tcBorders>
              <w:top w:val="single" w:color="auto" w:sz="6" w:space="0"/>
              <w:left w:val="single" w:color="auto" w:sz="6" w:space="0"/>
              <w:bottom w:val="single" w:color="auto" w:sz="12" w:space="0"/>
              <w:right w:val="single" w:color="auto" w:sz="12" w:space="0"/>
            </w:tcBorders>
          </w:tcPr>
          <w:p>
            <w:pPr>
              <w:spacing w:line="400" w:lineRule="exact"/>
              <w:rPr>
                <w:rFonts w:ascii="宋体" w:hAnsi="宋体" w:eastAsia="宋体" w:cs="宋体"/>
                <w:color w:val="auto"/>
                <w:szCs w:val="21"/>
              </w:rPr>
            </w:pPr>
            <w:r>
              <w:rPr>
                <w:rFonts w:hint="eastAsia" w:ascii="宋体" w:hAnsi="宋体" w:eastAsia="宋体" w:cs="宋体"/>
                <w:color w:val="auto"/>
                <w:szCs w:val="21"/>
              </w:rPr>
              <w:t>争议的最终解决方式：</w:t>
            </w:r>
            <w:r>
              <w:rPr>
                <w:rFonts w:hint="eastAsia" w:ascii="宋体" w:hAnsi="宋体" w:eastAsia="宋体" w:cs="宋体"/>
                <w:b/>
                <w:bCs/>
                <w:color w:val="auto"/>
                <w:szCs w:val="21"/>
                <w:u w:val="single"/>
              </w:rPr>
              <w:t>向工程所在地三门县人民法院起诉</w:t>
            </w:r>
            <w:r>
              <w:rPr>
                <w:rFonts w:hint="eastAsia" w:ascii="宋体" w:hAnsi="宋体" w:eastAsia="宋体" w:cs="宋体"/>
                <w:color w:val="auto"/>
                <w:szCs w:val="21"/>
              </w:rPr>
              <w:t>。</w:t>
            </w:r>
          </w:p>
        </w:tc>
      </w:tr>
    </w:tbl>
    <w:p>
      <w:pPr>
        <w:rPr>
          <w:rFonts w:hint="eastAsia" w:ascii="宋体" w:hAnsi="宋体" w:eastAsia="宋体" w:cs="宋体"/>
          <w:color w:val="auto"/>
          <w:sz w:val="24"/>
        </w:rPr>
      </w:pPr>
    </w:p>
    <w:p>
      <w:pPr>
        <w:spacing w:before="240" w:after="240"/>
        <w:jc w:val="center"/>
        <w:rPr>
          <w:rFonts w:hint="eastAsia" w:ascii="宋体" w:hAnsi="宋体" w:eastAsia="宋体" w:cs="宋体"/>
          <w:b/>
          <w:color w:val="auto"/>
          <w:sz w:val="28"/>
          <w:szCs w:val="28"/>
        </w:rPr>
      </w:pPr>
      <w:r>
        <w:rPr>
          <w:rFonts w:hint="eastAsia" w:ascii="宋体" w:hAnsi="宋体" w:eastAsia="宋体" w:cs="宋体"/>
          <w:b/>
          <w:color w:val="auto"/>
          <w:sz w:val="30"/>
          <w:szCs w:val="30"/>
        </w:rPr>
        <w:br w:type="page"/>
      </w:r>
      <w:r>
        <w:rPr>
          <w:rFonts w:hint="eastAsia" w:ascii="宋体" w:hAnsi="宋体" w:eastAsia="宋体" w:cs="宋体"/>
          <w:b/>
          <w:color w:val="auto"/>
          <w:sz w:val="28"/>
          <w:szCs w:val="28"/>
        </w:rPr>
        <w:t>项目专用合同条款</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说明：本“项目专用合同条款”根据本项目的特点和实际需要，是对“通用合同条款”、“公路工程专用合同条款”的补充、细化或约定，应对照“通用合同条款”、“公路工程专用 合同条款”中同一编号的条款一起阅读和理解。</w:t>
      </w:r>
    </w:p>
    <w:p>
      <w:pPr>
        <w:pStyle w:val="3"/>
        <w:spacing w:before="360" w:beforeLines="150" w:after="480" w:line="400" w:lineRule="exact"/>
        <w:rPr>
          <w:rFonts w:hint="eastAsia" w:ascii="宋体" w:hAnsi="宋体"/>
          <w:color w:val="auto"/>
          <w:sz w:val="28"/>
          <w:szCs w:val="28"/>
        </w:rPr>
      </w:pPr>
      <w:bookmarkStart w:id="179" w:name="_Toc15989"/>
      <w:r>
        <w:rPr>
          <w:rFonts w:hint="eastAsia" w:ascii="宋体" w:hAnsi="宋体"/>
          <w:color w:val="auto"/>
          <w:sz w:val="28"/>
          <w:szCs w:val="28"/>
        </w:rPr>
        <w:t>1. 一般约定</w:t>
      </w:r>
      <w:bookmarkEnd w:id="179"/>
    </w:p>
    <w:p>
      <w:pPr>
        <w:pStyle w:val="3"/>
        <w:spacing w:before="0" w:after="0" w:line="400" w:lineRule="exact"/>
        <w:rPr>
          <w:rFonts w:hint="eastAsia" w:ascii="宋体" w:hAnsi="宋体"/>
          <w:b w:val="0"/>
          <w:color w:val="auto"/>
          <w:sz w:val="21"/>
          <w:szCs w:val="21"/>
        </w:rPr>
      </w:pPr>
      <w:bookmarkStart w:id="180" w:name="_Toc24504"/>
      <w:r>
        <w:rPr>
          <w:rFonts w:hint="eastAsia" w:ascii="宋体" w:hAnsi="宋体"/>
          <w:b w:val="0"/>
          <w:color w:val="auto"/>
          <w:sz w:val="21"/>
          <w:szCs w:val="21"/>
        </w:rPr>
        <w:t>1.1 词语定义</w:t>
      </w:r>
      <w:bookmarkEnd w:id="180"/>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1.1.1 合同</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公路工程专用合同条款第 1.1.1.8 目细化为：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szCs w:val="21"/>
        </w:rPr>
        <w:t>1.1.1.8 已标价工程量清单：指构成合同文件组成部分的已标明价格、经算术性错误修正及其他</w:t>
      </w:r>
      <w:r>
        <w:rPr>
          <w:rFonts w:hint="eastAsia" w:ascii="宋体" w:hAnsi="宋体" w:eastAsia="宋体" w:cs="宋体"/>
          <w:color w:val="auto"/>
        </w:rPr>
        <w:t>错误修正(如有)且承包人已确认的最终的工程量清单，包括工程量清单说明、投标报价说明、其他说明及工程量清单预算审核书中各项表格。</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1.1.2 合同当事人和人员</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通用合同条款 1.1.2 项细化为：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本项目的发包人为：_____</w:t>
      </w:r>
      <w:r>
        <w:rPr>
          <w:rFonts w:hint="eastAsia" w:ascii="宋体" w:hAnsi="宋体" w:eastAsia="宋体" w:cs="宋体"/>
          <w:color w:val="auto"/>
          <w:szCs w:val="21"/>
          <w:u w:val="single"/>
          <w:lang w:eastAsia="zh-CN"/>
        </w:rPr>
        <w:t>三门县人民政府沙柳街道办事处</w:t>
      </w:r>
      <w:r>
        <w:rPr>
          <w:rFonts w:hint="eastAsia" w:ascii="宋体" w:hAnsi="宋体" w:eastAsia="宋体" w:cs="宋体"/>
          <w:color w:val="auto"/>
          <w:u w:val="single"/>
        </w:rPr>
        <w:t>__</w:t>
      </w:r>
      <w:r>
        <w:rPr>
          <w:rFonts w:hint="eastAsia" w:ascii="宋体" w:hAnsi="宋体" w:eastAsia="宋体" w:cs="宋体"/>
          <w:color w:val="auto"/>
        </w:rPr>
        <w:t>___</w:t>
      </w:r>
    </w:p>
    <w:p>
      <w:pPr>
        <w:pStyle w:val="3"/>
        <w:spacing w:before="0" w:after="0" w:line="400" w:lineRule="exact"/>
        <w:rPr>
          <w:rFonts w:hint="eastAsia" w:ascii="宋体" w:hAnsi="宋体"/>
          <w:b w:val="0"/>
          <w:color w:val="auto"/>
          <w:sz w:val="21"/>
          <w:szCs w:val="21"/>
        </w:rPr>
      </w:pPr>
      <w:bookmarkStart w:id="181" w:name="_Toc10326"/>
      <w:r>
        <w:rPr>
          <w:rFonts w:hint="eastAsia" w:ascii="宋体" w:hAnsi="宋体"/>
          <w:b w:val="0"/>
          <w:color w:val="auto"/>
          <w:sz w:val="21"/>
          <w:szCs w:val="21"/>
        </w:rPr>
        <w:t>1.4 合同文件的优先顺序</w:t>
      </w:r>
      <w:bookmarkEnd w:id="181"/>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 1.4 款约定为：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组成合同的各项文件应互相解释，互为说明。解释合同文件的优先顺序如下：</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(1)合同协议书及各种合同附件(含廉政合同、安全生产合同、工程质量责任合同、工程资金监管协议及评标期间和合同谈判过程中的澄清文件和补充资料)；</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(2)中标通知书；</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(3)投标函及投标函附录；</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(4)项目专用合同条款（含招标文件补遗书中与此有关的部分）；</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(5)公路工程专用合同条款；</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(6)通用合同条款；</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(7)项目专用技术规范（含招标文件补遗书中与此有关的部分）；</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(8)通用技术规范；</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(9)图纸（含招标文件补遗书中与此有关的部分）；</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(10)已标价工程量清单（预算审核书）；</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(11)承包人有关人员、设备投入、财务能力的承诺及投标文件中的施工组织设计；</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(12)其他合同文件。</w:t>
      </w:r>
    </w:p>
    <w:p>
      <w:pPr>
        <w:pStyle w:val="3"/>
        <w:spacing w:before="0" w:after="0" w:line="400" w:lineRule="exact"/>
        <w:rPr>
          <w:rFonts w:hint="eastAsia" w:ascii="宋体" w:hAnsi="宋体"/>
          <w:b w:val="0"/>
          <w:color w:val="auto"/>
          <w:sz w:val="21"/>
          <w:szCs w:val="21"/>
        </w:rPr>
      </w:pPr>
      <w:bookmarkStart w:id="182" w:name="_Toc19575"/>
      <w:r>
        <w:rPr>
          <w:rFonts w:hint="eastAsia" w:ascii="宋体" w:hAnsi="宋体"/>
          <w:b w:val="0"/>
          <w:color w:val="auto"/>
          <w:sz w:val="21"/>
          <w:szCs w:val="21"/>
        </w:rPr>
        <w:t>1.6 图纸和承包人文件</w:t>
      </w:r>
      <w:bookmarkEnd w:id="182"/>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1.6.3 图纸的修改</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通用合同条款 1.6.3 项细化为：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图纸需要修改和补充的，应由监理人取得发包人同意后，在该工程或工程相应部位施工前的 7 天内签发图纸修改图和补充图给承包人。承包人应按修改和补充后的图纸施工。没有监理人的批准，承包人不得对施工图的任何部分进行修改。工程实施中应以批准的施工图为准，招标阶段采用图纸与施工图的变化和差异，不应免除承包人为实施本合同工程所应承担的任何责任和义务。</w:t>
      </w:r>
    </w:p>
    <w:p>
      <w:pPr>
        <w:pStyle w:val="3"/>
        <w:spacing w:before="0" w:after="0" w:line="400" w:lineRule="exact"/>
        <w:rPr>
          <w:rFonts w:hint="eastAsia" w:ascii="宋体" w:hAnsi="宋体"/>
          <w:b w:val="0"/>
          <w:color w:val="auto"/>
          <w:sz w:val="21"/>
          <w:szCs w:val="21"/>
        </w:rPr>
      </w:pPr>
      <w:bookmarkStart w:id="183" w:name="_Toc7317"/>
      <w:r>
        <w:rPr>
          <w:rFonts w:hint="eastAsia" w:ascii="宋体" w:hAnsi="宋体"/>
          <w:b w:val="0"/>
          <w:color w:val="auto"/>
          <w:sz w:val="21"/>
          <w:szCs w:val="21"/>
        </w:rPr>
        <w:t>1.7 联络</w:t>
      </w:r>
      <w:bookmarkEnd w:id="183"/>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通用合同条款第 1.7.2 项约定为：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1.7.2 第 1.7.1 项中的通知、批准、证明、证书、指示、要求、请求、同意、意见、确定和决定等来往函件，均应在函件发出 24 小时内送达指定地点和接收人，并办理签收手续。</w:t>
      </w:r>
    </w:p>
    <w:p>
      <w:pPr>
        <w:pStyle w:val="3"/>
        <w:spacing w:before="360" w:beforeLines="150" w:after="480" w:line="400" w:lineRule="exact"/>
        <w:rPr>
          <w:rFonts w:hint="eastAsia" w:ascii="宋体" w:hAnsi="宋体"/>
          <w:color w:val="auto"/>
          <w:sz w:val="28"/>
          <w:szCs w:val="28"/>
        </w:rPr>
      </w:pPr>
      <w:bookmarkStart w:id="184" w:name="_Toc4972"/>
      <w:r>
        <w:rPr>
          <w:rFonts w:hint="eastAsia" w:ascii="宋体" w:hAnsi="宋体"/>
          <w:color w:val="auto"/>
          <w:sz w:val="28"/>
          <w:szCs w:val="28"/>
        </w:rPr>
        <w:t>4. 承包人</w:t>
      </w:r>
      <w:bookmarkEnd w:id="184"/>
    </w:p>
    <w:p>
      <w:pPr>
        <w:pStyle w:val="3"/>
        <w:spacing w:before="0" w:after="0" w:line="400" w:lineRule="exact"/>
        <w:rPr>
          <w:rFonts w:hint="eastAsia" w:ascii="宋体" w:hAnsi="宋体"/>
          <w:b w:val="0"/>
          <w:color w:val="auto"/>
          <w:sz w:val="21"/>
          <w:szCs w:val="21"/>
        </w:rPr>
      </w:pPr>
      <w:bookmarkStart w:id="185" w:name="_Toc25410"/>
      <w:r>
        <w:rPr>
          <w:rFonts w:hint="eastAsia" w:ascii="宋体" w:hAnsi="宋体"/>
          <w:b w:val="0"/>
          <w:color w:val="auto"/>
          <w:sz w:val="21"/>
          <w:szCs w:val="21"/>
        </w:rPr>
        <w:t>4.1 承包人的一般义务</w:t>
      </w:r>
      <w:bookmarkEnd w:id="185"/>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4.1.3 完成各项承包工作</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通用合同条款 4.1.3 项细化为：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（1）承包人应按合同约定以及监理人根据第 3.4 款作出的指示，实施、完成全部工程，并修补工程中的任何缺陷。承包人应提供为完成合同工作所需的劳务、材料、施工设备、工程设备和其他物品，并按合同约定负责临时设施的设计、建造、运行、维护、管理和拆除。</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承包人应在签订合同协议书后 14 天内为本合同实施设立现场项目经理部，该项目经理部应成为承包人授权的代理人或代表的合法机构，承包人应保证该项目经理部履行职责直至合同期满为止。</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 针对本项目施工地点的水文、地质、气象等情况.承包人应针对各种可能出现的情况制定预案并采取相应措施，这些预案包括但不限于：抗台、防汛、地质灾害、工程防护等，该预案应符合有关部门的规定，并在执行前取得有关部门的同意。承包人在合同履行期间执行此预案所发生的费用认为已包含在工程量清单的报价中。未执行预案和措施或执行不当而造成的一切损失或后果由承包人承担全部责任，发包人将不承担任何责任。</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(3)承包人用电、用水、进场道路应由承包人自行调查解决；为避免用电发生维修性或故障性中断，承包人应自备发电机，保证工程实施中的需要。承包人用电应根据国家电力部门的相关规定，保证足够的安全用电距离。自备发动机相关费用已含入清单报价之中，不单独另行计量、支付。</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(4)如果承包人不能按其计划进度完成或与其计划进度有较大偏离，或发包人的总体实施计划有调整，发包人在必要时将适当调整工程量，并根据实际完成数量和承包人的投标报价进行计量支付。</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4.1.4对施工作业和施工方法的完备性负责</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通用合同条款第4.1.4项细化为：</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承包人应按合同约定的工作内容和施工进度要求，编制施工组织设计和施工措施计划，并对所有施工作业和施工方法的完备性和安全可靠性负责。</w:t>
      </w:r>
    </w:p>
    <w:p>
      <w:pPr>
        <w:spacing w:line="3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在施工期间，承包人必须遵守相关施工操作规程及管理程序，不得在各种报表、检查试验记录中作假或诱导监理人作假。</w:t>
      </w:r>
    </w:p>
    <w:p>
      <w:pPr>
        <w:spacing w:line="3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4.1.7避免施工对公众与他人的利益造成损害</w:t>
      </w:r>
    </w:p>
    <w:p>
      <w:pPr>
        <w:spacing w:line="3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通用合同条款第4.1.7项细化为：</w:t>
      </w:r>
    </w:p>
    <w:p>
      <w:pPr>
        <w:spacing w:line="3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凡是标段内与已建公路、通讯缆线、供水、排污管道、输气管道等有交叉、干扰的地段，承包人应在尽量不干扰，基本确保公路正常运营以及注意保护地下管线的前提下合理安排施工组织，采取有效措施保证施工安全，在现场设置施工和安全标志；如因承包人采取的措施不力，造成河道阻塞或者影响公路、通讯缆线、供水、排污管道、输气管道等正常安全运营而给其它部门或个人造成的一切损失，或由上述原因造成本工程工期的拖延或施工费用的增加，均由承包人自行负责。</w:t>
      </w:r>
    </w:p>
    <w:p>
      <w:pPr>
        <w:spacing w:line="390" w:lineRule="exact"/>
        <w:ind w:firstLine="420" w:firstLineChars="200"/>
        <w:rPr>
          <w:rFonts w:hint="eastAsia" w:ascii="宋体" w:hAnsi="宋体" w:eastAsia="宋体" w:cs="宋体"/>
          <w:color w:val="auto"/>
        </w:rPr>
      </w:pPr>
      <w:r>
        <w:rPr>
          <w:rFonts w:hint="eastAsia" w:ascii="宋体" w:hAnsi="宋体" w:eastAsia="宋体" w:cs="宋体"/>
          <w:color w:val="auto"/>
          <w:szCs w:val="21"/>
        </w:rPr>
        <w:t>承包人应保障发包人免于承担由于承包人行为所遭受的其他承包人或所有第三方的索赔，上述索赔一旦发生，承包人应自行负责及时处理索赔事项。如承包人处理不力，发包人可直接将在给承包人的任何一期支付中扣回等额的赔款，支付给相关方。</w:t>
      </w:r>
    </w:p>
    <w:p>
      <w:pPr>
        <w:spacing w:line="390" w:lineRule="exact"/>
        <w:ind w:firstLine="420" w:firstLineChars="200"/>
        <w:rPr>
          <w:rFonts w:hint="eastAsia" w:ascii="宋体" w:hAnsi="宋体" w:eastAsia="宋体" w:cs="宋体"/>
          <w:color w:val="auto"/>
        </w:rPr>
      </w:pPr>
      <w:r>
        <w:rPr>
          <w:rFonts w:hint="eastAsia" w:ascii="宋体" w:hAnsi="宋体" w:eastAsia="宋体" w:cs="宋体"/>
          <w:color w:val="auto"/>
        </w:rPr>
        <w:t>4.1.10 其他义务</w:t>
      </w:r>
    </w:p>
    <w:p>
      <w:pPr>
        <w:spacing w:line="39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 4.1.10 第(2) 目细化为：</w:t>
      </w:r>
    </w:p>
    <w:p>
      <w:pPr>
        <w:spacing w:line="390" w:lineRule="exact"/>
        <w:ind w:firstLine="420" w:firstLineChars="200"/>
        <w:rPr>
          <w:rFonts w:hint="eastAsia" w:ascii="宋体" w:hAnsi="宋体" w:eastAsia="宋体" w:cs="宋体"/>
          <w:color w:val="auto"/>
        </w:rPr>
      </w:pPr>
      <w:r>
        <w:rPr>
          <w:rFonts w:hint="eastAsia" w:ascii="宋体" w:hAnsi="宋体" w:eastAsia="宋体" w:cs="宋体"/>
          <w:color w:val="auto"/>
        </w:rPr>
        <w:t>(2) 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390" w:lineRule="exact"/>
        <w:ind w:firstLine="420" w:firstLineChars="200"/>
        <w:rPr>
          <w:rFonts w:hint="eastAsia" w:ascii="宋体" w:hAnsi="宋体" w:eastAsia="宋体" w:cs="宋体"/>
          <w:color w:val="auto"/>
        </w:rPr>
      </w:pPr>
      <w:r>
        <w:rPr>
          <w:rFonts w:hint="eastAsia" w:ascii="宋体" w:hAnsi="宋体" w:eastAsia="宋体" w:cs="宋体"/>
          <w:color w:val="auto"/>
        </w:rPr>
        <w:t>发包人协助办理的成功与否，不免除根据合同文件规定的承包人的一切责任。</w:t>
      </w:r>
    </w:p>
    <w:p>
      <w:pPr>
        <w:spacing w:line="39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 4.1.10 第(3) 目细化为：</w:t>
      </w:r>
    </w:p>
    <w:p>
      <w:pPr>
        <w:spacing w:line="390" w:lineRule="exact"/>
        <w:ind w:firstLine="420" w:firstLineChars="200"/>
        <w:rPr>
          <w:rFonts w:hint="eastAsia" w:ascii="宋体" w:hAnsi="宋体" w:eastAsia="宋体" w:cs="宋体"/>
          <w:color w:val="auto"/>
        </w:rPr>
      </w:pPr>
      <w:r>
        <w:rPr>
          <w:rFonts w:hint="eastAsia" w:ascii="宋体" w:hAnsi="宋体" w:eastAsia="宋体" w:cs="宋体"/>
          <w:color w:val="auto"/>
        </w:rPr>
        <w:t>(3) 承包人应严格遵守国家有关解决拖欠工程款和民工工资的法律、法规，及时支付工程中的材料、设备货款及民工工资等费用。承包人应分解工程款中的人工费用，在项目所在地开设的农民工工资（劳务费）专用帐户，专项用于支付农民工工资。农民工工资（劳务费）专用帐户应向项目所在地人力资源社会保障部门和交通运输行政主管部门备案，并委托银行负责日常监管，确保专款专用。承包人不得以任何借口拖欠材料、设备货款及民工工资等费用，如果出现此种现象，发包人有权代为支付其拖欠的材料、设备货款及民工工资，并从应付给承包人的任何款项中扣除相应款项。对恶意拖欠和拒不按计划支付的，作为不良记录纳入浙江省交通运输厅建设市场诚信信息系统和信用评价管理系统。</w:t>
      </w:r>
    </w:p>
    <w:p>
      <w:pPr>
        <w:spacing w:line="390" w:lineRule="exact"/>
        <w:ind w:firstLine="420" w:firstLineChars="200"/>
        <w:rPr>
          <w:rFonts w:hint="eastAsia" w:ascii="宋体" w:hAnsi="宋体" w:eastAsia="宋体" w:cs="宋体"/>
          <w:color w:val="auto"/>
        </w:rPr>
      </w:pPr>
      <w:r>
        <w:rPr>
          <w:rFonts w:hint="eastAsia" w:ascii="宋体" w:hAnsi="宋体" w:eastAsia="宋体" w:cs="宋体"/>
          <w:color w:val="auto"/>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390" w:lineRule="exact"/>
        <w:ind w:firstLine="420" w:firstLineChars="200"/>
        <w:rPr>
          <w:rFonts w:hint="eastAsia" w:ascii="宋体" w:hAnsi="宋体" w:eastAsia="宋体" w:cs="宋体"/>
          <w:color w:val="auto"/>
        </w:rPr>
      </w:pPr>
      <w:r>
        <w:rPr>
          <w:rFonts w:hint="eastAsia" w:ascii="宋体" w:hAnsi="宋体" w:eastAsia="宋体" w:cs="宋体"/>
          <w:color w:val="auto"/>
        </w:rPr>
        <w:t>工资支付表应如实记录支付单位、支付时间、支付对象、支付数额、支付对象的身份证号和签字等信息。民工花名册和工资支付表应报监理人备查。</w:t>
      </w:r>
    </w:p>
    <w:p>
      <w:pPr>
        <w:spacing w:line="390" w:lineRule="exact"/>
        <w:ind w:firstLine="420" w:firstLineChars="200"/>
        <w:rPr>
          <w:rFonts w:hint="eastAsia" w:ascii="宋体" w:hAnsi="宋体" w:eastAsia="宋体" w:cs="宋体"/>
          <w:color w:val="auto"/>
        </w:rPr>
      </w:pPr>
      <w:r>
        <w:rPr>
          <w:rFonts w:hint="eastAsia" w:ascii="宋体" w:hAnsi="宋体" w:eastAsia="宋体" w:cs="宋体"/>
          <w:color w:val="auto"/>
        </w:rPr>
        <w:t>承包人应按照《台州市交通建设领域农民工工资支付监督管理暂行办法》</w:t>
      </w:r>
      <w:r>
        <w:rPr>
          <w:rFonts w:hint="eastAsia" w:ascii="宋体" w:hAnsi="宋体" w:eastAsia="宋体" w:cs="宋体"/>
          <w:color w:val="auto"/>
          <w:lang w:eastAsia="zh-CN"/>
        </w:rPr>
        <w:t>、</w:t>
      </w:r>
      <w:r>
        <w:rPr>
          <w:rFonts w:hint="eastAsia" w:ascii="宋体" w:hAnsi="宋体" w:eastAsia="宋体" w:cs="宋体"/>
          <w:color w:val="auto"/>
        </w:rPr>
        <w:t>《台州市交通建设领域农民工工资支付分账管理实施细则》的通知（台交【2018】210号</w:t>
      </w:r>
      <w:r>
        <w:rPr>
          <w:rFonts w:hint="eastAsia" w:ascii="宋体" w:hAnsi="宋体" w:eastAsia="宋体" w:cs="宋体"/>
          <w:color w:val="auto"/>
          <w:lang w:eastAsia="zh-CN"/>
        </w:rPr>
        <w:t>、</w:t>
      </w:r>
      <w:r>
        <w:rPr>
          <w:rFonts w:hint="eastAsia" w:ascii="宋体" w:hAnsi="宋体" w:eastAsia="宋体" w:cs="宋体"/>
          <w:color w:val="auto"/>
        </w:rPr>
        <w:t>《关于印发三门县建设领域民工工资管理办法（试行）的通知》（三人社【2019】41号等文件规定执行</w:t>
      </w:r>
      <w:r>
        <w:rPr>
          <w:rFonts w:hint="eastAsia" w:ascii="宋体" w:hAnsi="宋体" w:eastAsia="宋体" w:cs="宋体"/>
          <w:color w:val="auto"/>
          <w:lang w:eastAsia="zh-CN"/>
        </w:rPr>
        <w:t>及</w:t>
      </w:r>
      <w:r>
        <w:rPr>
          <w:rFonts w:hint="eastAsia" w:hAnsi="宋体"/>
          <w:color w:val="auto"/>
          <w:szCs w:val="21"/>
          <w:lang w:eastAsia="zh-CN"/>
        </w:rPr>
        <w:t>浙建</w:t>
      </w:r>
      <w:r>
        <w:rPr>
          <w:rFonts w:hint="eastAsia" w:hAnsi="宋体"/>
          <w:color w:val="auto"/>
          <w:szCs w:val="21"/>
          <w:lang w:val="en-US" w:eastAsia="zh-CN"/>
        </w:rPr>
        <w:t>[2020]7号关于在全省工程建设领域改革保证金制度的通知执行</w:t>
      </w:r>
      <w:r>
        <w:rPr>
          <w:rFonts w:hint="eastAsia" w:ascii="宋体" w:hAnsi="宋体" w:eastAsia="宋体" w:cs="宋体"/>
          <w:color w:val="auto"/>
        </w:rPr>
        <w:t>。</w:t>
      </w:r>
    </w:p>
    <w:p>
      <w:pPr>
        <w:spacing w:line="390" w:lineRule="exact"/>
        <w:ind w:firstLine="420" w:firstLineChars="200"/>
        <w:rPr>
          <w:rFonts w:hint="eastAsia" w:ascii="宋体" w:hAnsi="宋体" w:eastAsia="宋体" w:cs="宋体"/>
          <w:color w:val="auto"/>
        </w:rPr>
      </w:pPr>
      <w:r>
        <w:rPr>
          <w:rFonts w:hint="eastAsia" w:ascii="宋体" w:hAnsi="宋体" w:eastAsia="宋体" w:cs="宋体"/>
          <w:color w:val="auto"/>
        </w:rPr>
        <w:t>承包人在本工程中，应严格执行《关于进一步落实交通建设领域施工企业农民工记工考勤卡等事宜的通知》（浙交〔 2009〕 39 号）和《关于进一步完善建筑业企业农民工工资支付保证金制度意见的通知》（浙政发[2012]100 号），承包人应将农民工工资保证金缴纳至工程所在地的各市（县）交通运输行政主管部门设立的交通建设领域农民工工资保证金专户。</w:t>
      </w:r>
    </w:p>
    <w:p>
      <w:pPr>
        <w:spacing w:line="390" w:lineRule="exact"/>
        <w:ind w:firstLine="420" w:firstLineChars="200"/>
        <w:rPr>
          <w:rFonts w:hint="eastAsia" w:ascii="宋体" w:hAnsi="宋体" w:eastAsia="宋体" w:cs="宋体"/>
          <w:color w:val="auto"/>
        </w:rPr>
      </w:pPr>
      <w:r>
        <w:rPr>
          <w:rFonts w:hint="eastAsia" w:ascii="宋体" w:hAnsi="宋体" w:eastAsia="宋体" w:cs="宋体"/>
          <w:color w:val="auto"/>
        </w:rPr>
        <w:t>承包人应按照《关于进一步落实交通建设领域施工企业农民工记工考勤卡等事宜的通知》</w:t>
      </w:r>
      <w:r>
        <w:rPr>
          <w:rFonts w:hint="eastAsia" w:ascii="宋体" w:hAnsi="宋体" w:eastAsia="宋体" w:cs="宋体"/>
          <w:color w:val="auto"/>
          <w:szCs w:val="21"/>
        </w:rPr>
        <w:t>（浙交[2009]39号）文</w:t>
      </w:r>
      <w:r>
        <w:rPr>
          <w:rFonts w:hint="eastAsia" w:ascii="宋体" w:hAnsi="宋体" w:eastAsia="宋体" w:cs="宋体"/>
          <w:color w:val="auto"/>
        </w:rPr>
        <w:t>的规定，在用工后 15 天内与农民工签订劳动合同，根据劳动合同签订情况，统计农民工人数，按照实际人数办理记工考勤卡。项目完工后或农民工提前离开工地，承包人应在合同约定期限之内对农民工工资进行结算，并一次性付清所有应发放的工资，同时承包人应在项目经理部和新闻媒介上分阶段公示工资支付情况，并公开 2 个监督电话（电话为当地交通主管部门和劳动保障部门等第三方单位可打通的号码），公示期为 5 个工作日。承包人应加强劳动合同管理，规范公路建设用工行为。不拖欠农民工工资，及时、足额发放农民工工资。</w:t>
      </w:r>
    </w:p>
    <w:p>
      <w:pPr>
        <w:pStyle w:val="2"/>
        <w:keepNext w:val="0"/>
        <w:keepLines w:val="0"/>
        <w:pageBreakBefore w:val="0"/>
        <w:widowControl w:val="0"/>
        <w:kinsoku/>
        <w:wordWrap/>
        <w:overflowPunct/>
        <w:topLinePunct w:val="0"/>
        <w:autoSpaceDE/>
        <w:autoSpaceDN/>
        <w:bidi w:val="0"/>
        <w:adjustRightInd/>
        <w:snapToGrid/>
        <w:spacing w:line="390" w:lineRule="exact"/>
        <w:textAlignment w:val="auto"/>
        <w:rPr>
          <w:rFonts w:hint="default" w:ascii="宋体" w:hAnsi="宋体" w:eastAsia="宋体" w:cs="宋体"/>
          <w:color w:val="auto"/>
          <w:kern w:val="2"/>
          <w:sz w:val="21"/>
          <w:szCs w:val="24"/>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color w:val="auto"/>
          <w:kern w:val="2"/>
          <w:sz w:val="21"/>
          <w:szCs w:val="24"/>
          <w:lang w:val="en-US" w:eastAsia="zh-CN" w:bidi="ar-SA"/>
        </w:rPr>
        <w:t>根据浙建[2020]7号关于在全省工程建设领域改革保证金制度的通知的规定，企业实名制管理、工资分帐管理等根治欠新制度落实到位、连续两年未被欠新立案且未纳入建筑市场严重失信名单的建筑业企业，可免缴农民工工资保证金。</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 4.1.10 第(4) 目细化为：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 项目审计（含跟踪审计）、稽查和检查等的配合</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a. 与本工程项目相关的审计和稽查，承包人应高度重视并委派专人积极予以配合；</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b. 有关单位对本项目的各种检查等活动，承包人有义务予以积极配合开展各项工作；</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c. 本工程项目有关的各类统计报表、汇报材料包括交（竣）工验收和项目后评价报告等，承包人有义务配合发包人做好编制工作并提供相应的资料；</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d. 承包人应按发包人、监理人和有关文件要求，建立相应的计量、支付和变更台帐，同时承包人应配合发包人、监理人建立相应的台帐，并保持其持续有效直至工程决算完成；</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e. 承包人应按发包人要求将有关材料的供货合同等资料提供给发包人和监理人备案。取材的料场或供货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(5) 与第三方检测、监控、科研单位的配合</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a. 承包人必须积极配合、协助第三方检测、监控、科研等单位的工作，委派专人做好配合工作。</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b. 承包人应熟悉第三方检测、监控、科研等单位的检测、监控、科研实施方案和流程，配合工作也应有相应的方案，该方案须经监理人审批同意；</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c. 施工检测、监控、科研过程中，应在监理人的统一调配下，承包人应尽可能地提供人员、材料、设备的便利，以便施工检测、监控、科研工作顺利的进行；</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d. 承包人应参与检测、监控、科研资料的总结与分析工作。</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(6) 地方道路、分流道路的维护和管理</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承包人在使用现有地方道路和分流道路过程中，必须采取一切措施确保车辆正常通行，做到施工、通车两不误。承包人应针对通车路段的施工特点，提出通车路段的施工维护、交通组织方案，报监理人及相关职能部门批准，并认真组织实施。施工方案和措施应包括：</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a. 成立维护、管理组织，负责正常道路维护和交通管理工作；</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b. 配备交通管理标志，指定专人维护交通秩序；</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c. 加强与交警、路政等职能部门联系，争取交警、路政等的参与，建立切实可行交通管理制度。</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由于承包人措施不力，导致阻车和事故频发或损坏现有地方道路及分流道路，影响交通安全和正常运行，并造成重大影响，引起索赔，赔偿、诉讼费用及工程拖延或施工费用增加时，应由承包人承担一切责任和费用。</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 xml:space="preserve"> (7) 几个承包人或与相邻标段或与相邻项目在同一区域内施工时，监理人有权协调工程的实施，并对工程衔接作出指示，承包人应在监理人的统一协调下工作，承包人因此增加的费用应认为已包括在投标价之中，发包人不另行支付。</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(8) 未经发包人事先批准，承包人不得在任何报纸、商业或技术文献上刊登或披露任何与本合同或与本工程有关的详细资料。</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承包人不应在现场或施工设施上展示或允许展示任何贸易和商业性广告。在工地现场张贴布告，应事先得到监理人的批准，当监理人指示撤除时，应立即执行。</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(9) 承包人不得将任何种类的爆破器材给予、易货或以其他任何方式转给他人，承包人应遵守《中华人民共和国民用爆炸物品管理条例》。承包人在进行爆破施工前应当编制详细实施性施工方案、 安全专项方案以及进行相关的试爆工作的实施方案，并报经监理人及相关部门审批认可，同时应综合考虑爆破震动、落物等负面因素对正在运营的高速公路、电力、通信通讯等周边设施、建筑物和环境等的影响，承包人应加强施工过程中的监控量测工作，制定相应的预警预控机制和安全应急预案，避免对上述设施造成破坏，否则，由此引起的一切费用均由承包人承担。</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(10) 工程完工后，承包人所在标段的遗留问题，如（不限于）：河道清理、渣土清运、临时用地(含取、弃土场等) 的复耕复绿、老桥拆除砼垃圾的清理外运解小、建筑垃圾和渣土清运, 临时工程的清除、赔偿，因承包人施工原因造成的受损地方道路、桥梁或其他公共设施等，承包人应积极主动进行处理、解决、 修复和恢复等，并承担所有费用。如果上述问题在发包人规定的期限内不能解决，发包人有权单独或委托其他单位进行处理，发生的全部费用从承包人保留金中抵扣， 承包人应无条件接受。</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 xml:space="preserve"> (11) 承包人应按照浙江省交通运输厅浙交[2013]120 号文《关于在我省政府投资公路水运建设工程中推行安全质量远程视频监控系统的通知》 做好相关工作。</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(12)承包人应按照关于印发《台州市国省道公路建设工程标准化工地管理规定（试行）》的通知（台交（2010）132号文）、台委（2013）85号文《关于印发台州市“交通工程建设文化进工地”活动实施方案的通知》、浙交[2011]112 号关于印发《浙江省普通国省道公路建设工程标准化工地建设管理和考核办法（试行）》、浙江省交通运输厅浙交[2011]68 号文《浙江省公路水运建设工程施工现场安全标志和安全防护设施设置规定（试行）》、浙交[2015]59 号文《关于进一步加强交通建设工程质量安全管理工作的若干意见》、交通运输部交质监发[2012]679 号文《关于开展公路水运工程“平安工地”考核评价工作的通知》和浙江省交通运输厅关于印发《浙江省公路水运“品质工程”建设活动指导意见》以及台州市等相关部门的要求进行工地标准化、施工标准化、管理标准化建设和安全、文明施工。</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承包人在开工前应结合工程特点编制工地标准化、施工标准化和管理标准化建设和安全、文明施工建设实施方案；建设实施方案经项目部批准、公司技术负责人审查同意后，报监理单位审查；经监理单位审查同意后由建设单位组织专项审查，形成审查意见。经审查通过的实施方案不得随意变动。在完成驻地和“三集中”场地标准化建设后，需经建设单位和监理驻地办联合验收后才能进行使用投产。</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为进一步加强公路水运工程安全生产“双基”工作，有效落实企业安全生产主体责任，根据《交通运输部关于开展公路水运工程平安工地建设活动的通知》（交质监发[2010]132 号）、《交通运输部安全监管总局关于组织公路水运建设项目平安工程冠名工作的通知》（交质监发[2012]639 号）、《交通运输部关于开展公路水运工程“平安工地”考核评价工作的通知》（交质监发[2012]679 号）要求，做好工程施工安全及平安工地建设，确保本工程顺利完工，所涉及到的相关费用承包人应充分考虑在投标报价中，发包人不另行计量与支付。</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（13）承包人应依据浙交[2010]236 号《关于印发〈浙江省公路水运危险性较大分部分项工程安全专项施工方案管理办法（试行）〉的通知》及发包人要求的关键分部分项工程，相应编制安全专项施工方案、专项施工技术方案和专项交通组织方案等方案，并经由承包人内审（技术、安全、质量等相关部门专业技术人员进行审核），技术负责人签字确认后上报；对不需专家论证的方案，报监理人审批；对需论证的方案应由承包人按文件要求组织专家进行论证，并根据专家的书面论证审查意见对专项方案进行修改完善后，报监理人审核和发包人审批，均同意后方可实施（其中方案中涉及计算复核工作应由承包人委托第三方进行验算）。由施工引起的需涉及预埋管线的（如便道跨越管线等所有交叉工程），需由承包人负责安全风险评估等相关工作，以保证施工安全。</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（14）根据最新修订的《中华人民共和国水土保持法》规定及要求，承包人在项目施工过程中应严格规范施工技术，确保建设项目水土保持的稳定性，积极配合相关部门的水土保持监测和监督工作。</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15）承包人对影响公路工程质量的原材料及成品材料常用产品的质量管理应按照浙江省交通运输厅“关于印发《浙江省公路水运工程常用产品质量监督抽查管理实施意见（试行）》浙交[2012]248号文的通知”的有关要求执行。</w:t>
      </w:r>
    </w:p>
    <w:p>
      <w:pPr>
        <w:spacing w:line="400" w:lineRule="exact"/>
        <w:ind w:firstLine="420" w:firstLineChars="200"/>
        <w:rPr>
          <w:rFonts w:hint="eastAsia" w:ascii="宋体" w:hAnsi="宋体" w:eastAsia="宋体" w:cs="宋体"/>
          <w:color w:val="auto"/>
        </w:rPr>
      </w:pPr>
      <w:bookmarkStart w:id="186" w:name="_Toc373421021"/>
      <w:r>
        <w:rPr>
          <w:rFonts w:hint="eastAsia" w:ascii="宋体" w:hAnsi="宋体" w:eastAsia="宋体" w:cs="宋体"/>
          <w:color w:val="auto"/>
        </w:rPr>
        <w:t>（16）发包人针对本工程制定的项目管理办法</w:t>
      </w:r>
      <w:bookmarkEnd w:id="186"/>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在合同执行期间，承包人应执行发包人根据本项目建设管理需要制定的的项目管理办法。</w:t>
      </w:r>
    </w:p>
    <w:p>
      <w:pPr>
        <w:pStyle w:val="3"/>
        <w:spacing w:before="0" w:after="0" w:line="400" w:lineRule="exact"/>
        <w:rPr>
          <w:rFonts w:hint="eastAsia" w:ascii="宋体" w:hAnsi="宋体"/>
          <w:b w:val="0"/>
          <w:color w:val="auto"/>
          <w:sz w:val="21"/>
          <w:szCs w:val="21"/>
        </w:rPr>
      </w:pPr>
      <w:bookmarkStart w:id="187" w:name="_Toc22751"/>
      <w:r>
        <w:rPr>
          <w:rFonts w:hint="eastAsia" w:ascii="宋体" w:hAnsi="宋体"/>
          <w:b w:val="0"/>
          <w:color w:val="auto"/>
          <w:sz w:val="21"/>
          <w:szCs w:val="21"/>
        </w:rPr>
        <w:t>4.3 分包</w:t>
      </w:r>
      <w:bookmarkEnd w:id="187"/>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 4.3.2 项补充：</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本项目严禁转包和违规分包，且不得再次分包。投标人拟在中标后将中标项目的部分适合专业化队伍施工的专业工程进行分包的，应符合交通运输部《关于印发公路工程施工分包管理办法的通知》（交公路发〔2011〕685 号）及浙江省交通运输厅《关于印发&lt;浙江省公路水运工程施工分包管理实施细则&gt;的通知》（浙交〔2012〕253 号）及有关分包管理的规定。本项目不允许分包的工程：本项目路基不允许分包。</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4.3.3 专业分包</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 4.3.3（1）目细化为：</w:t>
      </w:r>
    </w:p>
    <w:p>
      <w:pPr>
        <w:spacing w:line="400" w:lineRule="exact"/>
        <w:rPr>
          <w:rFonts w:hint="eastAsia" w:ascii="宋体" w:hAnsi="宋体" w:eastAsia="宋体" w:cs="宋体"/>
          <w:color w:val="auto"/>
        </w:rPr>
      </w:pPr>
      <w:r>
        <w:rPr>
          <w:rFonts w:hint="eastAsia" w:ascii="宋体" w:hAnsi="宋体" w:eastAsia="宋体" w:cs="宋体"/>
          <w:color w:val="auto"/>
        </w:rPr>
        <w:t xml:space="preserve">   （1）允许专业分包的工程范围仅限于分部工程或分项工程、适合专业化队伍施工的工程。本项目不得分包的专业工程：本项目路基不允许分包。</w:t>
      </w:r>
    </w:p>
    <w:p>
      <w:pPr>
        <w:spacing w:line="400" w:lineRule="exact"/>
        <w:rPr>
          <w:rFonts w:hint="eastAsia" w:ascii="宋体" w:hAnsi="宋体" w:eastAsia="宋体" w:cs="宋体"/>
          <w:color w:val="auto"/>
        </w:rPr>
      </w:pPr>
      <w:r>
        <w:rPr>
          <w:rFonts w:hint="eastAsia" w:ascii="宋体" w:hAnsi="宋体" w:eastAsia="宋体" w:cs="宋体"/>
          <w:color w:val="auto"/>
        </w:rPr>
        <w:t xml:space="preserve">    4.3.4 劳务分包</w:t>
      </w:r>
    </w:p>
    <w:p>
      <w:pPr>
        <w:spacing w:line="400" w:lineRule="exact"/>
        <w:rPr>
          <w:rFonts w:hint="eastAsia" w:ascii="宋体" w:hAnsi="宋体" w:eastAsia="宋体" w:cs="宋体"/>
          <w:color w:val="auto"/>
        </w:rPr>
      </w:pPr>
      <w:r>
        <w:rPr>
          <w:rFonts w:hint="eastAsia" w:ascii="宋体" w:hAnsi="宋体" w:eastAsia="宋体" w:cs="宋体"/>
          <w:color w:val="auto"/>
        </w:rPr>
        <w:t xml:space="preserve">    公路工程专用合同条款第 4.3.4 项补充第（5）目：</w:t>
      </w:r>
    </w:p>
    <w:p>
      <w:pPr>
        <w:spacing w:line="400" w:lineRule="exact"/>
        <w:rPr>
          <w:rFonts w:hint="eastAsia" w:ascii="宋体" w:hAnsi="宋体" w:eastAsia="宋体" w:cs="宋体"/>
          <w:color w:val="auto"/>
        </w:rPr>
      </w:pPr>
      <w:r>
        <w:rPr>
          <w:rFonts w:hint="eastAsia" w:ascii="宋体" w:hAnsi="宋体" w:eastAsia="宋体" w:cs="宋体"/>
          <w:color w:val="auto"/>
        </w:rPr>
        <w:t xml:space="preserve">   （5）劳务分包人应提供劳动安全生产许可证、税务登记证书。</w:t>
      </w:r>
    </w:p>
    <w:p>
      <w:pPr>
        <w:pStyle w:val="3"/>
        <w:spacing w:before="0" w:after="0" w:line="400" w:lineRule="exact"/>
        <w:rPr>
          <w:rFonts w:hint="eastAsia" w:ascii="宋体" w:hAnsi="宋体"/>
          <w:b w:val="0"/>
          <w:color w:val="auto"/>
          <w:sz w:val="21"/>
          <w:szCs w:val="21"/>
        </w:rPr>
      </w:pPr>
      <w:bookmarkStart w:id="188" w:name="_Toc537"/>
      <w:r>
        <w:rPr>
          <w:rFonts w:hint="eastAsia" w:ascii="宋体" w:hAnsi="宋体"/>
          <w:b w:val="0"/>
          <w:color w:val="auto"/>
          <w:sz w:val="21"/>
          <w:szCs w:val="21"/>
        </w:rPr>
        <w:t>4.6 承包人人员的管理</w:t>
      </w:r>
      <w:bookmarkEnd w:id="188"/>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 4.6 款补充第 4.6.6 项～第 4.6.8 项：</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4.6.6 承包人的所有管理、施工人员（包括分包队伍）需着统一的明显标志服，夜间须为反光标志服，同时须符合相关安全管理的规定，并按不同岗位佩证上岗。</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4.6.7 承包人项目经理、项目总工及主要管理人员的出勤需进行考勤。 项目经理及项目总工离开工地必须向监理人书面请假，并经发包人同意后才能离开；每月在工地天数应大于 20 天（特殊情况经监理人批准报发包人同意例外）。</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4.6.8 除因管理原因发生重大质量安全事故不适合再任，因生病住院、终止劳动合同关系（需提供相关部门或单位的证明材料）等无法继续履行合同责任和义务，被责令停止执业、羁押或判刑外，承包人不得提出更换项目 经理、项目总工。符合上述规定确需更换的，应征得发包人同意，并经有关行业行政主管部门备案，且更换后的人员不得低于原投标承诺人员所具有的资格和业绩条件。其中被更换的项目经理在原承担的合同工程项目未通过验收前不得参加依法进行招标的其他国有投资工程建设项目的投标活动。</w:t>
      </w:r>
    </w:p>
    <w:p>
      <w:pPr>
        <w:pStyle w:val="3"/>
        <w:spacing w:before="0" w:after="0" w:line="400" w:lineRule="exact"/>
        <w:rPr>
          <w:rFonts w:hint="eastAsia" w:ascii="宋体" w:hAnsi="宋体"/>
          <w:b w:val="0"/>
          <w:color w:val="auto"/>
          <w:sz w:val="21"/>
          <w:szCs w:val="21"/>
        </w:rPr>
      </w:pPr>
      <w:bookmarkStart w:id="189" w:name="_Toc31720"/>
      <w:r>
        <w:rPr>
          <w:rFonts w:hint="eastAsia" w:ascii="宋体" w:hAnsi="宋体"/>
          <w:b w:val="0"/>
          <w:color w:val="auto"/>
          <w:sz w:val="21"/>
          <w:szCs w:val="21"/>
        </w:rPr>
        <w:t>4.8 保障承包人人员的合法权益</w:t>
      </w:r>
      <w:bookmarkEnd w:id="189"/>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通用合同条款 4.8.3 项补充：</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承包人应至少设一名具有一定卫生常识及传染病防治知识的卫生督查员，负责承包人所在施工现场的传染病检查、控制、报告。</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一旦爆发任何具有传染性的疾病时，承包人应遵守并执行当地政府或卫生防疫部门为防治和消灭上述传染病蔓延而制订的规章、命令和要求。建立人员流动登记制度、信息报告制度，与当地卫生防疫部门积极合作，做好各项防范措施的落实工作。</w:t>
      </w:r>
    </w:p>
    <w:p>
      <w:pPr>
        <w:pStyle w:val="3"/>
        <w:spacing w:before="0" w:after="0" w:line="400" w:lineRule="exact"/>
        <w:rPr>
          <w:rFonts w:hint="eastAsia" w:ascii="宋体" w:hAnsi="宋体"/>
          <w:b w:val="0"/>
          <w:color w:val="auto"/>
          <w:sz w:val="21"/>
          <w:szCs w:val="21"/>
        </w:rPr>
      </w:pPr>
      <w:bookmarkStart w:id="190" w:name="_Toc13046"/>
      <w:r>
        <w:rPr>
          <w:rFonts w:hint="eastAsia" w:ascii="宋体" w:hAnsi="宋体"/>
          <w:b w:val="0"/>
          <w:color w:val="auto"/>
          <w:sz w:val="21"/>
          <w:szCs w:val="21"/>
        </w:rPr>
        <w:t>4.11 不利物质条件</w:t>
      </w:r>
      <w:bookmarkEnd w:id="190"/>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4.11.1 不利物质条件的范围：</w:t>
      </w:r>
      <w:r>
        <w:rPr>
          <w:rFonts w:hint="eastAsia" w:ascii="宋体" w:hAnsi="宋体" w:eastAsia="宋体" w:cs="宋体"/>
          <w:color w:val="auto"/>
          <w:u w:val="single"/>
        </w:rPr>
        <w:t xml:space="preserve">     </w:t>
      </w:r>
      <w:r>
        <w:rPr>
          <w:rFonts w:hint="eastAsia" w:ascii="宋体" w:hAnsi="宋体" w:eastAsia="宋体" w:cs="宋体"/>
          <w:b/>
          <w:i/>
          <w:color w:val="auto"/>
          <w:u w:val="single"/>
        </w:rPr>
        <w:t xml:space="preserve">/   </w:t>
      </w:r>
      <w:r>
        <w:rPr>
          <w:rFonts w:hint="eastAsia" w:ascii="宋体" w:hAnsi="宋体" w:eastAsia="宋体" w:cs="宋体"/>
          <w:color w:val="auto"/>
          <w:u w:val="single"/>
        </w:rPr>
        <w:t xml:space="preserve">  </w:t>
      </w:r>
    </w:p>
    <w:p>
      <w:pPr>
        <w:pStyle w:val="3"/>
        <w:spacing w:before="360" w:beforeLines="150" w:after="480" w:line="400" w:lineRule="exact"/>
        <w:rPr>
          <w:rFonts w:hint="eastAsia" w:ascii="宋体" w:hAnsi="宋体"/>
          <w:color w:val="auto"/>
          <w:sz w:val="28"/>
          <w:szCs w:val="28"/>
        </w:rPr>
      </w:pPr>
      <w:bookmarkStart w:id="191" w:name="_Toc20877"/>
      <w:r>
        <w:rPr>
          <w:rFonts w:hint="eastAsia" w:ascii="宋体" w:hAnsi="宋体"/>
          <w:color w:val="auto"/>
          <w:sz w:val="28"/>
          <w:szCs w:val="28"/>
        </w:rPr>
        <w:t>6. 施工设备和临时设施</w:t>
      </w:r>
      <w:bookmarkEnd w:id="191"/>
    </w:p>
    <w:p>
      <w:pPr>
        <w:pStyle w:val="3"/>
        <w:spacing w:before="0" w:after="0" w:line="400" w:lineRule="exact"/>
        <w:rPr>
          <w:rFonts w:hint="eastAsia" w:ascii="宋体" w:hAnsi="宋体"/>
          <w:b w:val="0"/>
          <w:color w:val="auto"/>
          <w:sz w:val="21"/>
          <w:szCs w:val="21"/>
        </w:rPr>
      </w:pPr>
      <w:bookmarkStart w:id="192" w:name="_Toc22263"/>
      <w:r>
        <w:rPr>
          <w:rFonts w:hint="eastAsia" w:ascii="宋体" w:hAnsi="宋体"/>
          <w:b w:val="0"/>
          <w:color w:val="auto"/>
          <w:sz w:val="21"/>
          <w:szCs w:val="21"/>
        </w:rPr>
        <w:t>6.3 要求承包人增加或更换施工设备</w:t>
      </w:r>
      <w:bookmarkEnd w:id="192"/>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 6.3 款细化为：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承包人承诺的施工设备必须按时到达现场，不得拖延、缺短或任意更换。尽管承包人已按承诺提供了上述设备，但若承包人使用的施工设备不能满足合同进度计划和(或) 质量要求时，监理人有权要求承包人增加或更换施工设备，承包人应及时增加或更换，由此增加的费用和(或) 工期延误由承包人承担。</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承包人的机械、车辆必须证（照）齐全，三无车辆不得进场。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违反本款规定，则按第 22.1 款承包人违约处理。</w:t>
      </w:r>
    </w:p>
    <w:p>
      <w:pPr>
        <w:pStyle w:val="3"/>
        <w:spacing w:before="360" w:beforeLines="150" w:after="480" w:line="400" w:lineRule="exact"/>
        <w:rPr>
          <w:rFonts w:hint="eastAsia" w:ascii="宋体" w:hAnsi="宋体"/>
          <w:color w:val="auto"/>
          <w:sz w:val="28"/>
          <w:szCs w:val="28"/>
        </w:rPr>
      </w:pPr>
      <w:bookmarkStart w:id="193" w:name="_Toc24027"/>
      <w:r>
        <w:rPr>
          <w:rFonts w:hint="eastAsia" w:ascii="宋体" w:hAnsi="宋体"/>
          <w:color w:val="auto"/>
          <w:sz w:val="28"/>
          <w:szCs w:val="28"/>
        </w:rPr>
        <w:t>7. 交通运输</w:t>
      </w:r>
      <w:bookmarkEnd w:id="193"/>
    </w:p>
    <w:p>
      <w:pPr>
        <w:pStyle w:val="3"/>
        <w:spacing w:before="0" w:after="0" w:line="400" w:lineRule="exact"/>
        <w:rPr>
          <w:rFonts w:hint="eastAsia" w:ascii="宋体" w:hAnsi="宋体"/>
          <w:b w:val="0"/>
          <w:color w:val="auto"/>
          <w:sz w:val="21"/>
          <w:szCs w:val="21"/>
        </w:rPr>
      </w:pPr>
      <w:bookmarkStart w:id="194" w:name="_Toc5047"/>
      <w:r>
        <w:rPr>
          <w:rFonts w:hint="eastAsia" w:ascii="宋体" w:hAnsi="宋体"/>
          <w:b w:val="0"/>
          <w:color w:val="auto"/>
          <w:sz w:val="21"/>
          <w:szCs w:val="21"/>
        </w:rPr>
        <w:t>7.2 场内施工道路</w:t>
      </w:r>
      <w:bookmarkEnd w:id="194"/>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通用合同条款第 7.2.2 项约定为：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7.2.2 承包人应允许发包人、监理人及发包人安排的其他相关人员无偿使用由承包人修建和维护的临时道路、桥梁等设施。承包人应允许与发包人签订有承包合同的其他承包人或其工作人员使用由承包人修建和维护的临时道路、桥梁等设施；如其他承包人或其工作人员在使用中对临时设施有损坏时，承包人可通过监理人指出由其他承包人给予修复或赔偿的要求。</w:t>
      </w:r>
    </w:p>
    <w:p>
      <w:pPr>
        <w:pStyle w:val="3"/>
        <w:spacing w:before="360" w:beforeLines="150" w:after="480" w:line="400" w:lineRule="exact"/>
        <w:rPr>
          <w:rFonts w:hint="eastAsia" w:ascii="宋体" w:hAnsi="宋体"/>
          <w:color w:val="auto"/>
          <w:sz w:val="28"/>
          <w:szCs w:val="28"/>
        </w:rPr>
      </w:pPr>
      <w:bookmarkStart w:id="195" w:name="_Toc8896"/>
      <w:r>
        <w:rPr>
          <w:rFonts w:hint="eastAsia" w:ascii="宋体" w:hAnsi="宋体"/>
          <w:color w:val="auto"/>
          <w:sz w:val="28"/>
          <w:szCs w:val="28"/>
        </w:rPr>
        <w:t>9. 施工安全、治安保卫和环境保护</w:t>
      </w:r>
      <w:bookmarkEnd w:id="195"/>
    </w:p>
    <w:p>
      <w:pPr>
        <w:pStyle w:val="3"/>
        <w:spacing w:before="0" w:after="0" w:line="400" w:lineRule="exact"/>
        <w:rPr>
          <w:rFonts w:hint="eastAsia" w:ascii="宋体" w:hAnsi="宋体"/>
          <w:b w:val="0"/>
          <w:color w:val="auto"/>
          <w:sz w:val="21"/>
          <w:szCs w:val="21"/>
        </w:rPr>
      </w:pPr>
      <w:bookmarkStart w:id="196" w:name="_Toc29501"/>
      <w:r>
        <w:rPr>
          <w:rFonts w:hint="eastAsia" w:ascii="宋体" w:hAnsi="宋体"/>
          <w:b w:val="0"/>
          <w:color w:val="auto"/>
          <w:sz w:val="21"/>
          <w:szCs w:val="21"/>
        </w:rPr>
        <w:t>9.2 承包人的施工安全责任</w:t>
      </w:r>
      <w:bookmarkEnd w:id="196"/>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公路工程专用合同条款第 9.2.5 项约定为：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9.2.5 安全生产费用，不低于投标价（不含安全生产费、建筑工程一切险及第三者责任的保险费）的 1.5%，且不得作为竞争性报价(关于印发《企业安全生产费用提取和使用管理办法》的通知财企〔2012〕16号)。安全生产费用应用于施工安全防护用具及设施的采购和更新、安全施工措施的落实、安全生产条件的改善，不得挪作他用。承包人还应执行浙江省人民政府浙政令〔2012〕300号《浙江省交通建设工程质量和安全生产管理办法》的相关规定和要求。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 款商定或确定。安全生产费的使用和支付按浙交〔2009〕228 号关于印发《浙江省公路水运建设工程安全生产费用管理暂行规定》、浙交监〔2013〕43号《关于进一步加强我省交通建设工程施工安全生产费用管理的通知》的相关要求以及相关最新规定办理。</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公路工程专用合同条款第 9.2.8（1）目细化为：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按《公路水运工程安全生产监督管理办法》、《浙江省交通建设工程质量和安全生产管理办法》、《浙江省交通建设工程安全生产监督管理实施细则》配备固定专职安全生产管理人员，并履行安全生产管理人员职责。</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公路工程专用合同条款第 9.2.8 项补充第（5）目：</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（5）严格按批准的实施性交通安全组织方案做好施工安全相关组织管理工作。</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公路工程专用合同条款补充第 9.2.12、9.2.13、9.2.14、9.2.15 项：</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9.2.12 在合同执行期间，承包人应根据本标段的工程内容，针对桥梁、 隧道工程中符合交通运输部（交质监发[2011]217 号文）的施工安全评估范围的，应当按照上述文件的具体要求做好桥梁、 隧道工程施工安全风险评估工作，承包人因此增加的费用认为已包括在投标价之中，发包人不另行支付。</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9.2.13 在合同执行期间，承包人应执行发包人和行业主管部门下发的安全生产管理的相关规定和文件。</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9.2.14 在合同执行期间，因承包人原因引起的交通事故，其所涉及的停工、索赔、赔偿、诉讼费用及工程拖延或施工费用增加时，应由承包人承担一切责任和费用。</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9.2.15 承包人要加强源头控制，落实安全管理责任，切实做好施工车辆、施工路段管理。一是强化源头管理，对施工车辆上路条件、安全技术状况和资质进行严格把关。二是加强检查力度，严禁施工车辆超载、违法载人以及遮挡号牌、无牌上路等违法行为。三是做好施工路段管控，严格按照有关标准设置明显的安全警示标志，采取安全防护措施，引导施工路段车辆安全通行，严禁非施工作业车辆进入施工区域。</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违反本款规定，则按第 22.1 款承包人违约处理。</w:t>
      </w:r>
    </w:p>
    <w:p>
      <w:pPr>
        <w:pStyle w:val="3"/>
        <w:spacing w:before="0" w:after="0" w:line="400" w:lineRule="exact"/>
        <w:rPr>
          <w:rFonts w:hint="eastAsia" w:ascii="宋体" w:hAnsi="宋体"/>
          <w:b w:val="0"/>
          <w:color w:val="auto"/>
          <w:sz w:val="21"/>
          <w:szCs w:val="21"/>
        </w:rPr>
      </w:pPr>
      <w:bookmarkStart w:id="197" w:name="_Toc6829"/>
      <w:r>
        <w:rPr>
          <w:rFonts w:hint="eastAsia" w:ascii="宋体" w:hAnsi="宋体"/>
          <w:b w:val="0"/>
          <w:color w:val="auto"/>
          <w:sz w:val="21"/>
          <w:szCs w:val="21"/>
        </w:rPr>
        <w:t>9.4 环境保护</w:t>
      </w:r>
      <w:bookmarkEnd w:id="197"/>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公路工程专用合同条款补充第 9.4.12 项：</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9.4.12 承包人在施工中应当贯彻“不破坏就是最大的保护”思想，尊重自然植被地貌，原则上不准在主线视线范围内设置借土场（取土坑）、弃土场（弃渣场），确需要的，承包人须采取复绿、 排水及防护等措施，保证公路沿线美观、和谐、环保。</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 xml:space="preserve"> 承包人对借土场（取土坑）、弃土场（弃渣场）以及其他临时用地须按照设计图纸或承包人自行调查确定，选取工作须报监理人审批、发包人同意，并履行相关职能部门的报批程序后，方可开展施工，所采取的复绿、复耕、排水及防护等措施须通过相关部门的环评、水保、土地等验收，承包人所采取的所有措施以及因此增加的费用应认为已包括在投标价之中，发包人不另行支付。若承包人无视借、弃土场的环保、水保等的处理要求，发包人有权指定第三方专业施工队伍履行承包人的上述义务，因此所发生的所有费用将在承包人的计量款中直接扣除。</w:t>
      </w:r>
    </w:p>
    <w:p>
      <w:pPr>
        <w:pStyle w:val="3"/>
        <w:spacing w:before="360" w:beforeLines="150" w:after="480" w:line="400" w:lineRule="exact"/>
        <w:rPr>
          <w:rFonts w:hint="eastAsia" w:ascii="宋体" w:hAnsi="宋体"/>
          <w:color w:val="auto"/>
          <w:sz w:val="28"/>
          <w:szCs w:val="28"/>
        </w:rPr>
      </w:pPr>
      <w:bookmarkStart w:id="198" w:name="_Toc25755"/>
      <w:r>
        <w:rPr>
          <w:rFonts w:hint="eastAsia" w:ascii="宋体" w:hAnsi="宋体"/>
          <w:color w:val="auto"/>
          <w:sz w:val="28"/>
          <w:szCs w:val="28"/>
        </w:rPr>
        <w:t>10. 进度计划</w:t>
      </w:r>
      <w:bookmarkEnd w:id="198"/>
    </w:p>
    <w:p>
      <w:pPr>
        <w:pStyle w:val="3"/>
        <w:spacing w:before="0" w:after="0" w:line="400" w:lineRule="exact"/>
        <w:rPr>
          <w:rFonts w:hint="eastAsia" w:ascii="宋体" w:hAnsi="宋体"/>
          <w:b w:val="0"/>
          <w:color w:val="auto"/>
          <w:sz w:val="21"/>
          <w:szCs w:val="21"/>
        </w:rPr>
      </w:pPr>
      <w:bookmarkStart w:id="199" w:name="_Toc25926"/>
      <w:r>
        <w:rPr>
          <w:rFonts w:hint="eastAsia" w:ascii="宋体" w:hAnsi="宋体"/>
          <w:b w:val="0"/>
          <w:color w:val="auto"/>
          <w:sz w:val="21"/>
          <w:szCs w:val="21"/>
        </w:rPr>
        <w:t>10.1 合同进度计划</w:t>
      </w:r>
      <w:bookmarkEnd w:id="199"/>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 10.1 款中</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承包人编制施工方案的内容应包括（但不限于）：</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 总体施工组织布置及规划</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(2) 主要工程项目的施工方案、方法与技术措施（尤其对重点、关键和难点工程的施工方案、方法及其措施）</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 工期保证体系及保证措施</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 工程质量管理体系及保证措施</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(5) 安全生产管理体系及保证措施</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(6) 环境保护、水土保持保证体系及保证措施</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(7) 文明施工、文物保护保证体系及保证措施</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(8) 项目风险预测与防范，事故应急预案</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(9) 其他应说明的事项以及相应的图表。</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公路工程专用合同条款补充第 10.5 款：</w:t>
      </w:r>
    </w:p>
    <w:p>
      <w:pPr>
        <w:pStyle w:val="3"/>
        <w:spacing w:before="0" w:after="0" w:line="400" w:lineRule="exact"/>
        <w:rPr>
          <w:rFonts w:hint="eastAsia" w:ascii="宋体" w:hAnsi="宋体"/>
          <w:b w:val="0"/>
          <w:color w:val="auto"/>
          <w:sz w:val="21"/>
          <w:szCs w:val="21"/>
        </w:rPr>
      </w:pPr>
      <w:bookmarkStart w:id="200" w:name="_Toc10834"/>
      <w:r>
        <w:rPr>
          <w:rFonts w:hint="eastAsia" w:ascii="宋体" w:hAnsi="宋体"/>
          <w:b w:val="0"/>
          <w:color w:val="auto"/>
          <w:sz w:val="21"/>
          <w:szCs w:val="21"/>
        </w:rPr>
        <w:t>10.5 季度计划、月度计划、旬计划</w:t>
      </w:r>
      <w:bookmarkEnd w:id="200"/>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 季度计划</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承包人在总体计划（年度计划） 总体要求下编制季度计划，其格式统一按发包人批准后下发的填报要求执行。季度计划必须保持总体计划（年度计划） 的实现。季度计划应在上一个季度的最后一个月的 25 日前提交给监理人。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(2) 月度计划</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承包人在季度计划的要求下编制月度计划，其格式统一按发包人批准后下发的填报要求执行。月度计划必须保持季度计划的实现。月度计划如未能完成，应在文字介绍里详述原因，并在剩余工期中的下一阶段进度试刊中补回来，且详述补救措施。</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 旬计划</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承包人应根据批复的月底计划编制旬计划，并按要求定期向发包人上报旬计划及完成情况汇报资料。</w:t>
      </w:r>
    </w:p>
    <w:p>
      <w:pPr>
        <w:pStyle w:val="3"/>
        <w:spacing w:before="360" w:beforeLines="150" w:after="480" w:line="400" w:lineRule="exact"/>
        <w:rPr>
          <w:rFonts w:hint="eastAsia" w:ascii="宋体" w:hAnsi="宋体"/>
          <w:color w:val="auto"/>
          <w:sz w:val="28"/>
          <w:szCs w:val="28"/>
        </w:rPr>
      </w:pPr>
      <w:bookmarkStart w:id="201" w:name="_Toc7861"/>
      <w:r>
        <w:rPr>
          <w:rFonts w:hint="eastAsia" w:ascii="宋体" w:hAnsi="宋体"/>
          <w:color w:val="auto"/>
          <w:sz w:val="28"/>
          <w:szCs w:val="28"/>
        </w:rPr>
        <w:t>11. 开工和交工</w:t>
      </w:r>
      <w:bookmarkEnd w:id="201"/>
    </w:p>
    <w:p>
      <w:pPr>
        <w:pStyle w:val="3"/>
        <w:spacing w:before="0" w:after="0" w:line="400" w:lineRule="exact"/>
        <w:rPr>
          <w:rFonts w:hint="eastAsia" w:ascii="宋体" w:hAnsi="宋体"/>
          <w:b w:val="0"/>
          <w:color w:val="auto"/>
          <w:sz w:val="21"/>
          <w:szCs w:val="21"/>
        </w:rPr>
      </w:pPr>
      <w:bookmarkStart w:id="202" w:name="_Toc27885"/>
      <w:r>
        <w:rPr>
          <w:rFonts w:hint="eastAsia" w:ascii="宋体" w:hAnsi="宋体"/>
          <w:b w:val="0"/>
          <w:color w:val="auto"/>
          <w:sz w:val="21"/>
          <w:szCs w:val="21"/>
        </w:rPr>
        <w:t>11.4 异常恶劣的气候条件</w:t>
      </w:r>
      <w:bookmarkEnd w:id="202"/>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 11.4 款约定为：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 异常恶劣的气候条件，对本项目而言，是指发生龙卷风、工地受淹、超过桥梁设计洪水位以及不利降水等引起延误的情况。</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(2) 不利降水的衡量标准为：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a. 按本省气象部门统计的项目所在地降水资料，取最近二十年的平均降水天数为标准；</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b. 按项目所在地实际统计的年降水天数与 a 所指的年降水天数之差，每年计算一次。</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 异常恶劣气候的时间，监理人将根据承包人的申请和提交的证明予以评定，但在评定时还将考虑按同等标准，用施工期限内其它月份良好的气候的时间予以抵补。恶劣气候在每个月对工程进度影响的评定，应在整个合同期内予以累计。</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 若恶劣气候只是对局部工程有影响，承包人应采取合同措施予以弥补，而不能推迟工程的总工期。</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(5) 受本款所述的恶劣气候影响的分项工程，必须在工程施工进度网络计划的关键线路上，监理人方能考虑延长工程总工期。</w:t>
      </w:r>
    </w:p>
    <w:p>
      <w:pPr>
        <w:pStyle w:val="3"/>
        <w:spacing w:before="360" w:beforeLines="150" w:after="480" w:line="400" w:lineRule="exact"/>
        <w:rPr>
          <w:rFonts w:hint="eastAsia" w:ascii="宋体" w:hAnsi="宋体"/>
          <w:color w:val="auto"/>
          <w:sz w:val="28"/>
          <w:szCs w:val="28"/>
        </w:rPr>
      </w:pPr>
      <w:bookmarkStart w:id="203" w:name="_Toc24141"/>
      <w:r>
        <w:rPr>
          <w:rFonts w:hint="eastAsia" w:ascii="宋体" w:hAnsi="宋体"/>
          <w:color w:val="auto"/>
          <w:sz w:val="28"/>
          <w:szCs w:val="28"/>
        </w:rPr>
        <w:t>12. 暂停施工</w:t>
      </w:r>
      <w:bookmarkEnd w:id="203"/>
    </w:p>
    <w:p>
      <w:pPr>
        <w:pStyle w:val="3"/>
        <w:spacing w:before="0" w:after="0" w:line="400" w:lineRule="exact"/>
        <w:rPr>
          <w:rFonts w:hint="eastAsia" w:ascii="宋体" w:hAnsi="宋体"/>
          <w:b w:val="0"/>
          <w:color w:val="auto"/>
          <w:sz w:val="21"/>
          <w:szCs w:val="21"/>
        </w:rPr>
      </w:pPr>
      <w:bookmarkStart w:id="204" w:name="_Toc7038"/>
      <w:r>
        <w:rPr>
          <w:rFonts w:hint="eastAsia" w:ascii="宋体" w:hAnsi="宋体"/>
          <w:b w:val="0"/>
          <w:color w:val="auto"/>
          <w:sz w:val="21"/>
          <w:szCs w:val="21"/>
        </w:rPr>
        <w:t>12.1 承包人暂停施工的责任</w:t>
      </w:r>
      <w:bookmarkEnd w:id="204"/>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 12.1 款（6）项约定：</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(6) 由承包人承担的其他暂停施工：</w:t>
      </w:r>
      <w:r>
        <w:rPr>
          <w:rFonts w:hint="eastAsia" w:ascii="宋体" w:hAnsi="宋体" w:eastAsia="宋体" w:cs="宋体"/>
          <w:color w:val="auto"/>
          <w:u w:val="single"/>
        </w:rPr>
        <w:t xml:space="preserve">     无    </w:t>
      </w:r>
    </w:p>
    <w:p>
      <w:pPr>
        <w:pStyle w:val="3"/>
        <w:spacing w:before="360" w:beforeLines="150" w:after="480" w:line="400" w:lineRule="exact"/>
        <w:rPr>
          <w:rFonts w:hint="eastAsia" w:ascii="宋体" w:hAnsi="宋体"/>
          <w:color w:val="auto"/>
          <w:sz w:val="28"/>
          <w:szCs w:val="28"/>
        </w:rPr>
      </w:pPr>
      <w:bookmarkStart w:id="205" w:name="_Toc32684"/>
      <w:r>
        <w:rPr>
          <w:rFonts w:hint="eastAsia" w:ascii="宋体" w:hAnsi="宋体"/>
          <w:color w:val="auto"/>
          <w:sz w:val="28"/>
          <w:szCs w:val="28"/>
        </w:rPr>
        <w:t>13. 工程质量</w:t>
      </w:r>
      <w:bookmarkEnd w:id="205"/>
    </w:p>
    <w:p>
      <w:pPr>
        <w:pStyle w:val="3"/>
        <w:spacing w:before="0" w:after="0" w:line="400" w:lineRule="exact"/>
        <w:rPr>
          <w:rFonts w:hint="eastAsia" w:ascii="宋体" w:hAnsi="宋体"/>
          <w:b w:val="0"/>
          <w:color w:val="auto"/>
          <w:sz w:val="21"/>
          <w:szCs w:val="21"/>
        </w:rPr>
      </w:pPr>
      <w:bookmarkStart w:id="206" w:name="_Toc20692"/>
      <w:r>
        <w:rPr>
          <w:rFonts w:hint="eastAsia" w:ascii="宋体" w:hAnsi="宋体"/>
          <w:b w:val="0"/>
          <w:color w:val="auto"/>
          <w:sz w:val="21"/>
          <w:szCs w:val="21"/>
        </w:rPr>
        <w:t>13.1 工程质量要求</w:t>
      </w:r>
      <w:bookmarkEnd w:id="206"/>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公路工程专用合同条款第 13.1.1 项约定为：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工程质量验收按技术规范及《公路工程质量检验评定标准》执行。本工程的质量目标为：标段工程交（竣）工验收的质量评定：</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90分</w:t>
      </w:r>
      <w:r>
        <w:rPr>
          <w:rFonts w:hint="eastAsia" w:ascii="宋体" w:hAnsi="宋体" w:eastAsia="宋体" w:cs="宋体"/>
          <w:color w:val="auto"/>
          <w:szCs w:val="21"/>
          <w:u w:val="single"/>
        </w:rPr>
        <w:t>及以上</w:t>
      </w:r>
      <w:r>
        <w:rPr>
          <w:rFonts w:hint="eastAsia" w:ascii="宋体" w:hAnsi="宋体" w:eastAsia="宋体" w:cs="宋体"/>
          <w:color w:val="auto"/>
        </w:rPr>
        <w:t xml:space="preserve">。 </w:t>
      </w:r>
    </w:p>
    <w:p>
      <w:pPr>
        <w:pStyle w:val="3"/>
        <w:spacing w:before="0" w:after="0" w:line="400" w:lineRule="exact"/>
        <w:rPr>
          <w:rFonts w:hint="eastAsia" w:ascii="宋体" w:hAnsi="宋体"/>
          <w:b w:val="0"/>
          <w:color w:val="auto"/>
          <w:sz w:val="21"/>
          <w:szCs w:val="21"/>
        </w:rPr>
      </w:pPr>
      <w:bookmarkStart w:id="207" w:name="_Toc12663"/>
      <w:r>
        <w:rPr>
          <w:rFonts w:hint="eastAsia" w:ascii="宋体" w:hAnsi="宋体"/>
          <w:b w:val="0"/>
          <w:color w:val="auto"/>
          <w:sz w:val="21"/>
          <w:szCs w:val="21"/>
        </w:rPr>
        <w:t>13.2 承包人的质量管理</w:t>
      </w:r>
      <w:bookmarkEnd w:id="207"/>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公路工程专用合同条款第 13. 2. 3 项细化为：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13.2.3 承包人必须遵守有关法律、法规、 规章和办法，严格执行公路工程强制性技术标准、各类技术规范及浙政令[2012]300 号《浙江省交通建设工程质量和安全生产管理办法》，全面履行工程合同义务，依法对公路工程质量负责。</w:t>
      </w:r>
    </w:p>
    <w:p>
      <w:pPr>
        <w:pStyle w:val="3"/>
        <w:spacing w:before="0" w:after="0" w:line="400" w:lineRule="exact"/>
        <w:rPr>
          <w:rFonts w:hint="eastAsia" w:ascii="宋体" w:hAnsi="宋体"/>
          <w:b w:val="0"/>
          <w:color w:val="auto"/>
          <w:sz w:val="21"/>
          <w:szCs w:val="21"/>
        </w:rPr>
      </w:pPr>
      <w:bookmarkStart w:id="208" w:name="_Toc27564"/>
      <w:r>
        <w:rPr>
          <w:rFonts w:hint="eastAsia" w:ascii="宋体" w:hAnsi="宋体"/>
          <w:b w:val="0"/>
          <w:color w:val="auto"/>
          <w:sz w:val="21"/>
          <w:szCs w:val="21"/>
        </w:rPr>
        <w:t>13.5 工程隐蔽部位覆盖前的检查</w:t>
      </w:r>
      <w:bookmarkEnd w:id="208"/>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公路工程专用合同条款第 13.5.1 项补充：</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隐蔽工程覆盖前应经监理人检查签认，分阶段（工序）进行摄像或照相，并向监理人提供相关资料作为计量支付的依据。</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公路工程专用合同条款补充第 13.7 款：</w:t>
      </w:r>
    </w:p>
    <w:p>
      <w:pPr>
        <w:pStyle w:val="3"/>
        <w:spacing w:before="0" w:after="0" w:line="400" w:lineRule="exact"/>
        <w:rPr>
          <w:rFonts w:hint="eastAsia" w:ascii="宋体" w:hAnsi="宋体"/>
          <w:b w:val="0"/>
          <w:color w:val="auto"/>
          <w:sz w:val="21"/>
          <w:szCs w:val="21"/>
        </w:rPr>
      </w:pPr>
      <w:bookmarkStart w:id="209" w:name="_Toc24417"/>
      <w:r>
        <w:rPr>
          <w:rFonts w:hint="eastAsia" w:ascii="宋体" w:hAnsi="宋体"/>
          <w:b w:val="0"/>
          <w:color w:val="auto"/>
          <w:sz w:val="21"/>
          <w:szCs w:val="21"/>
        </w:rPr>
        <w:t>13.7 质量抽检</w:t>
      </w:r>
      <w:bookmarkEnd w:id="209"/>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主管交通工程质量监督机构有权对承包人施工质量随时进行抽检，并通过监理人对工程质量实施否决，承包人应积极配合并免费提供试验用的试件。承包人为配合上述工作发生的材料、机械、人员及试验和检验等费用不另行支付。</w:t>
      </w:r>
    </w:p>
    <w:p>
      <w:pPr>
        <w:pStyle w:val="3"/>
        <w:spacing w:before="360" w:beforeLines="150" w:after="480" w:line="400" w:lineRule="exact"/>
        <w:rPr>
          <w:rFonts w:hint="eastAsia" w:ascii="宋体" w:hAnsi="宋体"/>
          <w:color w:val="auto"/>
          <w:sz w:val="28"/>
          <w:szCs w:val="28"/>
        </w:rPr>
      </w:pPr>
      <w:bookmarkStart w:id="210" w:name="_Toc14640"/>
      <w:r>
        <w:rPr>
          <w:rFonts w:hint="eastAsia" w:ascii="宋体" w:hAnsi="宋体"/>
          <w:color w:val="auto"/>
          <w:sz w:val="28"/>
          <w:szCs w:val="28"/>
        </w:rPr>
        <w:t>14. 试验和检验</w:t>
      </w:r>
      <w:bookmarkEnd w:id="210"/>
    </w:p>
    <w:p>
      <w:pPr>
        <w:pStyle w:val="3"/>
        <w:spacing w:before="0" w:after="0" w:line="400" w:lineRule="exact"/>
        <w:rPr>
          <w:rFonts w:hint="eastAsia" w:ascii="宋体" w:hAnsi="宋体"/>
          <w:b w:val="0"/>
          <w:color w:val="auto"/>
          <w:sz w:val="21"/>
          <w:szCs w:val="21"/>
        </w:rPr>
      </w:pPr>
      <w:bookmarkStart w:id="211" w:name="_Toc31020"/>
      <w:r>
        <w:rPr>
          <w:rFonts w:hint="eastAsia" w:ascii="宋体" w:hAnsi="宋体"/>
          <w:b w:val="0"/>
          <w:color w:val="auto"/>
          <w:sz w:val="21"/>
          <w:szCs w:val="21"/>
        </w:rPr>
        <w:t>14.1 材料、工程设备和工程的试验和检验</w:t>
      </w:r>
      <w:bookmarkEnd w:id="211"/>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通用合同条款第 14.1.3 项细化为：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14.1.3 监理人对承包人的试验和检验结果有疑问的，或为查清承包人试验和检验成果的可靠性要求承包人重新试验和检验的，可按合同约定由监理人与承包人共同进行，或由监理人委托给第三方独立的检验单位，该检验单位必须具有国家技术监督局或专业机构的认证资格。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3"/>
        <w:spacing w:before="360" w:beforeLines="150" w:after="480" w:line="400" w:lineRule="exact"/>
        <w:rPr>
          <w:rFonts w:hint="eastAsia" w:ascii="宋体" w:hAnsi="宋体"/>
          <w:color w:val="auto"/>
          <w:sz w:val="28"/>
          <w:szCs w:val="28"/>
        </w:rPr>
      </w:pPr>
      <w:bookmarkStart w:id="212" w:name="_Toc19567"/>
      <w:r>
        <w:rPr>
          <w:rFonts w:hint="eastAsia" w:ascii="宋体" w:hAnsi="宋体"/>
          <w:color w:val="auto"/>
          <w:sz w:val="28"/>
          <w:szCs w:val="28"/>
        </w:rPr>
        <w:t>15. 变更</w:t>
      </w:r>
      <w:bookmarkEnd w:id="212"/>
    </w:p>
    <w:p>
      <w:pPr>
        <w:pStyle w:val="3"/>
        <w:spacing w:before="0" w:after="0" w:line="400" w:lineRule="exact"/>
        <w:rPr>
          <w:rFonts w:hint="eastAsia" w:ascii="宋体" w:hAnsi="宋体"/>
          <w:b w:val="0"/>
          <w:color w:val="auto"/>
          <w:sz w:val="21"/>
          <w:szCs w:val="21"/>
        </w:rPr>
      </w:pPr>
      <w:bookmarkStart w:id="213" w:name="_Toc26287"/>
      <w:r>
        <w:rPr>
          <w:rFonts w:hint="eastAsia" w:ascii="宋体" w:hAnsi="宋体"/>
          <w:b w:val="0"/>
          <w:color w:val="auto"/>
          <w:sz w:val="21"/>
          <w:szCs w:val="21"/>
        </w:rPr>
        <w:t>15.3 变更程序</w:t>
      </w:r>
      <w:bookmarkEnd w:id="213"/>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公路工程专用合同条款第 15.3.4 项细化为：</w:t>
      </w:r>
    </w:p>
    <w:p>
      <w:pPr>
        <w:spacing w:line="400" w:lineRule="exact"/>
        <w:ind w:firstLine="420" w:firstLineChars="200"/>
        <w:rPr>
          <w:rFonts w:hint="eastAsia" w:ascii="宋体" w:hAnsi="宋体" w:eastAsia="宋体" w:cs="宋体"/>
          <w:b/>
          <w:iCs/>
          <w:color w:val="auto"/>
        </w:rPr>
      </w:pPr>
      <w:r>
        <w:rPr>
          <w:rFonts w:hint="eastAsia" w:ascii="宋体" w:hAnsi="宋体" w:eastAsia="宋体" w:cs="宋体"/>
          <w:color w:val="auto"/>
        </w:rPr>
        <w:t>15.3.4 设计变更程序应执行交通运输部《公路工程设计变更管理办法》（交通运输部令 2005 年第 5 号）、浙江省交通运输厅《关于进一步加强国省道及重要县道新、改建项目设计变更管理工作的通知》（浙交〔2008〕70 号） 的相关规定和要求。</w:t>
      </w:r>
      <w:r>
        <w:rPr>
          <w:rFonts w:hint="eastAsia" w:ascii="宋体" w:hAnsi="宋体" w:eastAsia="宋体" w:cs="宋体"/>
          <w:b/>
          <w:iCs/>
          <w:color w:val="auto"/>
        </w:rPr>
        <w:t>工程中凡涉及工程项目变更管理均严格按三门县人民政府文件三政发〔2018 〕44 号、《关于进一步规范政府投资项目变更有关事项的通知》（三政办发【2020】1号）执行，具体详见三门县政府性投资项目工程变更操作手册。</w:t>
      </w:r>
    </w:p>
    <w:p>
      <w:pPr>
        <w:pStyle w:val="3"/>
        <w:spacing w:before="0" w:after="0" w:line="400" w:lineRule="exact"/>
        <w:rPr>
          <w:rFonts w:hint="eastAsia" w:ascii="宋体" w:hAnsi="宋体"/>
          <w:b w:val="0"/>
          <w:color w:val="auto"/>
          <w:sz w:val="21"/>
          <w:szCs w:val="21"/>
        </w:rPr>
      </w:pPr>
      <w:bookmarkStart w:id="214" w:name="_Toc12997"/>
      <w:r>
        <w:rPr>
          <w:rFonts w:hint="eastAsia" w:ascii="宋体" w:hAnsi="宋体"/>
          <w:b w:val="0"/>
          <w:color w:val="auto"/>
          <w:sz w:val="21"/>
          <w:szCs w:val="21"/>
        </w:rPr>
        <w:t>15.4 变更的估价原则</w:t>
      </w:r>
      <w:bookmarkEnd w:id="214"/>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公路工程专用合同条款第 15.4.2 项约定为：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15.4.2 已标价的工程量清单预算审核书中有适用于变更工作的子目的，采用该子目的单价。但是，如果合同的工程量清单中某一个支付子目所列的“合价”（含变更后的“合价”）超过签约合同价的2%，而且该支付子目变更后的工程实际数量超过或少于工程量清单中所列数量的25%，则该支付子目的单价应予以调整，新单价的确定原则适用 15.4.4 项的规定。当支付子目变更后的工程实际数量超过工程量清单中所列数量的 25%的，调整后的新单价适用于该支付子目超过工程量清单中所列数量的工程数量；当支付子目变更后的工程实际数量少于工程量清单中所列数量的 25%的，调整后的新单价适用于该支付子目全部工程数量。</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 15.4.4 项细化为：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15.4.4 已标价工程量清单中无适用或类似子目的单价，按以下原则进行组价：</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（1）定额套用：交通部《公路工程基本建设项目概算预算编制办法》（JTG3830-2018）、交通部《公路工程预算定额》（JTG/T 3832-2018）、交通部《公路工程机械台班费用定额》（JTG/T 3833-2018）、《公路工程工程量清单计价规范》（2018版）以及浙江省交通运输厅浙交[2019]116号文公布的《浙江省公路工程概算预算编制补充规定》；</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（2）取费标准、人工费、机械台班费用：按交通部《公路工程基本建设项目概算预算编制办法》（JTG3830-2018） 、交通部《公路工程预算定额》（JTG/T 3832-2018））、交通部《公路工程机械台班费用定额》（JTG/T 3833-2018）、《公路工程工程量清单计价规范》（2018版）、《浙江省公路工程概算预算编制补充规定的通知》（浙交[2008]85号）、《关于调整我省公路工程概算预算编制人工费单价的通知》（浙交[2012]88 号）执行、浙江省交通厅文件浙交【2012】128号《关于印发《浙江省公路工程估算编制补充规定》的通知、交通运输部办公厅2016年4月29日印发的关于《公路工程营业税改征增值税计价依据调整方案》的通知；</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（3）材料：按本项目合同专用条款16.1款公布的基期价格计入，16.1 款无规定基期价格的材料， 以浙江省交通厅工程造价管理站发布的投标截止期前1个月《质监与造价》上的信息价计入（</w:t>
      </w:r>
      <w:r>
        <w:rPr>
          <w:rFonts w:hint="eastAsia" w:ascii="宋体" w:hAnsi="宋体" w:eastAsia="宋体" w:cs="宋体"/>
          <w:color w:val="auto"/>
          <w:u w:val="single"/>
        </w:rPr>
        <w:t>_三门县</w:t>
      </w:r>
      <w:r>
        <w:rPr>
          <w:rFonts w:hint="eastAsia" w:ascii="宋体" w:hAnsi="宋体" w:eastAsia="宋体" w:cs="宋体"/>
          <w:color w:val="auto"/>
        </w:rPr>
        <w:t>信息价平均值）；《质监与造价》中也无信息价的，由监理人、发包人、承包人商定；</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（4）无法套用上述定额和取费标准的，依次按水运、 市政、水利、铁路、建筑定额和取费标准的顺序进行组价； 上述定额有区域性的，优先适用浙江定额与取费标准；</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（5）无法套用任何现行定额的，由承包人报监理人审核， 并经发包人审批同意后计取；</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（6）根据上述原则组价的综合单价，计算工程总价，结算时统一按评标标底下浮率实行总价下浮。</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补充15.4.6：招标人提供预算审核书中定额子目套用错误，结算时按公路工程相关规定按实结算，其中人工、材料、机械单价及取费标准等参照预算审核书，预算审核书中没有的由招标人（监理工程师）签证后纳入总造价进行结算，合同文件规定可以调整按相关进行调整。</w:t>
      </w:r>
    </w:p>
    <w:p>
      <w:pPr>
        <w:pStyle w:val="3"/>
        <w:spacing w:before="360" w:beforeLines="150" w:after="480" w:line="400" w:lineRule="exact"/>
        <w:rPr>
          <w:rFonts w:hint="eastAsia" w:ascii="宋体" w:hAnsi="宋体"/>
          <w:color w:val="auto"/>
          <w:sz w:val="28"/>
          <w:szCs w:val="28"/>
        </w:rPr>
      </w:pPr>
      <w:bookmarkStart w:id="215" w:name="_Toc14644"/>
      <w:r>
        <w:rPr>
          <w:rFonts w:hint="eastAsia" w:ascii="宋体" w:hAnsi="宋体"/>
          <w:color w:val="auto"/>
          <w:sz w:val="28"/>
          <w:szCs w:val="28"/>
        </w:rPr>
        <w:t>16. 价格调整</w:t>
      </w:r>
      <w:bookmarkEnd w:id="215"/>
    </w:p>
    <w:p>
      <w:pPr>
        <w:pStyle w:val="3"/>
        <w:spacing w:before="0" w:after="0" w:line="400" w:lineRule="exact"/>
        <w:rPr>
          <w:rFonts w:hint="eastAsia" w:ascii="宋体" w:hAnsi="宋体"/>
          <w:b w:val="0"/>
          <w:color w:val="auto"/>
          <w:sz w:val="21"/>
          <w:szCs w:val="21"/>
        </w:rPr>
      </w:pPr>
      <w:bookmarkStart w:id="216" w:name="_Toc29764"/>
      <w:r>
        <w:rPr>
          <w:rFonts w:hint="eastAsia" w:ascii="宋体" w:hAnsi="宋体"/>
          <w:b w:val="0"/>
          <w:color w:val="auto"/>
          <w:sz w:val="21"/>
          <w:szCs w:val="21"/>
        </w:rPr>
        <w:t>16.1 物价波动引起的价格调整</w:t>
      </w:r>
      <w:bookmarkEnd w:id="216"/>
    </w:p>
    <w:p>
      <w:pPr>
        <w:spacing w:line="276"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通用合同条款16.1.2项约定为：</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16.1.2本项目物价波动引起的价格不调整。</w:t>
      </w:r>
    </w:p>
    <w:p>
      <w:pPr>
        <w:spacing w:line="276" w:lineRule="auto"/>
        <w:rPr>
          <w:rFonts w:hint="eastAsia" w:ascii="宋体" w:hAnsi="宋体" w:eastAsia="宋体" w:cs="宋体"/>
          <w:color w:val="auto"/>
          <w:szCs w:val="21"/>
        </w:rPr>
      </w:pPr>
      <w:bookmarkStart w:id="217" w:name="_Toc422814743"/>
      <w:bookmarkStart w:id="218" w:name="_Toc249418757"/>
      <w:bookmarkStart w:id="219" w:name="_Toc246867760"/>
      <w:bookmarkStart w:id="220" w:name="_Toc246699775"/>
      <w:r>
        <w:rPr>
          <w:rFonts w:hint="eastAsia" w:ascii="宋体" w:hAnsi="宋体" w:eastAsia="宋体" w:cs="宋体"/>
          <w:color w:val="auto"/>
          <w:szCs w:val="21"/>
        </w:rPr>
        <w:t>16.2法律变化引起的价格调整</w:t>
      </w:r>
      <w:bookmarkEnd w:id="217"/>
      <w:bookmarkEnd w:id="218"/>
      <w:bookmarkEnd w:id="219"/>
      <w:bookmarkEnd w:id="220"/>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通用合同条款第16.2款细化为：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在基准日后，因法律、标准、规范变化导致承包人在合同履行中所需要的工程费用发生除第16.1款约定以外的增减时，合同价格不予调整。</w:t>
      </w:r>
    </w:p>
    <w:p>
      <w:pPr>
        <w:pStyle w:val="3"/>
        <w:spacing w:before="360" w:beforeLines="150" w:after="480" w:line="400" w:lineRule="exact"/>
        <w:rPr>
          <w:rFonts w:hint="eastAsia" w:ascii="宋体" w:hAnsi="宋体"/>
          <w:color w:val="auto"/>
          <w:sz w:val="28"/>
          <w:szCs w:val="28"/>
        </w:rPr>
      </w:pPr>
      <w:bookmarkStart w:id="221" w:name="_Toc27820"/>
      <w:r>
        <w:rPr>
          <w:rFonts w:hint="eastAsia" w:ascii="宋体" w:hAnsi="宋体"/>
          <w:color w:val="auto"/>
          <w:sz w:val="28"/>
          <w:szCs w:val="28"/>
        </w:rPr>
        <w:t>17. 计量与支付</w:t>
      </w:r>
      <w:bookmarkEnd w:id="221"/>
    </w:p>
    <w:p>
      <w:pPr>
        <w:pStyle w:val="3"/>
        <w:spacing w:before="0" w:after="0" w:line="400" w:lineRule="exact"/>
        <w:rPr>
          <w:rFonts w:hint="eastAsia" w:ascii="宋体" w:hAnsi="宋体"/>
          <w:b w:val="0"/>
          <w:color w:val="auto"/>
          <w:sz w:val="21"/>
          <w:szCs w:val="21"/>
        </w:rPr>
      </w:pPr>
      <w:bookmarkStart w:id="222" w:name="_Toc2203"/>
      <w:r>
        <w:rPr>
          <w:rFonts w:hint="eastAsia" w:ascii="宋体" w:hAnsi="宋体"/>
          <w:b w:val="0"/>
          <w:color w:val="auto"/>
          <w:sz w:val="21"/>
          <w:szCs w:val="21"/>
        </w:rPr>
        <w:t xml:space="preserve">17.2 </w:t>
      </w:r>
      <w:bookmarkStart w:id="274" w:name="_GoBack"/>
      <w:r>
        <w:rPr>
          <w:rFonts w:hint="eastAsia" w:ascii="宋体" w:hAnsi="宋体"/>
          <w:b w:val="0"/>
          <w:color w:val="auto"/>
          <w:sz w:val="21"/>
          <w:szCs w:val="21"/>
        </w:rPr>
        <w:t>预付款</w:t>
      </w:r>
      <w:bookmarkEnd w:id="274"/>
      <w:r>
        <w:rPr>
          <w:rFonts w:hint="eastAsia" w:ascii="宋体" w:hAnsi="宋体"/>
          <w:b w:val="0"/>
          <w:color w:val="auto"/>
          <w:sz w:val="21"/>
          <w:szCs w:val="21"/>
        </w:rPr>
        <w:t>：</w:t>
      </w:r>
      <w:bookmarkEnd w:id="222"/>
    </w:p>
    <w:p>
      <w:pPr>
        <w:spacing w:line="400" w:lineRule="exact"/>
        <w:rPr>
          <w:rFonts w:hint="eastAsia" w:ascii="宋体" w:hAnsi="宋体" w:eastAsia="宋体" w:cs="宋体"/>
          <w:b/>
          <w:color w:val="auto"/>
          <w:szCs w:val="21"/>
        </w:rPr>
      </w:pPr>
      <w:r>
        <w:rPr>
          <w:rFonts w:hint="eastAsia" w:ascii="宋体" w:hAnsi="宋体" w:eastAsia="宋体" w:cs="宋体"/>
          <w:b/>
          <w:color w:val="auto"/>
          <w:szCs w:val="21"/>
        </w:rPr>
        <w:t xml:space="preserve">     将公路工程专用合同条款第17.2.1 (1)、（2）目细化为：</w:t>
      </w:r>
    </w:p>
    <w:p>
      <w:pPr>
        <w:spacing w:line="400" w:lineRule="exact"/>
        <w:ind w:firstLine="422" w:firstLineChars="200"/>
        <w:rPr>
          <w:rFonts w:hint="eastAsia" w:ascii="宋体" w:hAnsi="宋体" w:eastAsia="宋体" w:cs="宋体"/>
          <w:b/>
          <w:color w:val="auto"/>
        </w:rPr>
      </w:pPr>
      <w:r>
        <w:rPr>
          <w:rFonts w:hint="eastAsia" w:ascii="宋体" w:hAnsi="宋体" w:eastAsia="宋体" w:cs="宋体"/>
          <w:b/>
          <w:color w:val="auto"/>
        </w:rPr>
        <w:t>（1）开工预付款的金额为</w:t>
      </w:r>
      <w:r>
        <w:rPr>
          <w:rFonts w:hint="eastAsia" w:ascii="宋体" w:hAnsi="宋体" w:eastAsia="宋体" w:cs="宋体"/>
          <w:b/>
          <w:color w:val="auto"/>
          <w:u w:val="single"/>
          <w:lang w:val="en-US" w:eastAsia="zh-CN"/>
        </w:rPr>
        <w:t>/</w:t>
      </w:r>
      <w:r>
        <w:rPr>
          <w:rFonts w:hint="eastAsia" w:ascii="宋体" w:hAnsi="宋体" w:eastAsia="宋体" w:cs="宋体"/>
          <w:b/>
          <w:color w:val="auto"/>
        </w:rPr>
        <w:t>。</w:t>
      </w:r>
    </w:p>
    <w:p>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（2）本项目材料、设备预付款比例：无。</w:t>
      </w:r>
    </w:p>
    <w:p>
      <w:pPr>
        <w:spacing w:line="400" w:lineRule="exact"/>
        <w:ind w:firstLine="422" w:firstLineChars="200"/>
        <w:rPr>
          <w:rFonts w:hint="eastAsia" w:ascii="宋体" w:hAnsi="宋体" w:eastAsia="宋体" w:cs="宋体"/>
          <w:b/>
          <w:color w:val="auto"/>
        </w:rPr>
      </w:pPr>
      <w:r>
        <w:rPr>
          <w:rFonts w:hint="eastAsia" w:ascii="宋体" w:hAnsi="宋体" w:eastAsia="宋体" w:cs="宋体"/>
          <w:b/>
          <w:color w:val="auto"/>
        </w:rPr>
        <w:t>通用合同条款17.3.3（4）目补充：</w:t>
      </w:r>
    </w:p>
    <w:p>
      <w:pPr>
        <w:spacing w:line="400" w:lineRule="exact"/>
        <w:ind w:firstLine="422" w:firstLineChars="200"/>
        <w:rPr>
          <w:rFonts w:hint="eastAsia" w:ascii="宋体" w:hAnsi="宋体" w:eastAsia="宋体" w:cs="宋体"/>
          <w:b/>
          <w:color w:val="auto"/>
        </w:rPr>
      </w:pPr>
      <w:r>
        <w:rPr>
          <w:rFonts w:hint="eastAsia" w:ascii="宋体" w:hAnsi="宋体" w:eastAsia="宋体" w:cs="宋体"/>
          <w:b/>
          <w:color w:val="auto"/>
        </w:rPr>
        <w:t>工程竣工验收合格且待上级补助资金到位后付至结算审定价（以三门县财政局审计结论为依据）的 9</w:t>
      </w:r>
      <w:r>
        <w:rPr>
          <w:rFonts w:hint="eastAsia" w:ascii="宋体" w:hAnsi="宋体" w:eastAsia="宋体" w:cs="宋体"/>
          <w:b/>
          <w:color w:val="auto"/>
          <w:lang w:val="en-US" w:eastAsia="zh-CN"/>
        </w:rPr>
        <w:t>8</w:t>
      </w:r>
      <w:r>
        <w:rPr>
          <w:rFonts w:hint="eastAsia" w:ascii="宋体" w:hAnsi="宋体" w:eastAsia="宋体" w:cs="宋体"/>
          <w:b/>
          <w:color w:val="auto"/>
        </w:rPr>
        <w:t xml:space="preserve">.5%，剩余 </w:t>
      </w:r>
      <w:r>
        <w:rPr>
          <w:rFonts w:hint="eastAsia" w:ascii="宋体" w:hAnsi="宋体" w:eastAsia="宋体" w:cs="宋体"/>
          <w:b/>
          <w:color w:val="auto"/>
          <w:lang w:val="en-US" w:eastAsia="zh-CN"/>
        </w:rPr>
        <w:t>1</w:t>
      </w:r>
      <w:r>
        <w:rPr>
          <w:rFonts w:hint="eastAsia" w:ascii="宋体" w:hAnsi="宋体" w:eastAsia="宋体" w:cs="宋体"/>
          <w:b/>
          <w:color w:val="auto"/>
        </w:rPr>
        <w:t>.5%作为质量保证金，待缺陷责任期满后付清。</w:t>
      </w:r>
    </w:p>
    <w:p>
      <w:pPr>
        <w:pStyle w:val="3"/>
        <w:spacing w:before="360" w:beforeLines="150" w:after="480" w:line="400" w:lineRule="exact"/>
        <w:rPr>
          <w:rFonts w:hint="eastAsia" w:ascii="宋体" w:hAnsi="宋体"/>
          <w:color w:val="auto"/>
          <w:sz w:val="28"/>
          <w:szCs w:val="28"/>
        </w:rPr>
      </w:pPr>
      <w:bookmarkStart w:id="223" w:name="_Toc24453"/>
      <w:r>
        <w:rPr>
          <w:rFonts w:hint="eastAsia" w:ascii="宋体" w:hAnsi="宋体"/>
          <w:color w:val="auto"/>
          <w:sz w:val="28"/>
          <w:szCs w:val="28"/>
        </w:rPr>
        <w:t>18. 交工验收</w:t>
      </w:r>
      <w:bookmarkEnd w:id="223"/>
    </w:p>
    <w:p>
      <w:pPr>
        <w:pStyle w:val="3"/>
        <w:spacing w:before="0" w:after="0" w:line="400" w:lineRule="exact"/>
        <w:rPr>
          <w:rFonts w:hint="eastAsia" w:ascii="宋体" w:hAnsi="宋体"/>
          <w:b w:val="0"/>
          <w:color w:val="auto"/>
          <w:sz w:val="21"/>
          <w:szCs w:val="21"/>
        </w:rPr>
      </w:pPr>
      <w:bookmarkStart w:id="224" w:name="_Toc27671"/>
      <w:r>
        <w:rPr>
          <w:rFonts w:hint="eastAsia" w:ascii="宋体" w:hAnsi="宋体"/>
          <w:b w:val="0"/>
          <w:color w:val="auto"/>
          <w:sz w:val="21"/>
          <w:szCs w:val="21"/>
        </w:rPr>
        <w:t>18.9 竣工文件</w:t>
      </w:r>
      <w:bookmarkEnd w:id="224"/>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公路工程专用合同条款第18.9款细化为：</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竣工文件应按交通运输部2004年第3号令《公路工程竣(交)工验收办法》、交公路发【2010】65号《公路工程竣（交）工验收办法实施细则》、浙江省交通运输厅【2002】138号《浙江省公路工程竣工文件编制办法》和【2013】22号《浙江省公路工程竣（交）工验收实施细则（试行）》的相关规定编制，在缺陷责任期内应为竣工验收补充、竣工资料，并在竣工验收45天之前提交。承包人还应按交通运输部交财发[2000]207号《交通基本建设项目竣工决算报告编制办法》的规定和要求编制(由其实施的部分)竣工决算一式六套，提交监理人审核，同时应提交全套竣工资料的电子文档刻录光盘或其他电子存储介质，费用由承包人承担。</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竣工文件中涉及施工及监理文件的有关表式，应按《浙江省公路建设项目施工统一用表管理系统（2013年修订版）》(光盘)和浙江省交通运输厅工程质量监督局检测中心规定的统一试验用表(光盘)选用。光盘由承包人自备。</w:t>
      </w:r>
    </w:p>
    <w:p>
      <w:pPr>
        <w:autoSpaceDE w:val="0"/>
        <w:autoSpaceDN w:val="0"/>
        <w:adjustRightInd w:val="0"/>
        <w:jc w:val="left"/>
        <w:rPr>
          <w:rFonts w:hint="eastAsia" w:ascii="宋体" w:hAnsi="宋体" w:eastAsia="宋体" w:cs="宋体"/>
          <w:color w:val="auto"/>
          <w:szCs w:val="21"/>
        </w:rPr>
      </w:pPr>
      <w:r>
        <w:rPr>
          <w:rFonts w:hint="eastAsia" w:ascii="宋体" w:hAnsi="宋体" w:eastAsia="宋体" w:cs="宋体"/>
          <w:color w:val="auto"/>
          <w:szCs w:val="21"/>
        </w:rPr>
        <w:t>公路工程专用合同条款补充第18.10款：</w:t>
      </w:r>
    </w:p>
    <w:p>
      <w:pPr>
        <w:pStyle w:val="3"/>
        <w:spacing w:before="0" w:after="0" w:line="400" w:lineRule="exact"/>
        <w:rPr>
          <w:rFonts w:hint="eastAsia" w:ascii="宋体" w:hAnsi="宋体"/>
          <w:b w:val="0"/>
          <w:color w:val="auto"/>
          <w:sz w:val="21"/>
          <w:szCs w:val="21"/>
        </w:rPr>
      </w:pPr>
      <w:bookmarkStart w:id="225" w:name="_Toc7716"/>
      <w:r>
        <w:rPr>
          <w:rFonts w:hint="eastAsia" w:ascii="宋体" w:hAnsi="宋体"/>
          <w:b w:val="0"/>
          <w:color w:val="auto"/>
          <w:sz w:val="21"/>
          <w:szCs w:val="21"/>
        </w:rPr>
        <w:t>18. 10 工程档案管理</w:t>
      </w:r>
      <w:bookmarkEnd w:id="225"/>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承包人必须确保工程施工原始资料与工程进度同步完成，并由专人负责档案管理工作，同时按照《中华人民共和国档案法》、《国家重大建设项目文件归档要求与档案整理规范》（ DA/T28-2002），《科学技术档案案卷构成的一般要求》（ GB/T11822-2008）、交通运输部《关于印发公路建设项目文件材料立卷归档管理办法的通知》（交办发[2010]382 号）、《浙江省公路工程竣工文件编制办法》（浙交[2002]138 号）、《重大建设项目档案验收办法》（档发[2006]2 号）以及交通运输部《公路工程竣（交）工验收办法》（ 2004 年第 3 号令）等有关规定做好工程竣工资料的编制，必须配备具有档案资质的专职人员负责竣工档案编制，且人员应稳定，未经发包人同意不得变更。承包人在工程施工结束并在发包人要求的规定时间内，通过档案专项验收，并移交所有工程档案资料、工程竣工结算报告给发包人。</w:t>
      </w:r>
    </w:p>
    <w:p>
      <w:pPr>
        <w:pStyle w:val="139"/>
        <w:rPr>
          <w:rFonts w:hint="eastAsia" w:ascii="宋体" w:hAnsi="宋体" w:eastAsia="宋体"/>
          <w:color w:val="auto"/>
          <w:sz w:val="21"/>
          <w:szCs w:val="21"/>
        </w:rPr>
      </w:pPr>
      <w:bookmarkStart w:id="226" w:name="_Toc249418765"/>
      <w:bookmarkStart w:id="227" w:name="_Toc246867767"/>
      <w:bookmarkStart w:id="228" w:name="_Toc25107"/>
      <w:bookmarkStart w:id="229" w:name="_Toc7588"/>
      <w:bookmarkStart w:id="230" w:name="_Toc246699782"/>
      <w:r>
        <w:rPr>
          <w:rFonts w:hint="eastAsia" w:ascii="宋体" w:hAnsi="宋体" w:eastAsia="宋体"/>
          <w:color w:val="auto"/>
          <w:sz w:val="21"/>
          <w:szCs w:val="21"/>
        </w:rPr>
        <w:t>19.缺陷责任与保修责任</w:t>
      </w:r>
      <w:bookmarkEnd w:id="226"/>
      <w:bookmarkEnd w:id="227"/>
      <w:bookmarkEnd w:id="228"/>
      <w:bookmarkEnd w:id="229"/>
      <w:bookmarkEnd w:id="230"/>
    </w:p>
    <w:p>
      <w:pPr>
        <w:pStyle w:val="103"/>
        <w:spacing w:before="240"/>
        <w:rPr>
          <w:rFonts w:hint="eastAsia" w:ascii="宋体" w:hAnsi="宋体" w:eastAsia="宋体"/>
          <w:color w:val="auto"/>
          <w:sz w:val="21"/>
          <w:szCs w:val="21"/>
        </w:rPr>
      </w:pPr>
      <w:bookmarkStart w:id="231" w:name="_Toc246867768"/>
      <w:bookmarkStart w:id="232" w:name="_Toc9698"/>
      <w:bookmarkStart w:id="233" w:name="_Toc249418766"/>
      <w:bookmarkStart w:id="234" w:name="_Toc246699783"/>
      <w:r>
        <w:rPr>
          <w:rFonts w:hint="eastAsia" w:ascii="宋体" w:hAnsi="宋体" w:eastAsia="宋体"/>
          <w:color w:val="auto"/>
          <w:sz w:val="21"/>
          <w:szCs w:val="21"/>
        </w:rPr>
        <w:t>19.2缺陷责任</w:t>
      </w:r>
      <w:bookmarkEnd w:id="231"/>
      <w:bookmarkEnd w:id="232"/>
      <w:bookmarkEnd w:id="233"/>
      <w:bookmarkEnd w:id="234"/>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通用合同条款和公路工程专用合同条款第19.2.2项细化：</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在缺陷责任期内，承包人应尽快完成在交工验收证书中写明的未完成工作，并完成对本工程缺陷的修复或监理人指令的修补工作。</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szCs w:val="21"/>
        </w:rPr>
        <w:t>若承包人未能按上述要求，及时修复存在的缺陷、病害或不合格之处，则发包人会同监理人，指令承包人延长缺陷责任期，如果只是工程的一部分，则责任期的延长只适用于那一部分。</w:t>
      </w:r>
    </w:p>
    <w:p>
      <w:pPr>
        <w:pStyle w:val="3"/>
        <w:spacing w:before="360" w:beforeLines="150" w:after="480" w:line="400" w:lineRule="exact"/>
        <w:rPr>
          <w:rFonts w:hint="eastAsia" w:ascii="宋体" w:hAnsi="宋体"/>
          <w:color w:val="auto"/>
          <w:sz w:val="28"/>
          <w:szCs w:val="28"/>
        </w:rPr>
      </w:pPr>
      <w:bookmarkStart w:id="235" w:name="_Toc18265"/>
      <w:r>
        <w:rPr>
          <w:rFonts w:hint="eastAsia" w:ascii="宋体" w:hAnsi="宋体"/>
          <w:color w:val="auto"/>
          <w:sz w:val="28"/>
          <w:szCs w:val="28"/>
        </w:rPr>
        <w:t>20. 保险</w:t>
      </w:r>
      <w:bookmarkEnd w:id="235"/>
    </w:p>
    <w:p>
      <w:pPr>
        <w:pStyle w:val="3"/>
        <w:spacing w:before="0" w:after="0" w:line="400" w:lineRule="exact"/>
        <w:rPr>
          <w:rFonts w:hint="eastAsia" w:ascii="宋体" w:hAnsi="宋体"/>
          <w:b w:val="0"/>
          <w:color w:val="auto"/>
          <w:sz w:val="21"/>
          <w:szCs w:val="21"/>
        </w:rPr>
      </w:pPr>
      <w:bookmarkStart w:id="236" w:name="_Toc22024"/>
      <w:r>
        <w:rPr>
          <w:rFonts w:hint="eastAsia" w:ascii="宋体" w:hAnsi="宋体"/>
          <w:b w:val="0"/>
          <w:color w:val="auto"/>
          <w:sz w:val="21"/>
          <w:szCs w:val="21"/>
        </w:rPr>
        <w:t>20.6 对各项保险的一般要求</w:t>
      </w:r>
      <w:bookmarkEnd w:id="236"/>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20.6.4 保险金不足的补偿</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 20.6.4 款细化为：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保险金的赔偿金额以有资质的公估单位确定的金额为准，免赔额和超过赔偿限额的部分由承包人承担。</w:t>
      </w:r>
    </w:p>
    <w:p>
      <w:pPr>
        <w:pStyle w:val="3"/>
        <w:spacing w:before="360" w:beforeLines="150" w:after="480" w:line="400" w:lineRule="exact"/>
        <w:rPr>
          <w:rFonts w:hint="eastAsia" w:ascii="宋体" w:hAnsi="宋体"/>
          <w:color w:val="auto"/>
          <w:sz w:val="28"/>
          <w:szCs w:val="28"/>
        </w:rPr>
      </w:pPr>
      <w:bookmarkStart w:id="237" w:name="_Toc14662"/>
      <w:r>
        <w:rPr>
          <w:rFonts w:hint="eastAsia" w:ascii="宋体" w:hAnsi="宋体"/>
          <w:color w:val="auto"/>
          <w:sz w:val="28"/>
          <w:szCs w:val="28"/>
        </w:rPr>
        <w:t>21. 不可抗力</w:t>
      </w:r>
      <w:bookmarkEnd w:id="237"/>
    </w:p>
    <w:p>
      <w:pPr>
        <w:pStyle w:val="3"/>
        <w:spacing w:before="0" w:after="0" w:line="400" w:lineRule="exact"/>
        <w:rPr>
          <w:rFonts w:hint="eastAsia" w:ascii="宋体" w:hAnsi="宋体"/>
          <w:b w:val="0"/>
          <w:color w:val="auto"/>
          <w:sz w:val="21"/>
          <w:szCs w:val="21"/>
        </w:rPr>
      </w:pPr>
      <w:bookmarkStart w:id="238" w:name="_Toc2464"/>
      <w:r>
        <w:rPr>
          <w:rFonts w:hint="eastAsia" w:ascii="宋体" w:hAnsi="宋体"/>
          <w:b w:val="0"/>
          <w:color w:val="auto"/>
          <w:sz w:val="21"/>
          <w:szCs w:val="21"/>
        </w:rPr>
        <w:t>21.1 不可抗力的确认</w:t>
      </w:r>
      <w:bookmarkEnd w:id="238"/>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公路工程专用合同条款 21.1.1 项(6) 目 约定为：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21.1.1 (6) 不可抗力的其他情形：</w:t>
      </w:r>
      <w:r>
        <w:rPr>
          <w:rFonts w:hint="eastAsia" w:ascii="宋体" w:hAnsi="宋体" w:eastAsia="宋体" w:cs="宋体"/>
          <w:color w:val="auto"/>
          <w:u w:val="single"/>
        </w:rPr>
        <w:t xml:space="preserve">      /     </w:t>
      </w:r>
    </w:p>
    <w:p>
      <w:pPr>
        <w:pStyle w:val="3"/>
        <w:spacing w:before="360" w:beforeLines="150" w:after="480" w:line="400" w:lineRule="exact"/>
        <w:rPr>
          <w:rFonts w:hint="eastAsia" w:ascii="宋体" w:hAnsi="宋体"/>
          <w:color w:val="auto"/>
          <w:sz w:val="28"/>
          <w:szCs w:val="28"/>
        </w:rPr>
      </w:pPr>
      <w:bookmarkStart w:id="239" w:name="_Toc29316"/>
      <w:r>
        <w:rPr>
          <w:rFonts w:hint="eastAsia" w:ascii="宋体" w:hAnsi="宋体"/>
          <w:color w:val="auto"/>
          <w:sz w:val="28"/>
          <w:szCs w:val="28"/>
        </w:rPr>
        <w:t>22. 违约</w:t>
      </w:r>
      <w:bookmarkEnd w:id="239"/>
    </w:p>
    <w:p>
      <w:pPr>
        <w:pStyle w:val="3"/>
        <w:spacing w:before="0" w:after="0" w:line="400" w:lineRule="exact"/>
        <w:rPr>
          <w:rFonts w:hint="eastAsia" w:ascii="宋体" w:hAnsi="宋体"/>
          <w:b w:val="0"/>
          <w:color w:val="auto"/>
          <w:sz w:val="21"/>
          <w:szCs w:val="21"/>
        </w:rPr>
      </w:pPr>
      <w:bookmarkStart w:id="240" w:name="_Toc4462"/>
      <w:r>
        <w:rPr>
          <w:rFonts w:hint="eastAsia" w:ascii="宋体" w:hAnsi="宋体"/>
          <w:b w:val="0"/>
          <w:color w:val="auto"/>
          <w:sz w:val="21"/>
          <w:szCs w:val="21"/>
        </w:rPr>
        <w:t>22.1 承包人违约</w:t>
      </w:r>
      <w:bookmarkEnd w:id="240"/>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22.1.1 承包人违约的情形</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通用合同条款及公路工程专用合同条款 22.1.1 项细化为：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 承包人违反第 1.8 款或第 4.3 款的约定，私自将合同的全部或部分权利转让给其他人，或私自将合同的全部或部分义务转移给其他人；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(2) 承包人违反第 5.3 款或第 6.4 款的约定，未经监理人批准，私自将已按合同约定进入施工场地的施工设备、临时设施、材料或工程设备撤离施工场地；</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 承包人违反第 5.4 款的约定使用了不合格材料或工程设备，工程质量达不到标准要求，又拒绝清除不合格工程；</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 承包人未能按合同进度计划及时完成合同约定的工作，已造成或预期造成工期延误；</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(5) 承包人在缺陷责任期内，未能对工程接收证书所列的缺陷清单的内容或缺陷责任期内发生的</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缺陷进行修复，而又拒绝按监理人指示再进行修补；</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(6) 承包人无法继续履行或明确表示不履行或实质上已停止履行合同；</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(7) 项目已具备开工条件，因承包人原因，承包人未能按期开工；</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(8) 承包人违反第 6.3 款的规定，未按承诺或未按监理人的要求及时配备合同约定的关键施工设备；</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(9) 经监理人和发包人检查，发现承包人违反 9.2 项约定有安全问题或有违反安全管理规章制度的情形；</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(10) 承包人违反第 13.1.1 项的约定，工程质量未达到标段竣工验收的质量评定要求的；</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(11) 承包人违反第 4.9 款的约定，将发包人支付给承包人的各项价款转移或用于其他工程；</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(12) 承包人违反第 4.6 款的约定，未按承诺或未按监理人的要求及时配备称职的主要管理人员、技术骨干，或未按规定替换，或擅离职守的；</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(13) 承包人违反投标人须知 3.5 款的规定，在合同实施期间发现承包人在投标时提供了虚假资料的。</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22.1.2 对承包人违约的处理</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通用合同条款及公路工程专用合同条款 22.1.2 项细化为：</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 承包人发生第 22.1.1（6）目约定的违约情形时，发包人可通知承包人立即解除合同，并按有关法律处理。</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(2) 承包人发生除第 22.1.1（6）目约定以外的其他违约情形时，监理人可向承包人发出整改通知，要求其在指定的期限内改正。承包人应承担其违约所引起的费用增加和（或）工期延误。</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 经检查证明承包人已采取了有效措施纠正违约行为，具备复工条件的，可由监理人签发复工通知复工。</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 承包人发生第 22.1.1 项约定的违约情形时，无论发包人是否解除合同，发包人均有权向承包人扣以违约金，并由发包人将其违约行为上报省级交通主管部门，作为不良记录纳入浙江省交通运输厅建设市场信用信息管理系统和信用评价管理系统。</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当承包人发生第 22.1.1 项约定的违约情形时，发包人有权向承包人扣以违约金，具体约定如下：</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a. 承包人发生第 22.1.1 项(1) 目中违反第 1.8 款约定的情形，除责令立即纠正外，并扣以不超过1%签约合同价的违约金；发生第 22.1.1 项(1) 目中违反第 4.3 款约定的情形，在发包人向承包人发出书面通知的 14 天内未见纠正后， 发包人将酌情向承包人扣以不超过 1%签约合同价的违约金。即使缴纳了违约金，承包人仍应按合同规定继续实施和完成本合同工程及其缺陷修复；</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b. 承包人发生第 22.1.1 项(2) 目中违反第 5.3 款约定的情形，在发包人向承包人发出书面通知的14 天内未见纠正后，发包人将向承包人扣以不超过材料和工程设备价值两倍的违约金；发生第 22.1.1项(2) 目中违反第 6.4 款约定的情形，在发包人向承包人发出书面通知的 14 天内未见纠正后，发包人将向承包人扣以不超过其台班费两倍的违约金；</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c. 承包人发生第 22.1.1 项(3) 目情形，在发包人向承包人发出书面通知的 14 天内未见纠正后，发包人将按每一情形酌情向承包人扣以不超过 0.5%签约合同价的违约金。即使缴纳了违约金，承包人仍应按合同规定继续实施和完成本合同工程及其缺陷修复；</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d. 承包人发生第 22.1.1 项(4) 目情形，则按第 11.5 款规定处理；</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e. 承包人发生第 22.1.1 项(5) 目情形，则按第 19.2.4 项规定处理；</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f. 承包人发生第 22.1.1 项(7) 目情形，发包人有权按第 11.5 款规定的逾期交工违约金金额的二分之一乘以未按期开工天数处以违约金；</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g. 承包人发生第 22.1.1 项(8) 目情形，在发包人向承包人发出书面通知的 14 天内未见纠正后，发包人将向承包人扣以不超过 0.5%签约合同价的违约金；</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h. 承包人发生第 22.1.1 项(9) 目情形，发包人将责令整改；情节严重的，将停工整顿，并酌情扣除安全生产费；</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i. 承包人发生第 22.1.1 项(10) 目情形，则扣以不超过 1%签约合同价的违约金；</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j. 承包人发生第 22.1.1 项(11) 目情形，则扣以与转移（挪用）资金等额的违约金；</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k. 承包人发生第 22.1.1 项(12) 目情形，项目经理或项目总工未经发包人同意擅自离开工地，每天扣以违约金</w:t>
      </w:r>
      <w:r>
        <w:rPr>
          <w:rFonts w:hint="eastAsia" w:ascii="宋体" w:hAnsi="宋体" w:eastAsia="宋体" w:cs="宋体"/>
          <w:b/>
          <w:i/>
          <w:color w:val="auto"/>
          <w:u w:val="single"/>
        </w:rPr>
        <w:t>3000</w:t>
      </w:r>
      <w:r>
        <w:rPr>
          <w:rFonts w:hint="eastAsia" w:ascii="宋体" w:hAnsi="宋体" w:eastAsia="宋体" w:cs="宋体"/>
          <w:color w:val="auto"/>
        </w:rPr>
        <w:t>元／人；项目专业人员未经发包人同意擅自离开工地，每天扣以违约金</w:t>
      </w:r>
      <w:r>
        <w:rPr>
          <w:rFonts w:hint="eastAsia" w:ascii="宋体" w:hAnsi="宋体" w:eastAsia="宋体" w:cs="宋体"/>
          <w:b/>
          <w:i/>
          <w:color w:val="auto"/>
          <w:u w:val="single"/>
        </w:rPr>
        <w:t>1000</w:t>
      </w:r>
      <w:r>
        <w:rPr>
          <w:rFonts w:hint="eastAsia" w:ascii="宋体" w:hAnsi="宋体" w:eastAsia="宋体" w:cs="宋体"/>
          <w:color w:val="auto"/>
        </w:rPr>
        <w:t>元／人；若每月在工地天数不足22天（特殊情形经监理人批准报发包人同意例外）者，每不足一天扣以违约金</w:t>
      </w:r>
      <w:r>
        <w:rPr>
          <w:rFonts w:hint="eastAsia" w:ascii="宋体" w:hAnsi="宋体" w:eastAsia="宋体" w:cs="宋体"/>
          <w:b/>
          <w:i/>
          <w:color w:val="auto"/>
          <w:u w:val="single"/>
        </w:rPr>
        <w:t>1000</w:t>
      </w:r>
      <w:r>
        <w:rPr>
          <w:rFonts w:hint="eastAsia" w:ascii="宋体" w:hAnsi="宋体" w:eastAsia="宋体" w:cs="宋体"/>
          <w:color w:val="auto"/>
        </w:rPr>
        <w:t>元／人；承包人未经发包人书面同意更换项目经理扣以</w:t>
      </w:r>
      <w:r>
        <w:rPr>
          <w:rFonts w:hint="eastAsia" w:ascii="宋体" w:hAnsi="宋体" w:eastAsia="宋体" w:cs="宋体"/>
          <w:b/>
          <w:i/>
          <w:color w:val="auto"/>
          <w:u w:val="single"/>
        </w:rPr>
        <w:t>10</w:t>
      </w:r>
      <w:r>
        <w:rPr>
          <w:rFonts w:hint="eastAsia" w:ascii="宋体" w:hAnsi="宋体" w:eastAsia="宋体" w:cs="宋体"/>
          <w:color w:val="auto"/>
        </w:rPr>
        <w:t>万元的违约金，更换项目总工扣以</w:t>
      </w:r>
      <w:r>
        <w:rPr>
          <w:rFonts w:hint="eastAsia" w:ascii="宋体" w:hAnsi="宋体" w:eastAsia="宋体" w:cs="宋体"/>
          <w:b/>
          <w:i/>
          <w:color w:val="auto"/>
          <w:u w:val="single"/>
        </w:rPr>
        <w:t>10</w:t>
      </w:r>
      <w:r>
        <w:rPr>
          <w:rFonts w:hint="eastAsia" w:ascii="宋体" w:hAnsi="宋体" w:eastAsia="宋体" w:cs="宋体"/>
          <w:color w:val="auto"/>
        </w:rPr>
        <w:t>万元的违约金，更换其他主要管理人员、技术骨干扣以每人次</w:t>
      </w:r>
      <w:r>
        <w:rPr>
          <w:rFonts w:hint="eastAsia" w:ascii="宋体" w:hAnsi="宋体" w:eastAsia="宋体" w:cs="宋体"/>
          <w:b/>
          <w:i/>
          <w:color w:val="auto"/>
          <w:u w:val="single"/>
        </w:rPr>
        <w:t>5</w:t>
      </w:r>
      <w:r>
        <w:rPr>
          <w:rFonts w:hint="eastAsia" w:ascii="宋体" w:hAnsi="宋体" w:eastAsia="宋体" w:cs="宋体"/>
          <w:color w:val="auto"/>
        </w:rPr>
        <w:t>万元的违约金；</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l. 承包人发生第 22.1.1 项(13) 目情形，在合同实施期间发现承包人在投标时提供了虚假材料的，可以不超过 5%签约合同价的违约金。</w:t>
      </w:r>
    </w:p>
    <w:p>
      <w:pPr>
        <w:pStyle w:val="3"/>
        <w:spacing w:before="0" w:after="0" w:line="360" w:lineRule="exact"/>
        <w:rPr>
          <w:rFonts w:hint="eastAsia" w:ascii="宋体" w:hAnsi="宋体"/>
          <w:b w:val="0"/>
          <w:color w:val="auto"/>
          <w:sz w:val="21"/>
          <w:szCs w:val="21"/>
        </w:rPr>
      </w:pPr>
      <w:bookmarkStart w:id="241" w:name="_Toc12700"/>
      <w:r>
        <w:rPr>
          <w:rFonts w:hint="eastAsia" w:ascii="宋体" w:hAnsi="宋体"/>
          <w:b w:val="0"/>
          <w:color w:val="auto"/>
          <w:sz w:val="21"/>
          <w:szCs w:val="21"/>
        </w:rPr>
        <w:t>22.2 发包人违约</w:t>
      </w:r>
      <w:bookmarkEnd w:id="241"/>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22.2.1 发包人违约的情形</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通用合同条款 22.1.1 项细化为：</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在履行合同过程中发生的下列情形，属发包人违约：</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（1）发包人未能按合同约定支付预付款或合同价款，或拖延、拒绝批准付款申请和支付凭证，导致付款延误的（包括未按照第 17.4.2 项规定及时退还质量保证金的）；</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（2）由于发包人征地拆迁不到位、开工的正常条件不具备，导致承包人无法按合同约定如期开工的；</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（3）由于发包人下列原因造成停工的：</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a. 合同约定应由发包人提供的材料、设备未能按时交货或质量不符合要求或变更交货地点导致承包人停工的；</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b. 发包人提供的施工图纸延误或施工图存在差错影响施工，工程变更通知未及时下达导致承包人停工的；</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c. 非承包人原因发生第三方阻工，而发包人未及时协调处理导致承包人停工的；</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d. 监理人无正当理由没有在约定期限内发出复工指示，导致承包人无法复工的；</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（4）发包人无法继续履行或明确表示不履行或实质上已停止履行合同的；</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（5）发包人不履行合同约定其他义务的。</w:t>
      </w:r>
    </w:p>
    <w:p>
      <w:pPr>
        <w:spacing w:line="400" w:lineRule="exact"/>
        <w:rPr>
          <w:rFonts w:hint="eastAsia" w:ascii="宋体" w:hAnsi="宋体" w:eastAsia="宋体" w:cs="宋体"/>
          <w:color w:val="auto"/>
        </w:rPr>
      </w:pPr>
    </w:p>
    <w:p>
      <w:pPr>
        <w:rPr>
          <w:rFonts w:hint="eastAsia" w:ascii="宋体" w:hAnsi="宋体" w:eastAsia="宋体" w:cs="宋体"/>
          <w:color w:val="auto"/>
          <w:sz w:val="24"/>
        </w:rPr>
      </w:pPr>
      <w:r>
        <w:rPr>
          <w:rFonts w:hint="eastAsia" w:ascii="宋体" w:hAnsi="宋体" w:eastAsia="宋体" w:cs="宋体"/>
          <w:color w:val="auto"/>
          <w:sz w:val="24"/>
        </w:rPr>
        <w:br w:type="page"/>
      </w:r>
    </w:p>
    <w:p>
      <w:pPr>
        <w:pStyle w:val="3"/>
        <w:spacing w:after="120" w:line="240" w:lineRule="auto"/>
        <w:jc w:val="center"/>
        <w:rPr>
          <w:rFonts w:hint="eastAsia" w:ascii="宋体" w:hAnsi="宋体"/>
          <w:color w:val="auto"/>
          <w:sz w:val="28"/>
          <w:szCs w:val="28"/>
        </w:rPr>
      </w:pPr>
      <w:bookmarkStart w:id="242" w:name="_Toc32062"/>
      <w:r>
        <w:rPr>
          <w:rFonts w:hint="eastAsia" w:ascii="宋体" w:hAnsi="宋体"/>
          <w:color w:val="auto"/>
          <w:sz w:val="28"/>
          <w:szCs w:val="28"/>
        </w:rPr>
        <w:t>第三节</w:t>
      </w:r>
      <w:r>
        <w:rPr>
          <w:rFonts w:hint="eastAsia" w:ascii="宋体" w:hAnsi="宋体"/>
          <w:color w:val="auto"/>
          <w:sz w:val="28"/>
          <w:szCs w:val="28"/>
        </w:rPr>
        <w:tab/>
      </w:r>
      <w:r>
        <w:rPr>
          <w:rFonts w:hint="eastAsia" w:ascii="宋体" w:hAnsi="宋体"/>
          <w:color w:val="auto"/>
          <w:sz w:val="28"/>
          <w:szCs w:val="28"/>
        </w:rPr>
        <w:t>合同附件格式</w:t>
      </w:r>
      <w:bookmarkEnd w:id="242"/>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br w:type="page"/>
      </w:r>
    </w:p>
    <w:p>
      <w:pPr>
        <w:rPr>
          <w:rFonts w:hint="eastAsia" w:ascii="宋体" w:hAnsi="宋体" w:eastAsia="宋体" w:cs="宋体"/>
          <w:color w:val="auto"/>
          <w:sz w:val="28"/>
          <w:szCs w:val="28"/>
        </w:rPr>
      </w:pPr>
      <w:r>
        <w:rPr>
          <w:rFonts w:hint="eastAsia" w:ascii="宋体" w:hAnsi="宋体" w:eastAsia="宋体" w:cs="宋体"/>
          <w:color w:val="auto"/>
          <w:sz w:val="28"/>
          <w:szCs w:val="28"/>
        </w:rPr>
        <w:t>附件一   合同协议书</w:t>
      </w:r>
    </w:p>
    <w:p>
      <w:pPr>
        <w:rPr>
          <w:rFonts w:hint="eastAsia" w:ascii="宋体" w:hAnsi="宋体" w:eastAsia="宋体" w:cs="宋体"/>
          <w:color w:val="auto"/>
          <w:sz w:val="24"/>
        </w:rPr>
      </w:pPr>
    </w:p>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合同协议书</w:t>
      </w:r>
    </w:p>
    <w:p>
      <w:pPr>
        <w:rPr>
          <w:rFonts w:hint="eastAsia" w:ascii="宋体" w:hAnsi="宋体" w:eastAsia="宋体" w:cs="宋体"/>
          <w:color w:val="auto"/>
          <w:sz w:val="24"/>
        </w:rPr>
      </w:pP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（发包人名称，以下简称“发包人”）为实施</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（项目名称），已接受</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（承包人名称，以下简称“承包人”）对该项目</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标段施工的投标。 发包人和承包人共同达成如下协议。</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标段由K</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至K</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，长约</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km，公路等级为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，设计时速为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路面，有</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立交</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处；特大桥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座，计长</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m；大中桥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座，计长</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m；隧道</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座，计长</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m以及其他构造物工程等。</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 下列文件应视为构成合同文件的组成部分：</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 合同协议书及各种合同附件(含廉政合同、安全生产合同、工程质量责任合同、工程资金监管协议及评标期间和合同谈判过程中的澄清文件和补充资料) ；</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 中标通知书；</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 投标函及投标函附录；</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 项目专用合同条款（含招标文件补遗书中与此有关的部分）；</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 公路工程专用合同条款；</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 通用合同条款；</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 项目专用技术规范（含招标文件补遗书中与此有关的部分）；</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 通用技术规范；</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 图纸（含招标文件补遗书中与此有关的部分）；</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(10) 已标价工程量清单（预算审核书）；</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 承包人有关人员、设备投入的承诺及投标文件中的施工组织设计；</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 其他合同文件。</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 上述文件互相补充和解释，如有不明确或不一致之处，以合同约定次序在先者为准。</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 根据招标人提供预算审核书和招标文件规定所列的预计数量和单价或总额价计算的签约合同价：人民币（大写）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）。总价下浮数值为：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。（作为工程变更、结算下浮依据）</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 承包人项目经理：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。承包人项目总工：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 工程质量符合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标准。</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 承包人承诺按合同约定承担工程的实施、完成及缺陷修复。</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 发包人承诺按合同约定的条件、时间和方式向承包人支付合同价款。</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 承包人应按照监理人指示开工，工期为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日历天。</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10. 本协议书在承包人提供履约担保后，由双方法定代表人或其委托代理人签署并加盖单位章后生效。全部工程完工后经竣交工验收合格、缺陷责任期满签发缺陷责任终止证书后生效。</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11．本协议书正本二份、副本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份，合同双方各执正本一份，副本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份，当正本与副本的内容不一致时，以正本为准。</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12.合同未尽事宜，双方另行签订补充协议。补充协议是合同的组成部分。</w:t>
      </w: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（盖单位章） </w:t>
      </w: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法定代表人或其委托代理人：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    法定代表人或其委托代理人：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pPr>
        <w:spacing w:line="400" w:lineRule="exact"/>
        <w:ind w:firstLine="1470" w:firstLineChars="700"/>
        <w:rPr>
          <w:rFonts w:hint="eastAsia" w:ascii="宋体" w:hAnsi="宋体" w:eastAsia="宋体" w:cs="宋体"/>
          <w:color w:val="auto"/>
          <w:szCs w:val="21"/>
        </w:rPr>
      </w:pPr>
      <w:r>
        <w:rPr>
          <w:rFonts w:hint="eastAsia" w:ascii="宋体" w:hAnsi="宋体" w:eastAsia="宋体" w:cs="宋体"/>
          <w:color w:val="auto"/>
          <w:szCs w:val="21"/>
        </w:rPr>
        <w:t xml:space="preserve"> </w:t>
      </w:r>
    </w:p>
    <w:p>
      <w:pPr>
        <w:spacing w:line="400" w:lineRule="exact"/>
        <w:ind w:firstLine="1470" w:firstLineChars="700"/>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p>
    <w:p>
      <w:pPr>
        <w:rPr>
          <w:rFonts w:hint="eastAsia" w:ascii="宋体" w:hAnsi="宋体" w:eastAsia="宋体" w:cs="宋体"/>
          <w:color w:val="auto"/>
          <w:sz w:val="24"/>
        </w:rPr>
      </w:pPr>
      <w:r>
        <w:rPr>
          <w:rFonts w:hint="eastAsia" w:ascii="宋体" w:hAnsi="宋体" w:eastAsia="宋体" w:cs="宋体"/>
          <w:color w:val="auto"/>
          <w:sz w:val="24"/>
        </w:rPr>
        <w:br w:type="page"/>
      </w:r>
    </w:p>
    <w:p>
      <w:pPr>
        <w:rPr>
          <w:rFonts w:hint="eastAsia" w:ascii="宋体" w:hAnsi="宋体" w:eastAsia="宋体" w:cs="宋体"/>
          <w:color w:val="auto"/>
          <w:sz w:val="28"/>
          <w:szCs w:val="28"/>
        </w:rPr>
      </w:pPr>
      <w:r>
        <w:rPr>
          <w:rFonts w:hint="eastAsia" w:ascii="宋体" w:hAnsi="宋体" w:eastAsia="宋体" w:cs="宋体"/>
          <w:color w:val="auto"/>
          <w:sz w:val="28"/>
          <w:szCs w:val="28"/>
        </w:rPr>
        <w:t>附件二   廉政合同</w:t>
      </w:r>
    </w:p>
    <w:p>
      <w:pPr>
        <w:spacing w:before="120" w:after="120"/>
        <w:jc w:val="center"/>
        <w:rPr>
          <w:rFonts w:hint="eastAsia" w:ascii="宋体" w:hAnsi="宋体" w:eastAsia="宋体" w:cs="宋体"/>
          <w:color w:val="auto"/>
          <w:sz w:val="28"/>
          <w:szCs w:val="28"/>
        </w:rPr>
      </w:pPr>
      <w:r>
        <w:rPr>
          <w:rFonts w:hint="eastAsia" w:ascii="宋体" w:hAnsi="宋体" w:eastAsia="宋体" w:cs="宋体"/>
          <w:color w:val="auto"/>
          <w:sz w:val="28"/>
          <w:szCs w:val="28"/>
        </w:rPr>
        <w:t>廉政合同</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（项目名称）项目法人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（项目法人名称，以下简称“发包人”）与该项目</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标段的施工单位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（施工单位名称，以下简称“承包人”），特订立如下合同。</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1．发包人和承包人双方的权利和义务</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（1）严格遵守党的政策规定和国家有关法律法规及交通运输部和浙江省交通运输厅的有关规定。</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（2）严格执行</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标段施工合同文件，自觉按合同办事。</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（3）双方的业务活动坚持公开、公正、诚信、透明的原则（法律认定的商业秘密和合同文件另有规定除外），不得损害国家和集体利益，不得违反工程建设管理规章制度。</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（4）建立健全廉政制度，开展廉政教育，设立廉政告示牌，公布举报电话，监督并认真查处违法违纪行为。</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（5）发现对方在业务活动中有违反廉政规定的行为，有及时提醒对方纠正的权利和义务。</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（6）发现对方严重违反本合同义务条款的行为，有向其上级有关部门举报、建议给予处理并要求告知处理结果的权利。</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2．发包人的义务</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（1）发包人及其工作人员不得索要或接受承包人的礼金、有价证券和贵重物品，不得让承包人报销任何应由发包人或发包人工作人员个人支付的费用等。</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（2）发包人工作人员不得参加承包人安排的超标准宴请和娱乐活动；不得接受承包人提供的通讯工具、交通工具和高档办公用品等。</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（3）发包人及其工作人员不利要求或者接受承包人为其住房装修、婚丧嫁娶活动、配偶子女的工作安排以及出国出境、旅游等提供方便等。</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（4）发包人工作人员及其配偶、子女不得从事与发包人工作有关的材料设备供应、工程分包、劳务等经济活动等。</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（5）发包人及期工作人员不得以任何理由向承包人推荐分包单位或推销材料，不得要求承包人购买合同规定外的材料和设备。</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（6）发包人工作人员要秉公办事，不准营私舞弊，不准利用职权从事各种个人有偿中介活动和安排个人施工队伍。</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3．承包人的义务</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（1）承包人不得以任何理由向发包人及其工作人员行贿或馈赠礼金、有价证券、贵重礼品。</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（2）承包人不得以任何名义为发包人及其工作人员报销应由发包人单位或个人支付的任何费用。</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（3）承包人不得以任何理由安排发包人工作人员参加超标准宴请及娱乐活动。</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（4）承包人不得为发包人单位和个人购置或提供通讯工具、交通工具和高档办公用品等。</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4．违约责任</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（1）发包人及其工作人员违反本合同第1、2条，按管理权限，依据有关规定给予党纪、政纪或组织处理；涉嫌犯罪的，移交司法机关追究刑事责任；给承包人单位造成经济损失的，应予以赔偿。</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6.本合同有效期为发包人和承包人签署之日起至该工程项目竣工验收后止。</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7．本合同作为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标段施工合同的附件，与工程施工合同具有同等的法律效力，经合同双方签署后立即生效。</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8．本合同一式四份，由发包人和承包人各执—份，送交发包人和承包人的监督单位各一份</w:t>
      </w: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（盖单位章） </w:t>
      </w: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法定代表人或其委托代理人：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     法定代表人或其委托代理人：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pPr>
        <w:spacing w:line="400" w:lineRule="exact"/>
        <w:ind w:firstLine="840"/>
        <w:rPr>
          <w:rFonts w:hint="eastAsia" w:ascii="宋体" w:hAnsi="宋体" w:eastAsia="宋体" w:cs="宋体"/>
          <w:color w:val="auto"/>
          <w:szCs w:val="21"/>
        </w:rPr>
      </w:pPr>
    </w:p>
    <w:p>
      <w:pPr>
        <w:spacing w:line="400" w:lineRule="exact"/>
        <w:ind w:firstLine="840"/>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发包人监督单位：</w:t>
      </w:r>
      <w:r>
        <w:rPr>
          <w:rFonts w:hint="eastAsia" w:ascii="宋体" w:hAnsi="宋体" w:eastAsia="宋体" w:cs="宋体"/>
          <w:color w:val="auto"/>
          <w:szCs w:val="21"/>
          <w:u w:val="single"/>
        </w:rPr>
        <w:t>（全称） （盖单位章）</w:t>
      </w:r>
      <w:r>
        <w:rPr>
          <w:rFonts w:hint="eastAsia" w:ascii="宋体" w:hAnsi="宋体" w:eastAsia="宋体" w:cs="宋体"/>
          <w:color w:val="auto"/>
          <w:szCs w:val="21"/>
        </w:rPr>
        <w:t xml:space="preserve">     承包人监督单位：</w:t>
      </w:r>
      <w:r>
        <w:rPr>
          <w:rFonts w:hint="eastAsia" w:ascii="宋体" w:hAnsi="宋体" w:eastAsia="宋体" w:cs="宋体"/>
          <w:color w:val="auto"/>
          <w:szCs w:val="21"/>
          <w:u w:val="single"/>
        </w:rPr>
        <w:t>（全称） （盖单位章）</w:t>
      </w: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p>
    <w:p>
      <w:pPr>
        <w:rPr>
          <w:rFonts w:hint="eastAsia" w:ascii="宋体" w:hAnsi="宋体" w:eastAsia="宋体" w:cs="宋体"/>
          <w:color w:val="auto"/>
          <w:sz w:val="24"/>
        </w:rPr>
      </w:pPr>
      <w:r>
        <w:rPr>
          <w:rFonts w:hint="eastAsia" w:ascii="宋体" w:hAnsi="宋体" w:eastAsia="宋体" w:cs="宋体"/>
          <w:color w:val="auto"/>
          <w:sz w:val="24"/>
        </w:rPr>
        <w:br w:type="page"/>
      </w:r>
    </w:p>
    <w:p>
      <w:pPr>
        <w:rPr>
          <w:rFonts w:hint="eastAsia" w:ascii="宋体" w:hAnsi="宋体" w:eastAsia="宋体" w:cs="宋体"/>
          <w:color w:val="auto"/>
          <w:sz w:val="28"/>
          <w:szCs w:val="28"/>
        </w:rPr>
      </w:pPr>
      <w:r>
        <w:rPr>
          <w:rFonts w:hint="eastAsia" w:ascii="宋体" w:hAnsi="宋体" w:eastAsia="宋体" w:cs="宋体"/>
          <w:color w:val="auto"/>
          <w:sz w:val="28"/>
          <w:szCs w:val="28"/>
        </w:rPr>
        <w:t>附件三   安全生产合同</w:t>
      </w:r>
    </w:p>
    <w:p>
      <w:pPr>
        <w:spacing w:before="120" w:after="120"/>
        <w:jc w:val="center"/>
        <w:rPr>
          <w:rFonts w:hint="eastAsia" w:ascii="宋体" w:hAnsi="宋体" w:eastAsia="宋体" w:cs="宋体"/>
          <w:color w:val="auto"/>
          <w:sz w:val="28"/>
          <w:szCs w:val="28"/>
        </w:rPr>
      </w:pPr>
      <w:r>
        <w:rPr>
          <w:rFonts w:hint="eastAsia" w:ascii="宋体" w:hAnsi="宋体" w:eastAsia="宋体" w:cs="宋体"/>
          <w:color w:val="auto"/>
          <w:sz w:val="28"/>
          <w:szCs w:val="28"/>
        </w:rPr>
        <w:t>安全生产合同</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为在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（标段）施工合同的实施过程中创造安全、高效的施工环境，切实搞好本项目的安全管理工作，本项目发包人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（发包人名称，以下简称“发包人”）与承包人</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（承包人名称，以下简称“承包人”）特此签订安全生产合同：</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1.发包人职责</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（1）严格遵守国家有关安全生产的法律法规，认真执行工程承包合同中的有关安全要求。</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（2）按照“安全第一、预防为主、综合治理”和坚持“管生产必须管安全”的原则进行安全生 产管理，做到生产与安全工作同时计划、布置、检查、总结和评比。</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（3）重要的安全设施必须坚持与主体工程“三同时”的原则，即：同时设计、审批，同时施工，同时验收，投入使用。</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（4）定期召开安全生产调度会，及时传达中央及地方有关安全生产的精神。</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（5）组织对承包人施工现场安全生产检查，监督承包人及时处理发现的各种安全隐患。</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2.承包人职责</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（2）坚持“安全第一、预防为主、综合治理”和“管生产必须管安全”的原则，加强安全生产 宣传教育，增强全员安全生产意识，建立健全各项安全生产的管理机构和安全生产管理制度，配备专 职及兼职安全检查人员，有组织有领导地开展安全生产活动。各级领导、工程技术人员、生产管理人 员和具体操作人员，必须熟悉和遵守本合同的各项规定，做到生产与安全工作同时计划、布置、检查、 总结和评比。</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（4）承包人在任何时候都应采取各种合理的预防措施，防止其员工发生任何违法、违禁、暴力或妨碍治安的行为。</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（7）操作人员上岗，必须按规定穿戴防护用品。施工负责人和安全检查员应随时检查劳动防护用品的穿戴情况，不按规定穿戴防护用品的人员不得上岗。</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（8）所有施工机具设备和高空作业的设备均应定期检查，并有安全员的签字记录，保证其经常处于完好状态；不合格的机具、设备和劳动保护用品严禁使用：</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（9）施工中采用新技术、新工艺、新设备、新材料时，必须制定相应的安全技术措施，施工现场必须具有相关的安全标志牌。</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安全生产费用按照浙交〔2009〕228号关于印发《浙江省公路水运建设工程安全生产费用管理暂行规定》、浙交监〔2013〕43号《关于进一步加强我省交通建设工程施工安全生产费用管理的通知》的相关要求以及相关最新规定使用和管理。</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（12）承包人在施工期间应当服从发包人及交通等行业主管部门的监督、检查、指令，并积极做好相关配合工作。</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3.违约责任</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如因发包人或承包人违约造成安全事故，将依法追究责任。</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4.本合同由双方法定代表人或其授权的代理人签署并加盖单位章后生效，全部工程竣工验收后失效。</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5.本合同正本—式二份，副本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份，合同双方各执正本—份，副本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份，当正本与副本的内容不一致时，以正本为准。</w:t>
      </w: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（盖单位章） </w:t>
      </w: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法定代表人或其委托代理人：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       法定代表人或其委托代理人：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pPr>
        <w:spacing w:line="400" w:lineRule="exact"/>
        <w:ind w:firstLine="840"/>
        <w:rPr>
          <w:rFonts w:hint="eastAsia" w:ascii="宋体" w:hAnsi="宋体" w:eastAsia="宋体" w:cs="宋体"/>
          <w:color w:val="auto"/>
          <w:szCs w:val="21"/>
        </w:rPr>
      </w:pPr>
      <w:r>
        <w:rPr>
          <w:rFonts w:hint="eastAsia" w:ascii="宋体" w:hAnsi="宋体" w:eastAsia="宋体" w:cs="宋体"/>
          <w:color w:val="auto"/>
          <w:szCs w:val="21"/>
        </w:rPr>
        <w:t xml:space="preserve">  </w:t>
      </w:r>
    </w:p>
    <w:p>
      <w:pPr>
        <w:spacing w:line="400" w:lineRule="exact"/>
        <w:ind w:firstLine="840"/>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400" w:lineRule="exact"/>
        <w:ind w:firstLine="420" w:firstLineChars="200"/>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szCs w:val="21"/>
        </w:rPr>
      </w:pPr>
    </w:p>
    <w:p>
      <w:pPr>
        <w:widowControl/>
        <w:jc w:val="left"/>
        <w:rPr>
          <w:rFonts w:ascii="宋体" w:hAnsi="宋体" w:eastAsia="宋体" w:cs="宋体"/>
          <w:color w:val="auto"/>
          <w:szCs w:val="21"/>
        </w:rPr>
        <w:sectPr>
          <w:footerReference r:id="rId3" w:type="default"/>
          <w:footnotePr>
            <w:numFmt w:val="decimalEnclosedCircleChinese"/>
            <w:numRestart w:val="eachPage"/>
          </w:footnotePr>
          <w:pgSz w:w="11906" w:h="16838"/>
          <w:pgMar w:top="993" w:right="1133" w:bottom="993" w:left="1361" w:header="851" w:footer="992" w:gutter="0"/>
          <w:pgNumType w:fmt="decimal" w:start="1"/>
          <w:cols w:space="720" w:num="1"/>
        </w:sectPr>
      </w:pPr>
    </w:p>
    <w:p>
      <w:pPr>
        <w:spacing w:after="120" w:afterLines="50"/>
        <w:rPr>
          <w:rFonts w:hint="eastAsia" w:ascii="宋体" w:hAnsi="宋体" w:eastAsia="宋体" w:cs="宋体"/>
          <w:color w:val="auto"/>
          <w:sz w:val="28"/>
          <w:szCs w:val="28"/>
        </w:rPr>
      </w:pPr>
    </w:p>
    <w:p>
      <w:pPr>
        <w:spacing w:after="120" w:afterLines="50"/>
        <w:rPr>
          <w:rFonts w:hint="eastAsia" w:ascii="宋体" w:hAnsi="宋体" w:eastAsia="宋体" w:cs="宋体"/>
          <w:color w:val="auto"/>
          <w:sz w:val="28"/>
          <w:szCs w:val="28"/>
        </w:rPr>
      </w:pPr>
      <w:r>
        <w:rPr>
          <w:rFonts w:hint="eastAsia" w:ascii="宋体" w:hAnsi="宋体" w:eastAsia="宋体" w:cs="宋体"/>
          <w:color w:val="auto"/>
          <w:sz w:val="28"/>
          <w:szCs w:val="28"/>
        </w:rPr>
        <w:t>附件</w:t>
      </w: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   项目经理委托书</w:t>
      </w:r>
    </w:p>
    <w:p>
      <w:pPr>
        <w:spacing w:line="400" w:lineRule="exact"/>
        <w:rPr>
          <w:rFonts w:hint="eastAsia" w:ascii="宋体" w:hAnsi="宋体" w:eastAsia="宋体" w:cs="宋体"/>
          <w:color w:val="auto"/>
          <w:sz w:val="24"/>
        </w:rPr>
      </w:pPr>
    </w:p>
    <w:p>
      <w:pPr>
        <w:spacing w:line="400" w:lineRule="exact"/>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（承包人全称）</w:t>
      </w:r>
    </w:p>
    <w:p>
      <w:pPr>
        <w:spacing w:line="400" w:lineRule="exact"/>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（合同工程名称）项目经理委任书</w:t>
      </w:r>
    </w:p>
    <w:p>
      <w:pPr>
        <w:spacing w:line="400" w:lineRule="exact"/>
        <w:rPr>
          <w:rFonts w:hint="eastAsia" w:ascii="宋体" w:hAnsi="宋体" w:eastAsia="宋体" w:cs="宋体"/>
          <w:color w:val="auto"/>
          <w:szCs w:val="21"/>
        </w:rPr>
      </w:pPr>
    </w:p>
    <w:p>
      <w:pPr>
        <w:spacing w:line="560" w:lineRule="exact"/>
        <w:rPr>
          <w:rFonts w:hint="eastAsia"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（发包人全称</w:t>
      </w:r>
      <w:r>
        <w:rPr>
          <w:rFonts w:hint="eastAsia" w:ascii="宋体" w:hAnsi="宋体" w:eastAsia="宋体" w:cs="宋体"/>
          <w:color w:val="auto"/>
          <w:szCs w:val="21"/>
        </w:rPr>
        <w:t>）</w:t>
      </w:r>
    </w:p>
    <w:p>
      <w:pPr>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（承包人全称）</w:t>
      </w:r>
      <w:r>
        <w:rPr>
          <w:rFonts w:hint="eastAsia" w:ascii="宋体" w:hAnsi="宋体" w:eastAsia="宋体" w:cs="宋体"/>
          <w:color w:val="auto"/>
          <w:szCs w:val="21"/>
        </w:rPr>
        <w:t xml:space="preserve"> 法定代表人</w:t>
      </w:r>
      <w:r>
        <w:rPr>
          <w:rFonts w:hint="eastAsia" w:ascii="宋体" w:hAnsi="宋体" w:eastAsia="宋体" w:cs="宋体"/>
          <w:color w:val="auto"/>
          <w:szCs w:val="21"/>
          <w:u w:val="single"/>
        </w:rPr>
        <w:t xml:space="preserve"> （职务、姓名）</w:t>
      </w:r>
      <w:r>
        <w:rPr>
          <w:rFonts w:hint="eastAsia" w:ascii="宋体" w:hAnsi="宋体" w:eastAsia="宋体" w:cs="宋体"/>
          <w:color w:val="auto"/>
          <w:szCs w:val="21"/>
        </w:rPr>
        <w:t xml:space="preserve"> 代表本单位委任 </w:t>
      </w:r>
      <w:r>
        <w:rPr>
          <w:rFonts w:hint="eastAsia" w:ascii="宋体" w:hAnsi="宋体" w:eastAsia="宋体" w:cs="宋体"/>
          <w:color w:val="auto"/>
          <w:szCs w:val="21"/>
          <w:u w:val="single"/>
        </w:rPr>
        <w:t>（职务、姓名）</w:t>
      </w:r>
      <w:r>
        <w:rPr>
          <w:rFonts w:hint="eastAsia" w:ascii="宋体" w:hAnsi="宋体" w:eastAsia="宋体" w:cs="宋体"/>
          <w:color w:val="auto"/>
          <w:szCs w:val="21"/>
        </w:rPr>
        <w:t xml:space="preserve"> 为</w:t>
      </w:r>
      <w:r>
        <w:rPr>
          <w:rFonts w:hint="eastAsia" w:ascii="宋体" w:hAnsi="宋体" w:eastAsia="宋体" w:cs="宋体"/>
          <w:color w:val="auto"/>
          <w:szCs w:val="21"/>
          <w:u w:val="single"/>
        </w:rPr>
        <w:t>（合同工程名称）</w:t>
      </w:r>
      <w:r>
        <w:rPr>
          <w:rFonts w:hint="eastAsia" w:ascii="宋体" w:hAnsi="宋体" w:eastAsia="宋体" w:cs="宋体"/>
          <w:color w:val="auto"/>
          <w:szCs w:val="21"/>
        </w:rPr>
        <w:t>的项目经理。凡本合同执行中的有关技术、工程进度、现场管理、质量检验、结算与支付等方面工作，由</w:t>
      </w:r>
      <w:r>
        <w:rPr>
          <w:rFonts w:hint="eastAsia" w:ascii="宋体" w:hAnsi="宋体" w:eastAsia="宋体" w:cs="宋体"/>
          <w:color w:val="auto"/>
          <w:szCs w:val="21"/>
          <w:u w:val="single"/>
        </w:rPr>
        <w:t xml:space="preserve"> （姓名） </w:t>
      </w:r>
      <w:r>
        <w:rPr>
          <w:rFonts w:hint="eastAsia" w:ascii="宋体" w:hAnsi="宋体" w:eastAsia="宋体" w:cs="宋体"/>
          <w:color w:val="auto"/>
          <w:szCs w:val="21"/>
        </w:rPr>
        <w:t>代表本单位全面负责。</w:t>
      </w: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p>
    <w:p>
      <w:pPr>
        <w:wordWrap w:val="0"/>
        <w:spacing w:line="400" w:lineRule="exact"/>
        <w:jc w:val="right"/>
        <w:rPr>
          <w:rFonts w:hint="eastAsia" w:ascii="宋体" w:hAnsi="宋体" w:eastAsia="宋体" w:cs="宋体"/>
          <w:color w:val="auto"/>
          <w:szCs w:val="21"/>
        </w:rPr>
      </w:pPr>
      <w:r>
        <w:rPr>
          <w:rFonts w:hint="eastAsia" w:ascii="宋体" w:hAnsi="宋体" w:eastAsia="宋体" w:cs="宋体"/>
          <w:color w:val="auto"/>
          <w:szCs w:val="21"/>
        </w:rPr>
        <w:t>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wordWrap w:val="0"/>
        <w:spacing w:line="400" w:lineRule="exact"/>
        <w:jc w:val="right"/>
        <w:rPr>
          <w:rFonts w:hint="eastAsia" w:ascii="宋体" w:hAnsi="宋体" w:eastAsia="宋体" w:cs="宋体"/>
          <w:color w:val="auto"/>
          <w:szCs w:val="21"/>
          <w:u w:val="single"/>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（职务） </w:t>
      </w:r>
    </w:p>
    <w:p>
      <w:pPr>
        <w:wordWrap w:val="0"/>
        <w:spacing w:line="400" w:lineRule="exact"/>
        <w:ind w:firstLine="1575" w:firstLineChars="750"/>
        <w:jc w:val="righ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（姓名） </w:t>
      </w:r>
    </w:p>
    <w:p>
      <w:pPr>
        <w:wordWrap w:val="0"/>
        <w:spacing w:line="400" w:lineRule="exact"/>
        <w:ind w:firstLine="1575" w:firstLineChars="750"/>
        <w:jc w:val="righ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（签字） </w:t>
      </w:r>
    </w:p>
    <w:p>
      <w:pPr>
        <w:spacing w:line="400" w:lineRule="exact"/>
        <w:rPr>
          <w:rFonts w:hint="eastAsia" w:ascii="宋体" w:hAnsi="宋体" w:eastAsia="宋体" w:cs="宋体"/>
          <w:color w:val="auto"/>
          <w:szCs w:val="21"/>
        </w:rPr>
      </w:pPr>
    </w:p>
    <w:p>
      <w:pPr>
        <w:wordWrap w:val="0"/>
        <w:spacing w:line="400" w:lineRule="exact"/>
        <w:jc w:val="right"/>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w:t>
      </w: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抄送：</w:t>
      </w:r>
      <w:r>
        <w:rPr>
          <w:rFonts w:hint="eastAsia" w:ascii="宋体" w:hAnsi="宋体" w:eastAsia="宋体" w:cs="宋体"/>
          <w:color w:val="auto"/>
          <w:szCs w:val="21"/>
          <w:u w:val="single"/>
        </w:rPr>
        <w:t xml:space="preserve">  （监理人）</w:t>
      </w: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p>
    <w:p>
      <w:pPr>
        <w:spacing w:after="120" w:afterLines="50"/>
        <w:rPr>
          <w:rFonts w:hint="eastAsia" w:ascii="宋体" w:hAnsi="宋体" w:eastAsia="宋体" w:cs="宋体"/>
          <w:color w:val="auto"/>
          <w:sz w:val="24"/>
        </w:rPr>
      </w:pPr>
      <w:r>
        <w:rPr>
          <w:rFonts w:hint="eastAsia" w:ascii="宋体" w:hAnsi="宋体" w:eastAsia="宋体" w:cs="宋体"/>
          <w:color w:val="auto"/>
          <w:sz w:val="24"/>
        </w:rPr>
        <w:br w:type="page"/>
      </w:r>
    </w:p>
    <w:p>
      <w:pPr>
        <w:spacing w:after="120" w:afterLines="50"/>
        <w:rPr>
          <w:rFonts w:hint="eastAsia" w:ascii="宋体" w:hAnsi="宋体" w:eastAsia="宋体" w:cs="宋体"/>
          <w:color w:val="auto"/>
          <w:sz w:val="28"/>
          <w:szCs w:val="28"/>
        </w:rPr>
      </w:pPr>
      <w:r>
        <w:rPr>
          <w:rFonts w:hint="eastAsia" w:ascii="宋体" w:hAnsi="宋体" w:eastAsia="宋体" w:cs="宋体"/>
          <w:color w:val="auto"/>
          <w:sz w:val="28"/>
          <w:szCs w:val="28"/>
        </w:rPr>
        <w:t>附件</w:t>
      </w: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   履约担保格式</w:t>
      </w: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履 约 担 保</w:t>
      </w:r>
    </w:p>
    <w:p>
      <w:pPr>
        <w:rPr>
          <w:rFonts w:hint="eastAsia" w:ascii="宋体" w:hAnsi="宋体" w:eastAsia="宋体" w:cs="宋体"/>
          <w:color w:val="auto"/>
          <w:szCs w:val="21"/>
        </w:rPr>
      </w:pPr>
    </w:p>
    <w:p>
      <w:pPr>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（发包人名称）：</w:t>
      </w:r>
    </w:p>
    <w:p>
      <w:pPr>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鉴于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（发包人名称，以下简称“发包人”）接受</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（承包人名称）（以下称“承包人”）于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日参加</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标段施工的投标。我方愿意无条件地、不可撤销地就承包人履行与你方订立的合同，向你方提供担保。</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1.担保金额人民币（大写）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2.担保有效期自发包人与承包人签订的合同生效之日起至发包人签发工程接收交工验收证书之日止。</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3.在本担保有效期内，因承包人违反合同约定的义务给你方造成经济损失时，我方在收到你方以书面形式提出的在担保金额内的赔偿要求后，在7天内无条件支付，无须你方出具证明或陈述理由。</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4.发包人和承包人按合同条款第15条变更合同时，我方承担本担保规定的义务不变。</w:t>
      </w: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                                 担 保 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                                 法定代表人或其委托代理人：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                                 地    址：</w:t>
      </w:r>
      <w:r>
        <w:rPr>
          <w:rFonts w:hint="eastAsia" w:ascii="宋体" w:hAnsi="宋体" w:eastAsia="宋体" w:cs="宋体"/>
          <w:color w:val="auto"/>
          <w:szCs w:val="21"/>
          <w:u w:val="single"/>
        </w:rPr>
        <w:t xml:space="preserve">                              </w:t>
      </w: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                                 邮政编码：</w:t>
      </w:r>
      <w:r>
        <w:rPr>
          <w:rFonts w:hint="eastAsia" w:ascii="宋体" w:hAnsi="宋体" w:eastAsia="宋体" w:cs="宋体"/>
          <w:color w:val="auto"/>
          <w:szCs w:val="21"/>
          <w:u w:val="single"/>
        </w:rPr>
        <w:t xml:space="preserve">                              </w:t>
      </w: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                                 电    话：</w:t>
      </w:r>
      <w:r>
        <w:rPr>
          <w:rFonts w:hint="eastAsia" w:ascii="宋体" w:hAnsi="宋体" w:eastAsia="宋体" w:cs="宋体"/>
          <w:color w:val="auto"/>
          <w:szCs w:val="21"/>
          <w:u w:val="single"/>
        </w:rPr>
        <w:t xml:space="preserve">                              </w:t>
      </w: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                                 传    真：</w:t>
      </w:r>
      <w:r>
        <w:rPr>
          <w:rFonts w:hint="eastAsia" w:ascii="宋体" w:hAnsi="宋体" w:eastAsia="宋体" w:cs="宋体"/>
          <w:color w:val="auto"/>
          <w:szCs w:val="21"/>
          <w:u w:val="single"/>
        </w:rPr>
        <w:t xml:space="preserve">                              </w:t>
      </w: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400" w:lineRule="exact"/>
        <w:ind w:firstLine="420" w:firstLineChars="200"/>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szCs w:val="21"/>
        </w:rPr>
      </w:pPr>
    </w:p>
    <w:p>
      <w:pPr>
        <w:spacing w:after="120" w:afterLines="50"/>
        <w:rPr>
          <w:rFonts w:hint="eastAsia" w:ascii="宋体" w:hAnsi="宋体" w:eastAsia="宋体" w:cs="宋体"/>
          <w:color w:val="auto"/>
          <w:sz w:val="24"/>
        </w:rPr>
      </w:pPr>
      <w:r>
        <w:rPr>
          <w:rFonts w:hint="eastAsia" w:ascii="宋体" w:hAnsi="宋体" w:eastAsia="宋体" w:cs="宋体"/>
          <w:color w:val="auto"/>
          <w:sz w:val="24"/>
        </w:rPr>
        <w:br w:type="page"/>
      </w:r>
    </w:p>
    <w:p>
      <w:pPr>
        <w:spacing w:after="120" w:afterLines="50"/>
        <w:rPr>
          <w:rFonts w:hint="eastAsia" w:ascii="宋体" w:hAnsi="宋体" w:eastAsia="宋体" w:cs="宋体"/>
          <w:color w:val="auto"/>
          <w:sz w:val="28"/>
          <w:szCs w:val="28"/>
        </w:rPr>
      </w:pPr>
      <w:r>
        <w:rPr>
          <w:rFonts w:hint="eastAsia" w:ascii="宋体" w:hAnsi="宋体" w:eastAsia="宋体" w:cs="宋体"/>
          <w:color w:val="auto"/>
          <w:sz w:val="28"/>
          <w:szCs w:val="28"/>
        </w:rPr>
        <w:t>附件</w:t>
      </w: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 xml:space="preserve">   预付款担保格式</w:t>
      </w:r>
    </w:p>
    <w:p>
      <w:pPr>
        <w:rPr>
          <w:rFonts w:hint="eastAsia" w:ascii="宋体" w:hAnsi="宋体" w:eastAsia="宋体" w:cs="宋体"/>
          <w:color w:val="auto"/>
          <w:sz w:val="24"/>
        </w:rPr>
      </w:pP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预 付 款 担 保</w:t>
      </w:r>
    </w:p>
    <w:p>
      <w:pPr>
        <w:rPr>
          <w:rFonts w:hint="eastAsia" w:ascii="宋体" w:hAnsi="宋体" w:eastAsia="宋体" w:cs="宋体"/>
          <w:color w:val="auto"/>
          <w:szCs w:val="21"/>
        </w:rPr>
      </w:pPr>
    </w:p>
    <w:p>
      <w:pPr>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（发包人名称）：</w:t>
      </w:r>
    </w:p>
    <w:p>
      <w:pPr>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（承包人名称）（以下称“承包人”）与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（发包人名称）（以下简称“发包人”）于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日签订的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标段施工承包合同，承包人按约定的金额向发包人提交一份预付款担保，即有权得到发包人支付相等金额的预付款。我方愿意就你方提供给承包人的预付款提供担保。</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1.担保金额人民币（大写）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2.担保有效期自预付款支付给承包人起生效，至发包人签发的进度付款证书说明已完全扣清止。</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在本保函有效期内，因承包人违反合同约定的义务而要求收回预付款时，我方在收到你方的书面通知后，在7天内无条件支付，无须你方出具证明或陈述理由。但本保函的担保金额，在任何时候不应超过预付款金额减去发包人按合同约定在向承包人签发的进度付款证书中扣除的金额。</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4.发包人和承包人按合同条款第 15 条变更合同时，我方承担本保函规定的义务不变。</w:t>
      </w: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                                  担 保 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                                  法定代表人或其委托代理人：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                                  地    址：</w:t>
      </w:r>
      <w:r>
        <w:rPr>
          <w:rFonts w:hint="eastAsia" w:ascii="宋体" w:hAnsi="宋体" w:eastAsia="宋体" w:cs="宋体"/>
          <w:color w:val="auto"/>
          <w:szCs w:val="21"/>
          <w:u w:val="single"/>
        </w:rPr>
        <w:t xml:space="preserve">                              </w:t>
      </w: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                                  邮政编码：</w:t>
      </w:r>
      <w:r>
        <w:rPr>
          <w:rFonts w:hint="eastAsia" w:ascii="宋体" w:hAnsi="宋体" w:eastAsia="宋体" w:cs="宋体"/>
          <w:color w:val="auto"/>
          <w:szCs w:val="21"/>
          <w:u w:val="single"/>
        </w:rPr>
        <w:t xml:space="preserve">                              </w:t>
      </w: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                                  电    话：</w:t>
      </w:r>
      <w:r>
        <w:rPr>
          <w:rFonts w:hint="eastAsia" w:ascii="宋体" w:hAnsi="宋体" w:eastAsia="宋体" w:cs="宋体"/>
          <w:color w:val="auto"/>
          <w:szCs w:val="21"/>
          <w:u w:val="single"/>
        </w:rPr>
        <w:t xml:space="preserve">                              </w:t>
      </w:r>
    </w:p>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                                  传    真：</w:t>
      </w:r>
      <w:r>
        <w:rPr>
          <w:rFonts w:hint="eastAsia" w:ascii="宋体" w:hAnsi="宋体" w:eastAsia="宋体" w:cs="宋体"/>
          <w:color w:val="auto"/>
          <w:szCs w:val="21"/>
          <w:u w:val="single"/>
        </w:rPr>
        <w:t xml:space="preserve">                              </w:t>
      </w:r>
    </w:p>
    <w:p>
      <w:pPr>
        <w:rPr>
          <w:rFonts w:hint="eastAsia" w:ascii="宋体" w:hAnsi="宋体" w:eastAsia="宋体" w:cs="宋体"/>
          <w:color w:val="auto"/>
          <w:szCs w:val="21"/>
        </w:rPr>
      </w:pPr>
    </w:p>
    <w:p>
      <w:pPr>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400" w:lineRule="exact"/>
        <w:ind w:firstLine="420" w:firstLineChars="200"/>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szCs w:val="21"/>
        </w:rPr>
      </w:pPr>
    </w:p>
    <w:p>
      <w:pPr>
        <w:spacing w:after="120" w:afterLines="50"/>
        <w:rPr>
          <w:rFonts w:hint="eastAsia" w:ascii="宋体" w:hAnsi="宋体" w:eastAsia="宋体" w:cs="宋体"/>
          <w:color w:val="auto"/>
          <w:sz w:val="24"/>
        </w:rPr>
      </w:pPr>
      <w:r>
        <w:rPr>
          <w:rFonts w:hint="eastAsia" w:ascii="宋体" w:hAnsi="宋体" w:eastAsia="宋体" w:cs="宋体"/>
          <w:color w:val="auto"/>
          <w:sz w:val="24"/>
        </w:rPr>
        <w:br w:type="page"/>
      </w:r>
      <w:r>
        <w:rPr>
          <w:rFonts w:hint="eastAsia" w:ascii="宋体" w:hAnsi="宋体" w:eastAsia="宋体" w:cs="宋体"/>
          <w:color w:val="auto"/>
          <w:sz w:val="28"/>
          <w:szCs w:val="28"/>
        </w:rPr>
        <w:t>附件</w:t>
      </w: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 xml:space="preserve">   工程资金监管协议格式</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（发包人与承包人签订合同协议书时应与发包人制订的银行签署工程资金监管协议，工程资金监管协议内容在保证本项目资金有效监管的前提下由三方共同商定）</w:t>
      </w:r>
    </w:p>
    <w:p>
      <w:pPr>
        <w:spacing w:before="240" w:after="24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工程资金监管协议</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发 包 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（以下简称“甲方”）</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承 包 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（以下简称“乙方”）</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经办银行：</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（以下简称“丙方”）</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为了促进</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（项目名称）的顺利实施，管好用好建设资金，确保工程资金专款专用，同时为承包人提供便捷有效的银行业务服务，根据</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（项目名称）合同条款有关规定，经甲、乙、丙三方协商，达成协议如下：</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1.资金管理的内容</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（1）乙方为完成</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（项目名称）工程成立的项目经理部在丙方开设基本结算户；</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（2）甲方应将按合同规定将工程款（质量保证金除外）汇入乙方在丙方开设的账户；</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（3）乙方应将流动资金及甲方所拨付资金专项用于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（4）丙方应为乙方提供便捷有效的银行业务服务，并接受甲方委托对乙方在丙方开设的基本结算户资金使用情况进行监督。</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2.甲方的权责</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（1）按照</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（项目名称）合同有关条款规定的时间和方式，向乙方支付工程款；</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（2）在发现乙方将本项目资金挪用、转移时，甲方有权中止工程支付，直至乙方改正为止；</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（3）不定期审查丙方对乙方的资金使用监督情况，如丙方不能履行其责任，甲方有权随时终止本协议；</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（4）在乙、丙双方发生争议时，甲方应负责协调、解决。</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3.乙方的权责</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（1）项目经理部成立以后，乙方应尽快在丙方开设基本结算户；</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（2）确保本项目资金专款专用，不发生挪用、转移资金的现象；保证不通过权益转让、抵押、担保承担债务等任何其他方式使用基本结算户的资金；</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（3）办理材料、设备等采购业务金额在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万元以上的，应出示购货合同、协议和发票；在办理总额超过</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万元以上的采购业务时，应将合同、协议和发票复印件送丙方备案；购买应急材料、设备时可先办理支付手续，但事后必须补备有关资料；</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（4）用银行转账支票办理支付款项时，必须将转账支票送交丙方，由丙方负责办理支票转付手续；</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（5）向分包单位支付工程进度款时，应附甲方批准分包的文件；</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（6）向上级单位缴纳管理费、机械设备及周转材料租赁摊销费等款项时，应附上级单位出具的转账通知等有关资料，以确保资金专款专用。</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4.丙方的权责</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（1）成立</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（项目名称）工程资金管理服务小组，明确业务流程，提高工作效率，杜绝“压票”现象；</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（2）根据乙方提供的购货合同、协议和发票，检查其所购材料、设备是否用于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（项目名称）工程建设，对本标段以外的购货款项，有权拒绝办理，并及时报告甲方；</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（3）根据乙方与分包单位签订的合同及支付文件，检查其支付款项是否符合有关条件，向分包单位以外单位的支付有权拒绝办理，并及时报告甲方；</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（4）根据乙方提供的上级单位出具的转账通知等有关资料，办理管理费、机械设备及周转材料租赁摊销费等款项的支付；对超出转账通知等有关资料以外的支付，有权拒绝办理，并及时转告甲方；</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（5）定期将乙方前一个周期的支付情况，整理后书面报送甲方；乙方复印备案的材料一并送甲方。</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5.甲、乙、丙三方都应履行保密责任，不得将其他两方的业务情况透露给三方以外的其他单位或个人。</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6.本协议有效期自乙方在丙方开户起，至工程交工验收甲方向乙方颁发交工验收证书后结束。</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7.本协议未尽事宜，由甲方牵头，三方协商解决。</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8.本协议正本三份、副本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份。合同三方各执正本一份、副本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份，当正本与副本内容不一致时，以正本为准。</w:t>
      </w:r>
    </w:p>
    <w:p>
      <w:pPr>
        <w:spacing w:line="400" w:lineRule="exact"/>
        <w:rPr>
          <w:rFonts w:hint="eastAsia" w:ascii="宋体" w:hAnsi="宋体" w:eastAsia="宋体" w:cs="宋体"/>
          <w:color w:val="auto"/>
          <w:szCs w:val="21"/>
        </w:rPr>
      </w:pPr>
    </w:p>
    <w:p>
      <w:pPr>
        <w:spacing w:line="400" w:lineRule="exact"/>
        <w:ind w:firstLine="3686"/>
        <w:rPr>
          <w:rFonts w:hint="eastAsia" w:ascii="宋体" w:hAnsi="宋体" w:eastAsia="宋体" w:cs="宋体"/>
          <w:color w:val="auto"/>
          <w:szCs w:val="21"/>
        </w:rPr>
      </w:pPr>
      <w:r>
        <w:rPr>
          <w:rFonts w:hint="eastAsia" w:ascii="宋体" w:hAnsi="宋体" w:eastAsia="宋体" w:cs="宋体"/>
          <w:color w:val="auto"/>
          <w:szCs w:val="21"/>
        </w:rPr>
        <w:t>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400" w:lineRule="exact"/>
        <w:ind w:firstLine="3686"/>
        <w:rPr>
          <w:rFonts w:hint="eastAsia" w:ascii="宋体" w:hAnsi="宋体" w:eastAsia="宋体" w:cs="宋体"/>
          <w:color w:val="auto"/>
          <w:szCs w:val="21"/>
        </w:rPr>
      </w:pPr>
      <w:r>
        <w:rPr>
          <w:rFonts w:hint="eastAsia" w:ascii="宋体" w:hAnsi="宋体" w:eastAsia="宋体" w:cs="宋体"/>
          <w:color w:val="auto"/>
          <w:szCs w:val="21"/>
        </w:rPr>
        <w:t>法定人或代表其委托代理人：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pPr>
        <w:spacing w:line="400" w:lineRule="exact"/>
        <w:ind w:firstLine="3686"/>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400" w:lineRule="exact"/>
        <w:ind w:firstLine="3686"/>
        <w:rPr>
          <w:rFonts w:hint="eastAsia" w:ascii="宋体" w:hAnsi="宋体" w:eastAsia="宋体" w:cs="宋体"/>
          <w:color w:val="auto"/>
          <w:szCs w:val="21"/>
        </w:rPr>
      </w:pPr>
      <w:r>
        <w:rPr>
          <w:rFonts w:hint="eastAsia" w:ascii="宋体" w:hAnsi="宋体" w:eastAsia="宋体" w:cs="宋体"/>
          <w:color w:val="auto"/>
          <w:szCs w:val="21"/>
        </w:rPr>
        <w:t xml:space="preserve">                              </w:t>
      </w:r>
    </w:p>
    <w:p>
      <w:pPr>
        <w:spacing w:line="400" w:lineRule="exact"/>
        <w:ind w:firstLine="3686"/>
        <w:rPr>
          <w:rFonts w:hint="eastAsia" w:ascii="宋体" w:hAnsi="宋体" w:eastAsia="宋体" w:cs="宋体"/>
          <w:color w:val="auto"/>
          <w:szCs w:val="21"/>
        </w:rPr>
      </w:pPr>
      <w:r>
        <w:rPr>
          <w:rFonts w:hint="eastAsia" w:ascii="宋体" w:hAnsi="宋体" w:eastAsia="宋体" w:cs="宋体"/>
          <w:color w:val="auto"/>
          <w:szCs w:val="21"/>
        </w:rPr>
        <w:t>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400" w:lineRule="exact"/>
        <w:ind w:firstLine="3686"/>
        <w:rPr>
          <w:rFonts w:hint="eastAsia" w:ascii="宋体" w:hAnsi="宋体" w:eastAsia="宋体" w:cs="宋体"/>
          <w:color w:val="auto"/>
          <w:szCs w:val="21"/>
        </w:rPr>
      </w:pPr>
      <w:r>
        <w:rPr>
          <w:rFonts w:hint="eastAsia" w:ascii="宋体" w:hAnsi="宋体" w:eastAsia="宋体" w:cs="宋体"/>
          <w:color w:val="auto"/>
          <w:szCs w:val="21"/>
        </w:rPr>
        <w:t>法定人或代表其委托代理人：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pPr>
        <w:spacing w:line="400" w:lineRule="exact"/>
        <w:ind w:firstLine="3686"/>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400" w:lineRule="exact"/>
        <w:ind w:firstLine="3686"/>
        <w:rPr>
          <w:rFonts w:hint="eastAsia" w:ascii="宋体" w:hAnsi="宋体" w:eastAsia="宋体" w:cs="宋体"/>
          <w:color w:val="auto"/>
          <w:szCs w:val="21"/>
        </w:rPr>
      </w:pPr>
      <w:r>
        <w:rPr>
          <w:rFonts w:hint="eastAsia" w:ascii="宋体" w:hAnsi="宋体" w:eastAsia="宋体" w:cs="宋体"/>
          <w:color w:val="auto"/>
          <w:szCs w:val="21"/>
        </w:rPr>
        <w:t>经办银行：</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400" w:lineRule="exact"/>
        <w:ind w:firstLine="3686"/>
        <w:rPr>
          <w:rFonts w:hint="eastAsia" w:ascii="宋体" w:hAnsi="宋体" w:eastAsia="宋体" w:cs="宋体"/>
          <w:color w:val="auto"/>
          <w:szCs w:val="21"/>
        </w:rPr>
      </w:pPr>
      <w:r>
        <w:rPr>
          <w:rFonts w:hint="eastAsia" w:ascii="宋体" w:hAnsi="宋体" w:eastAsia="宋体" w:cs="宋体"/>
          <w:color w:val="auto"/>
          <w:szCs w:val="21"/>
        </w:rPr>
        <w:t>法定人或代表其委托代理人：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pPr>
        <w:spacing w:line="400" w:lineRule="exact"/>
        <w:ind w:firstLine="3686"/>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pStyle w:val="123"/>
        <w:jc w:val="left"/>
        <w:rPr>
          <w:rFonts w:hint="eastAsia" w:ascii="宋体" w:hAnsi="宋体" w:eastAsia="宋体"/>
          <w:color w:val="auto"/>
        </w:rPr>
      </w:pPr>
      <w:r>
        <w:rPr>
          <w:rFonts w:hint="eastAsia" w:ascii="宋体" w:hAnsi="宋体" w:eastAsia="宋体"/>
          <w:color w:val="auto"/>
          <w:szCs w:val="21"/>
        </w:rPr>
        <w:br w:type="page"/>
      </w:r>
      <w:bookmarkStart w:id="243" w:name="_Toc27909"/>
      <w:bookmarkStart w:id="244" w:name="_Toc466207320"/>
      <w:r>
        <w:rPr>
          <w:rFonts w:hint="eastAsia" w:ascii="宋体" w:hAnsi="宋体" w:eastAsia="宋体"/>
          <w:color w:val="auto"/>
          <w:kern w:val="2"/>
          <w:sz w:val="28"/>
          <w:szCs w:val="28"/>
        </w:rPr>
        <w:t>附件</w:t>
      </w:r>
      <w:r>
        <w:rPr>
          <w:rFonts w:hint="eastAsia" w:ascii="宋体" w:hAnsi="宋体" w:eastAsia="宋体"/>
          <w:color w:val="auto"/>
          <w:kern w:val="2"/>
          <w:sz w:val="28"/>
          <w:szCs w:val="28"/>
          <w:lang w:eastAsia="zh-CN"/>
        </w:rPr>
        <w:t>八</w:t>
      </w:r>
      <w:r>
        <w:rPr>
          <w:rFonts w:hint="eastAsia" w:ascii="宋体" w:hAnsi="宋体" w:eastAsia="宋体"/>
          <w:color w:val="auto"/>
          <w:kern w:val="2"/>
          <w:sz w:val="28"/>
          <w:szCs w:val="28"/>
        </w:rPr>
        <w:t xml:space="preserve">   工程质量责任合同格式</w:t>
      </w:r>
      <w:bookmarkEnd w:id="243"/>
      <w:bookmarkEnd w:id="244"/>
    </w:p>
    <w:p>
      <w:pPr>
        <w:pStyle w:val="103"/>
        <w:keepNext w:val="0"/>
        <w:keepLines w:val="0"/>
        <w:spacing w:line="240" w:lineRule="auto"/>
        <w:outlineLvl w:val="9"/>
        <w:rPr>
          <w:rFonts w:hint="eastAsia" w:ascii="宋体" w:hAnsi="宋体" w:eastAsia="宋体"/>
          <w:color w:val="auto"/>
          <w:sz w:val="21"/>
          <w:szCs w:val="21"/>
        </w:rPr>
      </w:pPr>
    </w:p>
    <w:p>
      <w:pPr>
        <w:spacing w:line="500" w:lineRule="exact"/>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工程质量责任合同</w:t>
      </w:r>
    </w:p>
    <w:p>
      <w:pPr>
        <w:spacing w:line="500" w:lineRule="exact"/>
        <w:jc w:val="center"/>
        <w:rPr>
          <w:rFonts w:hint="eastAsia" w:ascii="宋体" w:hAnsi="宋体" w:eastAsia="宋体" w:cs="宋体"/>
          <w:b/>
          <w:color w:val="auto"/>
          <w:szCs w:val="21"/>
        </w:rPr>
      </w:pPr>
    </w:p>
    <w:p>
      <w:pPr>
        <w:spacing w:line="300" w:lineRule="auto"/>
        <w:rPr>
          <w:rFonts w:hint="eastAsia" w:ascii="宋体" w:hAnsi="宋体" w:eastAsia="宋体" w:cs="宋体"/>
          <w:color w:val="auto"/>
          <w:szCs w:val="21"/>
        </w:rPr>
      </w:pPr>
      <w:r>
        <w:rPr>
          <w:rFonts w:hint="eastAsia" w:ascii="宋体" w:hAnsi="宋体" w:eastAsia="宋体" w:cs="宋体"/>
          <w:color w:val="auto"/>
          <w:szCs w:val="21"/>
        </w:rPr>
        <w:t xml:space="preserve">   根据国务院《建设工程质量管理条例》，为保证设计使用年限内建设工程质量，</w:t>
      </w:r>
      <w:r>
        <w:rPr>
          <w:rFonts w:hint="eastAsia" w:ascii="宋体" w:hAnsi="宋体" w:eastAsia="宋体" w:cs="宋体"/>
          <w:b/>
          <w:bCs/>
          <w:color w:val="auto"/>
          <w:szCs w:val="21"/>
          <w:u w:val="single"/>
        </w:rPr>
        <w:t xml:space="preserve">   </w:t>
      </w:r>
      <w:r>
        <w:rPr>
          <w:rFonts w:hint="eastAsia" w:ascii="宋体" w:hAnsi="宋体" w:eastAsia="宋体" w:cs="宋体"/>
          <w:color w:val="auto"/>
          <w:szCs w:val="21"/>
          <w:u w:val="single"/>
        </w:rPr>
        <w:t>（项目名称）</w:t>
      </w:r>
      <w:r>
        <w:rPr>
          <w:rFonts w:hint="eastAsia" w:ascii="宋体" w:hAnsi="宋体" w:eastAsia="宋体" w:cs="宋体"/>
          <w:color w:val="auto"/>
          <w:szCs w:val="21"/>
        </w:rPr>
        <w:t>的发包人</w:t>
      </w:r>
      <w:r>
        <w:rPr>
          <w:rFonts w:hint="eastAsia" w:ascii="宋体" w:hAnsi="宋体" w:eastAsia="宋体" w:cs="宋体"/>
          <w:b/>
          <w:bCs/>
          <w:color w:val="auto"/>
          <w:szCs w:val="21"/>
          <w:u w:val="single"/>
        </w:rPr>
        <w:t xml:space="preserve">      （以下称甲方）</w:t>
      </w:r>
      <w:r>
        <w:rPr>
          <w:rFonts w:hint="eastAsia" w:ascii="宋体" w:hAnsi="宋体" w:eastAsia="宋体" w:cs="宋体"/>
          <w:color w:val="auto"/>
          <w:szCs w:val="21"/>
        </w:rPr>
        <w:t>与承包人</w:t>
      </w:r>
      <w:r>
        <w:rPr>
          <w:rFonts w:hint="eastAsia" w:ascii="宋体" w:hAnsi="宋体" w:eastAsia="宋体" w:cs="宋体"/>
          <w:color w:val="auto"/>
          <w:szCs w:val="21"/>
          <w:u w:val="single"/>
        </w:rPr>
        <w:t xml:space="preserve"> </w:t>
      </w:r>
      <w:r>
        <w:rPr>
          <w:rFonts w:hint="eastAsia" w:ascii="宋体" w:hAnsi="宋体" w:eastAsia="宋体" w:cs="宋体"/>
          <w:b/>
          <w:bCs/>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（以下称乙方），特订立如下质量责任合同。</w:t>
      </w:r>
    </w:p>
    <w:p>
      <w:pPr>
        <w:spacing w:line="300" w:lineRule="auto"/>
        <w:rPr>
          <w:rFonts w:hint="eastAsia" w:ascii="宋体" w:hAnsi="宋体" w:eastAsia="宋体" w:cs="宋体"/>
          <w:color w:val="auto"/>
          <w:szCs w:val="21"/>
          <w:u w:val="single"/>
        </w:rPr>
      </w:pPr>
      <w:r>
        <w:rPr>
          <w:rFonts w:hint="eastAsia" w:ascii="宋体" w:hAnsi="宋体" w:eastAsia="宋体" w:cs="宋体"/>
          <w:color w:val="auto"/>
          <w:szCs w:val="21"/>
        </w:rPr>
        <w:t xml:space="preserve">    第一条  本建设工程项目的质量目标为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，乙方对本建设工程的施工质量在设计使用年限内依法终身负责。施工质量责任人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00" w:lineRule="auto"/>
        <w:rPr>
          <w:rFonts w:hint="eastAsia" w:ascii="宋体" w:hAnsi="宋体" w:eastAsia="宋体" w:cs="宋体"/>
          <w:color w:val="auto"/>
          <w:szCs w:val="21"/>
        </w:rPr>
      </w:pPr>
      <w:r>
        <w:rPr>
          <w:rFonts w:hint="eastAsia" w:ascii="宋体" w:hAnsi="宋体" w:eastAsia="宋体" w:cs="宋体"/>
          <w:color w:val="auto"/>
          <w:szCs w:val="21"/>
        </w:rPr>
        <w:t xml:space="preserve">    第二条  甲乙双方的权利与义务</w:t>
      </w:r>
    </w:p>
    <w:p>
      <w:pPr>
        <w:spacing w:line="300" w:lineRule="auto"/>
        <w:rPr>
          <w:rFonts w:hint="eastAsia" w:ascii="宋体" w:hAnsi="宋体" w:eastAsia="宋体" w:cs="宋体"/>
          <w:color w:val="auto"/>
          <w:szCs w:val="21"/>
        </w:rPr>
      </w:pPr>
      <w:r>
        <w:rPr>
          <w:rFonts w:hint="eastAsia" w:ascii="宋体" w:hAnsi="宋体" w:eastAsia="宋体" w:cs="宋体"/>
          <w:color w:val="auto"/>
          <w:szCs w:val="21"/>
        </w:rPr>
        <w:t xml:space="preserve">    （一）严格遵守国家有关法律法规及交通运输部和浙江省交通运输厅的有关规定。</w:t>
      </w:r>
    </w:p>
    <w:p>
      <w:pPr>
        <w:spacing w:line="300" w:lineRule="auto"/>
        <w:rPr>
          <w:rFonts w:hint="eastAsia" w:ascii="宋体" w:hAnsi="宋体" w:eastAsia="宋体" w:cs="宋体"/>
          <w:color w:val="auto"/>
          <w:szCs w:val="21"/>
        </w:rPr>
      </w:pPr>
      <w:r>
        <w:rPr>
          <w:rFonts w:hint="eastAsia" w:ascii="宋体" w:hAnsi="宋体" w:eastAsia="宋体" w:cs="宋体"/>
          <w:color w:val="auto"/>
          <w:szCs w:val="21"/>
        </w:rPr>
        <w:t xml:space="preserve">    （二）严格执行</w:t>
      </w:r>
      <w:r>
        <w:rPr>
          <w:rFonts w:hint="eastAsia" w:ascii="宋体" w:hAnsi="宋体" w:eastAsia="宋体" w:cs="宋体"/>
          <w:b/>
          <w:bCs/>
          <w:color w:val="auto"/>
          <w:szCs w:val="21"/>
          <w:u w:val="single"/>
        </w:rPr>
        <w:t xml:space="preserve">    </w:t>
      </w:r>
      <w:r>
        <w:rPr>
          <w:rFonts w:hint="eastAsia" w:ascii="宋体" w:hAnsi="宋体" w:eastAsia="宋体" w:cs="宋体"/>
          <w:color w:val="auto"/>
          <w:szCs w:val="21"/>
          <w:u w:val="single"/>
        </w:rPr>
        <w:t>（项目名称）</w:t>
      </w:r>
      <w:r>
        <w:rPr>
          <w:rFonts w:hint="eastAsia" w:ascii="宋体" w:hAnsi="宋体" w:eastAsia="宋体" w:cs="宋体"/>
          <w:color w:val="auto"/>
          <w:szCs w:val="21"/>
        </w:rPr>
        <w:t>施工合同文件，自觉按合同办事。</w:t>
      </w:r>
    </w:p>
    <w:p>
      <w:pPr>
        <w:spacing w:line="300" w:lineRule="auto"/>
        <w:rPr>
          <w:rFonts w:hint="eastAsia" w:ascii="宋体" w:hAnsi="宋体" w:eastAsia="宋体" w:cs="宋体"/>
          <w:color w:val="auto"/>
          <w:szCs w:val="21"/>
        </w:rPr>
      </w:pPr>
      <w:r>
        <w:rPr>
          <w:rFonts w:hint="eastAsia" w:ascii="宋体" w:hAnsi="宋体" w:eastAsia="宋体" w:cs="宋体"/>
          <w:color w:val="auto"/>
          <w:szCs w:val="21"/>
        </w:rPr>
        <w:t xml:space="preserve">    （三）双方的施工业务活动必须坚持科学、公正、诚信、平等的原则，不得损害国家、集体的利益，不得违反工程建设管理规章制度。</w:t>
      </w:r>
    </w:p>
    <w:p>
      <w:pPr>
        <w:spacing w:line="300" w:lineRule="auto"/>
        <w:ind w:firstLine="420"/>
        <w:rPr>
          <w:rFonts w:hint="eastAsia" w:ascii="宋体" w:hAnsi="宋体" w:eastAsia="宋体" w:cs="宋体"/>
          <w:color w:val="auto"/>
          <w:szCs w:val="21"/>
        </w:rPr>
      </w:pPr>
      <w:r>
        <w:rPr>
          <w:rFonts w:hint="eastAsia" w:ascii="宋体" w:hAnsi="宋体" w:eastAsia="宋体" w:cs="宋体"/>
          <w:color w:val="auto"/>
          <w:szCs w:val="21"/>
        </w:rPr>
        <w:t>（四）发现对方在施工业务活动中，有违反有关规定的行为，有及时提醒对方纠正的权利和义务。</w:t>
      </w:r>
    </w:p>
    <w:p>
      <w:pPr>
        <w:spacing w:line="300" w:lineRule="auto"/>
        <w:ind w:firstLine="420"/>
        <w:rPr>
          <w:rFonts w:hint="eastAsia" w:ascii="宋体" w:hAnsi="宋体" w:eastAsia="宋体" w:cs="宋体"/>
          <w:color w:val="auto"/>
          <w:szCs w:val="21"/>
        </w:rPr>
      </w:pPr>
      <w:r>
        <w:rPr>
          <w:rFonts w:hint="eastAsia" w:ascii="宋体" w:hAnsi="宋体" w:eastAsia="宋体" w:cs="宋体"/>
          <w:color w:val="auto"/>
          <w:szCs w:val="21"/>
        </w:rPr>
        <w:t>（五）发现对方严重违反施工合同文件的行为，有向其上级有关部门举报，建议给予处理并要求告知处理结果的权利。</w:t>
      </w:r>
    </w:p>
    <w:p>
      <w:pPr>
        <w:spacing w:line="300" w:lineRule="auto"/>
        <w:ind w:firstLine="420"/>
        <w:rPr>
          <w:rFonts w:hint="eastAsia" w:ascii="宋体" w:hAnsi="宋体" w:eastAsia="宋体" w:cs="宋体"/>
          <w:color w:val="auto"/>
          <w:szCs w:val="21"/>
        </w:rPr>
      </w:pPr>
      <w:r>
        <w:rPr>
          <w:rFonts w:hint="eastAsia" w:ascii="宋体" w:hAnsi="宋体" w:eastAsia="宋体" w:cs="宋体"/>
          <w:color w:val="auto"/>
          <w:szCs w:val="21"/>
        </w:rPr>
        <w:t>第三条  甲方的义务</w:t>
      </w:r>
    </w:p>
    <w:p>
      <w:pPr>
        <w:spacing w:line="300" w:lineRule="auto"/>
        <w:ind w:firstLine="420"/>
        <w:rPr>
          <w:rFonts w:hint="eastAsia" w:ascii="宋体" w:hAnsi="宋体" w:eastAsia="宋体" w:cs="宋体"/>
          <w:color w:val="auto"/>
          <w:szCs w:val="21"/>
        </w:rPr>
      </w:pPr>
      <w:r>
        <w:rPr>
          <w:rFonts w:hint="eastAsia" w:ascii="宋体" w:hAnsi="宋体" w:eastAsia="宋体" w:cs="宋体"/>
          <w:color w:val="auto"/>
          <w:szCs w:val="21"/>
        </w:rPr>
        <w:t>（一）甲方向乙方及时提供有关资料（包括技术规范、工程量清单、施工图等）。</w:t>
      </w:r>
    </w:p>
    <w:p>
      <w:pPr>
        <w:spacing w:line="300" w:lineRule="auto"/>
        <w:ind w:firstLine="420"/>
        <w:rPr>
          <w:rFonts w:hint="eastAsia" w:ascii="宋体" w:hAnsi="宋体" w:eastAsia="宋体" w:cs="宋体"/>
          <w:color w:val="auto"/>
          <w:szCs w:val="21"/>
        </w:rPr>
      </w:pPr>
      <w:r>
        <w:rPr>
          <w:rFonts w:hint="eastAsia" w:ascii="宋体" w:hAnsi="宋体" w:eastAsia="宋体" w:cs="宋体"/>
          <w:color w:val="auto"/>
          <w:szCs w:val="21"/>
        </w:rPr>
        <w:t>（二）甲方向乙方及时提供建设用地，及时解决对工程占地范围以内尚未拆迁的建筑物及其他障碍物。</w:t>
      </w:r>
    </w:p>
    <w:p>
      <w:pPr>
        <w:spacing w:line="300" w:lineRule="auto"/>
        <w:ind w:firstLine="420"/>
        <w:rPr>
          <w:rFonts w:hint="eastAsia" w:ascii="宋体" w:hAnsi="宋体" w:eastAsia="宋体" w:cs="宋体"/>
          <w:color w:val="auto"/>
          <w:szCs w:val="21"/>
        </w:rPr>
      </w:pPr>
      <w:r>
        <w:rPr>
          <w:rFonts w:hint="eastAsia" w:ascii="宋体" w:hAnsi="宋体" w:eastAsia="宋体" w:cs="宋体"/>
          <w:color w:val="auto"/>
          <w:szCs w:val="21"/>
        </w:rPr>
        <w:t>（三）甲方不得指使乙方不按法律、法规、工程建设强制性标准和施工规范进行工程的施工活动。</w:t>
      </w:r>
    </w:p>
    <w:p>
      <w:pPr>
        <w:spacing w:line="300" w:lineRule="auto"/>
        <w:ind w:firstLine="420"/>
        <w:rPr>
          <w:rFonts w:hint="eastAsia" w:ascii="宋体" w:hAnsi="宋体" w:eastAsia="宋体" w:cs="宋体"/>
          <w:color w:val="auto"/>
          <w:szCs w:val="21"/>
        </w:rPr>
      </w:pPr>
      <w:r>
        <w:rPr>
          <w:rFonts w:hint="eastAsia" w:ascii="宋体" w:hAnsi="宋体" w:eastAsia="宋体" w:cs="宋体"/>
          <w:color w:val="auto"/>
          <w:szCs w:val="21"/>
        </w:rPr>
        <w:t>（四）甲方须按施工合同的约定支付工程款，除施工合同的约定外，甲方不得以任何借口克扣工程款或拖延工程款的支付。</w:t>
      </w:r>
    </w:p>
    <w:p>
      <w:pPr>
        <w:spacing w:line="300" w:lineRule="auto"/>
        <w:ind w:firstLine="420"/>
        <w:rPr>
          <w:rFonts w:hint="eastAsia" w:ascii="宋体" w:hAnsi="宋体" w:eastAsia="宋体" w:cs="宋体"/>
          <w:color w:val="auto"/>
          <w:szCs w:val="21"/>
        </w:rPr>
      </w:pPr>
      <w:r>
        <w:rPr>
          <w:rFonts w:hint="eastAsia" w:ascii="宋体" w:hAnsi="宋体" w:eastAsia="宋体" w:cs="宋体"/>
          <w:color w:val="auto"/>
          <w:szCs w:val="21"/>
        </w:rPr>
        <w:t>（五）甲方不得明示或暗示向乙方推荐单位或个人承包或分包本工程项目的施工任务。</w:t>
      </w:r>
    </w:p>
    <w:p>
      <w:pPr>
        <w:spacing w:line="300" w:lineRule="auto"/>
        <w:ind w:firstLine="420"/>
        <w:rPr>
          <w:rFonts w:hint="eastAsia" w:ascii="宋体" w:hAnsi="宋体" w:eastAsia="宋体" w:cs="宋体"/>
          <w:color w:val="auto"/>
          <w:szCs w:val="21"/>
        </w:rPr>
      </w:pPr>
      <w:r>
        <w:rPr>
          <w:rFonts w:hint="eastAsia" w:ascii="宋体" w:hAnsi="宋体" w:eastAsia="宋体" w:cs="宋体"/>
          <w:color w:val="auto"/>
          <w:szCs w:val="21"/>
        </w:rPr>
        <w:t>（六）甲方不得以任何理由索取回扣或其它好处。</w:t>
      </w:r>
    </w:p>
    <w:p>
      <w:pPr>
        <w:spacing w:line="300" w:lineRule="auto"/>
        <w:ind w:firstLine="420"/>
        <w:rPr>
          <w:rFonts w:hint="eastAsia" w:ascii="宋体" w:hAnsi="宋体" w:eastAsia="宋体" w:cs="宋体"/>
          <w:color w:val="auto"/>
          <w:szCs w:val="21"/>
        </w:rPr>
      </w:pPr>
      <w:r>
        <w:rPr>
          <w:rFonts w:hint="eastAsia" w:ascii="宋体" w:hAnsi="宋体" w:eastAsia="宋体" w:cs="宋体"/>
          <w:color w:val="auto"/>
          <w:szCs w:val="21"/>
        </w:rPr>
        <w:t>第四条  乙方的义务</w:t>
      </w:r>
    </w:p>
    <w:p>
      <w:pPr>
        <w:spacing w:line="300" w:lineRule="auto"/>
        <w:ind w:firstLine="420"/>
        <w:rPr>
          <w:rFonts w:hint="eastAsia" w:ascii="宋体" w:hAnsi="宋体" w:eastAsia="宋体" w:cs="宋体"/>
          <w:color w:val="auto"/>
          <w:szCs w:val="21"/>
        </w:rPr>
      </w:pPr>
      <w:r>
        <w:rPr>
          <w:rFonts w:hint="eastAsia" w:ascii="宋体" w:hAnsi="宋体" w:eastAsia="宋体" w:cs="宋体"/>
          <w:color w:val="auto"/>
          <w:szCs w:val="21"/>
        </w:rPr>
        <w:t>（一）乙方应具备与本工程项目相应等级的施工资质证书。</w:t>
      </w:r>
    </w:p>
    <w:p>
      <w:pPr>
        <w:spacing w:line="300" w:lineRule="auto"/>
        <w:ind w:firstLine="420"/>
        <w:rPr>
          <w:rFonts w:hint="eastAsia" w:ascii="宋体" w:hAnsi="宋体" w:eastAsia="宋体" w:cs="宋体"/>
          <w:color w:val="auto"/>
          <w:szCs w:val="21"/>
        </w:rPr>
      </w:pPr>
      <w:r>
        <w:rPr>
          <w:rFonts w:hint="eastAsia" w:ascii="宋体" w:hAnsi="宋体" w:eastAsia="宋体" w:cs="宋体"/>
          <w:color w:val="auto"/>
          <w:szCs w:val="21"/>
        </w:rPr>
        <w:t>（二）乙方不得允许其它单位或个人以乙方的名义承揽本工程项目的施工任务，不得转包或违法分包所承揽的本工程的项目施工任务。</w:t>
      </w:r>
    </w:p>
    <w:p>
      <w:pPr>
        <w:spacing w:line="300" w:lineRule="auto"/>
        <w:ind w:firstLine="420"/>
        <w:rPr>
          <w:rFonts w:hint="eastAsia" w:ascii="宋体" w:hAnsi="宋体" w:eastAsia="宋体" w:cs="宋体"/>
          <w:color w:val="auto"/>
          <w:szCs w:val="21"/>
        </w:rPr>
      </w:pPr>
      <w:r>
        <w:rPr>
          <w:rFonts w:hint="eastAsia" w:ascii="宋体" w:hAnsi="宋体" w:eastAsia="宋体" w:cs="宋体"/>
          <w:color w:val="auto"/>
          <w:szCs w:val="21"/>
        </w:rPr>
        <w:t>（三）乙方必须严格履行施工合同，按投标承诺的施工技术人员及时到位。施工技术人员原则上不得擅自调换，如有特殊原因确需调换的，须经业主书面同意方能换人。</w:t>
      </w:r>
    </w:p>
    <w:p>
      <w:pPr>
        <w:spacing w:line="300" w:lineRule="auto"/>
        <w:ind w:firstLine="420"/>
        <w:rPr>
          <w:rFonts w:hint="eastAsia" w:ascii="宋体" w:hAnsi="宋体" w:eastAsia="宋体" w:cs="宋体"/>
          <w:color w:val="auto"/>
          <w:szCs w:val="21"/>
        </w:rPr>
      </w:pPr>
      <w:r>
        <w:rPr>
          <w:rFonts w:hint="eastAsia" w:ascii="宋体" w:hAnsi="宋体" w:eastAsia="宋体" w:cs="宋体"/>
          <w:color w:val="auto"/>
          <w:szCs w:val="21"/>
        </w:rPr>
        <w:t>（四）乙方必须建立工地临时试验室，按要求配合相应的试验检测人员和设备，并取得工地临时试验室资质证书。按有关规定做好各类试验，试验资料应真实、完整，统一归档。</w:t>
      </w:r>
    </w:p>
    <w:p>
      <w:pPr>
        <w:spacing w:line="300" w:lineRule="auto"/>
        <w:ind w:firstLine="420"/>
        <w:rPr>
          <w:rFonts w:hint="eastAsia" w:ascii="宋体" w:hAnsi="宋体" w:eastAsia="宋体" w:cs="宋体"/>
          <w:color w:val="auto"/>
          <w:szCs w:val="21"/>
        </w:rPr>
      </w:pPr>
      <w:r>
        <w:rPr>
          <w:rFonts w:hint="eastAsia" w:ascii="宋体" w:hAnsi="宋体" w:eastAsia="宋体" w:cs="宋体"/>
          <w:color w:val="auto"/>
          <w:szCs w:val="21"/>
        </w:rPr>
        <w:t>（五）乙方必须按照工程设计图纸和施工技术规范施工，不得擅自修改工程设计，不得偷工减料。</w:t>
      </w:r>
    </w:p>
    <w:p>
      <w:pPr>
        <w:spacing w:line="300" w:lineRule="auto"/>
        <w:ind w:firstLine="420"/>
        <w:rPr>
          <w:rFonts w:hint="eastAsia" w:ascii="宋体" w:hAnsi="宋体" w:eastAsia="宋体" w:cs="宋体"/>
          <w:color w:val="auto"/>
          <w:szCs w:val="21"/>
        </w:rPr>
      </w:pPr>
      <w:r>
        <w:rPr>
          <w:rFonts w:hint="eastAsia" w:ascii="宋体" w:hAnsi="宋体" w:eastAsia="宋体" w:cs="宋体"/>
          <w:color w:val="auto"/>
          <w:szCs w:val="21"/>
        </w:rPr>
        <w:t>（六）乙方在施工过程中发现设计文件和图纸有差错的，应当及时提出意见和建议。</w:t>
      </w:r>
    </w:p>
    <w:p>
      <w:pPr>
        <w:spacing w:line="300" w:lineRule="auto"/>
        <w:ind w:firstLine="420"/>
        <w:rPr>
          <w:rFonts w:hint="eastAsia" w:ascii="宋体" w:hAnsi="宋体" w:eastAsia="宋体" w:cs="宋体"/>
          <w:color w:val="auto"/>
          <w:szCs w:val="21"/>
        </w:rPr>
      </w:pPr>
      <w:r>
        <w:rPr>
          <w:rFonts w:hint="eastAsia" w:ascii="宋体" w:hAnsi="宋体" w:eastAsia="宋体" w:cs="宋体"/>
          <w:color w:val="auto"/>
          <w:szCs w:val="21"/>
        </w:rPr>
        <w:t>（七）乙方与甲方、乙方与指定分包人之间有关工程质量、进度和费用的一切往来函件、报表均应分类编号归档保存；施工技术资料应真实、完整。</w:t>
      </w:r>
    </w:p>
    <w:p>
      <w:pPr>
        <w:spacing w:line="300" w:lineRule="auto"/>
        <w:ind w:firstLine="420"/>
        <w:rPr>
          <w:rFonts w:hint="eastAsia" w:ascii="宋体" w:hAnsi="宋体" w:eastAsia="宋体" w:cs="宋体"/>
          <w:color w:val="auto"/>
          <w:szCs w:val="21"/>
        </w:rPr>
      </w:pPr>
      <w:r>
        <w:rPr>
          <w:rFonts w:hint="eastAsia" w:ascii="宋体" w:hAnsi="宋体" w:eastAsia="宋体" w:cs="宋体"/>
          <w:color w:val="auto"/>
          <w:szCs w:val="21"/>
        </w:rPr>
        <w:t>（八）乙方应加强对甲方按合同规定采购的材料设备的检验，对检验不合格的产品，乙方应拒绝使用。</w:t>
      </w:r>
    </w:p>
    <w:p>
      <w:pPr>
        <w:spacing w:line="300" w:lineRule="auto"/>
        <w:ind w:firstLine="420"/>
        <w:rPr>
          <w:rFonts w:hint="eastAsia" w:ascii="宋体" w:hAnsi="宋体" w:eastAsia="宋体" w:cs="宋体"/>
          <w:color w:val="auto"/>
          <w:szCs w:val="21"/>
        </w:rPr>
      </w:pPr>
      <w:r>
        <w:rPr>
          <w:rFonts w:hint="eastAsia" w:ascii="宋体" w:hAnsi="宋体" w:eastAsia="宋体" w:cs="宋体"/>
          <w:color w:val="auto"/>
          <w:szCs w:val="21"/>
        </w:rPr>
        <w:t>（九）乙方不得暗示材料、设备供应单位提供使用不合格或质量低劣的材料、设备。</w:t>
      </w:r>
    </w:p>
    <w:p>
      <w:pPr>
        <w:spacing w:line="300" w:lineRule="auto"/>
        <w:ind w:firstLine="420"/>
        <w:rPr>
          <w:rFonts w:hint="eastAsia" w:ascii="宋体" w:hAnsi="宋体" w:eastAsia="宋体" w:cs="宋体"/>
          <w:color w:val="auto"/>
          <w:szCs w:val="21"/>
        </w:rPr>
      </w:pPr>
      <w:r>
        <w:rPr>
          <w:rFonts w:hint="eastAsia" w:ascii="宋体" w:hAnsi="宋体" w:eastAsia="宋体" w:cs="宋体"/>
          <w:color w:val="auto"/>
          <w:szCs w:val="21"/>
        </w:rPr>
        <w:t>第五条  违约责任</w:t>
      </w:r>
    </w:p>
    <w:p>
      <w:pPr>
        <w:spacing w:line="300" w:lineRule="auto"/>
        <w:ind w:left="420"/>
        <w:rPr>
          <w:rFonts w:hint="eastAsia" w:ascii="宋体" w:hAnsi="宋体" w:eastAsia="宋体" w:cs="宋体"/>
          <w:color w:val="auto"/>
          <w:szCs w:val="21"/>
        </w:rPr>
      </w:pPr>
      <w:r>
        <w:rPr>
          <w:rFonts w:hint="eastAsia" w:ascii="宋体" w:hAnsi="宋体" w:eastAsia="宋体" w:cs="宋体"/>
          <w:color w:val="auto"/>
          <w:szCs w:val="21"/>
        </w:rPr>
        <w:t>（一）甲方及其工作人员违反本合同第二、三条，按管理权限，依据国务院《建设工程质量管</w:t>
      </w:r>
    </w:p>
    <w:p>
      <w:pPr>
        <w:spacing w:line="300" w:lineRule="auto"/>
        <w:rPr>
          <w:rFonts w:hint="eastAsia" w:ascii="宋体" w:hAnsi="宋体" w:eastAsia="宋体" w:cs="宋体"/>
          <w:color w:val="auto"/>
          <w:szCs w:val="21"/>
        </w:rPr>
      </w:pPr>
      <w:r>
        <w:rPr>
          <w:rFonts w:hint="eastAsia" w:ascii="宋体" w:hAnsi="宋体" w:eastAsia="宋体" w:cs="宋体"/>
          <w:color w:val="auto"/>
          <w:szCs w:val="21"/>
        </w:rPr>
        <w:t>理条例》有关规定给予相应的处罚；涉嫌犯罪的，依法追究刑事责任；给乙方单位造成经济损失的，应予以赔偿。</w:t>
      </w:r>
    </w:p>
    <w:p>
      <w:pPr>
        <w:spacing w:line="300" w:lineRule="auto"/>
        <w:ind w:left="420"/>
        <w:rPr>
          <w:rFonts w:hint="eastAsia" w:ascii="宋体" w:hAnsi="宋体" w:eastAsia="宋体" w:cs="宋体"/>
          <w:color w:val="auto"/>
          <w:szCs w:val="21"/>
        </w:rPr>
      </w:pPr>
      <w:r>
        <w:rPr>
          <w:rFonts w:hint="eastAsia" w:ascii="宋体" w:hAnsi="宋体" w:eastAsia="宋体" w:cs="宋体"/>
          <w:color w:val="auto"/>
          <w:szCs w:val="21"/>
        </w:rPr>
        <w:t>（二）乙方及其工作人员违反本合同第二、四条，按管理权限，依据国务院《建设工程质量管</w:t>
      </w:r>
    </w:p>
    <w:p>
      <w:pPr>
        <w:spacing w:line="300" w:lineRule="auto"/>
        <w:rPr>
          <w:rFonts w:hint="eastAsia" w:ascii="宋体" w:hAnsi="宋体" w:eastAsia="宋体" w:cs="宋体"/>
          <w:color w:val="auto"/>
          <w:szCs w:val="21"/>
        </w:rPr>
      </w:pPr>
      <w:r>
        <w:rPr>
          <w:rFonts w:hint="eastAsia" w:ascii="宋体" w:hAnsi="宋体" w:eastAsia="宋体" w:cs="宋体"/>
          <w:color w:val="auto"/>
          <w:szCs w:val="21"/>
        </w:rPr>
        <w:t>理条例》有关规定给予相应的处罚；涉嫌犯罪的，依法追究刑事责任；给甲方单位造成经济损失的，应予以赔偿。</w:t>
      </w:r>
    </w:p>
    <w:p>
      <w:pPr>
        <w:spacing w:line="300" w:lineRule="auto"/>
        <w:ind w:firstLine="420"/>
        <w:rPr>
          <w:rFonts w:hint="eastAsia" w:ascii="宋体" w:hAnsi="宋体" w:eastAsia="宋体" w:cs="宋体"/>
          <w:color w:val="auto"/>
          <w:szCs w:val="21"/>
        </w:rPr>
      </w:pPr>
      <w:r>
        <w:rPr>
          <w:rFonts w:hint="eastAsia" w:ascii="宋体" w:hAnsi="宋体" w:eastAsia="宋体" w:cs="宋体"/>
          <w:color w:val="auto"/>
          <w:szCs w:val="21"/>
        </w:rPr>
        <w:t>第六条  本合同有效期为甲乙双方自签署之日起至该工程项目设计使用年限之日止。</w:t>
      </w:r>
    </w:p>
    <w:p>
      <w:pPr>
        <w:spacing w:line="300" w:lineRule="auto"/>
        <w:ind w:firstLine="420"/>
        <w:rPr>
          <w:rFonts w:hint="eastAsia" w:ascii="宋体" w:hAnsi="宋体" w:eastAsia="宋体" w:cs="宋体"/>
          <w:color w:val="auto"/>
          <w:szCs w:val="21"/>
        </w:rPr>
      </w:pPr>
      <w:r>
        <w:rPr>
          <w:rFonts w:hint="eastAsia" w:ascii="宋体" w:hAnsi="宋体" w:eastAsia="宋体" w:cs="宋体"/>
          <w:color w:val="auto"/>
          <w:szCs w:val="21"/>
        </w:rPr>
        <w:t>第七条  本合同作为</w:t>
      </w:r>
      <w:r>
        <w:rPr>
          <w:rFonts w:hint="eastAsia" w:ascii="宋体" w:hAnsi="宋体" w:eastAsia="宋体" w:cs="宋体"/>
          <w:b/>
          <w:bCs/>
          <w:color w:val="auto"/>
          <w:szCs w:val="21"/>
          <w:u w:val="single"/>
        </w:rPr>
        <w:t xml:space="preserve">     </w:t>
      </w:r>
      <w:r>
        <w:rPr>
          <w:rFonts w:hint="eastAsia" w:ascii="宋体" w:hAnsi="宋体" w:eastAsia="宋体" w:cs="宋体"/>
          <w:color w:val="auto"/>
          <w:szCs w:val="21"/>
          <w:u w:val="single"/>
        </w:rPr>
        <w:t xml:space="preserve">（项目名称） </w:t>
      </w:r>
      <w:r>
        <w:rPr>
          <w:rFonts w:hint="eastAsia" w:ascii="宋体" w:hAnsi="宋体" w:eastAsia="宋体" w:cs="宋体"/>
          <w:color w:val="auto"/>
          <w:szCs w:val="21"/>
        </w:rPr>
        <w:t>施工合同附件，与工程施工合同具有同等的法律效力，经合同双方签署后立即生效。</w:t>
      </w:r>
    </w:p>
    <w:p>
      <w:pPr>
        <w:spacing w:line="300" w:lineRule="auto"/>
        <w:ind w:firstLine="420"/>
        <w:rPr>
          <w:rFonts w:hint="eastAsia" w:ascii="宋体" w:hAnsi="宋体" w:eastAsia="宋体" w:cs="宋体"/>
          <w:color w:val="auto"/>
          <w:szCs w:val="21"/>
          <w:u w:val="single"/>
        </w:rPr>
      </w:pPr>
      <w:r>
        <w:rPr>
          <w:rFonts w:hint="eastAsia" w:ascii="宋体" w:hAnsi="宋体" w:eastAsia="宋体" w:cs="宋体"/>
          <w:color w:val="auto"/>
          <w:szCs w:val="21"/>
        </w:rPr>
        <w:t>第八条  本合同正本二份、副本</w:t>
      </w:r>
      <w:r>
        <w:rPr>
          <w:rFonts w:hint="eastAsia" w:ascii="宋体" w:hAnsi="宋体" w:eastAsia="宋体" w:cs="宋体"/>
          <w:color w:val="auto"/>
          <w:szCs w:val="21"/>
          <w:u w:val="single"/>
        </w:rPr>
        <w:t xml:space="preserve">   6  </w:t>
      </w:r>
      <w:r>
        <w:rPr>
          <w:rFonts w:hint="eastAsia" w:ascii="宋体" w:hAnsi="宋体" w:eastAsia="宋体" w:cs="宋体"/>
          <w:color w:val="auto"/>
          <w:szCs w:val="21"/>
        </w:rPr>
        <w:t>份，合同双方各执正本一份，副本</w:t>
      </w:r>
      <w:r>
        <w:rPr>
          <w:rFonts w:hint="eastAsia" w:ascii="宋体" w:hAnsi="宋体" w:eastAsia="宋体" w:cs="宋体"/>
          <w:color w:val="auto"/>
          <w:szCs w:val="21"/>
          <w:u w:val="single"/>
        </w:rPr>
        <w:t xml:space="preserve">   6  </w:t>
      </w:r>
      <w:r>
        <w:rPr>
          <w:rFonts w:hint="eastAsia" w:ascii="宋体" w:hAnsi="宋体" w:eastAsia="宋体" w:cs="宋体"/>
          <w:color w:val="auto"/>
          <w:szCs w:val="21"/>
        </w:rPr>
        <w:t>份，当正本与副本的内容不一致时，以正本为准。</w:t>
      </w:r>
    </w:p>
    <w:p>
      <w:pPr>
        <w:spacing w:line="300" w:lineRule="auto"/>
        <w:ind w:firstLine="420"/>
        <w:rPr>
          <w:rFonts w:hint="eastAsia" w:ascii="宋体" w:hAnsi="宋体" w:eastAsia="宋体" w:cs="宋体"/>
          <w:color w:val="auto"/>
          <w:szCs w:val="21"/>
        </w:rPr>
      </w:pPr>
    </w:p>
    <w:p>
      <w:pPr>
        <w:spacing w:line="300" w:lineRule="auto"/>
        <w:ind w:firstLine="420"/>
        <w:rPr>
          <w:rFonts w:hint="eastAsia" w:ascii="宋体" w:hAnsi="宋体" w:eastAsia="宋体" w:cs="宋体"/>
          <w:color w:val="auto"/>
          <w:szCs w:val="21"/>
        </w:rPr>
      </w:pPr>
    </w:p>
    <w:p>
      <w:pPr>
        <w:spacing w:line="300" w:lineRule="auto"/>
        <w:rPr>
          <w:rFonts w:hint="eastAsia" w:ascii="宋体" w:hAnsi="宋体" w:eastAsia="宋体" w:cs="宋体"/>
          <w:color w:val="auto"/>
          <w:szCs w:val="21"/>
        </w:rPr>
      </w:pPr>
      <w:r>
        <w:rPr>
          <w:rFonts w:hint="eastAsia" w:ascii="宋体" w:hAnsi="宋体" w:eastAsia="宋体" w:cs="宋体"/>
          <w:color w:val="auto"/>
          <w:szCs w:val="21"/>
        </w:rPr>
        <w:t>发包人：</w:t>
      </w:r>
      <w:r>
        <w:rPr>
          <w:rFonts w:hint="eastAsia" w:ascii="宋体" w:hAnsi="宋体" w:eastAsia="宋体" w:cs="宋体"/>
          <w:color w:val="auto"/>
          <w:szCs w:val="21"/>
          <w:u w:val="single"/>
          <w:lang w:eastAsia="zh-CN"/>
        </w:rPr>
        <w:t>三门县人民政府沙柳街道办事处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30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 法定代表人或其委托代理人：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pPr>
        <w:spacing w:line="320" w:lineRule="exact"/>
        <w:rPr>
          <w:rFonts w:hint="eastAsia" w:ascii="宋体" w:hAnsi="宋体" w:eastAsia="宋体" w:cs="宋体"/>
          <w:color w:val="auto"/>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400" w:lineRule="exact"/>
        <w:ind w:firstLine="3686"/>
        <w:rPr>
          <w:rFonts w:hint="eastAsia" w:ascii="宋体" w:hAnsi="宋体" w:eastAsia="宋体" w:cs="宋体"/>
          <w:color w:val="auto"/>
          <w:szCs w:val="21"/>
        </w:rPr>
      </w:pPr>
    </w:p>
    <w:p>
      <w:pPr>
        <w:rPr>
          <w:rFonts w:hint="eastAsia" w:ascii="宋体" w:hAnsi="宋体" w:eastAsia="宋体" w:cs="宋体"/>
          <w:color w:val="auto"/>
          <w:sz w:val="24"/>
        </w:rPr>
      </w:pPr>
    </w:p>
    <w:p>
      <w:pPr>
        <w:jc w:val="center"/>
        <w:rPr>
          <w:rFonts w:hint="eastAsia" w:ascii="宋体" w:hAnsi="宋体" w:eastAsia="宋体" w:cs="宋体"/>
          <w:color w:val="auto"/>
          <w:sz w:val="52"/>
          <w:szCs w:val="52"/>
        </w:rPr>
      </w:pPr>
      <w:r>
        <w:rPr>
          <w:rFonts w:hint="eastAsia" w:ascii="宋体" w:hAnsi="宋体" w:eastAsia="宋体" w:cs="宋体"/>
          <w:color w:val="auto"/>
          <w:sz w:val="52"/>
          <w:szCs w:val="52"/>
        </w:rPr>
        <w:br w:type="page"/>
      </w:r>
    </w:p>
    <w:p>
      <w:pPr>
        <w:jc w:val="center"/>
        <w:rPr>
          <w:rFonts w:hint="eastAsia" w:ascii="宋体" w:hAnsi="宋体" w:eastAsia="宋体" w:cs="宋体"/>
          <w:color w:val="auto"/>
          <w:sz w:val="52"/>
          <w:szCs w:val="52"/>
        </w:rPr>
      </w:pPr>
    </w:p>
    <w:p>
      <w:pPr>
        <w:jc w:val="center"/>
        <w:rPr>
          <w:rFonts w:hint="eastAsia" w:ascii="宋体" w:hAnsi="宋体" w:eastAsia="宋体" w:cs="宋体"/>
          <w:color w:val="auto"/>
          <w:sz w:val="52"/>
          <w:szCs w:val="52"/>
        </w:rPr>
      </w:pPr>
    </w:p>
    <w:p>
      <w:pPr>
        <w:jc w:val="center"/>
        <w:rPr>
          <w:rFonts w:hint="eastAsia" w:ascii="宋体" w:hAnsi="宋体" w:eastAsia="宋体" w:cs="宋体"/>
          <w:color w:val="auto"/>
          <w:sz w:val="52"/>
          <w:szCs w:val="52"/>
        </w:rPr>
      </w:pPr>
    </w:p>
    <w:p>
      <w:pPr>
        <w:jc w:val="center"/>
        <w:rPr>
          <w:rFonts w:hint="eastAsia" w:ascii="宋体" w:hAnsi="宋体" w:eastAsia="宋体" w:cs="宋体"/>
          <w:color w:val="auto"/>
          <w:sz w:val="52"/>
          <w:szCs w:val="52"/>
        </w:rPr>
      </w:pPr>
    </w:p>
    <w:p>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第五章  工程量清单</w:t>
      </w: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pStyle w:val="3"/>
        <w:spacing w:line="240" w:lineRule="auto"/>
        <w:jc w:val="center"/>
        <w:rPr>
          <w:rFonts w:hint="eastAsia" w:ascii="宋体" w:hAnsi="宋体"/>
          <w:color w:val="auto"/>
          <w:sz w:val="30"/>
          <w:szCs w:val="30"/>
        </w:rPr>
      </w:pPr>
      <w:r>
        <w:rPr>
          <w:rFonts w:hint="eastAsia" w:ascii="宋体" w:hAnsi="宋体"/>
          <w:b w:val="0"/>
          <w:bCs w:val="0"/>
          <w:color w:val="auto"/>
          <w:sz w:val="36"/>
          <w:szCs w:val="36"/>
        </w:rPr>
        <w:br w:type="page"/>
      </w:r>
      <w:bookmarkStart w:id="245" w:name="_Toc24604"/>
      <w:r>
        <w:rPr>
          <w:rFonts w:hint="eastAsia" w:ascii="宋体" w:hAnsi="宋体"/>
          <w:color w:val="auto"/>
          <w:sz w:val="30"/>
          <w:szCs w:val="30"/>
        </w:rPr>
        <w:t>第五章  工程量清单</w:t>
      </w:r>
      <w:bookmarkEnd w:id="245"/>
    </w:p>
    <w:p>
      <w:pPr>
        <w:spacing w:line="400" w:lineRule="exact"/>
        <w:rPr>
          <w:rFonts w:hint="eastAsia" w:ascii="宋体" w:hAnsi="宋体" w:eastAsia="宋体" w:cs="宋体"/>
          <w:b/>
          <w:color w:val="auto"/>
          <w:szCs w:val="21"/>
        </w:rPr>
      </w:pPr>
      <w:r>
        <w:rPr>
          <w:rFonts w:hint="eastAsia" w:ascii="宋体" w:hAnsi="宋体" w:eastAsia="宋体" w:cs="宋体"/>
          <w:b/>
          <w:color w:val="auto"/>
          <w:szCs w:val="21"/>
        </w:rPr>
        <w:t>1.工程量清单说明</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 本工程量清单应与招标文件中的投标人须知、通用合同条款、专用合同条款、技术规范及图纸等一起阅读和理解。</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1.3 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总额价下浮后计算支付金额；或者，根据具体情况，按合同条款第 15.4 款的规定，由监理人确定的单价或总额价下浮后计算支付额。</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 工程量清单各章是按第七章“技术规范”的相应章次编号的，因此，工程量清单中各章的工程子目的范围与计量等应与“技术规范”相应章节的范围、计量与支付条款结合起来理解或解释。</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 对作业和材料的一般说明或规定，未重复写入工程量清单内，在投标报价前，应参阅第七章“技术规范”的有关内容。</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 工程量清单中所列工程量的变动，丝毫不会降低或影响合同条款的效力，也不免除承包人按规定的标准进行施工和修复缺陷的责任。</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1.7 图纸中所列的工程数量表及数量汇总表仅是提供资料，不是工程量清单的外延。当图纸与工程量清单所列数量不一致时，以工程量清单所列数量作为报价的依据。</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1.8工程量清单描述内容与清单计价规范和施工图中内容有缺陷，投标人应综合考虑，视为包含相关工作内容。</w:t>
      </w:r>
    </w:p>
    <w:p>
      <w:pPr>
        <w:spacing w:line="400" w:lineRule="exact"/>
        <w:rPr>
          <w:rFonts w:hint="eastAsia" w:ascii="宋体" w:hAnsi="宋体" w:eastAsia="宋体" w:cs="宋体"/>
          <w:b/>
          <w:color w:val="auto"/>
          <w:szCs w:val="21"/>
        </w:rPr>
      </w:pPr>
      <w:r>
        <w:rPr>
          <w:rFonts w:hint="eastAsia" w:ascii="宋体" w:hAnsi="宋体" w:eastAsia="宋体" w:cs="宋体"/>
          <w:b/>
          <w:color w:val="auto"/>
          <w:szCs w:val="21"/>
        </w:rPr>
        <w:t>2．投标报价说明</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2.2符合合同条款规定的全部费用应认为已被计入有标价的工程量清单所列各子目之中，未列子目不予计量的工作，其费用应视为已分摊在本合同工程的有关子目的单价或总额价之中。</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2.3 承包人用于本合同工程的各类装备的提供、运输、维护、拆卸、拼装等支付的费用，已包括在工程量清单的单价与总额价之中。</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2.4 工程量清单中各项金额均以人民币（元）结算。</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2.5投标人报价时应综合考虑清单描述、计价规范和施工图工作内容，结算时不因清单描述不完整而调整综合单价。</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2.6招标人提供的工程量清单审核书中，因招标人遗漏、缺项、定额套用错误，结算时由招标人确认后，按实际进行调整。</w:t>
      </w:r>
    </w:p>
    <w:p>
      <w:pPr>
        <w:spacing w:line="400" w:lineRule="exact"/>
        <w:rPr>
          <w:rFonts w:hint="eastAsia" w:ascii="宋体" w:hAnsi="宋体" w:eastAsia="宋体" w:cs="宋体"/>
          <w:b/>
          <w:color w:val="auto"/>
          <w:szCs w:val="21"/>
        </w:rPr>
      </w:pPr>
      <w:r>
        <w:rPr>
          <w:rFonts w:hint="eastAsia" w:ascii="宋体" w:hAnsi="宋体" w:eastAsia="宋体" w:cs="宋体"/>
          <w:b/>
          <w:color w:val="auto"/>
          <w:szCs w:val="21"/>
        </w:rPr>
        <w:t>3．计日工说明</w:t>
      </w:r>
    </w:p>
    <w:p>
      <w:pPr>
        <w:spacing w:line="400" w:lineRule="exact"/>
        <w:rPr>
          <w:rFonts w:hint="eastAsia" w:ascii="宋体" w:hAnsi="宋体" w:eastAsia="宋体" w:cs="宋体"/>
          <w:b/>
          <w:color w:val="auto"/>
          <w:szCs w:val="21"/>
        </w:rPr>
      </w:pPr>
      <w:r>
        <w:rPr>
          <w:rFonts w:hint="eastAsia" w:ascii="宋体" w:hAnsi="宋体" w:eastAsia="宋体" w:cs="宋体"/>
          <w:b/>
          <w:color w:val="auto"/>
          <w:szCs w:val="21"/>
        </w:rPr>
        <w:t>本项目无计日工。</w:t>
      </w:r>
    </w:p>
    <w:p>
      <w:pPr>
        <w:spacing w:line="400" w:lineRule="exact"/>
        <w:rPr>
          <w:rFonts w:hint="eastAsia" w:ascii="宋体" w:hAnsi="宋体" w:eastAsia="宋体" w:cs="宋体"/>
          <w:b/>
          <w:color w:val="auto"/>
          <w:szCs w:val="21"/>
        </w:rPr>
      </w:pPr>
      <w:r>
        <w:rPr>
          <w:rFonts w:hint="eastAsia" w:ascii="宋体" w:hAnsi="宋体" w:eastAsia="宋体" w:cs="宋体"/>
          <w:b/>
          <w:color w:val="auto"/>
          <w:szCs w:val="21"/>
        </w:rPr>
        <w:t>4．其他说明</w:t>
      </w:r>
    </w:p>
    <w:p>
      <w:pPr>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4.1  建筑工程一切险的保险金额为工程量清单第100章（不含建筑工程一切险、第三者责任险的保险费、安全生产费用）至</w:t>
      </w:r>
      <w:r>
        <w:rPr>
          <w:rFonts w:hint="eastAsia" w:ascii="宋体" w:hAnsi="宋体" w:eastAsia="宋体" w:cs="宋体"/>
          <w:color w:val="auto"/>
          <w:szCs w:val="21"/>
          <w:lang w:val="en-US" w:eastAsia="zh-CN"/>
        </w:rPr>
        <w:t>7</w:t>
      </w:r>
      <w:r>
        <w:rPr>
          <w:rFonts w:hint="eastAsia" w:ascii="宋体" w:hAnsi="宋体" w:eastAsia="宋体" w:cs="宋体"/>
          <w:color w:val="auto"/>
          <w:szCs w:val="21"/>
        </w:rPr>
        <w:t>00章的合计金额，保险费率按3‰计。</w:t>
      </w:r>
    </w:p>
    <w:p>
      <w:pPr>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4.2  第三者责任险的最低投保金额</w:t>
      </w:r>
      <w:r>
        <w:rPr>
          <w:rFonts w:hint="eastAsia" w:ascii="宋体" w:hAnsi="宋体" w:eastAsia="宋体" w:cs="宋体"/>
          <w:color w:val="auto"/>
          <w:szCs w:val="21"/>
          <w:lang w:val="en-US" w:eastAsia="zh-CN"/>
        </w:rPr>
        <w:t>100</w:t>
      </w:r>
      <w:r>
        <w:rPr>
          <w:rFonts w:hint="eastAsia" w:ascii="宋体" w:hAnsi="宋体" w:eastAsia="宋体" w:cs="宋体"/>
          <w:color w:val="auto"/>
          <w:szCs w:val="21"/>
        </w:rPr>
        <w:t>万元，事故次数不限(不计免赔金额以内的损失，由承包人承担) 保险费率：5‰。</w:t>
      </w:r>
    </w:p>
    <w:p>
      <w:pPr>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4.3  安全生产费用，不得低于投标价（不含安全生产费及建筑工程一切险及第三者责任的保险费）的1.5%（关于印发《企业安全生产费用提取和使用管理办法》的通知财企【2012】16号），且不得作为竞争性报价。</w:t>
      </w:r>
    </w:p>
    <w:p>
      <w:pPr>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4.4</w:t>
      </w:r>
      <w:r>
        <w:rPr>
          <w:rFonts w:hint="eastAsia" w:ascii="宋体" w:hAnsi="宋体" w:eastAsia="宋体" w:cs="宋体"/>
          <w:color w:val="auto"/>
        </w:rPr>
        <w:t>工程量清单中的任何遗漏，不作免除承包人根据图纸规定完成单项工程的义务。</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4.5本工程税务缴纳按国家新的纳税制度执行，由此造成的一切风险均由承包人承担，发包人不因此政策变化对价格进行调整，投标人在报价时应充分考虑。</w:t>
      </w:r>
    </w:p>
    <w:p>
      <w:pPr>
        <w:spacing w:before="240" w:after="120"/>
        <w:rPr>
          <w:rFonts w:hint="eastAsia" w:ascii="宋体" w:hAnsi="宋体" w:eastAsia="宋体" w:cs="宋体"/>
          <w:color w:val="auto"/>
          <w:sz w:val="24"/>
        </w:rPr>
      </w:pPr>
      <w:r>
        <w:rPr>
          <w:rFonts w:hint="eastAsia" w:ascii="宋体" w:hAnsi="宋体" w:eastAsia="宋体" w:cs="宋体"/>
          <w:color w:val="auto"/>
          <w:sz w:val="24"/>
        </w:rPr>
        <w:br w:type="page"/>
      </w:r>
      <w:r>
        <w:rPr>
          <w:rFonts w:hint="eastAsia" w:ascii="宋体" w:hAnsi="宋体" w:eastAsia="宋体" w:cs="宋体"/>
          <w:color w:val="auto"/>
          <w:sz w:val="28"/>
          <w:szCs w:val="28"/>
        </w:rPr>
        <w:t>5．工程量清单审核书（详见</w:t>
      </w:r>
      <w:r>
        <w:rPr>
          <w:rFonts w:hint="eastAsia" w:ascii="宋体" w:hAnsi="宋体" w:eastAsia="宋体" w:cs="宋体"/>
          <w:color w:val="auto"/>
          <w:sz w:val="28"/>
          <w:szCs w:val="28"/>
          <w:lang w:eastAsia="zh-CN"/>
        </w:rPr>
        <w:t>http://jyzx.sanmen.gov.cn</w:t>
      </w:r>
      <w:r>
        <w:rPr>
          <w:rFonts w:hint="eastAsia" w:ascii="宋体" w:hAnsi="宋体" w:eastAsia="宋体" w:cs="宋体"/>
          <w:color w:val="auto"/>
          <w:sz w:val="28"/>
          <w:szCs w:val="28"/>
        </w:rPr>
        <w:t>）</w:t>
      </w:r>
    </w:p>
    <w:p>
      <w:pPr>
        <w:rPr>
          <w:rFonts w:hint="eastAsia" w:ascii="宋体" w:hAnsi="宋体" w:eastAsia="宋体" w:cs="宋体"/>
          <w:color w:val="auto"/>
          <w:sz w:val="24"/>
        </w:rPr>
      </w:pPr>
      <w:r>
        <w:rPr>
          <w:rFonts w:hint="eastAsia" w:ascii="宋体" w:hAnsi="宋体" w:eastAsia="宋体" w:cs="宋体"/>
          <w:color w:val="auto"/>
          <w:sz w:val="24"/>
        </w:rPr>
        <w:br w:type="page"/>
      </w:r>
    </w:p>
    <w:p>
      <w:pPr>
        <w:pStyle w:val="3"/>
        <w:spacing w:before="0" w:after="0" w:line="240" w:lineRule="auto"/>
        <w:jc w:val="center"/>
        <w:rPr>
          <w:rFonts w:hint="eastAsia" w:ascii="宋体" w:hAnsi="宋体"/>
          <w:color w:val="auto"/>
          <w:sz w:val="72"/>
          <w:szCs w:val="72"/>
        </w:rPr>
      </w:pPr>
      <w:bookmarkStart w:id="246" w:name="_Toc20545"/>
      <w:r>
        <w:rPr>
          <w:rFonts w:hint="eastAsia" w:ascii="宋体" w:hAnsi="宋体"/>
          <w:color w:val="auto"/>
          <w:sz w:val="72"/>
          <w:szCs w:val="72"/>
        </w:rPr>
        <w:t>第  二  卷</w:t>
      </w:r>
      <w:bookmarkEnd w:id="246"/>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br w:type="page"/>
      </w: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第六章</w:t>
      </w:r>
      <w:r>
        <w:rPr>
          <w:rFonts w:hint="eastAsia" w:ascii="宋体" w:hAnsi="宋体" w:eastAsia="宋体" w:cs="宋体"/>
          <w:b/>
          <w:color w:val="auto"/>
          <w:sz w:val="48"/>
          <w:szCs w:val="48"/>
        </w:rPr>
        <w:tab/>
      </w:r>
      <w:r>
        <w:rPr>
          <w:rFonts w:hint="eastAsia" w:ascii="宋体" w:hAnsi="宋体" w:eastAsia="宋体" w:cs="宋体"/>
          <w:b/>
          <w:color w:val="auto"/>
          <w:sz w:val="48"/>
          <w:szCs w:val="48"/>
        </w:rPr>
        <w:t>图</w:t>
      </w:r>
      <w:r>
        <w:rPr>
          <w:rFonts w:hint="eastAsia" w:ascii="宋体" w:hAnsi="宋体" w:eastAsia="宋体" w:cs="宋体"/>
          <w:b/>
          <w:color w:val="auto"/>
          <w:sz w:val="48"/>
          <w:szCs w:val="48"/>
        </w:rPr>
        <w:tab/>
      </w:r>
      <w:r>
        <w:rPr>
          <w:rFonts w:hint="eastAsia" w:ascii="宋体" w:hAnsi="宋体" w:eastAsia="宋体" w:cs="宋体"/>
          <w:b/>
          <w:color w:val="auto"/>
          <w:sz w:val="48"/>
          <w:szCs w:val="48"/>
        </w:rPr>
        <w:t>纸（另册）</w:t>
      </w: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br w:type="page"/>
      </w: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pStyle w:val="3"/>
        <w:spacing w:before="0" w:after="0" w:line="240" w:lineRule="auto"/>
        <w:jc w:val="center"/>
        <w:rPr>
          <w:rFonts w:hint="eastAsia" w:ascii="宋体" w:hAnsi="宋体"/>
          <w:color w:val="auto"/>
          <w:sz w:val="72"/>
          <w:szCs w:val="72"/>
        </w:rPr>
      </w:pPr>
      <w:bookmarkStart w:id="247" w:name="_Toc12676"/>
      <w:r>
        <w:rPr>
          <w:rFonts w:hint="eastAsia" w:ascii="宋体" w:hAnsi="宋体"/>
          <w:color w:val="auto"/>
          <w:sz w:val="72"/>
          <w:szCs w:val="72"/>
        </w:rPr>
        <w:t>第  三  卷</w:t>
      </w:r>
      <w:bookmarkEnd w:id="247"/>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br w:type="page"/>
      </w: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第七章</w:t>
      </w:r>
      <w:r>
        <w:rPr>
          <w:rFonts w:hint="eastAsia" w:ascii="宋体" w:hAnsi="宋体" w:eastAsia="宋体" w:cs="宋体"/>
          <w:b/>
          <w:color w:val="auto"/>
          <w:sz w:val="48"/>
          <w:szCs w:val="48"/>
        </w:rPr>
        <w:tab/>
      </w:r>
      <w:r>
        <w:rPr>
          <w:rFonts w:hint="eastAsia" w:ascii="宋体" w:hAnsi="宋体" w:eastAsia="宋体" w:cs="宋体"/>
          <w:b/>
          <w:color w:val="auto"/>
          <w:sz w:val="48"/>
          <w:szCs w:val="48"/>
        </w:rPr>
        <w:t>技术规范</w:t>
      </w: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jc w:val="center"/>
        <w:rPr>
          <w:rFonts w:hint="eastAsia" w:ascii="宋体" w:hAnsi="宋体" w:eastAsia="宋体" w:cs="宋体"/>
          <w:color w:val="auto"/>
          <w:sz w:val="36"/>
          <w:szCs w:val="36"/>
        </w:rPr>
      </w:pPr>
      <w:r>
        <w:rPr>
          <w:rFonts w:hint="eastAsia" w:ascii="宋体" w:hAnsi="宋体" w:eastAsia="宋体" w:cs="宋体"/>
          <w:color w:val="auto"/>
          <w:sz w:val="24"/>
        </w:rPr>
        <w:br w:type="page"/>
      </w:r>
      <w:r>
        <w:rPr>
          <w:rFonts w:hint="eastAsia" w:ascii="宋体" w:hAnsi="宋体" w:eastAsia="宋体" w:cs="宋体"/>
          <w:color w:val="auto"/>
          <w:sz w:val="36"/>
          <w:szCs w:val="36"/>
        </w:rPr>
        <w:t>第七章 技术规范</w:t>
      </w:r>
    </w:p>
    <w:p>
      <w:pPr>
        <w:jc w:val="center"/>
        <w:rPr>
          <w:rFonts w:hint="eastAsia" w:ascii="宋体" w:hAnsi="宋体" w:eastAsia="宋体" w:cs="宋体"/>
          <w:color w:val="auto"/>
          <w:sz w:val="30"/>
          <w:szCs w:val="30"/>
        </w:rPr>
      </w:pPr>
    </w:p>
    <w:p>
      <w:pPr>
        <w:jc w:val="center"/>
        <w:rPr>
          <w:rFonts w:hint="eastAsia" w:ascii="宋体" w:hAnsi="宋体" w:eastAsia="宋体" w:cs="宋体"/>
          <w:color w:val="auto"/>
          <w:sz w:val="30"/>
          <w:szCs w:val="30"/>
        </w:rPr>
      </w:pPr>
    </w:p>
    <w:p>
      <w:pPr>
        <w:jc w:val="center"/>
        <w:rPr>
          <w:rFonts w:hint="eastAsia" w:ascii="宋体" w:hAnsi="宋体" w:eastAsia="宋体" w:cs="宋体"/>
          <w:color w:val="auto"/>
          <w:sz w:val="30"/>
          <w:szCs w:val="30"/>
        </w:rPr>
      </w:pPr>
      <w:r>
        <w:rPr>
          <w:rFonts w:hint="eastAsia" w:ascii="宋体" w:hAnsi="宋体" w:eastAsia="宋体" w:cs="宋体"/>
          <w:color w:val="auto"/>
          <w:sz w:val="30"/>
          <w:szCs w:val="30"/>
        </w:rPr>
        <w:t>（一） 通用技术规范</w:t>
      </w: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r>
        <w:rPr>
          <w:rFonts w:hint="eastAsia" w:ascii="宋体" w:hAnsi="宋体" w:eastAsia="宋体" w:cs="宋体"/>
          <w:color w:val="auto"/>
          <w:szCs w:val="21"/>
        </w:rPr>
        <w:t>“通用技术规范”采用《公路工程标准施工招标文件》（下册）《技术规范》。</w:t>
      </w: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jc w:val="center"/>
        <w:rPr>
          <w:rFonts w:hint="eastAsia" w:ascii="宋体" w:hAnsi="宋体" w:eastAsia="宋体" w:cs="宋体"/>
          <w:color w:val="auto"/>
          <w:sz w:val="30"/>
          <w:szCs w:val="30"/>
        </w:rPr>
      </w:pPr>
      <w:r>
        <w:rPr>
          <w:rFonts w:hint="eastAsia" w:ascii="宋体" w:hAnsi="宋体" w:eastAsia="宋体" w:cs="宋体"/>
          <w:color w:val="auto"/>
          <w:szCs w:val="21"/>
        </w:rPr>
        <w:br w:type="page"/>
      </w:r>
      <w:r>
        <w:rPr>
          <w:rFonts w:hint="eastAsia" w:ascii="宋体" w:hAnsi="宋体" w:eastAsia="宋体" w:cs="宋体"/>
          <w:color w:val="auto"/>
          <w:sz w:val="30"/>
          <w:szCs w:val="30"/>
        </w:rPr>
        <w:t>（二） 项目专用技术规范</w:t>
      </w:r>
    </w:p>
    <w:p>
      <w:pPr>
        <w:rPr>
          <w:rFonts w:hint="eastAsia" w:ascii="宋体" w:hAnsi="宋体" w:eastAsia="宋体" w:cs="宋体"/>
          <w:color w:val="auto"/>
          <w:szCs w:val="21"/>
        </w:rPr>
      </w:pPr>
    </w:p>
    <w:p>
      <w:pPr>
        <w:rPr>
          <w:rFonts w:hint="eastAsia" w:ascii="宋体" w:hAnsi="宋体" w:eastAsia="宋体" w:cs="宋体"/>
          <w:color w:val="auto"/>
          <w:szCs w:val="21"/>
        </w:rPr>
      </w:pPr>
    </w:p>
    <w:p>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1．“项目专用技术规范” 是对“通用技术规范”的补充、修改, 应对照“通用技术规范”中同一编号的章、节、条、款、项、目一起阅读和理解。本“项目专用技术规范”与“通用技术规范”有矛盾时，以本“项目专用技术规范” 的规定为准。</w:t>
      </w:r>
    </w:p>
    <w:p>
      <w:pPr>
        <w:spacing w:line="360" w:lineRule="exact"/>
        <w:ind w:firstLine="420" w:firstLineChars="200"/>
        <w:rPr>
          <w:rFonts w:hint="eastAsia" w:ascii="宋体" w:hAnsi="宋体" w:eastAsia="宋体" w:cs="宋体"/>
          <w:color w:val="auto"/>
          <w:sz w:val="24"/>
        </w:rPr>
      </w:pPr>
      <w:r>
        <w:rPr>
          <w:rFonts w:hint="eastAsia" w:ascii="宋体" w:hAnsi="宋体" w:eastAsia="宋体" w:cs="宋体"/>
          <w:color w:val="auto"/>
          <w:szCs w:val="21"/>
        </w:rPr>
        <w:t>2. 本“项目专用技术规范”要求中与预算审核书不一致时，以预算审核书中规定为准，预算审核书有明显错误的除外。</w:t>
      </w:r>
    </w:p>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br w:type="page"/>
      </w:r>
    </w:p>
    <w:p>
      <w:pPr>
        <w:pStyle w:val="3"/>
        <w:spacing w:before="0" w:after="0" w:line="240" w:lineRule="auto"/>
        <w:jc w:val="center"/>
        <w:rPr>
          <w:rFonts w:hint="eastAsia" w:ascii="宋体" w:hAnsi="宋体"/>
          <w:color w:val="auto"/>
          <w:sz w:val="72"/>
          <w:szCs w:val="72"/>
        </w:rPr>
      </w:pPr>
      <w:bookmarkStart w:id="248" w:name="_Toc3803"/>
      <w:r>
        <w:rPr>
          <w:rFonts w:hint="eastAsia" w:ascii="宋体" w:hAnsi="宋体"/>
          <w:color w:val="auto"/>
          <w:sz w:val="72"/>
          <w:szCs w:val="72"/>
        </w:rPr>
        <w:t>第  四  卷</w:t>
      </w:r>
      <w:bookmarkEnd w:id="248"/>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br w:type="page"/>
      </w: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jc w:val="center"/>
        <w:rPr>
          <w:rFonts w:hint="eastAsia" w:ascii="宋体" w:hAnsi="宋体" w:eastAsia="宋体" w:cs="宋体"/>
          <w:color w:val="auto"/>
          <w:sz w:val="52"/>
          <w:szCs w:val="52"/>
        </w:rPr>
      </w:pP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第八章</w:t>
      </w:r>
      <w:r>
        <w:rPr>
          <w:rFonts w:hint="eastAsia" w:ascii="宋体" w:hAnsi="宋体" w:eastAsia="宋体" w:cs="宋体"/>
          <w:b/>
          <w:color w:val="auto"/>
          <w:sz w:val="36"/>
          <w:szCs w:val="36"/>
        </w:rPr>
        <w:tab/>
      </w:r>
      <w:r>
        <w:rPr>
          <w:rFonts w:hint="eastAsia" w:ascii="宋体" w:hAnsi="宋体" w:eastAsia="宋体" w:cs="宋体"/>
          <w:b/>
          <w:color w:val="auto"/>
          <w:sz w:val="36"/>
          <w:szCs w:val="36"/>
        </w:rPr>
        <w:t>投标文件格式</w:t>
      </w: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br w:type="page"/>
      </w:r>
    </w:p>
    <w:p>
      <w:pPr>
        <w:spacing w:line="720" w:lineRule="auto"/>
        <w:jc w:val="center"/>
        <w:rPr>
          <w:rFonts w:hint="eastAsia" w:ascii="宋体" w:hAnsi="宋体" w:eastAsia="宋体" w:cs="宋体"/>
          <w:color w:val="auto"/>
          <w:sz w:val="36"/>
          <w:szCs w:val="36"/>
        </w:rPr>
      </w:pPr>
      <w:r>
        <w:rPr>
          <w:rFonts w:hint="eastAsia" w:ascii="宋体" w:hAnsi="宋体" w:eastAsia="宋体" w:cs="宋体"/>
          <w:color w:val="auto"/>
          <w:sz w:val="36"/>
          <w:szCs w:val="36"/>
        </w:rPr>
        <w:t>浙江省</w:t>
      </w:r>
    </w:p>
    <w:p>
      <w:pPr>
        <w:spacing w:line="720" w:lineRule="auto"/>
        <w:jc w:val="center"/>
        <w:rPr>
          <w:rFonts w:hint="eastAsia" w:ascii="宋体" w:hAnsi="宋体" w:eastAsia="宋体" w:cs="宋体"/>
          <w:color w:val="auto"/>
          <w:sz w:val="36"/>
          <w:szCs w:val="36"/>
        </w:rPr>
      </w:pPr>
      <w:r>
        <w:rPr>
          <w:rFonts w:hint="eastAsia" w:ascii="宋体" w:hAnsi="宋体" w:eastAsia="宋体" w:cs="宋体"/>
          <w:color w:val="auto"/>
          <w:sz w:val="36"/>
          <w:szCs w:val="36"/>
          <w:u w:val="single"/>
        </w:rPr>
        <w:t xml:space="preserve">       </w:t>
      </w:r>
      <w:r>
        <w:rPr>
          <w:rFonts w:hint="eastAsia" w:ascii="宋体" w:hAnsi="宋体" w:eastAsia="宋体" w:cs="宋体"/>
          <w:color w:val="auto"/>
          <w:sz w:val="36"/>
          <w:szCs w:val="36"/>
        </w:rPr>
        <w:t>（项目名称）</w:t>
      </w:r>
      <w:r>
        <w:rPr>
          <w:rFonts w:hint="eastAsia" w:ascii="宋体" w:hAnsi="宋体" w:eastAsia="宋体" w:cs="宋体"/>
          <w:color w:val="auto"/>
          <w:sz w:val="36"/>
          <w:szCs w:val="36"/>
          <w:u w:val="single"/>
        </w:rPr>
        <w:t xml:space="preserve">      </w:t>
      </w:r>
      <w:r>
        <w:rPr>
          <w:rFonts w:hint="eastAsia" w:ascii="宋体" w:hAnsi="宋体" w:eastAsia="宋体" w:cs="宋体"/>
          <w:color w:val="auto"/>
          <w:sz w:val="36"/>
          <w:szCs w:val="36"/>
        </w:rPr>
        <w:t>标段施工招标</w:t>
      </w:r>
    </w:p>
    <w:p>
      <w:pPr>
        <w:spacing w:line="360" w:lineRule="auto"/>
        <w:ind w:firstLine="420" w:firstLineChars="200"/>
        <w:rPr>
          <w:rFonts w:hint="eastAsia" w:ascii="宋体" w:hAnsi="宋体" w:eastAsia="宋体" w:cs="宋体"/>
          <w:color w:val="auto"/>
          <w:szCs w:val="21"/>
        </w:rPr>
      </w:pPr>
    </w:p>
    <w:p>
      <w:pPr>
        <w:spacing w:line="360" w:lineRule="auto"/>
        <w:ind w:firstLine="420" w:firstLineChars="200"/>
        <w:rPr>
          <w:rFonts w:hint="eastAsia" w:ascii="宋体" w:hAnsi="宋体" w:eastAsia="宋体" w:cs="宋体"/>
          <w:color w:val="auto"/>
          <w:szCs w:val="21"/>
        </w:rPr>
      </w:pPr>
    </w:p>
    <w:p>
      <w:pPr>
        <w:spacing w:line="360" w:lineRule="auto"/>
        <w:jc w:val="center"/>
        <w:rPr>
          <w:rFonts w:hint="eastAsia" w:ascii="宋体" w:hAnsi="宋体" w:eastAsia="宋体" w:cs="宋体"/>
          <w:b/>
          <w:color w:val="auto"/>
          <w:sz w:val="52"/>
          <w:szCs w:val="52"/>
        </w:rPr>
      </w:pPr>
    </w:p>
    <w:p>
      <w:pPr>
        <w:spacing w:line="360" w:lineRule="auto"/>
        <w:jc w:val="center"/>
        <w:rPr>
          <w:rFonts w:hint="eastAsia" w:ascii="宋体" w:hAnsi="宋体" w:eastAsia="宋体" w:cs="宋体"/>
          <w:b/>
          <w:color w:val="auto"/>
          <w:sz w:val="52"/>
          <w:szCs w:val="52"/>
        </w:rPr>
      </w:pPr>
    </w:p>
    <w:p>
      <w:pPr>
        <w:spacing w:line="360" w:lineRule="auto"/>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投 标 文 件</w:t>
      </w:r>
    </w:p>
    <w:p>
      <w:pPr>
        <w:spacing w:line="360" w:lineRule="auto"/>
        <w:rPr>
          <w:rFonts w:hint="eastAsia" w:ascii="宋体" w:hAnsi="宋体" w:eastAsia="宋体" w:cs="宋体"/>
          <w:b/>
          <w:color w:val="auto"/>
          <w:sz w:val="32"/>
          <w:szCs w:val="32"/>
        </w:rPr>
      </w:pPr>
    </w:p>
    <w:p>
      <w:pPr>
        <w:spacing w:line="360" w:lineRule="auto"/>
        <w:rPr>
          <w:rFonts w:hint="eastAsia" w:ascii="宋体" w:hAnsi="宋体" w:eastAsia="宋体" w:cs="宋体"/>
          <w:b/>
          <w:color w:val="auto"/>
          <w:sz w:val="32"/>
          <w:szCs w:val="32"/>
        </w:rPr>
      </w:pPr>
    </w:p>
    <w:p>
      <w:pPr>
        <w:spacing w:line="360" w:lineRule="auto"/>
        <w:rPr>
          <w:rFonts w:hint="eastAsia" w:ascii="宋体" w:hAnsi="宋体" w:eastAsia="宋体" w:cs="宋体"/>
          <w:b/>
          <w:color w:val="auto"/>
          <w:sz w:val="32"/>
          <w:szCs w:val="32"/>
        </w:rPr>
      </w:pPr>
    </w:p>
    <w:p>
      <w:pPr>
        <w:spacing w:line="360" w:lineRule="auto"/>
        <w:rPr>
          <w:rFonts w:hint="eastAsia" w:ascii="宋体" w:hAnsi="宋体" w:eastAsia="宋体" w:cs="宋体"/>
          <w:b/>
          <w:color w:val="auto"/>
          <w:sz w:val="32"/>
          <w:szCs w:val="32"/>
        </w:rPr>
      </w:pPr>
    </w:p>
    <w:p>
      <w:pPr>
        <w:spacing w:line="360" w:lineRule="auto"/>
        <w:rPr>
          <w:rFonts w:hint="eastAsia" w:ascii="宋体" w:hAnsi="宋体" w:eastAsia="宋体" w:cs="宋体"/>
          <w:b/>
          <w:color w:val="auto"/>
          <w:sz w:val="32"/>
          <w:szCs w:val="32"/>
        </w:rPr>
      </w:pPr>
    </w:p>
    <w:p>
      <w:pPr>
        <w:spacing w:line="720" w:lineRule="auto"/>
        <w:ind w:firstLine="1960" w:firstLineChars="700"/>
        <w:rPr>
          <w:rFonts w:hint="eastAsia" w:ascii="宋体" w:hAnsi="宋体" w:eastAsia="宋体" w:cs="宋体"/>
          <w:color w:val="auto"/>
          <w:sz w:val="28"/>
          <w:szCs w:val="28"/>
        </w:rPr>
      </w:pPr>
      <w:r>
        <w:rPr>
          <w:rFonts w:hint="eastAsia" w:ascii="宋体" w:hAnsi="宋体" w:eastAsia="宋体" w:cs="宋体"/>
          <w:color w:val="auto"/>
          <w:sz w:val="28"/>
          <w:szCs w:val="28"/>
        </w:rPr>
        <w:t>投标人：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（盖单位章）</w:t>
      </w:r>
    </w:p>
    <w:p>
      <w:pPr>
        <w:spacing w:line="720" w:lineRule="auto"/>
        <w:ind w:firstLine="2940" w:firstLineChars="105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目</w:t>
      </w:r>
      <w:r>
        <w:rPr>
          <w:rFonts w:hint="eastAsia" w:ascii="宋体" w:hAnsi="宋体" w:eastAsia="宋体" w:cs="宋体"/>
          <w:b/>
          <w:color w:val="auto"/>
          <w:sz w:val="36"/>
          <w:szCs w:val="36"/>
        </w:rPr>
        <w:tab/>
      </w:r>
      <w:r>
        <w:rPr>
          <w:rFonts w:hint="eastAsia" w:ascii="宋体" w:hAnsi="宋体" w:eastAsia="宋体" w:cs="宋体"/>
          <w:b/>
          <w:color w:val="auto"/>
          <w:sz w:val="36"/>
          <w:szCs w:val="36"/>
        </w:rPr>
        <w:t>录</w:t>
      </w:r>
    </w:p>
    <w:p>
      <w:pPr>
        <w:rPr>
          <w:rFonts w:hint="eastAsia" w:ascii="宋体" w:hAnsi="宋体" w:eastAsia="宋体" w:cs="宋体"/>
          <w:color w:val="auto"/>
          <w:szCs w:val="21"/>
        </w:rPr>
      </w:pPr>
    </w:p>
    <w:p>
      <w:pPr>
        <w:numPr>
          <w:ilvl w:val="0"/>
          <w:numId w:val="13"/>
        </w:numPr>
        <w:spacing w:line="520" w:lineRule="exact"/>
        <w:rPr>
          <w:rFonts w:hint="eastAsia" w:ascii="宋体" w:hAnsi="宋体" w:eastAsia="宋体" w:cs="宋体"/>
          <w:color w:val="auto"/>
          <w:szCs w:val="21"/>
        </w:rPr>
      </w:pPr>
      <w:r>
        <w:rPr>
          <w:rFonts w:hint="eastAsia" w:ascii="宋体" w:hAnsi="宋体" w:eastAsia="宋体" w:cs="宋体"/>
          <w:color w:val="auto"/>
          <w:szCs w:val="21"/>
        </w:rPr>
        <w:t>投标函</w:t>
      </w:r>
    </w:p>
    <w:p>
      <w:pPr>
        <w:numPr>
          <w:ilvl w:val="0"/>
          <w:numId w:val="13"/>
        </w:numPr>
        <w:spacing w:line="520" w:lineRule="exact"/>
        <w:rPr>
          <w:rFonts w:hint="eastAsia" w:ascii="宋体" w:hAnsi="宋体" w:eastAsia="宋体" w:cs="宋体"/>
          <w:color w:val="auto"/>
          <w:szCs w:val="21"/>
        </w:rPr>
      </w:pPr>
      <w:r>
        <w:rPr>
          <w:rFonts w:hint="eastAsia" w:ascii="宋体" w:hAnsi="宋体" w:eastAsia="宋体" w:cs="宋体"/>
          <w:color w:val="auto"/>
          <w:szCs w:val="21"/>
        </w:rPr>
        <w:t>投标函附录</w:t>
      </w:r>
    </w:p>
    <w:p>
      <w:pPr>
        <w:spacing w:line="520" w:lineRule="exact"/>
        <w:rPr>
          <w:rFonts w:hint="eastAsia" w:ascii="宋体" w:hAnsi="宋体" w:eastAsia="宋体" w:cs="宋体"/>
          <w:color w:val="auto"/>
          <w:szCs w:val="21"/>
        </w:rPr>
      </w:pPr>
      <w:r>
        <w:rPr>
          <w:rFonts w:hint="eastAsia" w:ascii="宋体" w:hAnsi="宋体" w:eastAsia="宋体" w:cs="宋体"/>
          <w:color w:val="auto"/>
          <w:szCs w:val="21"/>
          <w:lang w:eastAsia="zh-CN"/>
        </w:rPr>
        <w:t>三</w:t>
      </w:r>
      <w:r>
        <w:rPr>
          <w:rFonts w:hint="eastAsia" w:ascii="宋体" w:hAnsi="宋体" w:eastAsia="宋体" w:cs="宋体"/>
          <w:color w:val="auto"/>
          <w:szCs w:val="21"/>
        </w:rPr>
        <w:t>、法定代表人身份证明及附有法定代表人身份证明的授权委托书</w:t>
      </w:r>
    </w:p>
    <w:p>
      <w:pPr>
        <w:spacing w:line="520" w:lineRule="exact"/>
        <w:rPr>
          <w:rFonts w:hint="eastAsia" w:ascii="宋体" w:hAnsi="宋体" w:eastAsia="宋体" w:cs="宋体"/>
          <w:color w:val="auto"/>
          <w:szCs w:val="21"/>
        </w:rPr>
      </w:pPr>
      <w:r>
        <w:rPr>
          <w:rFonts w:hint="eastAsia" w:ascii="宋体" w:hAnsi="宋体" w:eastAsia="宋体" w:cs="宋体"/>
          <w:color w:val="auto"/>
          <w:szCs w:val="21"/>
        </w:rPr>
        <w:t>四、投标保证金</w:t>
      </w:r>
    </w:p>
    <w:p>
      <w:pPr>
        <w:spacing w:line="520" w:lineRule="exact"/>
        <w:rPr>
          <w:rFonts w:hint="eastAsia" w:ascii="宋体" w:hAnsi="宋体" w:eastAsia="宋体" w:cs="宋体"/>
          <w:color w:val="auto"/>
          <w:szCs w:val="21"/>
        </w:rPr>
      </w:pPr>
      <w:r>
        <w:rPr>
          <w:rFonts w:hint="eastAsia" w:ascii="宋体" w:hAnsi="宋体" w:eastAsia="宋体" w:cs="宋体"/>
          <w:color w:val="auto"/>
          <w:szCs w:val="21"/>
        </w:rPr>
        <w:t>五、项目管理机构</w:t>
      </w:r>
    </w:p>
    <w:p>
      <w:pPr>
        <w:spacing w:line="520" w:lineRule="exact"/>
        <w:rPr>
          <w:rFonts w:hint="eastAsia" w:ascii="宋体" w:hAnsi="宋体" w:eastAsia="宋体" w:cs="宋体"/>
          <w:color w:val="auto"/>
          <w:szCs w:val="21"/>
        </w:rPr>
      </w:pPr>
      <w:r>
        <w:rPr>
          <w:rFonts w:hint="eastAsia" w:ascii="宋体" w:hAnsi="宋体" w:eastAsia="宋体" w:cs="宋体"/>
          <w:color w:val="auto"/>
          <w:szCs w:val="21"/>
        </w:rPr>
        <w:t>六、拟分包项目情况表</w:t>
      </w:r>
    </w:p>
    <w:p>
      <w:pPr>
        <w:spacing w:line="520" w:lineRule="exact"/>
        <w:rPr>
          <w:rFonts w:hint="eastAsia" w:ascii="宋体" w:hAnsi="宋体" w:eastAsia="宋体" w:cs="宋体"/>
          <w:color w:val="auto"/>
          <w:szCs w:val="21"/>
        </w:rPr>
      </w:pPr>
      <w:r>
        <w:rPr>
          <w:rFonts w:hint="eastAsia" w:ascii="宋体" w:hAnsi="宋体" w:eastAsia="宋体" w:cs="宋体"/>
          <w:color w:val="auto"/>
          <w:szCs w:val="21"/>
        </w:rPr>
        <w:t>七、资格审查资料（适用于未进行资格预审的）</w:t>
      </w:r>
    </w:p>
    <w:p>
      <w:pPr>
        <w:spacing w:line="520" w:lineRule="exact"/>
        <w:rPr>
          <w:rFonts w:hint="eastAsia" w:ascii="宋体" w:hAnsi="宋体" w:eastAsia="宋体" w:cs="宋体"/>
          <w:color w:val="auto"/>
          <w:szCs w:val="21"/>
        </w:rPr>
      </w:pPr>
      <w:r>
        <w:rPr>
          <w:rFonts w:hint="eastAsia" w:ascii="宋体" w:hAnsi="宋体" w:eastAsia="宋体" w:cs="宋体"/>
          <w:color w:val="auto"/>
          <w:szCs w:val="21"/>
        </w:rPr>
        <w:t>八、承诺函</w:t>
      </w:r>
    </w:p>
    <w:p>
      <w:pPr>
        <w:spacing w:line="520" w:lineRule="exact"/>
        <w:rPr>
          <w:rFonts w:hint="eastAsia" w:ascii="宋体" w:hAnsi="宋体" w:eastAsia="宋体" w:cs="宋体"/>
          <w:color w:val="auto"/>
          <w:szCs w:val="21"/>
        </w:rPr>
      </w:pPr>
      <w:r>
        <w:rPr>
          <w:rFonts w:hint="eastAsia" w:ascii="宋体" w:hAnsi="宋体" w:eastAsia="宋体" w:cs="宋体"/>
          <w:color w:val="auto"/>
          <w:szCs w:val="21"/>
        </w:rPr>
        <w:t>九、投标人须知前附表规定的其他材料</w:t>
      </w:r>
    </w:p>
    <w:p>
      <w:pPr>
        <w:spacing w:line="520" w:lineRule="exact"/>
        <w:rPr>
          <w:rFonts w:hint="eastAsia" w:ascii="宋体" w:hAnsi="宋体" w:eastAsia="宋体" w:cs="宋体"/>
          <w:color w:val="auto"/>
          <w:szCs w:val="21"/>
        </w:rPr>
      </w:pPr>
    </w:p>
    <w:p>
      <w:pPr>
        <w:spacing w:line="520" w:lineRule="exact"/>
        <w:rPr>
          <w:rFonts w:hint="eastAsia" w:ascii="宋体" w:hAnsi="宋体" w:eastAsia="宋体" w:cs="宋体"/>
          <w:color w:val="auto"/>
          <w:szCs w:val="21"/>
        </w:rPr>
      </w:pPr>
    </w:p>
    <w:p>
      <w:pPr>
        <w:spacing w:line="520" w:lineRule="exact"/>
        <w:rPr>
          <w:rFonts w:hint="eastAsia" w:ascii="宋体" w:hAnsi="宋体" w:eastAsia="宋体" w:cs="宋体"/>
          <w:color w:val="auto"/>
          <w:szCs w:val="21"/>
        </w:rPr>
      </w:pPr>
    </w:p>
    <w:p>
      <w:pPr>
        <w:spacing w:line="520" w:lineRule="exact"/>
        <w:rPr>
          <w:rFonts w:hint="eastAsia" w:ascii="宋体" w:hAnsi="宋体" w:eastAsia="宋体" w:cs="宋体"/>
          <w:color w:val="auto"/>
          <w:szCs w:val="21"/>
        </w:rPr>
      </w:pPr>
    </w:p>
    <w:p>
      <w:pPr>
        <w:widowControl/>
        <w:jc w:val="left"/>
        <w:rPr>
          <w:rFonts w:ascii="宋体" w:hAnsi="宋体" w:eastAsia="宋体" w:cs="宋体"/>
          <w:color w:val="auto"/>
          <w:szCs w:val="21"/>
        </w:rPr>
        <w:sectPr>
          <w:footnotePr>
            <w:numFmt w:val="decimalEnclosedCircleChinese"/>
            <w:numRestart w:val="eachPage"/>
          </w:footnotePr>
          <w:type w:val="nextColumn"/>
          <w:pgSz w:w="11907" w:h="16840"/>
          <w:pgMar w:top="1440" w:right="1361" w:bottom="1440" w:left="1361" w:header="720" w:footer="907" w:gutter="0"/>
          <w:pgNumType w:fmt="decimal"/>
          <w:cols w:space="720" w:num="1"/>
        </w:sectPr>
      </w:pPr>
      <w:r>
        <w:rPr>
          <w:rFonts w:hint="eastAsia" w:ascii="宋体" w:hAnsi="宋体" w:eastAsia="宋体" w:cs="宋体"/>
          <w:color w:val="auto"/>
          <w:szCs w:val="21"/>
        </w:rPr>
        <w:br w:type="page"/>
      </w:r>
    </w:p>
    <w:p>
      <w:pPr>
        <w:pStyle w:val="3"/>
        <w:numPr>
          <w:ilvl w:val="0"/>
          <w:numId w:val="14"/>
        </w:numPr>
        <w:spacing w:before="156" w:beforeLines="50" w:after="312" w:afterLines="100" w:line="360" w:lineRule="exact"/>
        <w:jc w:val="center"/>
        <w:rPr>
          <w:rFonts w:hint="eastAsia" w:ascii="宋体" w:hAnsi="宋体"/>
          <w:b w:val="0"/>
          <w:color w:val="auto"/>
          <w:sz w:val="30"/>
          <w:szCs w:val="30"/>
        </w:rPr>
      </w:pPr>
      <w:bookmarkStart w:id="249" w:name="_Toc28900"/>
      <w:r>
        <w:rPr>
          <w:rFonts w:hint="eastAsia" w:ascii="宋体" w:hAnsi="宋体"/>
          <w:b w:val="0"/>
          <w:color w:val="auto"/>
          <w:sz w:val="30"/>
          <w:szCs w:val="30"/>
        </w:rPr>
        <w:t>投标函</w:t>
      </w:r>
      <w:bookmarkEnd w:id="249"/>
    </w:p>
    <w:p>
      <w:pPr>
        <w:spacing w:line="360" w:lineRule="exact"/>
        <w:rPr>
          <w:rFonts w:hint="eastAsia" w:ascii="宋体" w:hAnsi="宋体" w:eastAsia="宋体" w:cs="宋体"/>
          <w:color w:val="auto"/>
          <w:szCs w:val="21"/>
        </w:rPr>
      </w:pPr>
    </w:p>
    <w:p>
      <w:pPr>
        <w:bidi w:val="0"/>
        <w:rPr>
          <w:rFonts w:hint="eastAsia" w:ascii="宋体" w:hAnsi="宋体"/>
          <w:b w:val="0"/>
          <w:bCs w:val="0"/>
          <w:color w:val="auto"/>
          <w:sz w:val="24"/>
          <w:lang w:eastAsia="zh-CN"/>
        </w:rPr>
      </w:pPr>
      <w:r>
        <w:rPr>
          <w:rFonts w:hint="eastAsia" w:ascii="宋体" w:hAnsi="宋体"/>
          <w:b w:val="0"/>
          <w:bCs w:val="0"/>
          <w:color w:val="auto"/>
          <w:sz w:val="24"/>
          <w:lang w:eastAsia="zh-CN"/>
        </w:rPr>
        <w:t>系统自动生成</w:t>
      </w:r>
    </w:p>
    <w:p>
      <w:pPr>
        <w:pStyle w:val="3"/>
        <w:keepNext/>
        <w:keepLines/>
        <w:pageBreakBefore w:val="0"/>
        <w:widowControl w:val="0"/>
        <w:kinsoku/>
        <w:wordWrap/>
        <w:overflowPunct/>
        <w:topLinePunct w:val="0"/>
        <w:autoSpaceDE/>
        <w:autoSpaceDN/>
        <w:bidi w:val="0"/>
        <w:adjustRightInd/>
        <w:snapToGrid w:val="0"/>
        <w:spacing w:before="60" w:after="60" w:line="360" w:lineRule="auto"/>
        <w:textAlignment w:val="auto"/>
        <w:rPr>
          <w:rFonts w:hint="eastAsia" w:ascii="宋体" w:hAnsi="宋体"/>
          <w:b w:val="0"/>
          <w:color w:val="auto"/>
          <w:sz w:val="30"/>
          <w:szCs w:val="30"/>
        </w:rPr>
      </w:pPr>
      <w:r>
        <w:rPr>
          <w:rFonts w:hint="eastAsia" w:ascii="宋体" w:hAnsi="宋体"/>
          <w:b w:val="0"/>
          <w:bCs w:val="0"/>
          <w:color w:val="auto"/>
          <w:sz w:val="24"/>
        </w:rPr>
        <w:br w:type="page"/>
      </w:r>
      <w:bookmarkStart w:id="250" w:name="_Toc9294"/>
      <w:bookmarkStart w:id="251" w:name="_Toc240217887"/>
      <w:bookmarkStart w:id="252" w:name="_Toc422814791"/>
      <w:bookmarkStart w:id="253" w:name="_Toc240330706"/>
      <w:bookmarkStart w:id="254" w:name="_Toc240381432"/>
      <w:r>
        <w:rPr>
          <w:rFonts w:hint="eastAsia" w:ascii="宋体" w:hAnsi="宋体"/>
          <w:b w:val="0"/>
          <w:bCs w:val="0"/>
          <w:color w:val="auto"/>
          <w:sz w:val="24"/>
          <w:lang w:eastAsia="zh-CN"/>
        </w:rPr>
        <w:t>二、</w:t>
      </w:r>
      <w:r>
        <w:rPr>
          <w:rFonts w:hint="eastAsia" w:ascii="宋体" w:hAnsi="宋体"/>
          <w:b w:val="0"/>
          <w:color w:val="auto"/>
          <w:sz w:val="30"/>
          <w:szCs w:val="30"/>
        </w:rPr>
        <w:t>投标函附录</w:t>
      </w:r>
      <w:bookmarkEnd w:id="250"/>
    </w:p>
    <w:bookmarkEnd w:id="251"/>
    <w:bookmarkEnd w:id="252"/>
    <w:bookmarkEnd w:id="253"/>
    <w:bookmarkEnd w:id="254"/>
    <w:p>
      <w:pPr>
        <w:rPr>
          <w:rFonts w:hint="eastAsia" w:ascii="宋体" w:hAnsi="宋体" w:eastAsia="宋体" w:cs="宋体"/>
          <w:color w:val="auto"/>
        </w:rPr>
      </w:pPr>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9"/>
        <w:gridCol w:w="2721"/>
        <w:gridCol w:w="1432"/>
        <w:gridCol w:w="4112"/>
        <w:gridCol w:w="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59"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序号</w:t>
            </w:r>
          </w:p>
        </w:tc>
        <w:tc>
          <w:tcPr>
            <w:tcW w:w="2721"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条款名称</w:t>
            </w:r>
          </w:p>
        </w:tc>
        <w:tc>
          <w:tcPr>
            <w:tcW w:w="1432"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合同条目号</w:t>
            </w:r>
          </w:p>
        </w:tc>
        <w:tc>
          <w:tcPr>
            <w:tcW w:w="4112"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约定内容</w:t>
            </w:r>
          </w:p>
        </w:tc>
        <w:tc>
          <w:tcPr>
            <w:tcW w:w="815"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1</w:t>
            </w:r>
          </w:p>
        </w:tc>
        <w:tc>
          <w:tcPr>
            <w:tcW w:w="27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缺陷责任期</w:t>
            </w:r>
          </w:p>
        </w:tc>
        <w:tc>
          <w:tcPr>
            <w:tcW w:w="143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1.1.4.5</w:t>
            </w:r>
          </w:p>
        </w:tc>
        <w:tc>
          <w:tcPr>
            <w:tcW w:w="4112" w:type="dxa"/>
            <w:tcBorders>
              <w:top w:val="single" w:color="auto" w:sz="6" w:space="0"/>
              <w:left w:val="single" w:color="auto" w:sz="6" w:space="0"/>
              <w:bottom w:val="single" w:color="auto" w:sz="6" w:space="0"/>
              <w:right w:val="single" w:color="auto" w:sz="6" w:space="0"/>
            </w:tcBorders>
            <w:vAlign w:val="center"/>
          </w:tcPr>
          <w:p>
            <w:pPr>
              <w:ind w:firstLine="210" w:firstLineChars="100"/>
              <w:rPr>
                <w:rFonts w:ascii="宋体" w:hAnsi="宋体" w:eastAsia="宋体" w:cs="宋体"/>
                <w:color w:val="auto"/>
                <w:szCs w:val="21"/>
              </w:rPr>
            </w:pPr>
            <w:r>
              <w:rPr>
                <w:rFonts w:hint="eastAsia" w:ascii="宋体" w:hAnsi="宋体" w:eastAsia="宋体" w:cs="宋体"/>
                <w:color w:val="auto"/>
                <w:szCs w:val="21"/>
              </w:rPr>
              <w:t>自实际交工日期起计算</w:t>
            </w:r>
            <w:r>
              <w:rPr>
                <w:rFonts w:hint="eastAsia" w:ascii="宋体" w:hAnsi="宋体" w:eastAsia="宋体" w:cs="宋体"/>
                <w:color w:val="auto"/>
                <w:szCs w:val="21"/>
                <w:u w:val="single"/>
              </w:rPr>
              <w:t>1</w:t>
            </w:r>
            <w:r>
              <w:rPr>
                <w:rFonts w:hint="eastAsia" w:ascii="宋体" w:hAnsi="宋体" w:eastAsia="宋体" w:cs="宋体"/>
                <w:color w:val="auto"/>
                <w:szCs w:val="21"/>
              </w:rPr>
              <w:t>年</w:t>
            </w:r>
          </w:p>
        </w:tc>
        <w:tc>
          <w:tcPr>
            <w:tcW w:w="8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2</w:t>
            </w:r>
          </w:p>
        </w:tc>
        <w:tc>
          <w:tcPr>
            <w:tcW w:w="27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逾期交工违约金</w:t>
            </w:r>
          </w:p>
        </w:tc>
        <w:tc>
          <w:tcPr>
            <w:tcW w:w="143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11.5</w:t>
            </w:r>
          </w:p>
        </w:tc>
        <w:tc>
          <w:tcPr>
            <w:tcW w:w="4112" w:type="dxa"/>
            <w:tcBorders>
              <w:top w:val="single" w:color="auto" w:sz="6" w:space="0"/>
              <w:left w:val="single" w:color="auto" w:sz="6" w:space="0"/>
              <w:bottom w:val="single" w:color="auto" w:sz="6" w:space="0"/>
              <w:right w:val="single" w:color="auto" w:sz="6" w:space="0"/>
            </w:tcBorders>
            <w:vAlign w:val="center"/>
          </w:tcPr>
          <w:p>
            <w:pPr>
              <w:ind w:firstLine="210" w:firstLineChars="100"/>
              <w:rPr>
                <w:rFonts w:ascii="宋体" w:hAnsi="宋体" w:eastAsia="宋体" w:cs="宋体"/>
                <w:color w:val="auto"/>
                <w:szCs w:val="21"/>
              </w:rPr>
            </w:pPr>
            <w:r>
              <w:rPr>
                <w:rFonts w:hint="eastAsia" w:ascii="宋体" w:hAnsi="宋体" w:eastAsia="宋体" w:cs="宋体"/>
                <w:color w:val="auto"/>
                <w:szCs w:val="21"/>
                <w:u w:val="single"/>
              </w:rPr>
              <w:t>1000</w:t>
            </w:r>
            <w:r>
              <w:rPr>
                <w:rFonts w:hint="eastAsia" w:ascii="宋体" w:hAnsi="宋体" w:eastAsia="宋体" w:cs="宋体"/>
                <w:color w:val="auto"/>
                <w:szCs w:val="21"/>
              </w:rPr>
              <w:t>元/天</w:t>
            </w:r>
          </w:p>
        </w:tc>
        <w:tc>
          <w:tcPr>
            <w:tcW w:w="8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3</w:t>
            </w:r>
          </w:p>
        </w:tc>
        <w:tc>
          <w:tcPr>
            <w:tcW w:w="27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逾期交工违约金限额</w:t>
            </w:r>
          </w:p>
        </w:tc>
        <w:tc>
          <w:tcPr>
            <w:tcW w:w="143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11.5</w:t>
            </w:r>
          </w:p>
        </w:tc>
        <w:tc>
          <w:tcPr>
            <w:tcW w:w="4112" w:type="dxa"/>
            <w:tcBorders>
              <w:top w:val="single" w:color="auto" w:sz="6" w:space="0"/>
              <w:left w:val="single" w:color="auto" w:sz="6" w:space="0"/>
              <w:bottom w:val="single" w:color="auto" w:sz="6" w:space="0"/>
              <w:right w:val="single" w:color="auto" w:sz="6" w:space="0"/>
            </w:tcBorders>
            <w:vAlign w:val="center"/>
          </w:tcPr>
          <w:p>
            <w:pPr>
              <w:ind w:firstLine="210" w:firstLineChars="100"/>
              <w:rPr>
                <w:rFonts w:ascii="宋体" w:hAnsi="宋体" w:eastAsia="宋体" w:cs="宋体"/>
                <w:color w:val="auto"/>
                <w:szCs w:val="21"/>
              </w:rPr>
            </w:pPr>
            <w:r>
              <w:rPr>
                <w:rFonts w:hint="eastAsia" w:ascii="宋体" w:hAnsi="宋体" w:eastAsia="宋体" w:cs="宋体"/>
                <w:color w:val="auto"/>
                <w:szCs w:val="21"/>
                <w:u w:val="single"/>
              </w:rPr>
              <w:t xml:space="preserve"> 10 </w:t>
            </w:r>
            <w:r>
              <w:rPr>
                <w:rFonts w:hint="eastAsia" w:ascii="宋体" w:hAnsi="宋体" w:eastAsia="宋体" w:cs="宋体"/>
                <w:color w:val="auto"/>
                <w:szCs w:val="21"/>
              </w:rPr>
              <w:t>%签约合同价</w:t>
            </w:r>
          </w:p>
        </w:tc>
        <w:tc>
          <w:tcPr>
            <w:tcW w:w="8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4</w:t>
            </w:r>
          </w:p>
        </w:tc>
        <w:tc>
          <w:tcPr>
            <w:tcW w:w="27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提前交工的奖金</w:t>
            </w:r>
          </w:p>
        </w:tc>
        <w:tc>
          <w:tcPr>
            <w:tcW w:w="143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11.6</w:t>
            </w:r>
          </w:p>
        </w:tc>
        <w:tc>
          <w:tcPr>
            <w:tcW w:w="4112" w:type="dxa"/>
            <w:tcBorders>
              <w:top w:val="single" w:color="auto" w:sz="6" w:space="0"/>
              <w:left w:val="single" w:color="auto" w:sz="6" w:space="0"/>
              <w:bottom w:val="single" w:color="auto" w:sz="6" w:space="0"/>
              <w:right w:val="single" w:color="auto" w:sz="6" w:space="0"/>
            </w:tcBorders>
            <w:vAlign w:val="center"/>
          </w:tcPr>
          <w:p>
            <w:pPr>
              <w:ind w:firstLine="210" w:firstLineChars="100"/>
              <w:rPr>
                <w:rFonts w:ascii="宋体" w:hAnsi="宋体" w:eastAsia="宋体" w:cs="宋体"/>
                <w:color w:val="auto"/>
                <w:szCs w:val="21"/>
              </w:rPr>
            </w:pPr>
            <w:r>
              <w:rPr>
                <w:rFonts w:hint="eastAsia" w:ascii="宋体" w:hAnsi="宋体" w:eastAsia="宋体" w:cs="宋体"/>
                <w:color w:val="auto"/>
                <w:szCs w:val="21"/>
              </w:rPr>
              <w:t>无</w:t>
            </w:r>
          </w:p>
        </w:tc>
        <w:tc>
          <w:tcPr>
            <w:tcW w:w="8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5</w:t>
            </w:r>
          </w:p>
        </w:tc>
        <w:tc>
          <w:tcPr>
            <w:tcW w:w="27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提前交工的奖金限额</w:t>
            </w:r>
          </w:p>
        </w:tc>
        <w:tc>
          <w:tcPr>
            <w:tcW w:w="143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11.6</w:t>
            </w:r>
          </w:p>
        </w:tc>
        <w:tc>
          <w:tcPr>
            <w:tcW w:w="4112" w:type="dxa"/>
            <w:tcBorders>
              <w:top w:val="single" w:color="auto" w:sz="6" w:space="0"/>
              <w:left w:val="single" w:color="auto" w:sz="6" w:space="0"/>
              <w:bottom w:val="single" w:color="auto" w:sz="6" w:space="0"/>
              <w:right w:val="single" w:color="auto" w:sz="6" w:space="0"/>
            </w:tcBorders>
            <w:vAlign w:val="center"/>
          </w:tcPr>
          <w:p>
            <w:pPr>
              <w:ind w:firstLine="210" w:firstLineChars="100"/>
              <w:rPr>
                <w:rFonts w:ascii="宋体" w:hAnsi="宋体" w:eastAsia="宋体" w:cs="宋体"/>
                <w:color w:val="auto"/>
                <w:szCs w:val="21"/>
              </w:rPr>
            </w:pPr>
            <w:r>
              <w:rPr>
                <w:rFonts w:hint="eastAsia" w:ascii="宋体" w:hAnsi="宋体" w:eastAsia="宋体" w:cs="宋体"/>
                <w:color w:val="auto"/>
                <w:szCs w:val="21"/>
              </w:rPr>
              <w:t>无</w:t>
            </w:r>
          </w:p>
        </w:tc>
        <w:tc>
          <w:tcPr>
            <w:tcW w:w="8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9"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6</w:t>
            </w:r>
          </w:p>
        </w:tc>
        <w:tc>
          <w:tcPr>
            <w:tcW w:w="2721" w:type="dxa"/>
            <w:tcBorders>
              <w:top w:val="single" w:color="auto" w:sz="6" w:space="0"/>
              <w:left w:val="single" w:color="auto" w:sz="6" w:space="0"/>
              <w:bottom w:val="single" w:color="auto" w:sz="6" w:space="0"/>
              <w:right w:val="single" w:color="auto" w:sz="6" w:space="0"/>
            </w:tcBorders>
            <w:vAlign w:val="center"/>
          </w:tcPr>
          <w:p>
            <w:pPr>
              <w:pStyle w:val="103"/>
              <w:spacing w:before="240" w:line="360" w:lineRule="exact"/>
              <w:rPr>
                <w:rFonts w:ascii="宋体" w:hAnsi="宋体" w:eastAsia="宋体"/>
                <w:color w:val="auto"/>
                <w:sz w:val="21"/>
                <w:szCs w:val="21"/>
              </w:rPr>
            </w:pPr>
            <w:bookmarkStart w:id="255" w:name="_Toc422814792"/>
            <w:r>
              <w:rPr>
                <w:rFonts w:hint="eastAsia" w:ascii="宋体" w:hAnsi="宋体" w:eastAsia="宋体"/>
                <w:color w:val="auto"/>
                <w:sz w:val="21"/>
                <w:szCs w:val="21"/>
              </w:rPr>
              <w:t>物价波动引起的价格调整</w:t>
            </w:r>
            <w:bookmarkEnd w:id="255"/>
          </w:p>
          <w:p>
            <w:pPr>
              <w:jc w:val="center"/>
              <w:rPr>
                <w:rFonts w:ascii="宋体" w:hAnsi="宋体" w:eastAsia="宋体" w:cs="宋体"/>
                <w:color w:val="auto"/>
                <w:szCs w:val="21"/>
              </w:rPr>
            </w:pPr>
          </w:p>
        </w:tc>
        <w:tc>
          <w:tcPr>
            <w:tcW w:w="143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16.1</w:t>
            </w:r>
          </w:p>
        </w:tc>
        <w:tc>
          <w:tcPr>
            <w:tcW w:w="4112"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auto"/>
                <w:szCs w:val="21"/>
                <w:u w:val="single"/>
              </w:rPr>
            </w:pPr>
            <w:r>
              <w:rPr>
                <w:rFonts w:hint="eastAsia" w:ascii="宋体" w:hAnsi="宋体" w:eastAsia="宋体" w:cs="宋体"/>
                <w:color w:val="auto"/>
                <w:szCs w:val="21"/>
              </w:rPr>
              <w:t>因物价波动引起的价格不调整</w:t>
            </w:r>
          </w:p>
        </w:tc>
        <w:tc>
          <w:tcPr>
            <w:tcW w:w="8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7</w:t>
            </w:r>
          </w:p>
        </w:tc>
        <w:tc>
          <w:tcPr>
            <w:tcW w:w="27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开工预付款金额</w:t>
            </w:r>
          </w:p>
        </w:tc>
        <w:tc>
          <w:tcPr>
            <w:tcW w:w="143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17.2.1</w:t>
            </w:r>
          </w:p>
        </w:tc>
        <w:tc>
          <w:tcPr>
            <w:tcW w:w="4112" w:type="dxa"/>
            <w:tcBorders>
              <w:top w:val="single" w:color="auto" w:sz="6" w:space="0"/>
              <w:left w:val="single" w:color="auto" w:sz="6" w:space="0"/>
              <w:bottom w:val="single" w:color="auto" w:sz="6" w:space="0"/>
              <w:right w:val="single" w:color="auto" w:sz="6" w:space="0"/>
            </w:tcBorders>
            <w:vAlign w:val="center"/>
          </w:tcPr>
          <w:p>
            <w:pPr>
              <w:ind w:firstLine="210" w:firstLineChars="1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无</w:t>
            </w:r>
          </w:p>
        </w:tc>
        <w:tc>
          <w:tcPr>
            <w:tcW w:w="8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8</w:t>
            </w:r>
          </w:p>
        </w:tc>
        <w:tc>
          <w:tcPr>
            <w:tcW w:w="27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材料、设备预付款</w:t>
            </w:r>
          </w:p>
        </w:tc>
        <w:tc>
          <w:tcPr>
            <w:tcW w:w="143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17.2.1</w:t>
            </w:r>
          </w:p>
        </w:tc>
        <w:tc>
          <w:tcPr>
            <w:tcW w:w="4112" w:type="dxa"/>
            <w:tcBorders>
              <w:top w:val="single" w:color="auto" w:sz="6" w:space="0"/>
              <w:left w:val="single" w:color="auto" w:sz="6" w:space="0"/>
              <w:bottom w:val="single" w:color="auto" w:sz="6" w:space="0"/>
              <w:right w:val="single" w:color="auto" w:sz="6" w:space="0"/>
            </w:tcBorders>
            <w:vAlign w:val="center"/>
          </w:tcPr>
          <w:p>
            <w:pPr>
              <w:ind w:firstLine="210" w:firstLineChars="100"/>
              <w:rPr>
                <w:rFonts w:ascii="宋体" w:hAnsi="宋体" w:eastAsia="宋体" w:cs="宋体"/>
                <w:color w:val="auto"/>
                <w:szCs w:val="21"/>
              </w:rPr>
            </w:pPr>
            <w:r>
              <w:rPr>
                <w:rFonts w:hint="eastAsia" w:ascii="宋体" w:hAnsi="宋体" w:eastAsia="宋体" w:cs="宋体"/>
                <w:color w:val="auto"/>
                <w:szCs w:val="21"/>
              </w:rPr>
              <w:t>无</w:t>
            </w:r>
          </w:p>
        </w:tc>
        <w:tc>
          <w:tcPr>
            <w:tcW w:w="8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9</w:t>
            </w:r>
          </w:p>
        </w:tc>
        <w:tc>
          <w:tcPr>
            <w:tcW w:w="27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进度付款证书最低限额</w:t>
            </w:r>
          </w:p>
        </w:tc>
        <w:tc>
          <w:tcPr>
            <w:tcW w:w="143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17.3.3(1)</w:t>
            </w:r>
          </w:p>
        </w:tc>
        <w:tc>
          <w:tcPr>
            <w:tcW w:w="4112" w:type="dxa"/>
            <w:tcBorders>
              <w:top w:val="single" w:color="auto" w:sz="6" w:space="0"/>
              <w:left w:val="single" w:color="auto" w:sz="6" w:space="0"/>
              <w:bottom w:val="single" w:color="auto" w:sz="6" w:space="0"/>
              <w:right w:val="single" w:color="auto" w:sz="6" w:space="0"/>
            </w:tcBorders>
            <w:vAlign w:val="center"/>
          </w:tcPr>
          <w:p>
            <w:pPr>
              <w:ind w:firstLine="210" w:firstLineChars="100"/>
              <w:rPr>
                <w:rFonts w:ascii="宋体" w:hAnsi="宋体" w:eastAsia="宋体" w:cs="宋体"/>
                <w:color w:val="auto"/>
                <w:szCs w:val="21"/>
              </w:rPr>
            </w:pPr>
            <w:r>
              <w:rPr>
                <w:rFonts w:hint="eastAsia" w:ascii="宋体" w:hAnsi="宋体" w:eastAsia="宋体" w:cs="宋体"/>
                <w:color w:val="auto"/>
                <w:szCs w:val="21"/>
              </w:rPr>
              <w:t>施工期间不支付进度</w:t>
            </w:r>
            <w:r>
              <w:rPr>
                <w:rFonts w:hint="eastAsia" w:ascii="宋体" w:hAnsi="宋体" w:eastAsia="宋体" w:cs="宋体"/>
                <w:color w:val="auto"/>
                <w:szCs w:val="21"/>
                <w:u w:val="single"/>
              </w:rPr>
              <w:t>款</w:t>
            </w:r>
          </w:p>
        </w:tc>
        <w:tc>
          <w:tcPr>
            <w:tcW w:w="8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10</w:t>
            </w:r>
          </w:p>
        </w:tc>
        <w:tc>
          <w:tcPr>
            <w:tcW w:w="27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逾期付款违约金的利率</w:t>
            </w:r>
          </w:p>
        </w:tc>
        <w:tc>
          <w:tcPr>
            <w:tcW w:w="143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17.3.3(2)</w:t>
            </w:r>
          </w:p>
        </w:tc>
        <w:tc>
          <w:tcPr>
            <w:tcW w:w="4112" w:type="dxa"/>
            <w:tcBorders>
              <w:top w:val="single" w:color="auto" w:sz="6" w:space="0"/>
              <w:left w:val="single" w:color="auto" w:sz="6" w:space="0"/>
              <w:bottom w:val="single" w:color="auto" w:sz="6" w:space="0"/>
              <w:right w:val="single" w:color="auto" w:sz="6" w:space="0"/>
            </w:tcBorders>
            <w:vAlign w:val="center"/>
          </w:tcPr>
          <w:p>
            <w:pPr>
              <w:ind w:firstLine="210" w:firstLineChars="100"/>
              <w:rPr>
                <w:rFonts w:ascii="宋体" w:hAnsi="宋体" w:eastAsia="宋体" w:cs="宋体"/>
                <w:color w:val="auto"/>
                <w:szCs w:val="21"/>
              </w:rPr>
            </w:pPr>
            <w:r>
              <w:rPr>
                <w:rFonts w:hint="eastAsia" w:ascii="宋体" w:hAnsi="宋体" w:eastAsia="宋体" w:cs="宋体"/>
                <w:color w:val="auto"/>
                <w:szCs w:val="21"/>
              </w:rPr>
              <w:t>中国人民银行发布的同期六个月以内（含六个月）短期贷款基准利率（不计复利），另加手续费。</w:t>
            </w:r>
          </w:p>
        </w:tc>
        <w:tc>
          <w:tcPr>
            <w:tcW w:w="8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7"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11</w:t>
            </w:r>
          </w:p>
        </w:tc>
        <w:tc>
          <w:tcPr>
            <w:tcW w:w="272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Cs w:val="21"/>
                <w:lang w:eastAsia="zh-CN"/>
              </w:rPr>
            </w:pPr>
            <w:r>
              <w:rPr>
                <w:rFonts w:hint="eastAsia" w:ascii="宋体" w:hAnsi="宋体" w:eastAsia="宋体" w:cs="宋体"/>
                <w:color w:val="auto"/>
                <w:szCs w:val="21"/>
              </w:rPr>
              <w:t>质量保证金百分比</w:t>
            </w:r>
            <w:r>
              <w:rPr>
                <w:rFonts w:hint="eastAsia" w:ascii="宋体" w:hAnsi="宋体" w:eastAsia="宋体" w:cs="宋体"/>
                <w:color w:val="auto"/>
                <w:szCs w:val="21"/>
                <w:lang w:eastAsia="zh-CN"/>
              </w:rPr>
              <w:t>及方式</w:t>
            </w:r>
          </w:p>
        </w:tc>
        <w:tc>
          <w:tcPr>
            <w:tcW w:w="143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17.4.1</w:t>
            </w:r>
          </w:p>
        </w:tc>
        <w:tc>
          <w:tcPr>
            <w:tcW w:w="4112" w:type="dxa"/>
            <w:tcBorders>
              <w:top w:val="single" w:color="auto" w:sz="6" w:space="0"/>
              <w:left w:val="single" w:color="auto" w:sz="6" w:space="0"/>
              <w:bottom w:val="single" w:color="auto" w:sz="6" w:space="0"/>
              <w:right w:val="single" w:color="auto" w:sz="6" w:space="0"/>
            </w:tcBorders>
            <w:vAlign w:val="center"/>
          </w:tcPr>
          <w:p>
            <w:pPr>
              <w:ind w:firstLine="210" w:firstLineChars="100"/>
              <w:rPr>
                <w:rFonts w:hint="eastAsia" w:ascii="宋体" w:hAnsi="宋体" w:eastAsia="宋体" w:cs="宋体"/>
                <w:color w:val="auto"/>
                <w:szCs w:val="21"/>
                <w:lang w:eastAsia="zh-CN"/>
              </w:rPr>
            </w:pPr>
            <w:r>
              <w:rPr>
                <w:rFonts w:hint="eastAsia" w:ascii="宋体" w:hAnsi="宋体" w:eastAsia="宋体" w:cs="宋体"/>
                <w:color w:val="auto"/>
                <w:szCs w:val="21"/>
                <w:u w:val="single"/>
                <w:lang w:val="en-US" w:eastAsia="zh-CN"/>
              </w:rPr>
              <w:t>1</w:t>
            </w:r>
            <w:r>
              <w:rPr>
                <w:rFonts w:hint="eastAsia" w:ascii="宋体" w:hAnsi="宋体" w:eastAsia="宋体" w:cs="宋体"/>
                <w:color w:val="auto"/>
                <w:szCs w:val="21"/>
                <w:u w:val="single"/>
              </w:rPr>
              <w:t>.5%</w:t>
            </w:r>
            <w:r>
              <w:rPr>
                <w:rFonts w:hint="eastAsia" w:ascii="宋体" w:hAnsi="宋体" w:eastAsia="宋体" w:cs="宋体"/>
                <w:color w:val="auto"/>
                <w:szCs w:val="21"/>
              </w:rPr>
              <w:t>签约</w:t>
            </w:r>
            <w:r>
              <w:rPr>
                <w:rFonts w:hint="eastAsia" w:ascii="宋体" w:hAnsi="宋体" w:eastAsia="宋体" w:cs="宋体"/>
                <w:color w:val="auto"/>
                <w:szCs w:val="21"/>
                <w:lang w:eastAsia="zh-CN"/>
              </w:rPr>
              <w:t>结算</w:t>
            </w:r>
            <w:r>
              <w:rPr>
                <w:rFonts w:hint="eastAsia" w:ascii="宋体" w:hAnsi="宋体" w:eastAsia="宋体" w:cs="宋体"/>
                <w:color w:val="auto"/>
                <w:szCs w:val="21"/>
              </w:rPr>
              <w:t>价</w:t>
            </w:r>
            <w:r>
              <w:rPr>
                <w:rFonts w:hint="eastAsia" w:ascii="宋体" w:hAnsi="宋体" w:eastAsia="宋体" w:cs="宋体"/>
                <w:color w:val="auto"/>
                <w:szCs w:val="21"/>
                <w:lang w:eastAsia="zh-CN"/>
              </w:rPr>
              <w:t>，采用</w:t>
            </w:r>
            <w:r>
              <w:rPr>
                <w:rFonts w:hint="eastAsia"/>
                <w:color w:val="auto"/>
              </w:rPr>
              <w:t>现金或工程保函（银行保函、保险机构保证保险保单）</w:t>
            </w:r>
          </w:p>
        </w:tc>
        <w:tc>
          <w:tcPr>
            <w:tcW w:w="8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12</w:t>
            </w:r>
          </w:p>
        </w:tc>
        <w:tc>
          <w:tcPr>
            <w:tcW w:w="27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质量保证金限额</w:t>
            </w:r>
          </w:p>
        </w:tc>
        <w:tc>
          <w:tcPr>
            <w:tcW w:w="143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17.4.1</w:t>
            </w:r>
          </w:p>
        </w:tc>
        <w:tc>
          <w:tcPr>
            <w:tcW w:w="4112" w:type="dxa"/>
            <w:tcBorders>
              <w:top w:val="single" w:color="auto" w:sz="6" w:space="0"/>
              <w:left w:val="single" w:color="auto" w:sz="6" w:space="0"/>
              <w:bottom w:val="single" w:color="auto" w:sz="6" w:space="0"/>
              <w:right w:val="single" w:color="auto" w:sz="6" w:space="0"/>
            </w:tcBorders>
            <w:vAlign w:val="center"/>
          </w:tcPr>
          <w:p>
            <w:pPr>
              <w:ind w:firstLine="210" w:firstLineChars="1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.5%</w:t>
            </w:r>
            <w:r>
              <w:rPr>
                <w:rFonts w:hint="eastAsia" w:ascii="宋体" w:hAnsi="宋体" w:eastAsia="宋体" w:cs="宋体"/>
                <w:color w:val="auto"/>
                <w:szCs w:val="21"/>
                <w:lang w:eastAsia="zh-CN"/>
              </w:rPr>
              <w:t>的结算价</w:t>
            </w:r>
          </w:p>
        </w:tc>
        <w:tc>
          <w:tcPr>
            <w:tcW w:w="8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9"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13</w:t>
            </w:r>
          </w:p>
        </w:tc>
        <w:tc>
          <w:tcPr>
            <w:tcW w:w="272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保修期</w:t>
            </w:r>
          </w:p>
        </w:tc>
        <w:tc>
          <w:tcPr>
            <w:tcW w:w="1432"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19.7</w:t>
            </w:r>
          </w:p>
        </w:tc>
        <w:tc>
          <w:tcPr>
            <w:tcW w:w="4112" w:type="dxa"/>
            <w:tcBorders>
              <w:top w:val="single" w:color="auto" w:sz="6" w:space="0"/>
              <w:left w:val="single" w:color="auto" w:sz="6" w:space="0"/>
              <w:bottom w:val="single" w:color="auto" w:sz="12" w:space="0"/>
              <w:right w:val="single" w:color="auto" w:sz="6" w:space="0"/>
            </w:tcBorders>
            <w:vAlign w:val="center"/>
          </w:tcPr>
          <w:p>
            <w:pPr>
              <w:ind w:firstLine="210" w:firstLineChars="100"/>
              <w:rPr>
                <w:rFonts w:ascii="宋体" w:hAnsi="宋体" w:eastAsia="宋体" w:cs="宋体"/>
                <w:color w:val="auto"/>
                <w:szCs w:val="21"/>
              </w:rPr>
            </w:pPr>
            <w:r>
              <w:rPr>
                <w:rFonts w:hint="eastAsia" w:ascii="宋体" w:hAnsi="宋体" w:eastAsia="宋体" w:cs="宋体"/>
                <w:color w:val="auto"/>
                <w:szCs w:val="21"/>
              </w:rPr>
              <w:t>自实际交工日期起计算</w:t>
            </w:r>
            <w:r>
              <w:rPr>
                <w:rFonts w:hint="eastAsia" w:ascii="宋体" w:hAnsi="宋体" w:eastAsia="宋体" w:cs="宋体"/>
                <w:color w:val="auto"/>
                <w:szCs w:val="21"/>
                <w:u w:val="single"/>
              </w:rPr>
              <w:t xml:space="preserve"> </w:t>
            </w:r>
            <w:r>
              <w:rPr>
                <w:rFonts w:hint="eastAsia" w:ascii="宋体" w:hAnsi="宋体" w:eastAsia="宋体" w:cs="宋体"/>
                <w:b/>
                <w:color w:val="auto"/>
                <w:szCs w:val="21"/>
                <w:u w:val="single"/>
              </w:rPr>
              <w:t>1</w:t>
            </w:r>
            <w:r>
              <w:rPr>
                <w:rFonts w:hint="eastAsia" w:ascii="宋体" w:hAnsi="宋体" w:eastAsia="宋体" w:cs="宋体"/>
                <w:color w:val="auto"/>
                <w:szCs w:val="21"/>
              </w:rPr>
              <w:t>年</w:t>
            </w:r>
          </w:p>
        </w:tc>
        <w:tc>
          <w:tcPr>
            <w:tcW w:w="815"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eastAsia="宋体" w:cs="宋体"/>
                <w:color w:val="auto"/>
                <w:szCs w:val="21"/>
              </w:rPr>
            </w:pPr>
          </w:p>
        </w:tc>
      </w:tr>
    </w:tbl>
    <w:p>
      <w:pPr>
        <w:spacing w:before="312" w:beforeLines="100" w:line="500" w:lineRule="exact"/>
        <w:rPr>
          <w:rFonts w:hint="eastAsia" w:ascii="宋体" w:hAnsi="宋体" w:eastAsia="宋体" w:cs="宋体"/>
          <w:color w:val="auto"/>
          <w:sz w:val="24"/>
        </w:rPr>
      </w:pPr>
      <w:r>
        <w:rPr>
          <w:rFonts w:hint="eastAsia" w:ascii="宋体" w:hAnsi="宋体" w:eastAsia="宋体" w:cs="宋体"/>
          <w:color w:val="auto"/>
          <w:sz w:val="24"/>
        </w:rPr>
        <w:t xml:space="preserve">                            投 标 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pPr>
        <w:spacing w:line="500" w:lineRule="exact"/>
        <w:ind w:right="480" w:firstLine="3480" w:firstLineChars="1450"/>
        <w:rPr>
          <w:rFonts w:hint="eastAsia" w:ascii="宋体" w:hAnsi="宋体" w:eastAsia="宋体" w:cs="宋体"/>
          <w:color w:val="auto"/>
          <w:sz w:val="24"/>
        </w:rPr>
      </w:pPr>
      <w:r>
        <w:rPr>
          <w:rFonts w:hint="eastAsia" w:ascii="宋体" w:hAnsi="宋体" w:eastAsia="宋体" w:cs="宋体"/>
          <w:color w:val="auto"/>
          <w:sz w:val="24"/>
        </w:rPr>
        <w:t>投标文件签署人盖章: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spacing w:line="500" w:lineRule="exact"/>
        <w:ind w:right="480"/>
        <w:rPr>
          <w:rFonts w:hint="eastAsia" w:ascii="宋体" w:hAnsi="宋体" w:eastAsia="宋体" w:cs="宋体"/>
          <w:b/>
          <w:color w:val="auto"/>
          <w:sz w:val="28"/>
          <w:szCs w:val="28"/>
        </w:rPr>
      </w:pPr>
      <w:r>
        <w:rPr>
          <w:rFonts w:hint="eastAsia" w:ascii="宋体" w:hAnsi="宋体" w:eastAsia="宋体" w:cs="宋体"/>
          <w:color w:val="auto"/>
          <w:sz w:val="24"/>
        </w:rPr>
        <w:br w:type="page"/>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、法定代表人身份证明及附有法定代表人身份证明的授权委托书</w:t>
      </w:r>
    </w:p>
    <w:p>
      <w:pPr>
        <w:pStyle w:val="3"/>
        <w:spacing w:before="312" w:beforeLines="100" w:after="468" w:afterLines="150" w:line="360" w:lineRule="exact"/>
        <w:jc w:val="center"/>
        <w:rPr>
          <w:rFonts w:hint="eastAsia" w:ascii="宋体" w:hAnsi="宋体"/>
          <w:b w:val="0"/>
          <w:color w:val="auto"/>
          <w:sz w:val="30"/>
          <w:szCs w:val="30"/>
        </w:rPr>
      </w:pPr>
      <w:bookmarkStart w:id="256" w:name="_Toc26224"/>
      <w:r>
        <w:rPr>
          <w:rFonts w:hint="eastAsia" w:ascii="宋体" w:hAnsi="宋体"/>
          <w:b w:val="0"/>
          <w:color w:val="auto"/>
          <w:sz w:val="30"/>
          <w:szCs w:val="30"/>
        </w:rPr>
        <w:t>（一）法定代表人身份证明</w:t>
      </w:r>
      <w:bookmarkEnd w:id="256"/>
    </w:p>
    <w:p>
      <w:pPr>
        <w:rPr>
          <w:rFonts w:hint="eastAsia" w:ascii="宋体" w:hAnsi="宋体" w:eastAsia="宋体" w:cs="宋体"/>
          <w:color w:val="auto"/>
          <w:sz w:val="24"/>
        </w:rPr>
      </w:pPr>
    </w:p>
    <w:p>
      <w:pPr>
        <w:rPr>
          <w:rFonts w:hint="eastAsia" w:ascii="宋体" w:hAnsi="宋体" w:eastAsia="宋体" w:cs="宋体"/>
          <w:color w:val="auto"/>
          <w:sz w:val="24"/>
        </w:rPr>
      </w:pPr>
    </w:p>
    <w:p>
      <w:pPr>
        <w:spacing w:line="500" w:lineRule="exact"/>
        <w:rPr>
          <w:rFonts w:hint="eastAsia" w:ascii="宋体" w:hAnsi="宋体" w:eastAsia="宋体" w:cs="宋体"/>
          <w:color w:val="auto"/>
          <w:szCs w:val="21"/>
          <w:u w:val="single"/>
        </w:rPr>
      </w:pPr>
      <w:r>
        <w:rPr>
          <w:rFonts w:hint="eastAsia" w:ascii="宋体" w:hAnsi="宋体" w:eastAsia="宋体" w:cs="宋体"/>
          <w:color w:val="auto"/>
          <w:szCs w:val="21"/>
        </w:rPr>
        <w:t>投标人名称：</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u w:val="single"/>
        </w:rPr>
      </w:pPr>
      <w:r>
        <w:rPr>
          <w:rFonts w:hint="eastAsia" w:ascii="宋体" w:hAnsi="宋体" w:eastAsia="宋体" w:cs="宋体"/>
          <w:color w:val="auto"/>
          <w:spacing w:val="60"/>
          <w:kern w:val="0"/>
          <w:szCs w:val="21"/>
        </w:rPr>
        <w:t>单位性</w:t>
      </w:r>
      <w:r>
        <w:rPr>
          <w:rFonts w:hint="eastAsia" w:ascii="宋体" w:hAnsi="宋体" w:eastAsia="宋体" w:cs="宋体"/>
          <w:color w:val="auto"/>
          <w:kern w:val="0"/>
          <w:szCs w:val="21"/>
        </w:rPr>
        <w:t>质</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pacing w:val="390"/>
          <w:kern w:val="0"/>
          <w:szCs w:val="21"/>
        </w:rPr>
        <w:t>地</w:t>
      </w:r>
      <w:r>
        <w:rPr>
          <w:rFonts w:hint="eastAsia" w:ascii="宋体" w:hAnsi="宋体" w:eastAsia="宋体" w:cs="宋体"/>
          <w:color w:val="auto"/>
          <w:kern w:val="0"/>
          <w:szCs w:val="21"/>
        </w:rPr>
        <w:t>址</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成立时间：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经营期限：</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性别：</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职务：</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系</w:t>
      </w:r>
      <w:r>
        <w:rPr>
          <w:rFonts w:hint="eastAsia" w:ascii="宋体" w:hAnsi="宋体" w:eastAsia="宋体" w:cs="宋体"/>
          <w:color w:val="auto"/>
          <w:szCs w:val="21"/>
          <w:u w:val="single"/>
        </w:rPr>
        <w:t xml:space="preserve">  （投标人名称）</w:t>
      </w:r>
      <w:r>
        <w:rPr>
          <w:rFonts w:hint="eastAsia" w:ascii="宋体" w:hAnsi="宋体" w:eastAsia="宋体" w:cs="宋体"/>
          <w:color w:val="auto"/>
          <w:szCs w:val="21"/>
        </w:rPr>
        <w:t>的法定代表人。</w:t>
      </w:r>
    </w:p>
    <w:p>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特此证明。</w:t>
      </w:r>
    </w:p>
    <w:p>
      <w:pPr>
        <w:spacing w:line="500" w:lineRule="exact"/>
        <w:rPr>
          <w:rFonts w:hint="eastAsia" w:ascii="宋体" w:hAnsi="宋体" w:eastAsia="宋体" w:cs="宋体"/>
          <w:color w:val="auto"/>
          <w:szCs w:val="21"/>
        </w:rPr>
      </w:pPr>
    </w:p>
    <w:p>
      <w:pPr>
        <w:spacing w:line="500" w:lineRule="exact"/>
        <w:rPr>
          <w:rFonts w:hint="eastAsia" w:ascii="宋体" w:hAnsi="宋体" w:eastAsia="宋体" w:cs="宋体"/>
          <w:color w:val="auto"/>
          <w:szCs w:val="21"/>
        </w:rPr>
      </w:pP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 xml:space="preserve">                             投标人：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5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400" w:lineRule="exact"/>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 w:val="24"/>
        </w:rPr>
      </w:pPr>
    </w:p>
    <w:p>
      <w:pPr>
        <w:jc w:val="center"/>
        <w:rPr>
          <w:rFonts w:hint="eastAsia" w:ascii="宋体" w:hAnsi="宋体" w:eastAsia="宋体" w:cs="宋体"/>
          <w:color w:val="auto"/>
          <w:sz w:val="30"/>
          <w:szCs w:val="30"/>
        </w:rPr>
      </w:pPr>
      <w:r>
        <w:rPr>
          <w:rFonts w:hint="eastAsia" w:ascii="宋体" w:hAnsi="宋体" w:eastAsia="宋体" w:cs="宋体"/>
          <w:color w:val="auto"/>
          <w:sz w:val="24"/>
        </w:rPr>
        <w:br w:type="page"/>
      </w:r>
      <w:r>
        <w:rPr>
          <w:rFonts w:hint="eastAsia" w:ascii="宋体" w:hAnsi="宋体" w:eastAsia="宋体" w:cs="宋体"/>
          <w:bCs/>
          <w:color w:val="auto"/>
          <w:kern w:val="44"/>
          <w:sz w:val="30"/>
          <w:szCs w:val="30"/>
        </w:rPr>
        <w:t>（二）授权委托书</w:t>
      </w:r>
    </w:p>
    <w:p>
      <w:pPr>
        <w:spacing w:line="500" w:lineRule="exact"/>
        <w:rPr>
          <w:rFonts w:hint="eastAsia" w:ascii="宋体" w:hAnsi="宋体" w:eastAsia="宋体" w:cs="宋体"/>
          <w:color w:val="auto"/>
          <w:sz w:val="24"/>
        </w:rPr>
      </w:pPr>
    </w:p>
    <w:p>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（投标人名称）的法定代表人，现委托</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（姓名）为我方代理人。代理人根据授权，以我方名义签署、澄清、说明、补正、递交、撤回、修改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标段施工投标文件、签订合同和处理有关事宜，其法律后果由我方承担。</w:t>
      </w:r>
    </w:p>
    <w:p>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委托期限：</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代理人无转委托权。 </w:t>
      </w:r>
    </w:p>
    <w:p>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附：法定代表人身份证明</w:t>
      </w:r>
    </w:p>
    <w:p>
      <w:pPr>
        <w:spacing w:line="500" w:lineRule="exact"/>
        <w:rPr>
          <w:rFonts w:hint="eastAsia" w:ascii="宋体" w:hAnsi="宋体" w:eastAsia="宋体" w:cs="宋体"/>
          <w:color w:val="auto"/>
          <w:szCs w:val="21"/>
        </w:rPr>
      </w:pPr>
    </w:p>
    <w:p>
      <w:pPr>
        <w:spacing w:line="500" w:lineRule="exact"/>
        <w:rPr>
          <w:rFonts w:hint="eastAsia" w:ascii="宋体" w:hAnsi="宋体" w:eastAsia="宋体" w:cs="宋体"/>
          <w:color w:val="auto"/>
          <w:szCs w:val="21"/>
        </w:rPr>
      </w:pP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kern w:val="0"/>
          <w:szCs w:val="21"/>
        </w:rPr>
        <w:t>投标人</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 xml:space="preserve">                                法定代表人：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（盖章）</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 xml:space="preserve">                                身份证号码：</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 xml:space="preserve">                                委托代理人：</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 xml:space="preserve">                                身份证号码：</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rPr>
          <w:rFonts w:hint="eastAsia" w:ascii="宋体" w:hAnsi="宋体" w:eastAsia="宋体" w:cs="宋体"/>
          <w:color w:val="auto"/>
          <w:szCs w:val="21"/>
        </w:rPr>
      </w:pPr>
    </w:p>
    <w:p>
      <w:pPr>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注：</w:t>
      </w:r>
    </w:p>
    <w:p>
      <w:pPr>
        <w:spacing w:line="400" w:lineRule="exact"/>
        <w:ind w:firstLine="420" w:firstLineChars="200"/>
        <w:rPr>
          <w:rFonts w:hint="eastAsia" w:ascii="宋体" w:hAnsi="宋体" w:eastAsia="宋体" w:cs="宋体"/>
          <w:color w:val="auto"/>
          <w:sz w:val="28"/>
          <w:szCs w:val="28"/>
        </w:rPr>
      </w:pPr>
      <w:r>
        <w:rPr>
          <w:rFonts w:hint="eastAsia" w:ascii="宋体" w:hAnsi="宋体" w:eastAsia="宋体" w:cs="宋体"/>
          <w:color w:val="auto"/>
          <w:szCs w:val="21"/>
        </w:rPr>
        <w:t>1.委托期限在满足开标评标所需合理时间前提下由投标人自行确定，建议不少于投标有效期。</w:t>
      </w:r>
      <w:bookmarkStart w:id="257" w:name="_Toc234242178"/>
      <w:bookmarkStart w:id="258" w:name="_Toc193904174"/>
      <w:r>
        <w:rPr>
          <w:rFonts w:hint="eastAsia" w:ascii="宋体" w:hAnsi="宋体" w:eastAsia="宋体" w:cs="宋体"/>
          <w:b/>
          <w:color w:val="auto"/>
          <w:sz w:val="36"/>
          <w:szCs w:val="36"/>
        </w:rPr>
        <w:br w:type="page"/>
      </w:r>
      <w:bookmarkEnd w:id="257"/>
      <w:bookmarkEnd w:id="258"/>
    </w:p>
    <w:p>
      <w:pPr>
        <w:pStyle w:val="3"/>
        <w:spacing w:before="312" w:beforeLines="100" w:after="468" w:afterLines="150" w:line="360" w:lineRule="exact"/>
        <w:jc w:val="center"/>
        <w:rPr>
          <w:rFonts w:hint="eastAsia" w:ascii="宋体" w:hAnsi="宋体"/>
          <w:color w:val="auto"/>
          <w:sz w:val="28"/>
          <w:szCs w:val="28"/>
        </w:rPr>
      </w:pPr>
      <w:bookmarkStart w:id="259" w:name="_Toc4122"/>
      <w:r>
        <w:rPr>
          <w:rFonts w:hint="eastAsia" w:ascii="宋体" w:hAnsi="宋体"/>
          <w:color w:val="auto"/>
          <w:sz w:val="28"/>
          <w:szCs w:val="28"/>
        </w:rPr>
        <w:t>四、投标保证金</w:t>
      </w:r>
      <w:bookmarkEnd w:id="259"/>
    </w:p>
    <w:p>
      <w:pPr>
        <w:spacing w:line="48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我单位已按招标文件第2章投标人须知前附表3.4款要求交纳本项目投标保证金。</w:t>
      </w:r>
    </w:p>
    <w:p>
      <w:pPr>
        <w:spacing w:line="400" w:lineRule="exact"/>
        <w:ind w:firstLine="420" w:firstLineChars="200"/>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szCs w:val="21"/>
        </w:rPr>
      </w:pPr>
    </w:p>
    <w:p>
      <w:pPr>
        <w:pStyle w:val="3"/>
        <w:spacing w:before="312" w:beforeLines="100" w:after="468" w:afterLines="150" w:line="360" w:lineRule="exact"/>
        <w:jc w:val="center"/>
        <w:rPr>
          <w:rFonts w:hint="eastAsia" w:ascii="宋体" w:hAnsi="宋体"/>
          <w:b w:val="0"/>
          <w:color w:val="auto"/>
          <w:sz w:val="30"/>
          <w:szCs w:val="30"/>
        </w:rPr>
      </w:pPr>
      <w:r>
        <w:rPr>
          <w:rFonts w:hint="eastAsia" w:ascii="宋体" w:hAnsi="宋体"/>
          <w:b w:val="0"/>
          <w:bCs w:val="0"/>
          <w:color w:val="auto"/>
        </w:rPr>
        <w:br w:type="page"/>
      </w:r>
      <w:bookmarkStart w:id="260" w:name="_Toc29530"/>
      <w:r>
        <w:rPr>
          <w:rFonts w:hint="eastAsia" w:ascii="宋体" w:hAnsi="宋体"/>
          <w:b w:val="0"/>
          <w:color w:val="auto"/>
          <w:sz w:val="30"/>
          <w:szCs w:val="30"/>
        </w:rPr>
        <w:t>五、项目管理机构</w:t>
      </w:r>
      <w:bookmarkEnd w:id="260"/>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8" w:hRule="atLeast"/>
          <w:jc w:val="center"/>
        </w:trPr>
        <w:tc>
          <w:tcPr>
            <w:tcW w:w="9639" w:type="dxa"/>
            <w:tcBorders>
              <w:top w:val="single" w:color="auto" w:sz="12" w:space="0"/>
              <w:left w:val="single" w:color="auto" w:sz="12" w:space="0"/>
              <w:bottom w:val="single" w:color="auto" w:sz="6" w:space="0"/>
              <w:right w:val="single" w:color="auto" w:sz="12" w:space="0"/>
            </w:tcBorders>
          </w:tcPr>
          <w:p>
            <w:pPr>
              <w:rPr>
                <w:rFonts w:ascii="宋体" w:hAnsi="宋体" w:eastAsia="宋体" w:cs="宋体"/>
                <w:color w:val="auto"/>
                <w:szCs w:val="21"/>
              </w:rPr>
            </w:pPr>
          </w:p>
          <w:p>
            <w:pPr>
              <w:rPr>
                <w:rFonts w:ascii="宋体" w:hAnsi="宋体" w:eastAsia="宋体" w:cs="宋体"/>
                <w:color w:val="auto"/>
                <w:szCs w:val="21"/>
              </w:rPr>
            </w:pPr>
            <w:r>
              <w:rPr>
                <w:rFonts w:hint="eastAsia" w:ascii="宋体" w:hAnsi="宋体" w:eastAsia="宋体" w:cs="宋体"/>
                <w:color w:val="auto"/>
                <w:szCs w:val="21"/>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639" w:type="dxa"/>
            <w:tcBorders>
              <w:top w:val="single" w:color="auto" w:sz="6" w:space="0"/>
              <w:left w:val="single" w:color="auto" w:sz="12" w:space="0"/>
              <w:bottom w:val="single" w:color="auto" w:sz="12" w:space="0"/>
              <w:right w:val="single" w:color="auto" w:sz="12" w:space="0"/>
            </w:tcBorders>
          </w:tcPr>
          <w:p>
            <w:pPr>
              <w:rPr>
                <w:rFonts w:ascii="宋体" w:hAnsi="宋体" w:eastAsia="宋体" w:cs="宋体"/>
                <w:color w:val="auto"/>
                <w:szCs w:val="21"/>
              </w:rPr>
            </w:pPr>
          </w:p>
          <w:p>
            <w:pPr>
              <w:rPr>
                <w:rFonts w:ascii="宋体" w:hAnsi="宋体" w:eastAsia="宋体" w:cs="宋体"/>
                <w:color w:val="auto"/>
                <w:szCs w:val="21"/>
              </w:rPr>
            </w:pPr>
            <w:r>
              <w:rPr>
                <w:rFonts w:hint="eastAsia" w:ascii="宋体" w:hAnsi="宋体" w:eastAsia="宋体" w:cs="宋体"/>
                <w:color w:val="auto"/>
                <w:szCs w:val="21"/>
              </w:rPr>
              <w:t>说明</w:t>
            </w:r>
          </w:p>
        </w:tc>
      </w:tr>
    </w:tbl>
    <w:p>
      <w:pPr>
        <w:rPr>
          <w:rFonts w:hint="eastAsia" w:ascii="宋体" w:hAnsi="宋体" w:eastAsia="宋体" w:cs="宋体"/>
          <w:color w:val="auto"/>
          <w:sz w:val="24"/>
        </w:rPr>
      </w:pPr>
    </w:p>
    <w:p>
      <w:pPr>
        <w:rPr>
          <w:rFonts w:hint="eastAsia" w:ascii="宋体" w:hAnsi="宋体" w:eastAsia="宋体" w:cs="宋体"/>
          <w:color w:val="auto"/>
        </w:rPr>
      </w:pPr>
    </w:p>
    <w:p>
      <w:pPr>
        <w:rPr>
          <w:rFonts w:hint="eastAsia" w:ascii="宋体" w:hAnsi="宋体" w:eastAsia="宋体" w:cs="宋体"/>
          <w:color w:val="auto"/>
        </w:rPr>
      </w:pPr>
    </w:p>
    <w:p>
      <w:pPr>
        <w:pStyle w:val="3"/>
        <w:spacing w:before="312" w:beforeLines="100" w:after="468" w:afterLines="150" w:line="360" w:lineRule="exact"/>
        <w:jc w:val="center"/>
        <w:rPr>
          <w:rFonts w:hint="eastAsia" w:ascii="宋体" w:hAnsi="宋体"/>
          <w:b w:val="0"/>
          <w:color w:val="auto"/>
          <w:sz w:val="30"/>
          <w:szCs w:val="30"/>
        </w:rPr>
      </w:pPr>
      <w:bookmarkStart w:id="261" w:name="_Toc22421"/>
      <w:r>
        <w:rPr>
          <w:rFonts w:hint="eastAsia" w:ascii="宋体" w:hAnsi="宋体"/>
          <w:b w:val="0"/>
          <w:color w:val="auto"/>
          <w:sz w:val="30"/>
          <w:szCs w:val="30"/>
        </w:rPr>
        <w:t>六、拟分包项目情况表</w:t>
      </w:r>
      <w:bookmarkEnd w:id="261"/>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6"/>
        <w:gridCol w:w="2926"/>
        <w:gridCol w:w="2007"/>
        <w:gridCol w:w="11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6"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拟分包的工程项目</w:t>
            </w:r>
          </w:p>
        </w:tc>
        <w:tc>
          <w:tcPr>
            <w:tcW w:w="292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主要内容</w:t>
            </w:r>
          </w:p>
        </w:tc>
        <w:tc>
          <w:tcPr>
            <w:tcW w:w="2007"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预计造价（万元）</w:t>
            </w:r>
          </w:p>
        </w:tc>
        <w:tc>
          <w:tcPr>
            <w:tcW w:w="1171"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9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0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1171" w:type="dxa"/>
            <w:vMerge w:val="restart"/>
            <w:tcBorders>
              <w:top w:val="single" w:color="auto" w:sz="6" w:space="0"/>
              <w:left w:val="single" w:color="auto" w:sz="6" w:space="0"/>
              <w:bottom w:val="single" w:color="auto" w:sz="12" w:space="0"/>
              <w:right w:val="single" w:color="auto" w:sz="12" w:space="0"/>
            </w:tcBorders>
          </w:tcPr>
          <w:p>
            <w:pP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9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0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1171" w:type="dxa"/>
            <w:vMerge w:val="continue"/>
            <w:tcBorders>
              <w:top w:val="single" w:color="auto" w:sz="6" w:space="0"/>
              <w:left w:val="single" w:color="auto" w:sz="6" w:space="0"/>
              <w:bottom w:val="single" w:color="auto" w:sz="12" w:space="0"/>
              <w:right w:val="single" w:color="auto" w:sz="12" w:space="0"/>
            </w:tcBorders>
            <w:vAlign w:val="center"/>
          </w:tcPr>
          <w:p>
            <w:pPr>
              <w:widowControl/>
              <w:jc w:val="left"/>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9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0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1171" w:type="dxa"/>
            <w:vMerge w:val="continue"/>
            <w:tcBorders>
              <w:top w:val="single" w:color="auto" w:sz="6" w:space="0"/>
              <w:left w:val="single" w:color="auto" w:sz="6" w:space="0"/>
              <w:bottom w:val="single" w:color="auto" w:sz="12" w:space="0"/>
              <w:right w:val="single" w:color="auto" w:sz="12" w:space="0"/>
            </w:tcBorders>
            <w:vAlign w:val="center"/>
          </w:tcPr>
          <w:p>
            <w:pPr>
              <w:widowControl/>
              <w:jc w:val="left"/>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9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0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1171" w:type="dxa"/>
            <w:vMerge w:val="continue"/>
            <w:tcBorders>
              <w:top w:val="single" w:color="auto" w:sz="6" w:space="0"/>
              <w:left w:val="single" w:color="auto" w:sz="6" w:space="0"/>
              <w:bottom w:val="single" w:color="auto" w:sz="12" w:space="0"/>
              <w:right w:val="single" w:color="auto" w:sz="12" w:space="0"/>
            </w:tcBorders>
            <w:vAlign w:val="center"/>
          </w:tcPr>
          <w:p>
            <w:pPr>
              <w:widowControl/>
              <w:jc w:val="left"/>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9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0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1171" w:type="dxa"/>
            <w:vMerge w:val="continue"/>
            <w:tcBorders>
              <w:top w:val="single" w:color="auto" w:sz="6" w:space="0"/>
              <w:left w:val="single" w:color="auto" w:sz="6" w:space="0"/>
              <w:bottom w:val="single" w:color="auto" w:sz="12" w:space="0"/>
              <w:right w:val="single" w:color="auto" w:sz="12" w:space="0"/>
            </w:tcBorders>
            <w:vAlign w:val="center"/>
          </w:tcPr>
          <w:p>
            <w:pPr>
              <w:widowControl/>
              <w:jc w:val="left"/>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9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0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1171" w:type="dxa"/>
            <w:vMerge w:val="continue"/>
            <w:tcBorders>
              <w:top w:val="single" w:color="auto" w:sz="6" w:space="0"/>
              <w:left w:val="single" w:color="auto" w:sz="6" w:space="0"/>
              <w:bottom w:val="single" w:color="auto" w:sz="12" w:space="0"/>
              <w:right w:val="single" w:color="auto" w:sz="12" w:space="0"/>
            </w:tcBorders>
            <w:vAlign w:val="center"/>
          </w:tcPr>
          <w:p>
            <w:pPr>
              <w:widowControl/>
              <w:jc w:val="left"/>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9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0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1171" w:type="dxa"/>
            <w:vMerge w:val="continue"/>
            <w:tcBorders>
              <w:top w:val="single" w:color="auto" w:sz="6" w:space="0"/>
              <w:left w:val="single" w:color="auto" w:sz="6" w:space="0"/>
              <w:bottom w:val="single" w:color="auto" w:sz="12" w:space="0"/>
              <w:right w:val="single" w:color="auto" w:sz="12" w:space="0"/>
            </w:tcBorders>
            <w:vAlign w:val="center"/>
          </w:tcPr>
          <w:p>
            <w:pPr>
              <w:widowControl/>
              <w:jc w:val="left"/>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9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0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1171" w:type="dxa"/>
            <w:vMerge w:val="continue"/>
            <w:tcBorders>
              <w:top w:val="single" w:color="auto" w:sz="6" w:space="0"/>
              <w:left w:val="single" w:color="auto" w:sz="6" w:space="0"/>
              <w:bottom w:val="single" w:color="auto" w:sz="12" w:space="0"/>
              <w:right w:val="single" w:color="auto" w:sz="12" w:space="0"/>
            </w:tcBorders>
            <w:vAlign w:val="center"/>
          </w:tcPr>
          <w:p>
            <w:pPr>
              <w:widowControl/>
              <w:jc w:val="left"/>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9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0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1171" w:type="dxa"/>
            <w:vMerge w:val="continue"/>
            <w:tcBorders>
              <w:top w:val="single" w:color="auto" w:sz="6" w:space="0"/>
              <w:left w:val="single" w:color="auto" w:sz="6" w:space="0"/>
              <w:bottom w:val="single" w:color="auto" w:sz="12" w:space="0"/>
              <w:right w:val="single" w:color="auto" w:sz="12" w:space="0"/>
            </w:tcBorders>
            <w:vAlign w:val="center"/>
          </w:tcPr>
          <w:p>
            <w:pPr>
              <w:widowControl/>
              <w:jc w:val="left"/>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9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0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1171" w:type="dxa"/>
            <w:vMerge w:val="continue"/>
            <w:tcBorders>
              <w:top w:val="single" w:color="auto" w:sz="6" w:space="0"/>
              <w:left w:val="single" w:color="auto" w:sz="6" w:space="0"/>
              <w:bottom w:val="single" w:color="auto" w:sz="12" w:space="0"/>
              <w:right w:val="single" w:color="auto" w:sz="12" w:space="0"/>
            </w:tcBorders>
            <w:vAlign w:val="center"/>
          </w:tcPr>
          <w:p>
            <w:pPr>
              <w:widowControl/>
              <w:jc w:val="left"/>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9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0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1171" w:type="dxa"/>
            <w:vMerge w:val="continue"/>
            <w:tcBorders>
              <w:top w:val="single" w:color="auto" w:sz="6" w:space="0"/>
              <w:left w:val="single" w:color="auto" w:sz="6" w:space="0"/>
              <w:bottom w:val="single" w:color="auto" w:sz="12" w:space="0"/>
              <w:right w:val="single" w:color="auto" w:sz="12" w:space="0"/>
            </w:tcBorders>
            <w:vAlign w:val="center"/>
          </w:tcPr>
          <w:p>
            <w:pPr>
              <w:widowControl/>
              <w:jc w:val="left"/>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9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0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1171" w:type="dxa"/>
            <w:vMerge w:val="continue"/>
            <w:tcBorders>
              <w:top w:val="single" w:color="auto" w:sz="6" w:space="0"/>
              <w:left w:val="single" w:color="auto" w:sz="6" w:space="0"/>
              <w:bottom w:val="single" w:color="auto" w:sz="12" w:space="0"/>
              <w:right w:val="single" w:color="auto" w:sz="12" w:space="0"/>
            </w:tcBorders>
            <w:vAlign w:val="center"/>
          </w:tcPr>
          <w:p>
            <w:pPr>
              <w:widowControl/>
              <w:jc w:val="left"/>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9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00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1171" w:type="dxa"/>
            <w:vMerge w:val="continue"/>
            <w:tcBorders>
              <w:top w:val="single" w:color="auto" w:sz="6" w:space="0"/>
              <w:left w:val="single" w:color="auto" w:sz="6" w:space="0"/>
              <w:bottom w:val="single" w:color="auto" w:sz="12" w:space="0"/>
              <w:right w:val="single" w:color="auto" w:sz="12" w:space="0"/>
            </w:tcBorders>
            <w:vAlign w:val="center"/>
          </w:tcPr>
          <w:p>
            <w:pPr>
              <w:widowControl/>
              <w:jc w:val="left"/>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5332" w:type="dxa"/>
            <w:gridSpan w:val="2"/>
            <w:tcBorders>
              <w:top w:val="single" w:color="auto" w:sz="6" w:space="0"/>
              <w:left w:val="single" w:color="auto" w:sz="12" w:space="0"/>
              <w:bottom w:val="single" w:color="auto" w:sz="12"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分包值合计（万元）</w:t>
            </w:r>
          </w:p>
        </w:tc>
        <w:tc>
          <w:tcPr>
            <w:tcW w:w="200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eastAsia="宋体" w:cs="宋体"/>
                <w:color w:val="auto"/>
                <w:szCs w:val="21"/>
              </w:rPr>
            </w:pPr>
          </w:p>
        </w:tc>
        <w:tc>
          <w:tcPr>
            <w:tcW w:w="1171" w:type="dxa"/>
            <w:vMerge w:val="continue"/>
            <w:tcBorders>
              <w:top w:val="single" w:color="auto" w:sz="6" w:space="0"/>
              <w:left w:val="single" w:color="auto" w:sz="6" w:space="0"/>
              <w:bottom w:val="single" w:color="auto" w:sz="12" w:space="0"/>
              <w:right w:val="single" w:color="auto" w:sz="12" w:space="0"/>
            </w:tcBorders>
            <w:vAlign w:val="center"/>
          </w:tcPr>
          <w:p>
            <w:pPr>
              <w:widowControl/>
              <w:jc w:val="left"/>
              <w:rPr>
                <w:rFonts w:ascii="宋体" w:hAnsi="宋体" w:eastAsia="宋体" w:cs="宋体"/>
                <w:color w:val="auto"/>
                <w:szCs w:val="21"/>
              </w:rPr>
            </w:pPr>
          </w:p>
        </w:tc>
      </w:tr>
    </w:tbl>
    <w:p>
      <w:pPr>
        <w:rPr>
          <w:rFonts w:hint="eastAsia" w:ascii="宋体" w:hAnsi="宋体" w:eastAsia="宋体" w:cs="宋体"/>
          <w:color w:val="auto"/>
        </w:rPr>
      </w:pPr>
    </w:p>
    <w:p>
      <w:pPr>
        <w:spacing w:line="360" w:lineRule="exact"/>
        <w:rPr>
          <w:rFonts w:hint="eastAsia" w:ascii="宋体" w:hAnsi="宋体" w:eastAsia="宋体" w:cs="宋体"/>
          <w:color w:val="auto"/>
        </w:rPr>
      </w:pPr>
      <w:r>
        <w:rPr>
          <w:rFonts w:hint="eastAsia" w:ascii="宋体" w:hAnsi="宋体" w:eastAsia="宋体" w:cs="宋体"/>
          <w:color w:val="auto"/>
        </w:rPr>
        <w:t>注：1.投标人拟在中标后将适合专业化队伍施工的专项工程分包给具有相应资格的单位的，应在投标文件中明确相应的专项工程及规模，未列入投标文件的专项工程，不得分包。具体分包活动应符合交通运输部《公路工程施工分包管理办法》和浙江省交通运输厅《浙江省公路水运工程施工分包管理实施细则》及相关的管理规定。</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2.若无分包计划，则投标人应填写“无”，劳务分包的情况无需填报。</w:t>
      </w:r>
    </w:p>
    <w:p>
      <w:pPr>
        <w:spacing w:line="360" w:lineRule="exact"/>
        <w:ind w:firstLine="420" w:firstLineChars="200"/>
        <w:rPr>
          <w:rFonts w:hint="eastAsia" w:ascii="宋体" w:hAnsi="宋体" w:eastAsia="宋体" w:cs="宋体"/>
          <w:color w:val="auto"/>
        </w:rPr>
      </w:pPr>
    </w:p>
    <w:p>
      <w:pPr>
        <w:spacing w:line="360" w:lineRule="exact"/>
        <w:ind w:firstLine="420" w:firstLineChars="200"/>
        <w:rPr>
          <w:rFonts w:hint="eastAsia" w:ascii="宋体" w:hAnsi="宋体" w:eastAsia="宋体" w:cs="宋体"/>
          <w:color w:val="auto"/>
        </w:rPr>
      </w:pPr>
    </w:p>
    <w:p>
      <w:pPr>
        <w:pStyle w:val="3"/>
        <w:spacing w:before="312" w:beforeLines="100" w:after="468" w:afterLines="150" w:line="360" w:lineRule="exact"/>
        <w:jc w:val="center"/>
        <w:rPr>
          <w:rFonts w:hint="eastAsia" w:ascii="宋体" w:hAnsi="宋体"/>
          <w:b w:val="0"/>
          <w:color w:val="auto"/>
          <w:sz w:val="30"/>
          <w:szCs w:val="30"/>
        </w:rPr>
      </w:pPr>
      <w:r>
        <w:rPr>
          <w:rFonts w:hint="eastAsia" w:ascii="宋体" w:hAnsi="宋体"/>
          <w:bCs w:val="0"/>
          <w:color w:val="auto"/>
          <w:sz w:val="30"/>
          <w:szCs w:val="30"/>
        </w:rPr>
        <w:br w:type="page"/>
      </w:r>
      <w:bookmarkStart w:id="262" w:name="_Toc13536"/>
      <w:r>
        <w:rPr>
          <w:rFonts w:hint="eastAsia" w:ascii="宋体" w:hAnsi="宋体"/>
          <w:b w:val="0"/>
          <w:color w:val="auto"/>
          <w:sz w:val="30"/>
          <w:szCs w:val="30"/>
        </w:rPr>
        <w:t>七、资格审查资料</w:t>
      </w:r>
      <w:bookmarkEnd w:id="262"/>
    </w:p>
    <w:p>
      <w:pPr>
        <w:pStyle w:val="3"/>
        <w:spacing w:before="312" w:beforeLines="100" w:after="468" w:afterLines="150" w:line="360" w:lineRule="exact"/>
        <w:jc w:val="center"/>
        <w:rPr>
          <w:rFonts w:hint="eastAsia" w:ascii="宋体" w:hAnsi="宋体"/>
          <w:b w:val="0"/>
          <w:color w:val="auto"/>
          <w:sz w:val="30"/>
          <w:szCs w:val="30"/>
        </w:rPr>
      </w:pPr>
      <w:bookmarkStart w:id="263" w:name="_Toc9021"/>
      <w:r>
        <w:rPr>
          <w:rFonts w:hint="eastAsia" w:ascii="宋体" w:hAnsi="宋体"/>
          <w:b w:val="0"/>
          <w:color w:val="auto"/>
          <w:sz w:val="30"/>
          <w:szCs w:val="30"/>
        </w:rPr>
        <w:t>（一）投标人基本情况表</w:t>
      </w:r>
      <w:bookmarkEnd w:id="263"/>
    </w:p>
    <w:tbl>
      <w:tblPr>
        <w:tblStyle w:val="5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jc w:val="center"/>
        </w:trPr>
        <w:tc>
          <w:tcPr>
            <w:tcW w:w="1942" w:type="dxa"/>
            <w:tcBorders>
              <w:top w:val="single" w:color="000000" w:sz="12"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投标人名称</w:t>
            </w:r>
          </w:p>
        </w:tc>
        <w:tc>
          <w:tcPr>
            <w:tcW w:w="7697" w:type="dxa"/>
            <w:gridSpan w:val="8"/>
            <w:tcBorders>
              <w:top w:val="single" w:color="000000" w:sz="12"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color w:val="auto"/>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注册地址</w:t>
            </w:r>
          </w:p>
        </w:tc>
        <w:tc>
          <w:tcPr>
            <w:tcW w:w="3846" w:type="dxa"/>
            <w:gridSpan w:val="4"/>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p>
        </w:tc>
        <w:tc>
          <w:tcPr>
            <w:tcW w:w="12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邮政编码</w:t>
            </w:r>
          </w:p>
        </w:tc>
        <w:tc>
          <w:tcPr>
            <w:tcW w:w="2639" w:type="dxa"/>
            <w:gridSpan w:val="3"/>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color w:val="auto"/>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联系方式</w:t>
            </w:r>
          </w:p>
        </w:tc>
        <w:tc>
          <w:tcPr>
            <w:tcW w:w="10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联系人</w:t>
            </w:r>
          </w:p>
        </w:tc>
        <w:tc>
          <w:tcPr>
            <w:tcW w:w="2836"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p>
        </w:tc>
        <w:tc>
          <w:tcPr>
            <w:tcW w:w="12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电 话</w:t>
            </w:r>
          </w:p>
        </w:tc>
        <w:tc>
          <w:tcPr>
            <w:tcW w:w="2639" w:type="dxa"/>
            <w:gridSpan w:val="3"/>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color w:val="auto"/>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tcBorders>
              <w:top w:val="single" w:color="000000" w:sz="6" w:space="0"/>
              <w:left w:val="single" w:color="000000" w:sz="12" w:space="0"/>
              <w:bottom w:val="single" w:color="000000" w:sz="6" w:space="0"/>
              <w:right w:val="single" w:color="000000" w:sz="6" w:space="0"/>
            </w:tcBorders>
            <w:vAlign w:val="center"/>
          </w:tcPr>
          <w:p>
            <w:pPr>
              <w:widowControl/>
              <w:jc w:val="left"/>
              <w:rPr>
                <w:rFonts w:ascii="宋体" w:hAnsi="宋体" w:eastAsia="宋体" w:cs="宋体"/>
                <w:color w:val="auto"/>
                <w:kern w:val="0"/>
                <w:szCs w:val="21"/>
              </w:rPr>
            </w:pPr>
          </w:p>
        </w:tc>
        <w:tc>
          <w:tcPr>
            <w:tcW w:w="1010" w:type="dxa"/>
            <w:tcBorders>
              <w:top w:val="single" w:color="000000" w:sz="6" w:space="0"/>
              <w:left w:val="single" w:color="000000" w:sz="6" w:space="0"/>
              <w:bottom w:val="single" w:color="000000" w:sz="6" w:space="0"/>
              <w:right w:val="single" w:color="000000" w:sz="6" w:space="0"/>
            </w:tcBorders>
            <w:vAlign w:val="center"/>
          </w:tcPr>
          <w:p>
            <w:pPr>
              <w:tabs>
                <w:tab w:val="left" w:pos="540"/>
              </w:tabs>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传 真</w:t>
            </w:r>
          </w:p>
        </w:tc>
        <w:tc>
          <w:tcPr>
            <w:tcW w:w="2836"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p>
        </w:tc>
        <w:tc>
          <w:tcPr>
            <w:tcW w:w="12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电子邮件</w:t>
            </w:r>
          </w:p>
        </w:tc>
        <w:tc>
          <w:tcPr>
            <w:tcW w:w="2639" w:type="dxa"/>
            <w:gridSpan w:val="3"/>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color w:val="auto"/>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法定代表人</w:t>
            </w:r>
          </w:p>
        </w:tc>
        <w:tc>
          <w:tcPr>
            <w:tcW w:w="10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姓名</w:t>
            </w:r>
          </w:p>
        </w:tc>
        <w:tc>
          <w:tcPr>
            <w:tcW w:w="10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p>
        </w:tc>
        <w:tc>
          <w:tcPr>
            <w:tcW w:w="14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技术职称</w:t>
            </w:r>
          </w:p>
        </w:tc>
        <w:tc>
          <w:tcPr>
            <w:tcW w:w="2119"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p>
        </w:tc>
        <w:tc>
          <w:tcPr>
            <w:tcW w:w="96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电话</w:t>
            </w:r>
          </w:p>
        </w:tc>
        <w:tc>
          <w:tcPr>
            <w:tcW w:w="1116"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color w:val="auto"/>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技术负责人</w:t>
            </w:r>
          </w:p>
        </w:tc>
        <w:tc>
          <w:tcPr>
            <w:tcW w:w="10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姓名</w:t>
            </w:r>
          </w:p>
        </w:tc>
        <w:tc>
          <w:tcPr>
            <w:tcW w:w="10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p>
        </w:tc>
        <w:tc>
          <w:tcPr>
            <w:tcW w:w="14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技术职称</w:t>
            </w:r>
          </w:p>
        </w:tc>
        <w:tc>
          <w:tcPr>
            <w:tcW w:w="2119"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p>
        </w:tc>
        <w:tc>
          <w:tcPr>
            <w:tcW w:w="96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电话</w:t>
            </w:r>
          </w:p>
        </w:tc>
        <w:tc>
          <w:tcPr>
            <w:tcW w:w="1116"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color w:val="auto"/>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成立时间</w:t>
            </w:r>
          </w:p>
        </w:tc>
        <w:tc>
          <w:tcPr>
            <w:tcW w:w="2080"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p>
        </w:tc>
        <w:tc>
          <w:tcPr>
            <w:tcW w:w="5617" w:type="dxa"/>
            <w:gridSpan w:val="6"/>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ind w:left="105" w:leftChars="50"/>
              <w:jc w:val="center"/>
              <w:rPr>
                <w:rFonts w:ascii="宋体" w:hAnsi="宋体" w:eastAsia="宋体" w:cs="宋体"/>
                <w:color w:val="auto"/>
                <w:kern w:val="0"/>
                <w:szCs w:val="21"/>
                <w:u w:val="single"/>
              </w:rPr>
            </w:pPr>
            <w:r>
              <w:rPr>
                <w:rFonts w:hint="eastAsia" w:ascii="宋体" w:hAnsi="宋体" w:eastAsia="宋体" w:cs="宋体"/>
                <w:color w:val="auto"/>
                <w:kern w:val="0"/>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企业资质等级</w:t>
            </w:r>
          </w:p>
        </w:tc>
        <w:tc>
          <w:tcPr>
            <w:tcW w:w="2080"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p>
        </w:tc>
        <w:tc>
          <w:tcPr>
            <w:tcW w:w="1416" w:type="dxa"/>
            <w:vMerge w:val="restart"/>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其中</w:t>
            </w:r>
          </w:p>
        </w:tc>
        <w:tc>
          <w:tcPr>
            <w:tcW w:w="2119"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项目经理</w:t>
            </w:r>
          </w:p>
        </w:tc>
        <w:tc>
          <w:tcPr>
            <w:tcW w:w="2082" w:type="dxa"/>
            <w:gridSpan w:val="2"/>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color w:val="auto"/>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营业执照号</w:t>
            </w:r>
          </w:p>
        </w:tc>
        <w:tc>
          <w:tcPr>
            <w:tcW w:w="2080"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p>
        </w:tc>
        <w:tc>
          <w:tcPr>
            <w:tcW w:w="56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auto"/>
                <w:kern w:val="0"/>
                <w:szCs w:val="21"/>
              </w:rPr>
            </w:pPr>
          </w:p>
        </w:tc>
        <w:tc>
          <w:tcPr>
            <w:tcW w:w="2119"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高级职称人员</w:t>
            </w:r>
          </w:p>
        </w:tc>
        <w:tc>
          <w:tcPr>
            <w:tcW w:w="2082" w:type="dxa"/>
            <w:gridSpan w:val="2"/>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color w:val="auto"/>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注册资金</w:t>
            </w:r>
          </w:p>
        </w:tc>
        <w:tc>
          <w:tcPr>
            <w:tcW w:w="2080"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p>
        </w:tc>
        <w:tc>
          <w:tcPr>
            <w:tcW w:w="56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auto"/>
                <w:kern w:val="0"/>
                <w:szCs w:val="21"/>
              </w:rPr>
            </w:pPr>
          </w:p>
        </w:tc>
        <w:tc>
          <w:tcPr>
            <w:tcW w:w="2119"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中级职称人员</w:t>
            </w:r>
          </w:p>
        </w:tc>
        <w:tc>
          <w:tcPr>
            <w:tcW w:w="2082" w:type="dxa"/>
            <w:gridSpan w:val="2"/>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color w:val="auto"/>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基本账户开户银行</w:t>
            </w:r>
          </w:p>
        </w:tc>
        <w:tc>
          <w:tcPr>
            <w:tcW w:w="2080"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p>
        </w:tc>
        <w:tc>
          <w:tcPr>
            <w:tcW w:w="56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auto"/>
                <w:kern w:val="0"/>
                <w:szCs w:val="21"/>
              </w:rPr>
            </w:pPr>
          </w:p>
        </w:tc>
        <w:tc>
          <w:tcPr>
            <w:tcW w:w="2119"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初级职称人员</w:t>
            </w:r>
          </w:p>
        </w:tc>
        <w:tc>
          <w:tcPr>
            <w:tcW w:w="2082" w:type="dxa"/>
            <w:gridSpan w:val="2"/>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color w:val="auto"/>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基本账户账号</w:t>
            </w:r>
          </w:p>
        </w:tc>
        <w:tc>
          <w:tcPr>
            <w:tcW w:w="2080"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p>
        </w:tc>
        <w:tc>
          <w:tcPr>
            <w:tcW w:w="56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color w:val="auto"/>
                <w:kern w:val="0"/>
                <w:szCs w:val="21"/>
              </w:rPr>
            </w:pPr>
          </w:p>
        </w:tc>
        <w:tc>
          <w:tcPr>
            <w:tcW w:w="2119" w:type="dxa"/>
            <w:gridSpan w:val="3"/>
            <w:tcBorders>
              <w:top w:val="single" w:color="000000" w:sz="6" w:space="0"/>
              <w:left w:val="single" w:color="000000" w:sz="6" w:space="0"/>
              <w:bottom w:val="single" w:color="000000" w:sz="6" w:space="0"/>
              <w:right w:val="single" w:color="000000" w:sz="6" w:space="0"/>
            </w:tcBorders>
            <w:vAlign w:val="center"/>
          </w:tcPr>
          <w:p>
            <w:pPr>
              <w:tabs>
                <w:tab w:val="left" w:pos="1240"/>
              </w:tabs>
              <w:autoSpaceDE w:val="0"/>
              <w:autoSpaceDN w:val="0"/>
              <w:adjustRightInd w:val="0"/>
              <w:spacing w:before="98"/>
              <w:jc w:val="center"/>
              <w:rPr>
                <w:rFonts w:ascii="宋体" w:hAnsi="宋体" w:eastAsia="宋体" w:cs="宋体"/>
                <w:color w:val="auto"/>
                <w:kern w:val="0"/>
                <w:szCs w:val="21"/>
              </w:rPr>
            </w:pPr>
            <w:r>
              <w:rPr>
                <w:rFonts w:hint="eastAsia" w:ascii="宋体" w:hAnsi="宋体" w:eastAsia="宋体" w:cs="宋体"/>
                <w:color w:val="auto"/>
                <w:kern w:val="0"/>
                <w:szCs w:val="21"/>
              </w:rPr>
              <w:t>技工</w:t>
            </w:r>
          </w:p>
        </w:tc>
        <w:tc>
          <w:tcPr>
            <w:tcW w:w="2082" w:type="dxa"/>
            <w:gridSpan w:val="2"/>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color w:val="auto"/>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458"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经营范围</w:t>
            </w:r>
          </w:p>
        </w:tc>
        <w:tc>
          <w:tcPr>
            <w:tcW w:w="7697" w:type="dxa"/>
            <w:gridSpan w:val="8"/>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color w:val="auto"/>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423"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资产构成情况及申请人投资参股的关联企业情况</w:t>
            </w:r>
          </w:p>
        </w:tc>
        <w:tc>
          <w:tcPr>
            <w:tcW w:w="7697" w:type="dxa"/>
            <w:gridSpan w:val="8"/>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center"/>
              <w:rPr>
                <w:rFonts w:ascii="宋体" w:hAnsi="宋体" w:eastAsia="宋体" w:cs="宋体"/>
                <w:color w:val="auto"/>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jc w:val="center"/>
        </w:trPr>
        <w:tc>
          <w:tcPr>
            <w:tcW w:w="1942" w:type="dxa"/>
            <w:tcBorders>
              <w:top w:val="single" w:color="000000" w:sz="6" w:space="0"/>
              <w:left w:val="single" w:color="000000" w:sz="12" w:space="0"/>
              <w:bottom w:val="single" w:color="000000" w:sz="12" w:space="0"/>
              <w:right w:val="single" w:color="000000" w:sz="6"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备    注</w:t>
            </w:r>
          </w:p>
        </w:tc>
        <w:tc>
          <w:tcPr>
            <w:tcW w:w="7697" w:type="dxa"/>
            <w:gridSpan w:val="8"/>
            <w:tcBorders>
              <w:top w:val="single" w:color="000000" w:sz="6" w:space="0"/>
              <w:left w:val="single" w:color="000000" w:sz="6" w:space="0"/>
              <w:bottom w:val="single" w:color="000000" w:sz="12" w:space="0"/>
              <w:right w:val="single" w:color="000000" w:sz="12" w:space="0"/>
            </w:tcBorders>
            <w:vAlign w:val="center"/>
          </w:tcPr>
          <w:p>
            <w:pPr>
              <w:autoSpaceDE w:val="0"/>
              <w:autoSpaceDN w:val="0"/>
              <w:adjustRightInd w:val="0"/>
              <w:jc w:val="center"/>
              <w:rPr>
                <w:rFonts w:ascii="宋体" w:hAnsi="宋体" w:eastAsia="宋体" w:cs="宋体"/>
                <w:color w:val="auto"/>
                <w:kern w:val="0"/>
                <w:szCs w:val="21"/>
              </w:rPr>
            </w:pPr>
          </w:p>
        </w:tc>
      </w:tr>
    </w:tbl>
    <w:p>
      <w:pPr>
        <w:spacing w:line="360" w:lineRule="exact"/>
        <w:rPr>
          <w:rFonts w:hint="eastAsia" w:ascii="宋体" w:hAnsi="宋体" w:eastAsia="宋体" w:cs="宋体"/>
          <w:color w:val="auto"/>
        </w:rPr>
      </w:pPr>
      <w:r>
        <w:rPr>
          <w:rFonts w:hint="eastAsia" w:ascii="宋体" w:hAnsi="宋体" w:eastAsia="宋体" w:cs="宋体"/>
          <w:color w:val="auto"/>
        </w:rPr>
        <w:t>注：1.在本表后应附企业法人营业执照副本（全本）的扫描件（并加盖单位电子公章）、施工资质证书副本（全本）的扫描件（并加盖单位电子公章）、 安全生产许可证副本（全本） 的扫描件（并加盖单位电子公章）、基本账户开户许可证的扫描件（并加盖单位电子公章）。</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2.以联合体形式参与投标的，联合体各成员应分别填写。</w:t>
      </w:r>
    </w:p>
    <w:p>
      <w:pPr>
        <w:pStyle w:val="3"/>
        <w:spacing w:before="312" w:beforeLines="100" w:after="468" w:afterLines="150" w:line="360" w:lineRule="exact"/>
        <w:jc w:val="center"/>
        <w:rPr>
          <w:rFonts w:hint="eastAsia" w:ascii="宋体" w:hAnsi="宋体"/>
          <w:b w:val="0"/>
          <w:color w:val="auto"/>
          <w:sz w:val="30"/>
          <w:szCs w:val="30"/>
        </w:rPr>
      </w:pPr>
      <w:bookmarkStart w:id="264" w:name="_Toc6362"/>
      <w:r>
        <w:rPr>
          <w:rFonts w:hint="eastAsia" w:ascii="宋体" w:hAnsi="宋体"/>
          <w:b w:val="0"/>
          <w:color w:val="auto"/>
          <w:sz w:val="30"/>
          <w:szCs w:val="30"/>
        </w:rPr>
        <w:t>（二）投标人企业组织结构框图</w:t>
      </w:r>
      <w:bookmarkEnd w:id="264"/>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6" w:hRule="atLeast"/>
          <w:jc w:val="center"/>
        </w:trPr>
        <w:tc>
          <w:tcPr>
            <w:tcW w:w="9639" w:type="dxa"/>
            <w:tcBorders>
              <w:top w:val="single" w:color="auto" w:sz="12" w:space="0"/>
              <w:left w:val="single" w:color="auto" w:sz="12" w:space="0"/>
              <w:bottom w:val="single" w:color="auto" w:sz="6" w:space="0"/>
              <w:right w:val="single" w:color="auto" w:sz="12" w:space="0"/>
            </w:tcBorders>
          </w:tcPr>
          <w:p>
            <w:pPr>
              <w:rPr>
                <w:rFonts w:ascii="宋体" w:hAnsi="宋体" w:eastAsia="宋体" w:cs="宋体"/>
                <w:color w:val="auto"/>
              </w:rPr>
            </w:pPr>
          </w:p>
          <w:p>
            <w:pPr>
              <w:rPr>
                <w:rFonts w:ascii="宋体" w:hAnsi="宋体" w:eastAsia="宋体" w:cs="宋体"/>
                <w:color w:val="auto"/>
                <w:szCs w:val="21"/>
              </w:rPr>
            </w:pPr>
            <w:r>
              <w:rPr>
                <w:rFonts w:hint="eastAsia" w:ascii="宋体" w:hAnsi="宋体" w:eastAsia="宋体" w:cs="宋体"/>
                <w:color w:val="auto"/>
                <w:sz w:val="24"/>
                <w:szCs w:val="21"/>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3" w:hRule="atLeast"/>
          <w:jc w:val="center"/>
        </w:trPr>
        <w:tc>
          <w:tcPr>
            <w:tcW w:w="9639" w:type="dxa"/>
            <w:tcBorders>
              <w:top w:val="single" w:color="auto" w:sz="6" w:space="0"/>
              <w:left w:val="single" w:color="auto" w:sz="12" w:space="0"/>
              <w:bottom w:val="single" w:color="auto" w:sz="12" w:space="0"/>
              <w:right w:val="single" w:color="auto" w:sz="12" w:space="0"/>
            </w:tcBorders>
          </w:tcPr>
          <w:p>
            <w:pPr>
              <w:rPr>
                <w:rFonts w:ascii="宋体" w:hAnsi="宋体" w:eastAsia="宋体" w:cs="宋体"/>
                <w:color w:val="auto"/>
                <w:sz w:val="24"/>
              </w:rPr>
            </w:pPr>
          </w:p>
          <w:p>
            <w:pPr>
              <w:rPr>
                <w:rFonts w:ascii="宋体" w:hAnsi="宋体" w:eastAsia="宋体" w:cs="宋体"/>
                <w:color w:val="auto"/>
                <w:szCs w:val="21"/>
              </w:rPr>
            </w:pPr>
            <w:r>
              <w:rPr>
                <w:rFonts w:hint="eastAsia" w:ascii="宋体" w:hAnsi="宋体" w:eastAsia="宋体" w:cs="宋体"/>
                <w:color w:val="auto"/>
                <w:szCs w:val="21"/>
              </w:rPr>
              <w:t>说明</w:t>
            </w:r>
          </w:p>
        </w:tc>
      </w:tr>
    </w:tbl>
    <w:p>
      <w:pPr>
        <w:pStyle w:val="3"/>
        <w:spacing w:before="312" w:beforeLines="100" w:after="468" w:afterLines="150" w:line="360" w:lineRule="exact"/>
        <w:jc w:val="center"/>
        <w:rPr>
          <w:rFonts w:hint="eastAsia" w:ascii="宋体" w:hAnsi="宋体"/>
          <w:b w:val="0"/>
          <w:color w:val="auto"/>
          <w:sz w:val="30"/>
          <w:szCs w:val="30"/>
        </w:rPr>
      </w:pPr>
      <w:r>
        <w:rPr>
          <w:rFonts w:hint="eastAsia" w:ascii="宋体" w:hAnsi="宋体"/>
          <w:b w:val="0"/>
          <w:bCs w:val="0"/>
          <w:color w:val="auto"/>
        </w:rPr>
        <w:br w:type="page"/>
      </w:r>
      <w:bookmarkStart w:id="265" w:name="_Toc15250"/>
      <w:r>
        <w:rPr>
          <w:rFonts w:hint="eastAsia" w:ascii="宋体" w:hAnsi="宋体"/>
          <w:b w:val="0"/>
          <w:color w:val="auto"/>
          <w:sz w:val="30"/>
          <w:szCs w:val="30"/>
        </w:rPr>
        <w:t>（三）拟委任的项目经理和项目总工资历表</w:t>
      </w:r>
      <w:bookmarkEnd w:id="265"/>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tcBorders>
              <w:top w:val="single" w:color="auto" w:sz="12" w:space="0"/>
              <w:left w:val="single" w:color="auto" w:sz="12" w:space="0"/>
              <w:bottom w:val="single" w:color="auto" w:sz="6" w:space="0"/>
              <w:right w:val="single" w:color="auto" w:sz="6" w:space="0"/>
            </w:tcBorders>
            <w:vAlign w:val="center"/>
          </w:tcPr>
          <w:p>
            <w:pPr>
              <w:tabs>
                <w:tab w:val="left" w:pos="680"/>
              </w:tabs>
              <w:autoSpaceDE w:val="0"/>
              <w:autoSpaceDN w:val="0"/>
              <w:adjustRightInd w:val="0"/>
              <w:spacing w:before="73"/>
              <w:jc w:val="center"/>
              <w:rPr>
                <w:rFonts w:ascii="宋体" w:hAnsi="宋体" w:eastAsia="宋体" w:cs="宋体"/>
                <w:color w:val="auto"/>
                <w:kern w:val="0"/>
                <w:szCs w:val="21"/>
              </w:rPr>
            </w:pPr>
            <w:r>
              <w:rPr>
                <w:rFonts w:hint="eastAsia" w:ascii="宋体" w:hAnsi="宋体" w:eastAsia="宋体" w:cs="宋体"/>
                <w:color w:val="auto"/>
                <w:kern w:val="0"/>
                <w:szCs w:val="21"/>
              </w:rPr>
              <w:t>姓</w:t>
            </w:r>
            <w:r>
              <w:rPr>
                <w:rFonts w:hint="eastAsia" w:ascii="宋体" w:hAnsi="宋体" w:eastAsia="宋体" w:cs="宋体"/>
                <w:color w:val="auto"/>
                <w:kern w:val="0"/>
                <w:szCs w:val="21"/>
              </w:rPr>
              <w:tab/>
            </w:r>
            <w:r>
              <w:rPr>
                <w:rFonts w:hint="eastAsia" w:ascii="宋体" w:hAnsi="宋体" w:eastAsia="宋体" w:cs="宋体"/>
                <w:color w:val="auto"/>
                <w:kern w:val="0"/>
                <w:szCs w:val="21"/>
              </w:rPr>
              <w:t>名</w:t>
            </w:r>
          </w:p>
        </w:tc>
        <w:tc>
          <w:tcPr>
            <w:tcW w:w="1645"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color w:val="auto"/>
                <w:kern w:val="0"/>
                <w:szCs w:val="21"/>
              </w:rPr>
            </w:pPr>
          </w:p>
        </w:tc>
        <w:tc>
          <w:tcPr>
            <w:tcW w:w="1516"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before="73"/>
              <w:jc w:val="center"/>
              <w:rPr>
                <w:rFonts w:ascii="宋体" w:hAnsi="宋体" w:eastAsia="宋体" w:cs="宋体"/>
                <w:color w:val="auto"/>
                <w:kern w:val="0"/>
                <w:szCs w:val="21"/>
              </w:rPr>
            </w:pPr>
            <w:r>
              <w:rPr>
                <w:rFonts w:hint="eastAsia" w:ascii="宋体" w:hAnsi="宋体" w:eastAsia="宋体" w:cs="宋体"/>
                <w:color w:val="auto"/>
                <w:kern w:val="0"/>
                <w:szCs w:val="21"/>
              </w:rPr>
              <w:t>年  龄</w:t>
            </w:r>
          </w:p>
        </w:tc>
        <w:tc>
          <w:tcPr>
            <w:tcW w:w="1478" w:type="dxa"/>
            <w:gridSpan w:val="2"/>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color w:val="auto"/>
                <w:kern w:val="0"/>
                <w:szCs w:val="21"/>
              </w:rPr>
            </w:pPr>
          </w:p>
        </w:tc>
        <w:tc>
          <w:tcPr>
            <w:tcW w:w="2169" w:type="dxa"/>
            <w:gridSpan w:val="2"/>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before="73"/>
              <w:jc w:val="center"/>
              <w:rPr>
                <w:rFonts w:ascii="宋体" w:hAnsi="宋体" w:eastAsia="宋体" w:cs="宋体"/>
                <w:color w:val="auto"/>
                <w:kern w:val="0"/>
                <w:szCs w:val="21"/>
              </w:rPr>
            </w:pPr>
            <w:r>
              <w:rPr>
                <w:rFonts w:hint="eastAsia" w:ascii="宋体" w:hAnsi="宋体" w:eastAsia="宋体" w:cs="宋体"/>
                <w:color w:val="auto"/>
                <w:kern w:val="0"/>
                <w:szCs w:val="21"/>
              </w:rPr>
              <w:t>专  业</w:t>
            </w:r>
          </w:p>
        </w:tc>
        <w:tc>
          <w:tcPr>
            <w:tcW w:w="1477"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tabs>
                <w:tab w:val="left" w:pos="680"/>
              </w:tabs>
              <w:autoSpaceDE w:val="0"/>
              <w:autoSpaceDN w:val="0"/>
              <w:adjustRightInd w:val="0"/>
              <w:spacing w:before="73"/>
              <w:jc w:val="center"/>
              <w:rPr>
                <w:rFonts w:ascii="宋体" w:hAnsi="宋体" w:eastAsia="宋体" w:cs="宋体"/>
                <w:color w:val="auto"/>
                <w:kern w:val="0"/>
                <w:szCs w:val="21"/>
              </w:rPr>
            </w:pPr>
            <w:r>
              <w:rPr>
                <w:rFonts w:hint="eastAsia" w:ascii="宋体" w:hAnsi="宋体" w:eastAsia="宋体" w:cs="宋体"/>
                <w:color w:val="auto"/>
                <w:kern w:val="0"/>
                <w:szCs w:val="21"/>
              </w:rPr>
              <w:t>职</w:t>
            </w:r>
            <w:r>
              <w:rPr>
                <w:rFonts w:hint="eastAsia" w:ascii="宋体" w:hAnsi="宋体" w:eastAsia="宋体" w:cs="宋体"/>
                <w:color w:val="auto"/>
                <w:kern w:val="0"/>
                <w:szCs w:val="21"/>
              </w:rPr>
              <w:tab/>
            </w:r>
            <w:r>
              <w:rPr>
                <w:rFonts w:hint="eastAsia" w:ascii="宋体" w:hAnsi="宋体" w:eastAsia="宋体" w:cs="宋体"/>
                <w:color w:val="auto"/>
                <w:kern w:val="0"/>
                <w:szCs w:val="21"/>
              </w:rPr>
              <w:t>称</w:t>
            </w:r>
          </w:p>
        </w:tc>
        <w:tc>
          <w:tcPr>
            <w:tcW w:w="16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color w:val="auto"/>
                <w:kern w:val="0"/>
                <w:szCs w:val="21"/>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73"/>
              <w:jc w:val="center"/>
              <w:rPr>
                <w:rFonts w:ascii="宋体" w:hAnsi="宋体" w:eastAsia="宋体" w:cs="宋体"/>
                <w:color w:val="auto"/>
                <w:kern w:val="0"/>
                <w:szCs w:val="21"/>
              </w:rPr>
            </w:pPr>
            <w:r>
              <w:rPr>
                <w:rFonts w:hint="eastAsia" w:ascii="宋体" w:hAnsi="宋体" w:eastAsia="宋体" w:cs="宋体"/>
                <w:color w:val="auto"/>
                <w:kern w:val="0"/>
                <w:szCs w:val="21"/>
              </w:rPr>
              <w:t>公司单位</w:t>
            </w:r>
          </w:p>
          <w:p>
            <w:pPr>
              <w:autoSpaceDE w:val="0"/>
              <w:autoSpaceDN w:val="0"/>
              <w:adjustRightInd w:val="0"/>
              <w:spacing w:before="73"/>
              <w:jc w:val="center"/>
              <w:rPr>
                <w:rFonts w:ascii="宋体" w:hAnsi="宋体" w:eastAsia="宋体" w:cs="宋体"/>
                <w:color w:val="auto"/>
                <w:kern w:val="0"/>
                <w:szCs w:val="21"/>
              </w:rPr>
            </w:pPr>
            <w:r>
              <w:rPr>
                <w:rFonts w:hint="eastAsia" w:ascii="宋体" w:hAnsi="宋体" w:eastAsia="宋体" w:cs="宋体"/>
                <w:color w:val="auto"/>
                <w:kern w:val="0"/>
                <w:szCs w:val="21"/>
              </w:rPr>
              <w:t>职    务</w:t>
            </w:r>
          </w:p>
        </w:tc>
        <w:tc>
          <w:tcPr>
            <w:tcW w:w="147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eastAsia="宋体" w:cs="宋体"/>
                <w:color w:val="auto"/>
                <w:kern w:val="0"/>
                <w:szCs w:val="21"/>
              </w:rPr>
            </w:pPr>
          </w:p>
        </w:tc>
        <w:tc>
          <w:tcPr>
            <w:tcW w:w="216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73"/>
              <w:jc w:val="center"/>
              <w:rPr>
                <w:rFonts w:ascii="宋体" w:hAnsi="宋体" w:eastAsia="宋体" w:cs="宋体"/>
                <w:color w:val="auto"/>
                <w:kern w:val="0"/>
                <w:szCs w:val="21"/>
              </w:rPr>
            </w:pPr>
            <w:r>
              <w:rPr>
                <w:rFonts w:hint="eastAsia" w:ascii="宋体" w:hAnsi="宋体" w:eastAsia="宋体" w:cs="宋体"/>
                <w:color w:val="auto"/>
                <w:kern w:val="0"/>
                <w:szCs w:val="21"/>
              </w:rPr>
              <w:t>拟在本标段</w:t>
            </w:r>
          </w:p>
          <w:p>
            <w:pPr>
              <w:autoSpaceDE w:val="0"/>
              <w:autoSpaceDN w:val="0"/>
              <w:adjustRightInd w:val="0"/>
              <w:spacing w:before="73"/>
              <w:jc w:val="center"/>
              <w:rPr>
                <w:rFonts w:ascii="宋体" w:hAnsi="宋体" w:eastAsia="宋体" w:cs="宋体"/>
                <w:color w:val="auto"/>
                <w:kern w:val="0"/>
                <w:szCs w:val="21"/>
              </w:rPr>
            </w:pPr>
            <w:r>
              <w:rPr>
                <w:rFonts w:hint="eastAsia" w:ascii="宋体" w:hAnsi="宋体" w:eastAsia="宋体" w:cs="宋体"/>
                <w:color w:val="auto"/>
                <w:kern w:val="0"/>
                <w:szCs w:val="21"/>
              </w:rPr>
              <w:t>工程担任职务</w:t>
            </w:r>
          </w:p>
        </w:tc>
        <w:tc>
          <w:tcPr>
            <w:tcW w:w="1477"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before="73"/>
              <w:jc w:val="center"/>
              <w:rPr>
                <w:rFonts w:ascii="宋体" w:hAnsi="宋体" w:eastAsia="宋体" w:cs="宋体"/>
                <w:color w:val="auto"/>
                <w:kern w:val="0"/>
                <w:szCs w:val="21"/>
              </w:rPr>
            </w:pPr>
            <w:r>
              <w:rPr>
                <w:rFonts w:hint="eastAsia" w:ascii="宋体" w:hAnsi="宋体" w:eastAsia="宋体" w:cs="宋体"/>
                <w:color w:val="auto"/>
                <w:kern w:val="0"/>
                <w:szCs w:val="21"/>
              </w:rPr>
              <w:t>毕业学校</w:t>
            </w:r>
          </w:p>
        </w:tc>
        <w:tc>
          <w:tcPr>
            <w:tcW w:w="8285" w:type="dxa"/>
            <w:gridSpan w:val="7"/>
            <w:tcBorders>
              <w:top w:val="single" w:color="auto" w:sz="6" w:space="0"/>
              <w:left w:val="single" w:color="auto" w:sz="6" w:space="0"/>
              <w:bottom w:val="single" w:color="auto" w:sz="6" w:space="0"/>
              <w:right w:val="single" w:color="auto" w:sz="12" w:space="0"/>
            </w:tcBorders>
            <w:vAlign w:val="center"/>
          </w:tcPr>
          <w:p>
            <w:pPr>
              <w:tabs>
                <w:tab w:val="left" w:pos="2820"/>
                <w:tab w:val="left" w:pos="4080"/>
              </w:tabs>
              <w:autoSpaceDE w:val="0"/>
              <w:autoSpaceDN w:val="0"/>
              <w:adjustRightInd w:val="0"/>
              <w:spacing w:before="73"/>
              <w:ind w:left="-1291" w:leftChars="-615" w:firstLine="1260" w:firstLineChars="600"/>
              <w:rPr>
                <w:rFonts w:ascii="宋体" w:hAnsi="宋体" w:eastAsia="宋体" w:cs="宋体"/>
                <w:color w:val="auto"/>
                <w:kern w:val="0"/>
                <w:szCs w:val="21"/>
              </w:rPr>
            </w:pP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月毕业于</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学校</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专业，学制</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639" w:type="dxa"/>
            <w:gridSpan w:val="8"/>
            <w:tcBorders>
              <w:top w:val="single" w:color="auto" w:sz="6" w:space="0"/>
              <w:left w:val="single" w:color="auto" w:sz="12" w:space="0"/>
              <w:bottom w:val="single" w:color="auto" w:sz="6" w:space="0"/>
              <w:right w:val="single" w:color="auto" w:sz="12" w:space="0"/>
            </w:tcBorders>
            <w:vAlign w:val="center"/>
          </w:tcPr>
          <w:p>
            <w:pPr>
              <w:jc w:val="center"/>
              <w:rPr>
                <w:rFonts w:ascii="宋体" w:hAnsi="宋体" w:eastAsia="宋体" w:cs="宋体"/>
                <w:color w:val="auto"/>
                <w:szCs w:val="21"/>
              </w:rPr>
            </w:pPr>
            <w:r>
              <w:rPr>
                <w:rFonts w:hint="eastAsia" w:ascii="宋体" w:hAnsi="宋体" w:eastAsia="宋体" w:cs="宋体"/>
                <w:color w:val="auto"/>
                <w:kern w:val="0"/>
                <w:szCs w:val="21"/>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p>
          <w:p>
            <w:pPr>
              <w:jc w:val="center"/>
              <w:rPr>
                <w:rFonts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p>
        </w:tc>
        <w:tc>
          <w:tcPr>
            <w:tcW w:w="402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kern w:val="0"/>
                <w:szCs w:val="21"/>
              </w:rPr>
              <w:t>参加过的工程项目名称</w:t>
            </w:r>
          </w:p>
        </w:tc>
        <w:tc>
          <w:tcPr>
            <w:tcW w:w="13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kern w:val="0"/>
                <w:szCs w:val="21"/>
              </w:rPr>
              <w:t>担任何职</w:t>
            </w:r>
          </w:p>
        </w:tc>
        <w:tc>
          <w:tcPr>
            <w:tcW w:w="2870"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kern w:val="0"/>
                <w:szCs w:val="21"/>
              </w:rPr>
            </w:pPr>
            <w:r>
              <w:rPr>
                <w:rFonts w:hint="eastAsia" w:ascii="宋体" w:hAnsi="宋体" w:eastAsia="宋体" w:cs="宋体"/>
                <w:color w:val="auto"/>
                <w:kern w:val="0"/>
                <w:szCs w:val="21"/>
              </w:rPr>
              <w:t>发包人及</w:t>
            </w:r>
          </w:p>
          <w:p>
            <w:pPr>
              <w:jc w:val="center"/>
              <w:rPr>
                <w:rFonts w:ascii="宋体" w:hAnsi="宋体" w:eastAsia="宋体" w:cs="宋体"/>
                <w:color w:val="auto"/>
                <w:szCs w:val="21"/>
              </w:rPr>
            </w:pPr>
            <w:r>
              <w:rPr>
                <w:rFonts w:hint="eastAsia" w:ascii="宋体" w:hAnsi="宋体" w:eastAsia="宋体" w:cs="宋体"/>
                <w:color w:val="auto"/>
                <w:kern w:val="0"/>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13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13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13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13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13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13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13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377" w:type="dxa"/>
            <w:gridSpan w:val="4"/>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获奖情况</w:t>
            </w:r>
          </w:p>
        </w:tc>
        <w:tc>
          <w:tcPr>
            <w:tcW w:w="139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目前任职</w:t>
            </w:r>
          </w:p>
          <w:p>
            <w:pPr>
              <w:jc w:val="center"/>
              <w:rPr>
                <w:rFonts w:ascii="宋体" w:hAnsi="宋体" w:eastAsia="宋体" w:cs="宋体"/>
                <w:color w:val="auto"/>
                <w:szCs w:val="21"/>
              </w:rPr>
            </w:pPr>
            <w:r>
              <w:rPr>
                <w:rFonts w:hint="eastAsia" w:ascii="宋体" w:hAnsi="宋体" w:eastAsia="宋体" w:cs="宋体"/>
                <w:color w:val="auto"/>
                <w:szCs w:val="21"/>
              </w:rPr>
              <w:t>项目状况</w:t>
            </w:r>
          </w:p>
        </w:tc>
        <w:tc>
          <w:tcPr>
            <w:tcW w:w="402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项目名称</w:t>
            </w:r>
          </w:p>
        </w:tc>
        <w:tc>
          <w:tcPr>
            <w:tcW w:w="4262" w:type="dxa"/>
            <w:gridSpan w:val="4"/>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0"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宋体"/>
                <w:color w:val="auto"/>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担任职位</w:t>
            </w:r>
          </w:p>
        </w:tc>
        <w:tc>
          <w:tcPr>
            <w:tcW w:w="4262" w:type="dxa"/>
            <w:gridSpan w:val="4"/>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0"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宋体"/>
                <w:color w:val="auto"/>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可以调离日期</w:t>
            </w:r>
          </w:p>
        </w:tc>
        <w:tc>
          <w:tcPr>
            <w:tcW w:w="4262" w:type="dxa"/>
            <w:gridSpan w:val="4"/>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1354"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备注</w:t>
            </w:r>
          </w:p>
        </w:tc>
        <w:tc>
          <w:tcPr>
            <w:tcW w:w="8285" w:type="dxa"/>
            <w:gridSpan w:val="7"/>
            <w:tcBorders>
              <w:top w:val="single" w:color="auto" w:sz="6" w:space="0"/>
              <w:left w:val="single" w:color="auto" w:sz="6" w:space="0"/>
              <w:bottom w:val="single" w:color="auto" w:sz="12" w:space="0"/>
              <w:right w:val="single" w:color="auto" w:sz="12" w:space="0"/>
            </w:tcBorders>
            <w:vAlign w:val="center"/>
          </w:tcPr>
          <w:p>
            <w:pPr>
              <w:jc w:val="center"/>
              <w:rPr>
                <w:rFonts w:ascii="宋体" w:hAnsi="宋体" w:eastAsia="宋体" w:cs="宋体"/>
                <w:color w:val="auto"/>
                <w:szCs w:val="21"/>
              </w:rPr>
            </w:pPr>
          </w:p>
        </w:tc>
      </w:tr>
    </w:tbl>
    <w:p>
      <w:pPr>
        <w:spacing w:line="320" w:lineRule="exact"/>
        <w:ind w:left="108"/>
        <w:rPr>
          <w:rFonts w:hint="eastAsia" w:ascii="宋体" w:hAnsi="宋体" w:eastAsia="宋体" w:cs="宋体"/>
          <w:color w:val="auto"/>
          <w:szCs w:val="21"/>
        </w:rPr>
      </w:pPr>
      <w:r>
        <w:rPr>
          <w:rFonts w:hint="eastAsia" w:ascii="宋体" w:hAnsi="宋体" w:eastAsia="宋体" w:cs="宋体"/>
          <w:color w:val="auto"/>
          <w:szCs w:val="21"/>
        </w:rPr>
        <w:t>注：1.本表后应附项目经理和项目总工的身份证、职称资格证书、 有效期内的安全生产考核合格证书清晰可辨的扫描件（第二代身份证应正反双面复印）；上述项目经理以及项目总工的安全生产考核合格证书中的聘用企业名称应与投标人名称一致；</w:t>
      </w:r>
    </w:p>
    <w:p>
      <w:pPr>
        <w:spacing w:line="320" w:lineRule="exact"/>
        <w:ind w:left="108" w:firstLine="315"/>
        <w:rPr>
          <w:rFonts w:hint="eastAsia" w:ascii="宋体" w:hAnsi="宋体" w:eastAsia="宋体" w:cs="宋体"/>
          <w:color w:val="auto"/>
          <w:szCs w:val="21"/>
        </w:rPr>
      </w:pPr>
      <w:r>
        <w:rPr>
          <w:rFonts w:hint="eastAsia" w:ascii="宋体" w:hAnsi="宋体" w:eastAsia="宋体" w:cs="宋体"/>
          <w:color w:val="auto"/>
          <w:szCs w:val="21"/>
        </w:rPr>
        <w:t>2.项目经理目前未在具体项目上任项目经理的，请在备注栏说明现在负责的工作内容。若曾在其他在建合同工程中担任项目经理但已进行更换的，应附项目 发包人的同意更换证明材料，否则更换前后的项目经理均视为有“在建合同工程”。</w:t>
      </w:r>
    </w:p>
    <w:p>
      <w:pPr>
        <w:spacing w:line="320" w:lineRule="exact"/>
        <w:ind w:left="108" w:firstLine="315"/>
        <w:rPr>
          <w:rFonts w:hint="eastAsia" w:ascii="宋体" w:hAnsi="宋体" w:eastAsia="宋体" w:cs="宋体"/>
          <w:color w:val="auto"/>
          <w:szCs w:val="21"/>
        </w:rPr>
      </w:pPr>
    </w:p>
    <w:p>
      <w:pPr>
        <w:pStyle w:val="3"/>
        <w:spacing w:before="312" w:beforeLines="100" w:after="312" w:afterLines="100" w:line="360" w:lineRule="exact"/>
        <w:jc w:val="center"/>
        <w:rPr>
          <w:rFonts w:hint="eastAsia" w:ascii="宋体" w:hAnsi="宋体"/>
          <w:b w:val="0"/>
          <w:color w:val="auto"/>
          <w:sz w:val="30"/>
          <w:szCs w:val="30"/>
        </w:rPr>
      </w:pPr>
      <w:r>
        <w:rPr>
          <w:rFonts w:hint="eastAsia" w:ascii="宋体" w:hAnsi="宋体"/>
          <w:b w:val="0"/>
          <w:bCs w:val="0"/>
          <w:color w:val="auto"/>
          <w:sz w:val="28"/>
          <w:szCs w:val="28"/>
        </w:rPr>
        <w:br w:type="page"/>
      </w:r>
      <w:bookmarkStart w:id="266" w:name="_Toc193904176"/>
      <w:bookmarkStart w:id="267" w:name="_Toc234242180"/>
      <w:bookmarkStart w:id="268" w:name="_Toc14255"/>
      <w:r>
        <w:rPr>
          <w:rFonts w:hint="eastAsia" w:ascii="宋体" w:hAnsi="宋体"/>
          <w:b w:val="0"/>
          <w:color w:val="auto"/>
          <w:sz w:val="30"/>
          <w:szCs w:val="30"/>
        </w:rPr>
        <w:t>（四）财务</w:t>
      </w:r>
      <w:bookmarkEnd w:id="266"/>
      <w:bookmarkEnd w:id="267"/>
      <w:r>
        <w:rPr>
          <w:rFonts w:hint="eastAsia" w:ascii="宋体" w:hAnsi="宋体"/>
          <w:b w:val="0"/>
          <w:color w:val="auto"/>
          <w:sz w:val="30"/>
          <w:szCs w:val="30"/>
        </w:rPr>
        <w:t>要求</w:t>
      </w:r>
      <w:bookmarkEnd w:id="268"/>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银行信贷证明</w:t>
      </w:r>
    </w:p>
    <w:p>
      <w:pPr>
        <w:spacing w:line="500" w:lineRule="exact"/>
        <w:jc w:val="center"/>
        <w:rPr>
          <w:rFonts w:hint="eastAsia" w:ascii="宋体" w:hAnsi="宋体" w:eastAsia="宋体" w:cs="宋体"/>
          <w:color w:val="auto"/>
          <w:sz w:val="24"/>
        </w:rPr>
      </w:pPr>
    </w:p>
    <w:p>
      <w:pPr>
        <w:spacing w:line="500" w:lineRule="exact"/>
        <w:jc w:val="left"/>
        <w:rPr>
          <w:rFonts w:hint="eastAsia" w:ascii="宋体" w:hAnsi="宋体" w:eastAsia="宋体" w:cs="宋体"/>
          <w:color w:val="auto"/>
          <w:szCs w:val="21"/>
          <w:u w:val="single"/>
        </w:rPr>
      </w:pPr>
      <w:r>
        <w:rPr>
          <w:rFonts w:hint="eastAsia" w:ascii="宋体" w:hAnsi="宋体" w:eastAsia="宋体" w:cs="宋体"/>
          <w:color w:val="auto"/>
          <w:szCs w:val="21"/>
        </w:rPr>
        <w:t>银行名称：</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line="500" w:lineRule="exact"/>
        <w:ind w:firstLine="6240"/>
        <w:rPr>
          <w:rFonts w:hint="eastAsia" w:ascii="宋体" w:hAnsi="宋体" w:eastAsia="宋体" w:cs="宋体"/>
          <w:color w:val="auto"/>
          <w:szCs w:val="21"/>
          <w:u w:val="single"/>
        </w:rPr>
      </w:pPr>
      <w:r>
        <w:rPr>
          <w:rFonts w:hint="eastAsia" w:ascii="宋体" w:hAnsi="宋体" w:eastAsia="宋体" w:cs="宋体"/>
          <w:color w:val="auto"/>
          <w:szCs w:val="21"/>
        </w:rPr>
        <w:t xml:space="preserve">  日期：</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u w:val="single"/>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  （发包人全称）  </w:t>
      </w:r>
    </w:p>
    <w:p>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兹开具最高限额为人民币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万元的银行信贷，供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（投标人注册地点）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（投标人名称）于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日之前，在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（项目名称）需要时使用。我行保证由</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（投标人名称）提供的财务报表中所开列的作为流动资产的各项中无一项包含在上述提到的银行信贷中。</w:t>
      </w:r>
    </w:p>
    <w:p>
      <w:pPr>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此项目若未中标，该信贷证明自动失效，无需退回我行。</w:t>
      </w:r>
    </w:p>
    <w:p>
      <w:pPr>
        <w:spacing w:line="500" w:lineRule="exact"/>
        <w:rPr>
          <w:rFonts w:hint="eastAsia" w:ascii="宋体" w:hAnsi="宋体" w:eastAsia="宋体" w:cs="宋体"/>
          <w:color w:val="auto"/>
          <w:szCs w:val="21"/>
        </w:rPr>
      </w:pPr>
    </w:p>
    <w:p>
      <w:pPr>
        <w:spacing w:line="500" w:lineRule="exact"/>
        <w:rPr>
          <w:rFonts w:hint="eastAsia" w:ascii="宋体" w:hAnsi="宋体" w:eastAsia="宋体" w:cs="宋体"/>
          <w:color w:val="auto"/>
          <w:szCs w:val="21"/>
        </w:rPr>
      </w:pPr>
    </w:p>
    <w:p>
      <w:pPr>
        <w:spacing w:line="500" w:lineRule="exact"/>
        <w:rPr>
          <w:rFonts w:hint="eastAsia" w:ascii="宋体" w:hAnsi="宋体" w:eastAsia="宋体" w:cs="宋体"/>
          <w:color w:val="auto"/>
          <w:szCs w:val="21"/>
        </w:rPr>
      </w:pPr>
    </w:p>
    <w:p>
      <w:pPr>
        <w:spacing w:line="500" w:lineRule="exact"/>
        <w:ind w:firstLine="3480"/>
        <w:rPr>
          <w:rFonts w:hint="eastAsia" w:ascii="宋体" w:hAnsi="宋体" w:eastAsia="宋体" w:cs="宋体"/>
          <w:color w:val="auto"/>
          <w:szCs w:val="21"/>
          <w:u w:val="single"/>
        </w:rPr>
      </w:pPr>
      <w:r>
        <w:rPr>
          <w:rFonts w:hint="eastAsia" w:ascii="宋体" w:hAnsi="宋体" w:eastAsia="宋体" w:cs="宋体"/>
          <w:color w:val="auto"/>
          <w:spacing w:val="186"/>
          <w:kern w:val="0"/>
          <w:szCs w:val="21"/>
        </w:rPr>
        <w:t>银行（盖章</w:t>
      </w:r>
      <w:r>
        <w:rPr>
          <w:rFonts w:hint="eastAsia" w:ascii="宋体" w:hAnsi="宋体" w:eastAsia="宋体" w:cs="宋体"/>
          <w:color w:val="auto"/>
          <w:kern w:val="0"/>
          <w:szCs w:val="21"/>
        </w:rPr>
        <w:t>）</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spacing w:line="500" w:lineRule="exact"/>
        <w:ind w:firstLine="3480"/>
        <w:rPr>
          <w:rFonts w:hint="eastAsia" w:ascii="宋体" w:hAnsi="宋体" w:eastAsia="宋体" w:cs="宋体"/>
          <w:color w:val="auto"/>
          <w:szCs w:val="21"/>
          <w:u w:val="single"/>
        </w:rPr>
      </w:pPr>
      <w:r>
        <w:rPr>
          <w:rFonts w:hint="eastAsia" w:ascii="宋体" w:hAnsi="宋体" w:eastAsia="宋体" w:cs="宋体"/>
          <w:color w:val="auto"/>
          <w:spacing w:val="40"/>
          <w:kern w:val="0"/>
          <w:szCs w:val="21"/>
        </w:rPr>
        <w:t>银行主要负责人（盖章</w:t>
      </w:r>
      <w:r>
        <w:rPr>
          <w:rFonts w:hint="eastAsia" w:ascii="宋体" w:hAnsi="宋体" w:eastAsia="宋体" w:cs="宋体"/>
          <w:color w:val="auto"/>
          <w:spacing w:val="4"/>
          <w:kern w:val="0"/>
          <w:szCs w:val="21"/>
        </w:rPr>
        <w:t>）</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spacing w:line="500" w:lineRule="exact"/>
        <w:ind w:firstLine="3480"/>
        <w:rPr>
          <w:rFonts w:hint="eastAsia" w:ascii="宋体" w:hAnsi="宋体" w:eastAsia="宋体" w:cs="宋体"/>
          <w:color w:val="auto"/>
          <w:szCs w:val="21"/>
          <w:u w:val="single"/>
        </w:rPr>
      </w:pPr>
      <w:r>
        <w:rPr>
          <w:rFonts w:hint="eastAsia" w:ascii="宋体" w:hAnsi="宋体" w:eastAsia="宋体" w:cs="宋体"/>
          <w:color w:val="auto"/>
          <w:szCs w:val="21"/>
        </w:rPr>
        <w:t>银行主要负责人的姓名、职务：</w:t>
      </w:r>
      <w:r>
        <w:rPr>
          <w:rFonts w:hint="eastAsia" w:ascii="宋体" w:hAnsi="宋体" w:eastAsia="宋体" w:cs="宋体"/>
          <w:color w:val="auto"/>
          <w:szCs w:val="21"/>
          <w:u w:val="single"/>
        </w:rPr>
        <w:t xml:space="preserve">                </w:t>
      </w:r>
    </w:p>
    <w:p>
      <w:pPr>
        <w:spacing w:line="500" w:lineRule="exact"/>
        <w:ind w:firstLine="3480"/>
        <w:rPr>
          <w:rFonts w:hint="eastAsia" w:ascii="宋体" w:hAnsi="宋体" w:eastAsia="宋体" w:cs="宋体"/>
          <w:color w:val="auto"/>
          <w:szCs w:val="21"/>
          <w:u w:val="single"/>
        </w:rPr>
      </w:pPr>
      <w:r>
        <w:rPr>
          <w:rFonts w:hint="eastAsia" w:ascii="宋体" w:hAnsi="宋体" w:eastAsia="宋体" w:cs="宋体"/>
          <w:color w:val="auto"/>
          <w:spacing w:val="380"/>
          <w:kern w:val="0"/>
          <w:szCs w:val="21"/>
        </w:rPr>
        <w:t>银行电</w:t>
      </w:r>
      <w:r>
        <w:rPr>
          <w:rFonts w:hint="eastAsia" w:ascii="宋体" w:hAnsi="宋体" w:eastAsia="宋体" w:cs="宋体"/>
          <w:color w:val="auto"/>
          <w:kern w:val="0"/>
          <w:szCs w:val="21"/>
        </w:rPr>
        <w:t>话</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spacing w:line="500" w:lineRule="exact"/>
        <w:ind w:firstLine="3480"/>
        <w:rPr>
          <w:rFonts w:hint="eastAsia" w:ascii="宋体" w:hAnsi="宋体" w:eastAsia="宋体" w:cs="宋体"/>
          <w:color w:val="auto"/>
          <w:szCs w:val="21"/>
          <w:u w:val="single"/>
        </w:rPr>
      </w:pPr>
      <w:r>
        <w:rPr>
          <w:rFonts w:hint="eastAsia" w:ascii="宋体" w:hAnsi="宋体" w:eastAsia="宋体" w:cs="宋体"/>
          <w:color w:val="auto"/>
          <w:spacing w:val="380"/>
          <w:kern w:val="0"/>
          <w:szCs w:val="21"/>
        </w:rPr>
        <w:t>银行传</w:t>
      </w:r>
      <w:r>
        <w:rPr>
          <w:rFonts w:hint="eastAsia" w:ascii="宋体" w:hAnsi="宋体" w:eastAsia="宋体" w:cs="宋体"/>
          <w:color w:val="auto"/>
          <w:kern w:val="0"/>
          <w:szCs w:val="21"/>
        </w:rPr>
        <w:t>真</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注：</w:t>
      </w:r>
    </w:p>
    <w:p>
      <w:pPr>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1.允许投标人实际开具的银行信贷证明的格式与本表格式有所不同，但不得更改本信贷证明格式中的实质性内容。</w:t>
      </w:r>
    </w:p>
    <w:p>
      <w:pPr>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2.银行主要负责人应亲笔签名，不得使用印章、签名章或其他电子制版签名，否则，视为无效。</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br w:type="page"/>
      </w:r>
      <w:r>
        <w:rPr>
          <w:rFonts w:hint="eastAsia" w:ascii="宋体" w:hAnsi="宋体" w:eastAsia="宋体" w:cs="宋体"/>
          <w:b/>
          <w:color w:val="auto"/>
          <w:sz w:val="30"/>
          <w:szCs w:val="30"/>
        </w:rPr>
        <w:t>财务能力承诺书</w:t>
      </w:r>
    </w:p>
    <w:p>
      <w:pPr>
        <w:spacing w:line="480" w:lineRule="exact"/>
        <w:ind w:right="480"/>
        <w:rPr>
          <w:rFonts w:hint="eastAsia" w:ascii="宋体" w:hAnsi="宋体" w:eastAsia="宋体" w:cs="宋体"/>
          <w:color w:val="auto"/>
          <w:szCs w:val="21"/>
        </w:rPr>
      </w:pPr>
    </w:p>
    <w:p>
      <w:pPr>
        <w:spacing w:line="480" w:lineRule="exact"/>
        <w:ind w:right="480"/>
        <w:rPr>
          <w:rFonts w:hint="eastAsia"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         （发包人全称）     </w:t>
      </w:r>
    </w:p>
    <w:p>
      <w:pPr>
        <w:spacing w:line="480" w:lineRule="exact"/>
        <w:ind w:right="482" w:firstLine="420" w:firstLineChars="200"/>
        <w:rPr>
          <w:rFonts w:hint="eastAsia" w:ascii="宋体" w:hAnsi="宋体" w:eastAsia="宋体" w:cs="宋体"/>
          <w:color w:val="auto"/>
          <w:szCs w:val="21"/>
        </w:rPr>
      </w:pPr>
      <w:r>
        <w:rPr>
          <w:rFonts w:hint="eastAsia" w:ascii="宋体" w:hAnsi="宋体" w:eastAsia="宋体" w:cs="宋体"/>
          <w:color w:val="auto"/>
          <w:szCs w:val="21"/>
        </w:rPr>
        <w:t>我谨代表</w:t>
      </w:r>
      <w:r>
        <w:rPr>
          <w:rFonts w:hint="eastAsia" w:ascii="宋体" w:hAnsi="宋体" w:eastAsia="宋体" w:cs="宋体"/>
          <w:color w:val="auto"/>
          <w:szCs w:val="21"/>
          <w:u w:val="single"/>
        </w:rPr>
        <w:t xml:space="preserve"> （投标人全称）  </w:t>
      </w:r>
      <w:r>
        <w:rPr>
          <w:rFonts w:hint="eastAsia" w:ascii="宋体" w:hAnsi="宋体" w:eastAsia="宋体" w:cs="宋体"/>
          <w:color w:val="auto"/>
          <w:szCs w:val="21"/>
        </w:rPr>
        <w:t>郑重承诺：若我单位有幸在</w:t>
      </w:r>
      <w:r>
        <w:rPr>
          <w:rFonts w:hint="eastAsia" w:ascii="宋体" w:hAnsi="宋体" w:eastAsia="宋体" w:cs="宋体"/>
          <w:color w:val="auto"/>
          <w:szCs w:val="21"/>
          <w:u w:val="single"/>
        </w:rPr>
        <w:t xml:space="preserve"> （项目名称）  </w:t>
      </w:r>
      <w:r>
        <w:rPr>
          <w:rFonts w:hint="eastAsia" w:ascii="宋体" w:hAnsi="宋体" w:eastAsia="宋体" w:cs="宋体"/>
          <w:color w:val="auto"/>
          <w:szCs w:val="21"/>
        </w:rPr>
        <w:t>工程投标活动中中标，将提供人民币（大写） ______________元（￥________）的流动资金，供本工程在施工需要时使用。</w:t>
      </w:r>
    </w:p>
    <w:p>
      <w:pPr>
        <w:spacing w:line="480" w:lineRule="exact"/>
        <w:ind w:right="482" w:firstLine="420" w:firstLineChars="200"/>
        <w:rPr>
          <w:rFonts w:hint="eastAsia" w:ascii="宋体" w:hAnsi="宋体" w:eastAsia="宋体" w:cs="宋体"/>
          <w:color w:val="auto"/>
          <w:szCs w:val="21"/>
        </w:rPr>
      </w:pPr>
      <w:r>
        <w:rPr>
          <w:rFonts w:hint="eastAsia" w:ascii="宋体" w:hAnsi="宋体" w:eastAsia="宋体" w:cs="宋体"/>
          <w:color w:val="auto"/>
          <w:szCs w:val="21"/>
        </w:rPr>
        <w:t>特此承诺。</w:t>
      </w:r>
    </w:p>
    <w:p>
      <w:pPr>
        <w:spacing w:line="480" w:lineRule="exact"/>
        <w:ind w:right="480"/>
        <w:rPr>
          <w:rFonts w:hint="eastAsia" w:ascii="宋体" w:hAnsi="宋体" w:eastAsia="宋体" w:cs="宋体"/>
          <w:color w:val="auto"/>
          <w:szCs w:val="21"/>
        </w:rPr>
      </w:pPr>
    </w:p>
    <w:p>
      <w:pPr>
        <w:spacing w:line="480" w:lineRule="exact"/>
        <w:ind w:right="480"/>
        <w:rPr>
          <w:rFonts w:hint="eastAsia" w:ascii="宋体" w:hAnsi="宋体" w:eastAsia="宋体" w:cs="宋体"/>
          <w:color w:val="auto"/>
          <w:szCs w:val="21"/>
        </w:rPr>
      </w:pPr>
    </w:p>
    <w:p>
      <w:pPr>
        <w:spacing w:line="480" w:lineRule="exact"/>
        <w:ind w:right="480"/>
        <w:jc w:val="right"/>
        <w:rPr>
          <w:rFonts w:hint="eastAsia" w:ascii="宋体" w:hAnsi="宋体" w:eastAsia="宋体" w:cs="宋体"/>
          <w:color w:val="auto"/>
          <w:szCs w:val="21"/>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（盖章）</w:t>
      </w:r>
    </w:p>
    <w:p>
      <w:pPr>
        <w:spacing w:line="480" w:lineRule="exact"/>
        <w:ind w:right="480"/>
        <w:jc w:val="right"/>
        <w:rPr>
          <w:rFonts w:hint="eastAsia" w:ascii="宋体" w:hAnsi="宋体" w:eastAsia="宋体" w:cs="宋体"/>
          <w:color w:val="auto"/>
          <w:szCs w:val="21"/>
        </w:rPr>
      </w:pPr>
      <w:r>
        <w:rPr>
          <w:rFonts w:hint="eastAsia" w:ascii="宋体" w:hAnsi="宋体" w:eastAsia="宋体" w:cs="宋体"/>
          <w:color w:val="auto"/>
          <w:szCs w:val="21"/>
        </w:rPr>
        <w:t>法定代表人或其委托代理人：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（盖章）</w:t>
      </w:r>
    </w:p>
    <w:p>
      <w:pPr>
        <w:spacing w:line="400" w:lineRule="exact"/>
        <w:ind w:right="480"/>
        <w:jc w:val="right"/>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400" w:lineRule="exact"/>
        <w:ind w:right="480"/>
        <w:rPr>
          <w:rFonts w:hint="eastAsia" w:ascii="宋体" w:hAnsi="宋体" w:eastAsia="宋体" w:cs="宋体"/>
          <w:color w:val="auto"/>
          <w:szCs w:val="21"/>
        </w:rPr>
      </w:pPr>
    </w:p>
    <w:p>
      <w:pPr>
        <w:spacing w:line="400" w:lineRule="exact"/>
        <w:ind w:right="480"/>
        <w:rPr>
          <w:rFonts w:hint="eastAsia" w:ascii="宋体" w:hAnsi="宋体" w:eastAsia="宋体" w:cs="宋体"/>
          <w:color w:val="auto"/>
          <w:szCs w:val="21"/>
        </w:rPr>
      </w:pPr>
    </w:p>
    <w:p>
      <w:pPr>
        <w:spacing w:line="400" w:lineRule="exact"/>
        <w:ind w:right="480"/>
        <w:rPr>
          <w:rFonts w:hint="eastAsia" w:ascii="宋体" w:hAnsi="宋体" w:eastAsia="宋体" w:cs="宋体"/>
          <w:color w:val="auto"/>
          <w:szCs w:val="21"/>
        </w:rPr>
      </w:pPr>
    </w:p>
    <w:p>
      <w:pPr>
        <w:spacing w:line="360" w:lineRule="auto"/>
        <w:jc w:val="left"/>
        <w:rPr>
          <w:rFonts w:hint="eastAsia" w:ascii="宋体" w:hAnsi="宋体" w:eastAsia="宋体" w:cs="宋体"/>
          <w:color w:val="auto"/>
          <w:spacing w:val="-6"/>
          <w:szCs w:val="21"/>
        </w:rPr>
      </w:pPr>
    </w:p>
    <w:p>
      <w:pPr>
        <w:pStyle w:val="3"/>
        <w:spacing w:before="240" w:after="240" w:line="240" w:lineRule="auto"/>
        <w:jc w:val="center"/>
        <w:rPr>
          <w:rFonts w:hint="eastAsia" w:ascii="宋体" w:hAnsi="宋体"/>
          <w:b w:val="0"/>
          <w:color w:val="auto"/>
          <w:sz w:val="30"/>
          <w:szCs w:val="30"/>
        </w:rPr>
      </w:pPr>
      <w:r>
        <w:rPr>
          <w:rFonts w:hint="eastAsia" w:ascii="宋体" w:hAnsi="宋体"/>
          <w:b w:val="0"/>
          <w:bCs w:val="0"/>
          <w:color w:val="auto"/>
          <w:szCs w:val="21"/>
        </w:rPr>
        <w:br w:type="page"/>
      </w:r>
      <w:bookmarkStart w:id="269" w:name="_Toc2494"/>
      <w:r>
        <w:rPr>
          <w:rFonts w:hint="eastAsia" w:ascii="宋体" w:hAnsi="宋体"/>
          <w:b w:val="0"/>
          <w:color w:val="auto"/>
          <w:sz w:val="30"/>
          <w:szCs w:val="30"/>
        </w:rPr>
        <w:t>（五）诚信信息系统一览表</w:t>
      </w:r>
      <w:bookmarkEnd w:id="269"/>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28"/>
        <w:gridCol w:w="1843"/>
        <w:gridCol w:w="2126"/>
        <w:gridCol w:w="2127"/>
        <w:gridCol w:w="16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1928"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投标人全称</w:t>
            </w:r>
          </w:p>
        </w:tc>
        <w:tc>
          <w:tcPr>
            <w:tcW w:w="7711" w:type="dxa"/>
            <w:gridSpan w:val="4"/>
            <w:tcBorders>
              <w:top w:val="single" w:color="auto" w:sz="12"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1928"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企业主项资质</w:t>
            </w:r>
          </w:p>
        </w:tc>
        <w:tc>
          <w:tcPr>
            <w:tcW w:w="7711" w:type="dxa"/>
            <w:gridSpan w:val="4"/>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5897" w:type="dxa"/>
            <w:gridSpan w:val="3"/>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rPr>
              <w:t>浙江省交通运输厅最近一年的信用评价结果</w:t>
            </w:r>
          </w:p>
        </w:tc>
        <w:tc>
          <w:tcPr>
            <w:tcW w:w="3742" w:type="dxa"/>
            <w:gridSpan w:val="2"/>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rPr>
              <w:t>（填AA、A、B、C、D或未参加）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5897" w:type="dxa"/>
            <w:gridSpan w:val="3"/>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20</w:t>
            </w:r>
            <w:r>
              <w:rPr>
                <w:rFonts w:hint="eastAsia" w:ascii="宋体" w:hAnsi="宋体" w:eastAsia="宋体" w:cs="宋体"/>
                <w:color w:val="auto"/>
                <w:szCs w:val="21"/>
                <w:lang w:val="en-US" w:eastAsia="zh-CN"/>
              </w:rPr>
              <w:t>19</w:t>
            </w:r>
            <w:r>
              <w:rPr>
                <w:rFonts w:hint="eastAsia" w:ascii="宋体" w:hAnsi="宋体" w:eastAsia="宋体" w:cs="宋体"/>
                <w:color w:val="auto"/>
                <w:szCs w:val="21"/>
              </w:rPr>
              <w:t>年度</w:t>
            </w:r>
          </w:p>
        </w:tc>
        <w:tc>
          <w:tcPr>
            <w:tcW w:w="3742"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5897" w:type="dxa"/>
            <w:gridSpan w:val="3"/>
            <w:tcBorders>
              <w:top w:val="single" w:color="auto" w:sz="6" w:space="0"/>
              <w:left w:val="single" w:color="auto" w:sz="12" w:space="0"/>
              <w:bottom w:val="single" w:color="auto" w:sz="6" w:space="0"/>
              <w:right w:val="single" w:color="auto" w:sz="6" w:space="0"/>
            </w:tcBorders>
            <w:vAlign w:val="center"/>
          </w:tcPr>
          <w:p>
            <w:pPr>
              <w:spacing w:line="360" w:lineRule="exact"/>
              <w:ind w:firstLine="420" w:firstLineChars="200"/>
              <w:jc w:val="left"/>
              <w:rPr>
                <w:rFonts w:ascii="宋体" w:hAnsi="宋体" w:eastAsia="宋体" w:cs="宋体"/>
                <w:color w:val="auto"/>
                <w:szCs w:val="21"/>
              </w:rPr>
            </w:pPr>
            <w:r>
              <w:rPr>
                <w:rFonts w:hint="eastAsia" w:ascii="宋体" w:hAnsi="宋体" w:eastAsia="宋体" w:cs="宋体"/>
                <w:color w:val="auto"/>
              </w:rPr>
              <w:t>本次投标是否选择使用</w:t>
            </w:r>
            <w:r>
              <w:rPr>
                <w:rFonts w:hint="eastAsia" w:ascii="宋体" w:hAnsi="宋体" w:eastAsia="宋体" w:cs="宋体"/>
                <w:b/>
                <w:color w:val="auto"/>
                <w:szCs w:val="21"/>
              </w:rPr>
              <w:t>浙江省交通运输厅公布20</w:t>
            </w:r>
            <w:r>
              <w:rPr>
                <w:rFonts w:hint="eastAsia" w:ascii="宋体" w:hAnsi="宋体" w:eastAsia="宋体" w:cs="宋体"/>
                <w:b/>
                <w:color w:val="auto"/>
                <w:szCs w:val="21"/>
                <w:lang w:val="en-US" w:eastAsia="zh-CN"/>
              </w:rPr>
              <w:t>19</w:t>
            </w:r>
            <w:r>
              <w:rPr>
                <w:rFonts w:hint="eastAsia" w:ascii="宋体" w:hAnsi="宋体" w:eastAsia="宋体" w:cs="宋体"/>
                <w:b/>
                <w:color w:val="auto"/>
                <w:szCs w:val="21"/>
              </w:rPr>
              <w:t>年信用评价AA、A级信用等级得分</w:t>
            </w:r>
          </w:p>
        </w:tc>
        <w:tc>
          <w:tcPr>
            <w:tcW w:w="3742" w:type="dxa"/>
            <w:gridSpan w:val="2"/>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rPr>
              <w:t>（使用或不使用）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9639" w:type="dxa"/>
            <w:gridSpan w:val="5"/>
            <w:tcBorders>
              <w:top w:val="single" w:color="auto" w:sz="6" w:space="0"/>
              <w:left w:val="single" w:color="auto" w:sz="12" w:space="0"/>
              <w:bottom w:val="single" w:color="auto" w:sz="6" w:space="0"/>
              <w:right w:val="single" w:color="auto" w:sz="12"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在浙江省交通建设市场诚信信息系统中，投标人拟委任主要人员信息公开情况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3771"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人员</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姓名</w:t>
            </w:r>
          </w:p>
        </w:tc>
        <w:tc>
          <w:tcPr>
            <w:tcW w:w="212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是否在信息系统中公开（填是或否）</w:t>
            </w:r>
          </w:p>
        </w:tc>
        <w:tc>
          <w:tcPr>
            <w:tcW w:w="161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3771"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项目经理</w:t>
            </w:r>
          </w:p>
          <w:p>
            <w:pPr>
              <w:jc w:val="center"/>
              <w:rPr>
                <w:rFonts w:ascii="宋体" w:hAnsi="宋体" w:eastAsia="宋体" w:cs="宋体"/>
                <w:color w:val="auto"/>
                <w:szCs w:val="21"/>
              </w:rPr>
            </w:pPr>
            <w:r>
              <w:rPr>
                <w:rFonts w:hint="eastAsia" w:ascii="宋体" w:hAnsi="宋体" w:eastAsia="宋体" w:cs="宋体"/>
                <w:color w:val="auto"/>
                <w:szCs w:val="21"/>
              </w:rPr>
              <w:t>（职称证信息、 安全生产考核合格证书（ B类）信息）</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212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auto"/>
                <w:szCs w:val="21"/>
              </w:rPr>
            </w:pPr>
          </w:p>
        </w:tc>
        <w:tc>
          <w:tcPr>
            <w:tcW w:w="1615" w:type="dxa"/>
            <w:vMerge w:val="restart"/>
            <w:tcBorders>
              <w:top w:val="single" w:color="auto" w:sz="6" w:space="0"/>
              <w:left w:val="single" w:color="auto" w:sz="6" w:space="0"/>
              <w:bottom w:val="single" w:color="auto" w:sz="12" w:space="0"/>
              <w:right w:val="single" w:color="auto" w:sz="12"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本表后附查询结果打印件，未按要求填写或未附打印件的，相关内容视为未公开。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3771" w:type="dxa"/>
            <w:gridSpan w:val="2"/>
            <w:tcBorders>
              <w:top w:val="single" w:color="auto" w:sz="6" w:space="0"/>
              <w:left w:val="single" w:color="auto" w:sz="12" w:space="0"/>
              <w:bottom w:val="single" w:color="auto" w:sz="12" w:space="0"/>
              <w:right w:val="single" w:color="auto" w:sz="6"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项目总工</w:t>
            </w:r>
          </w:p>
          <w:p>
            <w:pPr>
              <w:jc w:val="center"/>
              <w:rPr>
                <w:rFonts w:ascii="宋体" w:hAnsi="宋体" w:eastAsia="宋体" w:cs="宋体"/>
                <w:color w:val="auto"/>
                <w:szCs w:val="21"/>
              </w:rPr>
            </w:pPr>
            <w:r>
              <w:rPr>
                <w:rFonts w:hint="eastAsia" w:ascii="宋体" w:hAnsi="宋体" w:eastAsia="宋体" w:cs="宋体"/>
                <w:color w:val="auto"/>
                <w:szCs w:val="21"/>
              </w:rPr>
              <w:t>（职称证信息、 安全生产考核合格证书（ B类）信息）</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eastAsia="宋体" w:cs="宋体"/>
                <w:color w:val="auto"/>
                <w:szCs w:val="21"/>
              </w:rPr>
            </w:pPr>
          </w:p>
        </w:tc>
        <w:tc>
          <w:tcPr>
            <w:tcW w:w="212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eastAsia="宋体" w:cs="宋体"/>
                <w:color w:val="auto"/>
                <w:szCs w:val="21"/>
              </w:rPr>
            </w:pPr>
          </w:p>
        </w:tc>
        <w:tc>
          <w:tcPr>
            <w:tcW w:w="1615" w:type="dxa"/>
            <w:vMerge w:val="continue"/>
            <w:tcBorders>
              <w:top w:val="single" w:color="auto" w:sz="6" w:space="0"/>
              <w:left w:val="single" w:color="auto" w:sz="6" w:space="0"/>
              <w:bottom w:val="single" w:color="auto" w:sz="12" w:space="0"/>
              <w:right w:val="single" w:color="auto" w:sz="12" w:space="0"/>
            </w:tcBorders>
            <w:vAlign w:val="center"/>
          </w:tcPr>
          <w:p>
            <w:pPr>
              <w:widowControl/>
              <w:jc w:val="left"/>
              <w:rPr>
                <w:rFonts w:ascii="宋体" w:hAnsi="宋体" w:eastAsia="宋体" w:cs="宋体"/>
                <w:color w:val="auto"/>
                <w:szCs w:val="21"/>
              </w:rPr>
            </w:pPr>
          </w:p>
        </w:tc>
      </w:tr>
    </w:tbl>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3"/>
        <w:spacing w:before="312" w:beforeLines="100" w:after="312" w:afterLines="100" w:line="360" w:lineRule="exact"/>
        <w:jc w:val="center"/>
        <w:rPr>
          <w:rFonts w:hint="eastAsia" w:ascii="宋体" w:hAnsi="宋体"/>
          <w:b w:val="0"/>
          <w:color w:val="auto"/>
          <w:sz w:val="30"/>
          <w:szCs w:val="30"/>
        </w:rPr>
      </w:pPr>
    </w:p>
    <w:p>
      <w:pPr>
        <w:pStyle w:val="3"/>
        <w:spacing w:before="312" w:beforeLines="100" w:after="312" w:afterLines="100" w:line="360" w:lineRule="exact"/>
        <w:jc w:val="center"/>
        <w:rPr>
          <w:rFonts w:hint="eastAsia" w:ascii="宋体" w:hAnsi="宋体"/>
          <w:b w:val="0"/>
          <w:color w:val="auto"/>
          <w:sz w:val="30"/>
          <w:szCs w:val="30"/>
        </w:rPr>
      </w:pPr>
      <w:bookmarkStart w:id="270" w:name="_Toc9933"/>
      <w:r>
        <w:rPr>
          <w:rFonts w:hint="eastAsia" w:ascii="宋体" w:hAnsi="宋体"/>
          <w:b w:val="0"/>
          <w:color w:val="auto"/>
          <w:sz w:val="30"/>
          <w:szCs w:val="30"/>
        </w:rPr>
        <w:t>（六）履约行为表</w:t>
      </w:r>
      <w:bookmarkEnd w:id="270"/>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9639" w:type="dxa"/>
            <w:gridSpan w:val="2"/>
            <w:tcBorders>
              <w:top w:val="single" w:color="auto" w:sz="12" w:space="0"/>
              <w:left w:val="single" w:color="auto" w:sz="12" w:space="0"/>
              <w:bottom w:val="single" w:color="auto" w:sz="6" w:space="0"/>
              <w:right w:val="single" w:color="auto" w:sz="12"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投 标 人 应 如 实 填 写 下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65" w:hRule="atLeast"/>
          <w:jc w:val="center"/>
        </w:trPr>
        <w:tc>
          <w:tcPr>
            <w:tcW w:w="4819" w:type="dxa"/>
            <w:tcBorders>
              <w:top w:val="single" w:color="auto" w:sz="6" w:space="0"/>
              <w:left w:val="single" w:color="auto" w:sz="12" w:space="0"/>
              <w:bottom w:val="single" w:color="auto" w:sz="12" w:space="0"/>
              <w:right w:val="single" w:color="auto" w:sz="6" w:space="0"/>
            </w:tcBorders>
          </w:tcPr>
          <w:p>
            <w:pPr>
              <w:spacing w:line="440" w:lineRule="exact"/>
              <w:ind w:firstLine="420" w:firstLineChars="200"/>
              <w:rPr>
                <w:rFonts w:ascii="宋体" w:hAnsi="宋体" w:eastAsia="宋体" w:cs="宋体"/>
                <w:color w:val="auto"/>
                <w:szCs w:val="21"/>
              </w:rPr>
            </w:pPr>
            <w:r>
              <w:rPr>
                <w:rFonts w:hint="eastAsia" w:ascii="宋体" w:hAnsi="宋体" w:eastAsia="宋体" w:cs="宋体"/>
                <w:color w:val="auto"/>
                <w:szCs w:val="21"/>
              </w:rPr>
              <w:t>投标人应如实填写下列内容：</w:t>
            </w:r>
          </w:p>
          <w:p>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1、近一年（ _</w:t>
            </w:r>
            <w:r>
              <w:rPr>
                <w:rFonts w:hint="eastAsia" w:ascii="宋体" w:hAnsi="宋体" w:eastAsia="宋体" w:cs="宋体"/>
                <w:color w:val="auto"/>
                <w:szCs w:val="21"/>
                <w:u w:val="single"/>
              </w:rPr>
              <w:t>20</w:t>
            </w:r>
            <w:r>
              <w:rPr>
                <w:rFonts w:hint="eastAsia" w:ascii="宋体" w:hAnsi="宋体" w:eastAsia="宋体" w:cs="宋体"/>
                <w:color w:val="auto"/>
                <w:szCs w:val="21"/>
                <w:u w:val="single"/>
                <w:lang w:val="en-US" w:eastAsia="zh-CN"/>
              </w:rPr>
              <w:t>20</w:t>
            </w:r>
            <w:r>
              <w:rPr>
                <w:rFonts w:hint="eastAsia" w:ascii="宋体" w:hAnsi="宋体" w:eastAsia="宋体" w:cs="宋体"/>
                <w:color w:val="auto"/>
                <w:szCs w:val="21"/>
              </w:rPr>
              <w:t>年</w:t>
            </w:r>
            <w:r>
              <w:rPr>
                <w:rFonts w:hint="eastAsia" w:ascii="宋体" w:hAnsi="宋体" w:eastAsia="宋体" w:cs="宋体"/>
                <w:color w:val="auto"/>
                <w:szCs w:val="21"/>
                <w:u w:val="single"/>
                <w:lang w:val="en-US" w:eastAsia="zh-CN"/>
              </w:rPr>
              <w:t>1</w:t>
            </w:r>
            <w:r>
              <w:rPr>
                <w:rFonts w:hint="eastAsia" w:ascii="宋体" w:hAnsi="宋体" w:eastAsia="宋体" w:cs="宋体"/>
                <w:color w:val="auto"/>
                <w:szCs w:val="21"/>
              </w:rPr>
              <w:t xml:space="preserve">月 </w:t>
            </w:r>
            <w:r>
              <w:rPr>
                <w:rFonts w:hint="eastAsia" w:ascii="宋体" w:hAnsi="宋体" w:eastAsia="宋体" w:cs="宋体"/>
                <w:color w:val="auto"/>
                <w:szCs w:val="21"/>
                <w:u w:val="single"/>
              </w:rPr>
              <w:t>_1_</w:t>
            </w:r>
            <w:r>
              <w:rPr>
                <w:rFonts w:hint="eastAsia" w:ascii="宋体" w:hAnsi="宋体" w:eastAsia="宋体" w:cs="宋体"/>
                <w:color w:val="auto"/>
                <w:szCs w:val="21"/>
              </w:rPr>
              <w:t>日以来），有无被交通运输部、浙江省交通运输厅、浙江省发改委三部门以外的省级及以上单位（部门）书面通报，被限制投标，并在处罚期内的；</w:t>
            </w:r>
          </w:p>
          <w:p>
            <w:pPr>
              <w:spacing w:line="440" w:lineRule="exact"/>
              <w:ind w:firstLine="420" w:firstLineChars="200"/>
              <w:rPr>
                <w:rFonts w:ascii="宋体" w:hAnsi="宋体" w:eastAsia="宋体" w:cs="宋体"/>
                <w:color w:val="auto"/>
                <w:szCs w:val="21"/>
              </w:rPr>
            </w:pPr>
            <w:r>
              <w:rPr>
                <w:rFonts w:hint="eastAsia" w:ascii="宋体" w:hAnsi="宋体" w:eastAsia="宋体" w:cs="宋体"/>
                <w:color w:val="auto"/>
                <w:szCs w:val="21"/>
              </w:rPr>
              <w:t>2、近三年（201</w:t>
            </w:r>
            <w:r>
              <w:rPr>
                <w:rFonts w:hint="eastAsia" w:ascii="宋体" w:hAnsi="宋体" w:eastAsia="宋体" w:cs="宋体"/>
                <w:color w:val="auto"/>
                <w:szCs w:val="21"/>
                <w:lang w:val="en-US" w:eastAsia="zh-CN"/>
              </w:rPr>
              <w:t>9</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w:t>
            </w:r>
            <w:r>
              <w:rPr>
                <w:rFonts w:hint="eastAsia" w:ascii="宋体" w:hAnsi="宋体" w:eastAsia="宋体" w:cs="宋体"/>
                <w:color w:val="auto"/>
                <w:szCs w:val="21"/>
              </w:rPr>
              <w:t>月1日以来），投标人及拟委任的项目经理在工程建设领域中，有行贿受贿行为构成犯罪（以中国裁判文书网查询结果为准）或未构成犯罪的。</w:t>
            </w:r>
          </w:p>
        </w:tc>
        <w:tc>
          <w:tcPr>
            <w:tcW w:w="4820" w:type="dxa"/>
            <w:tcBorders>
              <w:top w:val="single" w:color="auto" w:sz="6" w:space="0"/>
              <w:left w:val="single" w:color="auto" w:sz="6" w:space="0"/>
              <w:bottom w:val="single" w:color="auto" w:sz="12" w:space="0"/>
              <w:right w:val="single" w:color="auto" w:sz="12" w:space="0"/>
            </w:tcBorders>
          </w:tcPr>
          <w:p>
            <w:pPr>
              <w:spacing w:line="440" w:lineRule="exact"/>
              <w:ind w:firstLine="420" w:firstLineChars="200"/>
              <w:jc w:val="center"/>
              <w:rPr>
                <w:rFonts w:ascii="宋体" w:hAnsi="宋体" w:eastAsia="宋体" w:cs="宋体"/>
                <w:color w:val="auto"/>
                <w:szCs w:val="21"/>
              </w:rPr>
            </w:pPr>
          </w:p>
        </w:tc>
      </w:tr>
    </w:tbl>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br w:type="page"/>
      </w:r>
    </w:p>
    <w:p>
      <w:pPr>
        <w:pStyle w:val="3"/>
        <w:spacing w:before="312" w:beforeLines="100" w:after="468" w:afterLines="150" w:line="360" w:lineRule="exact"/>
        <w:jc w:val="center"/>
        <w:rPr>
          <w:rFonts w:hint="eastAsia" w:ascii="宋体" w:hAnsi="宋体"/>
          <w:b w:val="0"/>
          <w:color w:val="auto"/>
          <w:sz w:val="30"/>
          <w:szCs w:val="30"/>
        </w:rPr>
      </w:pPr>
      <w:bookmarkStart w:id="271" w:name="_Toc8862"/>
      <w:r>
        <w:rPr>
          <w:rFonts w:hint="eastAsia" w:ascii="宋体" w:hAnsi="宋体"/>
          <w:b w:val="0"/>
          <w:color w:val="auto"/>
          <w:sz w:val="30"/>
          <w:szCs w:val="30"/>
        </w:rPr>
        <w:t>八、承  诺  函</w:t>
      </w:r>
      <w:bookmarkEnd w:id="271"/>
    </w:p>
    <w:p>
      <w:pPr>
        <w:spacing w:before="240" w:after="240" w:line="500" w:lineRule="exact"/>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（发包人名称）：</w:t>
      </w:r>
    </w:p>
    <w:p>
      <w:pPr>
        <w:pStyle w:val="2"/>
        <w:tabs>
          <w:tab w:val="left" w:pos="2024"/>
          <w:tab w:val="left" w:pos="3915"/>
        </w:tabs>
        <w:spacing w:after="0" w:line="480" w:lineRule="auto"/>
        <w:ind w:left="420" w:leftChars="200" w:right="420" w:rightChars="200" w:firstLine="420" w:firstLineChars="200"/>
        <w:jc w:val="center"/>
        <w:rPr>
          <w:rFonts w:hint="eastAsia"/>
          <w:color w:val="auto"/>
          <w:sz w:val="12"/>
        </w:rPr>
      </w:pPr>
      <w:r>
        <w:rPr>
          <w:rFonts w:hint="eastAsia"/>
          <w:color w:val="auto"/>
        </w:rPr>
        <w:t>我方</w:t>
      </w:r>
      <w:r>
        <w:rPr>
          <w:rFonts w:hint="eastAsia"/>
          <w:color w:val="auto"/>
          <w:spacing w:val="-3"/>
        </w:rPr>
        <w:t>参</w:t>
      </w:r>
      <w:r>
        <w:rPr>
          <w:rFonts w:hint="eastAsia"/>
          <w:color w:val="auto"/>
        </w:rPr>
        <w:t>加</w:t>
      </w:r>
      <w:r>
        <w:rPr>
          <w:rFonts w:hint="eastAsia"/>
          <w:color w:val="auto"/>
          <w:spacing w:val="-3"/>
        </w:rPr>
        <w:t>了</w:t>
      </w:r>
      <w:r>
        <w:rPr>
          <w:color w:val="auto"/>
          <w:spacing w:val="-3"/>
          <w:u w:val="single"/>
        </w:rPr>
        <w:t xml:space="preserve"> </w:t>
      </w:r>
      <w:r>
        <w:rPr>
          <w:color w:val="auto"/>
          <w:spacing w:val="-3"/>
          <w:u w:val="single"/>
        </w:rPr>
        <w:tab/>
      </w:r>
      <w:r>
        <w:rPr>
          <w:rFonts w:hint="eastAsia"/>
          <w:color w:val="auto"/>
        </w:rPr>
        <w:t>（</w:t>
      </w:r>
      <w:r>
        <w:rPr>
          <w:rFonts w:hint="eastAsia"/>
          <w:color w:val="auto"/>
          <w:spacing w:val="-3"/>
        </w:rPr>
        <w:t>项目</w:t>
      </w:r>
      <w:r>
        <w:rPr>
          <w:rFonts w:hint="eastAsia"/>
          <w:color w:val="auto"/>
        </w:rPr>
        <w:t>名称</w:t>
      </w:r>
      <w:r>
        <w:rPr>
          <w:rFonts w:hint="eastAsia"/>
          <w:color w:val="auto"/>
          <w:spacing w:val="-3"/>
        </w:rPr>
        <w:t>）</w:t>
      </w:r>
      <w:r>
        <w:rPr>
          <w:color w:val="auto"/>
          <w:spacing w:val="-3"/>
          <w:u w:val="single"/>
        </w:rPr>
        <w:t xml:space="preserve"> </w:t>
      </w:r>
      <w:r>
        <w:rPr>
          <w:color w:val="auto"/>
          <w:spacing w:val="-3"/>
          <w:u w:val="single"/>
        </w:rPr>
        <w:tab/>
      </w:r>
      <w:r>
        <w:rPr>
          <w:rFonts w:hint="eastAsia"/>
          <w:color w:val="auto"/>
          <w:spacing w:val="-3"/>
        </w:rPr>
        <w:t>标</w:t>
      </w:r>
      <w:r>
        <w:rPr>
          <w:rFonts w:hint="eastAsia"/>
          <w:color w:val="auto"/>
        </w:rPr>
        <w:t>段</w:t>
      </w:r>
      <w:r>
        <w:rPr>
          <w:rFonts w:hint="eastAsia"/>
          <w:color w:val="auto"/>
          <w:spacing w:val="-3"/>
        </w:rPr>
        <w:t>施</w:t>
      </w:r>
      <w:r>
        <w:rPr>
          <w:rFonts w:hint="eastAsia"/>
          <w:color w:val="auto"/>
        </w:rPr>
        <w:t>工</w:t>
      </w:r>
      <w:r>
        <w:rPr>
          <w:rFonts w:hint="eastAsia"/>
          <w:color w:val="auto"/>
          <w:spacing w:val="-3"/>
        </w:rPr>
        <w:t>投</w:t>
      </w:r>
      <w:r>
        <w:rPr>
          <w:rFonts w:hint="eastAsia"/>
          <w:color w:val="auto"/>
        </w:rPr>
        <w:t>标，</w:t>
      </w:r>
      <w:r>
        <w:rPr>
          <w:rFonts w:hint="eastAsia"/>
          <w:color w:val="auto"/>
          <w:spacing w:val="-3"/>
        </w:rPr>
        <w:t>若</w:t>
      </w:r>
      <w:r>
        <w:rPr>
          <w:rFonts w:hint="eastAsia"/>
          <w:color w:val="auto"/>
        </w:rPr>
        <w:t>我</w:t>
      </w:r>
      <w:r>
        <w:rPr>
          <w:rFonts w:hint="eastAsia"/>
          <w:color w:val="auto"/>
          <w:spacing w:val="-3"/>
        </w:rPr>
        <w:t>方</w:t>
      </w:r>
      <w:r>
        <w:rPr>
          <w:rFonts w:hint="eastAsia"/>
          <w:color w:val="auto"/>
        </w:rPr>
        <w:t>中</w:t>
      </w:r>
      <w:r>
        <w:rPr>
          <w:rFonts w:hint="eastAsia"/>
          <w:color w:val="auto"/>
          <w:spacing w:val="-3"/>
        </w:rPr>
        <w:t>标</w:t>
      </w:r>
      <w:r>
        <w:rPr>
          <w:rFonts w:hint="eastAsia"/>
          <w:color w:val="auto"/>
        </w:rPr>
        <w:t>，</w:t>
      </w:r>
      <w:r>
        <w:rPr>
          <w:rFonts w:hint="eastAsia"/>
          <w:color w:val="auto"/>
          <w:spacing w:val="-3"/>
        </w:rPr>
        <w:t>我</w:t>
      </w:r>
      <w:r>
        <w:rPr>
          <w:rFonts w:hint="eastAsia"/>
          <w:color w:val="auto"/>
        </w:rPr>
        <w:t>方</w:t>
      </w:r>
      <w:r>
        <w:rPr>
          <w:rFonts w:hint="eastAsia"/>
          <w:color w:val="auto"/>
          <w:spacing w:val="-3"/>
        </w:rPr>
        <w:t>在</w:t>
      </w:r>
      <w:r>
        <w:rPr>
          <w:rFonts w:hint="eastAsia"/>
          <w:color w:val="auto"/>
        </w:rPr>
        <w:t>此承</w:t>
      </w:r>
      <w:r>
        <w:rPr>
          <w:rFonts w:hint="eastAsia"/>
          <w:color w:val="auto"/>
          <w:spacing w:val="-3"/>
        </w:rPr>
        <w:t>诺</w:t>
      </w:r>
      <w:r>
        <w:rPr>
          <w:rFonts w:hint="eastAsia"/>
          <w:color w:val="auto"/>
        </w:rPr>
        <w:t>：</w:t>
      </w:r>
    </w:p>
    <w:p>
      <w:pPr>
        <w:spacing w:line="480" w:lineRule="auto"/>
        <w:ind w:left="420" w:leftChars="200" w:right="420" w:rightChars="200" w:firstLine="380" w:firstLineChars="200"/>
        <w:rPr>
          <w:color w:val="auto"/>
          <w:spacing w:val="-10"/>
        </w:rPr>
      </w:pPr>
      <w:r>
        <w:rPr>
          <w:rFonts w:hint="eastAsia"/>
          <w:color w:val="auto"/>
          <w:spacing w:val="-10"/>
        </w:rPr>
        <w:t>若本项目资格预审文件或招标文件未要求我方在资格预审申请文件或投标文件中填报派驻本标段的其他主要管理人员和技术人员及主要机械设备和试验检测设备，在发包人向我方发出中标通知书之前，我方将按照合同附件提出的最低要求填报派驻本标段的其他主要管理人员和技术人员及主要机械设备和试验检测设备，在经发包人审批后作为派驻本标段的项目管理机构主要人员和主要设备且不进行更换。</w:t>
      </w:r>
    </w:p>
    <w:p>
      <w:pPr>
        <w:spacing w:line="480" w:lineRule="auto"/>
        <w:ind w:left="420" w:leftChars="200" w:right="420" w:rightChars="200" w:firstLine="380" w:firstLineChars="200"/>
        <w:rPr>
          <w:color w:val="auto"/>
          <w:spacing w:val="-10"/>
        </w:rPr>
      </w:pPr>
      <w:r>
        <w:rPr>
          <w:rFonts w:hint="eastAsia"/>
          <w:color w:val="auto"/>
          <w:spacing w:val="-10"/>
        </w:rPr>
        <w:t>我方承诺：</w:t>
      </w:r>
      <w:r>
        <w:rPr>
          <w:color w:val="auto"/>
          <w:spacing w:val="-10"/>
        </w:rPr>
        <w:t>1</w:t>
      </w:r>
      <w:r>
        <w:rPr>
          <w:rFonts w:hint="eastAsia"/>
          <w:color w:val="auto"/>
          <w:spacing w:val="-10"/>
        </w:rPr>
        <w:t>、不存在串通投标行为；</w:t>
      </w:r>
      <w:r>
        <w:rPr>
          <w:color w:val="auto"/>
          <w:spacing w:val="-10"/>
        </w:rPr>
        <w:t>2</w:t>
      </w:r>
      <w:r>
        <w:rPr>
          <w:rFonts w:hint="eastAsia"/>
          <w:color w:val="auto"/>
          <w:spacing w:val="-10"/>
        </w:rPr>
        <w:t>、不存在他人以本公司名义投标或者不存在以其他方式弄虚作假的行为；</w:t>
      </w:r>
      <w:r>
        <w:rPr>
          <w:color w:val="auto"/>
          <w:spacing w:val="-10"/>
        </w:rPr>
        <w:t>3</w:t>
      </w:r>
      <w:r>
        <w:rPr>
          <w:rFonts w:hint="eastAsia"/>
          <w:color w:val="auto"/>
          <w:spacing w:val="-10"/>
        </w:rPr>
        <w:t>、不存在向招标人或者评标委员会成员行贿以牟取中标的行为；</w:t>
      </w:r>
      <w:r>
        <w:rPr>
          <w:color w:val="auto"/>
          <w:spacing w:val="-10"/>
        </w:rPr>
        <w:t>4</w:t>
      </w:r>
      <w:r>
        <w:rPr>
          <w:rFonts w:hint="eastAsia"/>
          <w:color w:val="auto"/>
          <w:spacing w:val="-10"/>
        </w:rPr>
        <w:t>、项目负责人如经查实有招标文件所指在建项目的或项目负责人在其它项目虽已更换但未附</w:t>
      </w:r>
      <w:r>
        <w:rPr>
          <w:color w:val="auto"/>
          <w:spacing w:val="-10"/>
        </w:rPr>
        <w:t xml:space="preserve"> </w:t>
      </w:r>
      <w:r>
        <w:rPr>
          <w:rFonts w:hint="eastAsia"/>
          <w:color w:val="auto"/>
          <w:spacing w:val="-10"/>
        </w:rPr>
        <w:t>该项目发包人的同意更换证明材料的，投标保证金均不予退还</w:t>
      </w:r>
      <w:r>
        <w:rPr>
          <w:color w:val="auto"/>
          <w:spacing w:val="-10"/>
        </w:rPr>
        <w:t xml:space="preserve"> 5</w:t>
      </w:r>
      <w:r>
        <w:rPr>
          <w:rFonts w:hint="eastAsia"/>
          <w:color w:val="auto"/>
          <w:spacing w:val="-10"/>
        </w:rPr>
        <w:t>、未被</w:t>
      </w:r>
      <w:r>
        <w:rPr>
          <w:color w:val="auto"/>
          <w:spacing w:val="-10"/>
        </w:rPr>
        <w:t>“</w:t>
      </w:r>
      <w:r>
        <w:rPr>
          <w:rFonts w:hint="eastAsia"/>
          <w:color w:val="auto"/>
          <w:spacing w:val="-10"/>
        </w:rPr>
        <w:t>信用中国</w:t>
      </w:r>
      <w:r>
        <w:rPr>
          <w:color w:val="auto"/>
          <w:spacing w:val="-10"/>
        </w:rPr>
        <w:t>”</w:t>
      </w:r>
      <w:r>
        <w:rPr>
          <w:rFonts w:hint="eastAsia"/>
          <w:color w:val="auto"/>
          <w:spacing w:val="-10"/>
        </w:rPr>
        <w:t>网站（</w:t>
      </w:r>
      <w:r>
        <w:rPr>
          <w:color w:val="auto"/>
          <w:spacing w:val="-10"/>
        </w:rPr>
        <w:t>h ttp://</w:t>
      </w:r>
      <w:r>
        <w:rPr>
          <w:color w:val="auto"/>
        </w:rPr>
        <w:fldChar w:fldCharType="begin"/>
      </w:r>
      <w:r>
        <w:rPr>
          <w:color w:val="auto"/>
        </w:rPr>
        <w:instrText xml:space="preserve"> HYPERLINK "http://www.creditchina.gov.cn/" </w:instrText>
      </w:r>
      <w:r>
        <w:rPr>
          <w:color w:val="auto"/>
        </w:rPr>
        <w:fldChar w:fldCharType="separate"/>
      </w:r>
      <w:r>
        <w:rPr>
          <w:rStyle w:val="59"/>
          <w:color w:val="auto"/>
          <w:spacing w:val="-10"/>
        </w:rPr>
        <w:t>www.creditchina.gov.cn/</w:t>
      </w:r>
      <w:r>
        <w:rPr>
          <w:rStyle w:val="59"/>
          <w:color w:val="auto"/>
          <w:spacing w:val="-10"/>
        </w:rPr>
        <w:fldChar w:fldCharType="end"/>
      </w:r>
      <w:r>
        <w:rPr>
          <w:rFonts w:hint="eastAsia"/>
          <w:color w:val="auto"/>
          <w:spacing w:val="-10"/>
        </w:rPr>
        <w:t>）列入失信被执行人名单。</w:t>
      </w:r>
    </w:p>
    <w:p>
      <w:pPr>
        <w:spacing w:line="480" w:lineRule="auto"/>
        <w:ind w:left="420" w:leftChars="200" w:right="420" w:rightChars="200" w:firstLine="380" w:firstLineChars="200"/>
        <w:rPr>
          <w:rFonts w:ascii="宋体" w:hAnsi="宋体" w:eastAsia="宋体" w:cs="宋体"/>
          <w:color w:val="auto"/>
          <w:szCs w:val="21"/>
        </w:rPr>
      </w:pPr>
      <w:r>
        <w:rPr>
          <w:rFonts w:hint="eastAsia"/>
          <w:color w:val="auto"/>
          <w:spacing w:val="-10"/>
        </w:rPr>
        <w:t>如我方违背了上述承诺，本项目发包人有权取消我方的中标资格，并由发包人将我方的</w:t>
      </w:r>
      <w:r>
        <w:rPr>
          <w:rFonts w:hint="eastAsia"/>
          <w:color w:val="auto"/>
          <w:spacing w:val="-12"/>
        </w:rPr>
        <w:t>违约行为上报省级交通主管部门，作为不良记录纳入浙江省交通运输厅建设市场信息管理系统。</w:t>
      </w:r>
    </w:p>
    <w:p>
      <w:pPr>
        <w:rPr>
          <w:rFonts w:hint="eastAsia" w:ascii="宋体" w:hAnsi="宋体" w:eastAsia="宋体" w:cs="宋体"/>
          <w:color w:val="auto"/>
          <w:szCs w:val="21"/>
        </w:rPr>
      </w:pPr>
    </w:p>
    <w:p>
      <w:pPr>
        <w:rPr>
          <w:rFonts w:hint="eastAsia" w:ascii="宋体" w:hAnsi="宋体" w:eastAsia="宋体" w:cs="宋体"/>
          <w:color w:val="auto"/>
          <w:szCs w:val="21"/>
        </w:rPr>
      </w:pP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kern w:val="0"/>
          <w:szCs w:val="21"/>
        </w:rPr>
        <w:t>投  标  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500" w:lineRule="exact"/>
        <w:rPr>
          <w:rFonts w:hint="eastAsia" w:ascii="宋体" w:hAnsi="宋体" w:eastAsia="宋体" w:cs="宋体"/>
          <w:color w:val="auto"/>
          <w:szCs w:val="21"/>
        </w:rPr>
      </w:pP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 xml:space="preserve">                            法定代表人或其委托代理人：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（盖章）</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 xml:space="preserve">                                                                          </w:t>
      </w:r>
    </w:p>
    <w:p>
      <w:pPr>
        <w:spacing w:line="500" w:lineRule="exact"/>
        <w:jc w:val="right"/>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500" w:lineRule="exact"/>
        <w:rPr>
          <w:rFonts w:hint="eastAsia" w:ascii="宋体" w:hAnsi="宋体" w:eastAsia="宋体" w:cs="宋体"/>
          <w:color w:val="auto"/>
          <w:szCs w:val="21"/>
        </w:rPr>
      </w:pPr>
    </w:p>
    <w:p>
      <w:pPr>
        <w:pStyle w:val="3"/>
        <w:spacing w:before="312" w:beforeLines="100" w:after="468" w:afterLines="150" w:line="360" w:lineRule="exact"/>
        <w:rPr>
          <w:rFonts w:hint="eastAsia" w:ascii="宋体" w:hAnsi="宋体"/>
          <w:b w:val="0"/>
          <w:color w:val="auto"/>
          <w:sz w:val="30"/>
          <w:szCs w:val="30"/>
        </w:rPr>
      </w:pPr>
      <w:r>
        <w:rPr>
          <w:rFonts w:hint="eastAsia" w:ascii="宋体" w:hAnsi="宋体"/>
          <w:b w:val="0"/>
          <w:bCs w:val="0"/>
          <w:color w:val="auto"/>
          <w:sz w:val="28"/>
          <w:szCs w:val="28"/>
        </w:rPr>
        <w:br w:type="page"/>
      </w:r>
      <w:bookmarkStart w:id="272" w:name="_Toc20513"/>
      <w:r>
        <w:rPr>
          <w:rFonts w:hint="eastAsia" w:ascii="宋体" w:hAnsi="宋体"/>
          <w:b w:val="0"/>
          <w:color w:val="auto"/>
          <w:sz w:val="30"/>
          <w:szCs w:val="30"/>
        </w:rPr>
        <w:t>九、其 他 材 料</w:t>
      </w:r>
      <w:bookmarkEnd w:id="272"/>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3"/>
        <w:spacing w:before="156" w:beforeLines="50" w:after="312" w:afterLines="100" w:line="360" w:lineRule="exact"/>
        <w:rPr>
          <w:rFonts w:hint="eastAsia" w:ascii="宋体" w:hAnsi="宋体"/>
          <w:b w:val="0"/>
          <w:color w:val="auto"/>
          <w:sz w:val="30"/>
          <w:szCs w:val="30"/>
        </w:rPr>
      </w:pPr>
      <w:r>
        <w:rPr>
          <w:rFonts w:hint="eastAsia" w:ascii="宋体" w:hAnsi="宋体"/>
          <w:b w:val="0"/>
          <w:bCs w:val="0"/>
          <w:color w:val="auto"/>
        </w:rPr>
        <w:br w:type="page"/>
      </w:r>
      <w:bookmarkStart w:id="273" w:name="_Toc22244"/>
      <w:r>
        <w:rPr>
          <w:rFonts w:hint="eastAsia" w:ascii="宋体" w:hAnsi="宋体"/>
          <w:b w:val="0"/>
          <w:color w:val="auto"/>
          <w:sz w:val="30"/>
          <w:szCs w:val="30"/>
        </w:rPr>
        <w:t>附件一、 资格审查资料数据表（主要人员）</w:t>
      </w:r>
      <w:bookmarkEnd w:id="273"/>
    </w:p>
    <w:p>
      <w:pPr>
        <w:spacing w:after="156" w:afterLines="50"/>
        <w:jc w:val="center"/>
        <w:rPr>
          <w:rFonts w:hint="eastAsia" w:ascii="宋体" w:hAnsi="宋体" w:eastAsia="宋体" w:cs="宋体"/>
          <w:color w:val="auto"/>
          <w:sz w:val="30"/>
          <w:szCs w:val="30"/>
        </w:rPr>
      </w:pPr>
      <w:r>
        <w:rPr>
          <w:rFonts w:hint="eastAsia" w:ascii="宋体" w:hAnsi="宋体" w:eastAsia="宋体" w:cs="宋体"/>
          <w:color w:val="auto"/>
          <w:sz w:val="30"/>
          <w:szCs w:val="30"/>
        </w:rPr>
        <w:t>资格审查资料数据表（主要人员）</w:t>
      </w:r>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45"/>
        <w:gridCol w:w="1843"/>
        <w:gridCol w:w="1701"/>
        <w:gridCol w:w="2835"/>
        <w:gridCol w:w="16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45" w:type="dxa"/>
            <w:tcBorders>
              <w:top w:val="single" w:color="auto" w:sz="12"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姓 名</w:t>
            </w:r>
          </w:p>
        </w:tc>
        <w:tc>
          <w:tcPr>
            <w:tcW w:w="1843" w:type="dxa"/>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p>
        </w:tc>
        <w:tc>
          <w:tcPr>
            <w:tcW w:w="1701" w:type="dxa"/>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拟在本标段工程担任职务</w:t>
            </w:r>
          </w:p>
        </w:tc>
        <w:tc>
          <w:tcPr>
            <w:tcW w:w="2835" w:type="dxa"/>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p>
        </w:tc>
        <w:tc>
          <w:tcPr>
            <w:tcW w:w="1615" w:type="dxa"/>
            <w:tcBorders>
              <w:top w:val="single" w:color="auto" w:sz="12" w:space="0"/>
              <w:left w:val="single" w:color="auto" w:sz="6" w:space="0"/>
              <w:bottom w:val="single" w:color="auto" w:sz="6" w:space="0"/>
              <w:right w:val="single" w:color="auto" w:sz="12"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备注（证明材料所在页码）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45"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毕业院校</w:t>
            </w:r>
          </w:p>
          <w:p>
            <w:pPr>
              <w:spacing w:line="440" w:lineRule="exact"/>
              <w:jc w:val="center"/>
              <w:rPr>
                <w:rFonts w:ascii="宋体" w:hAnsi="宋体" w:eastAsia="宋体" w:cs="宋体"/>
                <w:color w:val="auto"/>
                <w:szCs w:val="21"/>
              </w:rPr>
            </w:pPr>
            <w:r>
              <w:rPr>
                <w:rFonts w:hint="eastAsia" w:ascii="宋体" w:hAnsi="宋体" w:eastAsia="宋体" w:cs="宋体"/>
                <w:color w:val="auto"/>
                <w:szCs w:val="21"/>
              </w:rPr>
              <w:t>及专业</w:t>
            </w:r>
          </w:p>
        </w:tc>
        <w:tc>
          <w:tcPr>
            <w:tcW w:w="184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身份证号码</w:t>
            </w:r>
          </w:p>
        </w:tc>
        <w:tc>
          <w:tcPr>
            <w:tcW w:w="283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p>
        </w:tc>
        <w:tc>
          <w:tcPr>
            <w:tcW w:w="1615"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45"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职称等级</w:t>
            </w:r>
          </w:p>
        </w:tc>
        <w:tc>
          <w:tcPr>
            <w:tcW w:w="184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职称证书</w:t>
            </w:r>
          </w:p>
        </w:tc>
        <w:tc>
          <w:tcPr>
            <w:tcW w:w="283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p>
        </w:tc>
        <w:tc>
          <w:tcPr>
            <w:tcW w:w="1615"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645"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建造师注册</w:t>
            </w:r>
          </w:p>
          <w:p>
            <w:pPr>
              <w:spacing w:line="440" w:lineRule="exact"/>
              <w:jc w:val="center"/>
              <w:rPr>
                <w:rFonts w:ascii="宋体" w:hAnsi="宋体" w:eastAsia="宋体" w:cs="宋体"/>
                <w:color w:val="auto"/>
                <w:szCs w:val="21"/>
              </w:rPr>
            </w:pPr>
            <w:r>
              <w:rPr>
                <w:rFonts w:hint="eastAsia" w:ascii="宋体" w:hAnsi="宋体" w:eastAsia="宋体" w:cs="宋体"/>
                <w:color w:val="auto"/>
                <w:szCs w:val="21"/>
              </w:rPr>
              <w:t>证书编号</w:t>
            </w:r>
          </w:p>
        </w:tc>
        <w:tc>
          <w:tcPr>
            <w:tcW w:w="184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建造师专业类别</w:t>
            </w:r>
          </w:p>
        </w:tc>
        <w:tc>
          <w:tcPr>
            <w:tcW w:w="283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p>
        </w:tc>
        <w:tc>
          <w:tcPr>
            <w:tcW w:w="1615"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45"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安全生产考核</w:t>
            </w:r>
          </w:p>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合格证书编号</w:t>
            </w:r>
          </w:p>
          <w:p>
            <w:pPr>
              <w:spacing w:line="440" w:lineRule="exact"/>
              <w:jc w:val="center"/>
              <w:rPr>
                <w:rFonts w:ascii="宋体" w:hAnsi="宋体" w:eastAsia="宋体" w:cs="宋体"/>
                <w:color w:val="auto"/>
                <w:szCs w:val="21"/>
              </w:rPr>
            </w:pPr>
            <w:r>
              <w:rPr>
                <w:rFonts w:hint="eastAsia" w:ascii="宋体" w:hAnsi="宋体" w:eastAsia="宋体" w:cs="宋体"/>
                <w:color w:val="auto"/>
                <w:szCs w:val="21"/>
              </w:rPr>
              <w:t>（ B 类）</w:t>
            </w:r>
          </w:p>
        </w:tc>
        <w:tc>
          <w:tcPr>
            <w:tcW w:w="184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合格证书</w:t>
            </w:r>
          </w:p>
          <w:p>
            <w:pPr>
              <w:spacing w:line="440" w:lineRule="exact"/>
              <w:jc w:val="center"/>
              <w:rPr>
                <w:rFonts w:ascii="宋体" w:hAnsi="宋体" w:eastAsia="宋体" w:cs="宋体"/>
                <w:color w:val="auto"/>
                <w:szCs w:val="21"/>
              </w:rPr>
            </w:pPr>
            <w:r>
              <w:rPr>
                <w:rFonts w:hint="eastAsia" w:ascii="宋体" w:hAnsi="宋体" w:eastAsia="宋体" w:cs="宋体"/>
                <w:color w:val="auto"/>
                <w:szCs w:val="21"/>
              </w:rPr>
              <w:t>行业分类</w:t>
            </w:r>
          </w:p>
        </w:tc>
        <w:tc>
          <w:tcPr>
            <w:tcW w:w="283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（交通类或建筑类）</w:t>
            </w:r>
          </w:p>
        </w:tc>
        <w:tc>
          <w:tcPr>
            <w:tcW w:w="1615"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45"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相关业绩项目名称（一）</w:t>
            </w:r>
          </w:p>
        </w:tc>
        <w:tc>
          <w:tcPr>
            <w:tcW w:w="184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证明材料名称</w:t>
            </w:r>
          </w:p>
        </w:tc>
        <w:tc>
          <w:tcPr>
            <w:tcW w:w="283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p>
        </w:tc>
        <w:tc>
          <w:tcPr>
            <w:tcW w:w="1615" w:type="dxa"/>
            <w:vMerge w:val="restart"/>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45" w:type="dxa"/>
            <w:vMerge w:val="restart"/>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与评审有关的时间、规模、技术指标及其他要求</w:t>
            </w:r>
          </w:p>
        </w:tc>
        <w:tc>
          <w:tcPr>
            <w:tcW w:w="184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交（竣）工日期</w:t>
            </w:r>
          </w:p>
        </w:tc>
        <w:tc>
          <w:tcPr>
            <w:tcW w:w="4536"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p>
        </w:tc>
        <w:tc>
          <w:tcPr>
            <w:tcW w:w="1615" w:type="dxa"/>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64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工程规模</w:t>
            </w:r>
          </w:p>
        </w:tc>
        <w:tc>
          <w:tcPr>
            <w:tcW w:w="4536"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p>
        </w:tc>
        <w:tc>
          <w:tcPr>
            <w:tcW w:w="1615" w:type="dxa"/>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4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技术指标</w:t>
            </w:r>
          </w:p>
        </w:tc>
        <w:tc>
          <w:tcPr>
            <w:tcW w:w="4536"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p>
        </w:tc>
        <w:tc>
          <w:tcPr>
            <w:tcW w:w="1615" w:type="dxa"/>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4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eastAsia="宋体" w:cs="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其他要求</w:t>
            </w:r>
          </w:p>
        </w:tc>
        <w:tc>
          <w:tcPr>
            <w:tcW w:w="4536"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p>
        </w:tc>
        <w:tc>
          <w:tcPr>
            <w:tcW w:w="1615" w:type="dxa"/>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45"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相关业绩项目名称（二）</w:t>
            </w:r>
          </w:p>
        </w:tc>
        <w:tc>
          <w:tcPr>
            <w:tcW w:w="184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证明材料名称</w:t>
            </w:r>
          </w:p>
        </w:tc>
        <w:tc>
          <w:tcPr>
            <w:tcW w:w="283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p>
        </w:tc>
        <w:tc>
          <w:tcPr>
            <w:tcW w:w="1615" w:type="dxa"/>
            <w:vMerge w:val="restart"/>
            <w:tcBorders>
              <w:top w:val="single" w:color="auto" w:sz="6" w:space="0"/>
              <w:left w:val="single" w:color="auto" w:sz="6" w:space="0"/>
              <w:bottom w:val="single" w:color="auto" w:sz="12" w:space="0"/>
              <w:right w:val="single" w:color="auto" w:sz="12" w:space="0"/>
            </w:tcBorders>
            <w:vAlign w:val="center"/>
          </w:tcPr>
          <w:p>
            <w:pPr>
              <w:spacing w:line="440" w:lineRule="exact"/>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645" w:type="dxa"/>
            <w:vMerge w:val="restart"/>
            <w:tcBorders>
              <w:top w:val="single" w:color="auto" w:sz="6" w:space="0"/>
              <w:left w:val="single" w:color="auto" w:sz="12" w:space="0"/>
              <w:bottom w:val="single" w:color="auto" w:sz="12"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与评审有关的时间、规模、技术指标及其他要求</w:t>
            </w:r>
          </w:p>
        </w:tc>
        <w:tc>
          <w:tcPr>
            <w:tcW w:w="184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交（竣）工日期</w:t>
            </w:r>
          </w:p>
        </w:tc>
        <w:tc>
          <w:tcPr>
            <w:tcW w:w="4536"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p>
        </w:tc>
        <w:tc>
          <w:tcPr>
            <w:tcW w:w="1615" w:type="dxa"/>
            <w:vMerge w:val="continue"/>
            <w:tcBorders>
              <w:top w:val="single" w:color="auto" w:sz="6" w:space="0"/>
              <w:left w:val="single" w:color="auto" w:sz="6" w:space="0"/>
              <w:bottom w:val="single" w:color="auto" w:sz="12" w:space="0"/>
              <w:right w:val="single" w:color="auto" w:sz="12" w:space="0"/>
            </w:tcBorders>
            <w:vAlign w:val="center"/>
          </w:tcPr>
          <w:p>
            <w:pPr>
              <w:widowControl/>
              <w:jc w:val="left"/>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45"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eastAsia="宋体" w:cs="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工程规模</w:t>
            </w:r>
          </w:p>
        </w:tc>
        <w:tc>
          <w:tcPr>
            <w:tcW w:w="4536"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p>
        </w:tc>
        <w:tc>
          <w:tcPr>
            <w:tcW w:w="1615" w:type="dxa"/>
            <w:vMerge w:val="continue"/>
            <w:tcBorders>
              <w:top w:val="single" w:color="auto" w:sz="6" w:space="0"/>
              <w:left w:val="single" w:color="auto" w:sz="6" w:space="0"/>
              <w:bottom w:val="single" w:color="auto" w:sz="12" w:space="0"/>
              <w:right w:val="single" w:color="auto" w:sz="12" w:space="0"/>
            </w:tcBorders>
            <w:vAlign w:val="center"/>
          </w:tcPr>
          <w:p>
            <w:pPr>
              <w:widowControl/>
              <w:jc w:val="left"/>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45"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eastAsia="宋体" w:cs="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技术指标</w:t>
            </w:r>
          </w:p>
        </w:tc>
        <w:tc>
          <w:tcPr>
            <w:tcW w:w="4536"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eastAsia="宋体" w:cs="宋体"/>
                <w:color w:val="auto"/>
                <w:szCs w:val="21"/>
              </w:rPr>
            </w:pPr>
          </w:p>
        </w:tc>
        <w:tc>
          <w:tcPr>
            <w:tcW w:w="1615" w:type="dxa"/>
            <w:vMerge w:val="continue"/>
            <w:tcBorders>
              <w:top w:val="single" w:color="auto" w:sz="6" w:space="0"/>
              <w:left w:val="single" w:color="auto" w:sz="6" w:space="0"/>
              <w:bottom w:val="single" w:color="auto" w:sz="12" w:space="0"/>
              <w:right w:val="single" w:color="auto" w:sz="12" w:space="0"/>
            </w:tcBorders>
            <w:vAlign w:val="center"/>
          </w:tcPr>
          <w:p>
            <w:pPr>
              <w:widowControl/>
              <w:jc w:val="left"/>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45"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eastAsia="宋体" w:cs="宋体"/>
                <w:color w:val="auto"/>
                <w:szCs w:val="21"/>
              </w:rPr>
            </w:pPr>
          </w:p>
        </w:tc>
        <w:tc>
          <w:tcPr>
            <w:tcW w:w="1843" w:type="dxa"/>
            <w:tcBorders>
              <w:top w:val="single" w:color="auto" w:sz="6" w:space="0"/>
              <w:left w:val="single" w:color="auto" w:sz="6" w:space="0"/>
              <w:bottom w:val="single" w:color="auto" w:sz="12" w:space="0"/>
              <w:right w:val="single" w:color="auto" w:sz="6" w:space="0"/>
            </w:tcBorders>
            <w:vAlign w:val="center"/>
          </w:tcPr>
          <w:p>
            <w:pPr>
              <w:spacing w:line="440" w:lineRule="exact"/>
              <w:jc w:val="center"/>
              <w:rPr>
                <w:rFonts w:ascii="宋体" w:hAnsi="宋体" w:eastAsia="宋体" w:cs="宋体"/>
                <w:color w:val="auto"/>
                <w:szCs w:val="21"/>
              </w:rPr>
            </w:pPr>
            <w:r>
              <w:rPr>
                <w:rFonts w:hint="eastAsia" w:ascii="宋体" w:hAnsi="宋体" w:eastAsia="宋体" w:cs="宋体"/>
                <w:color w:val="auto"/>
                <w:szCs w:val="21"/>
              </w:rPr>
              <w:t>其他要求</w:t>
            </w:r>
          </w:p>
        </w:tc>
        <w:tc>
          <w:tcPr>
            <w:tcW w:w="4536" w:type="dxa"/>
            <w:gridSpan w:val="2"/>
            <w:tcBorders>
              <w:top w:val="single" w:color="auto" w:sz="6" w:space="0"/>
              <w:left w:val="single" w:color="auto" w:sz="6" w:space="0"/>
              <w:bottom w:val="single" w:color="auto" w:sz="12" w:space="0"/>
              <w:right w:val="single" w:color="auto" w:sz="6" w:space="0"/>
            </w:tcBorders>
            <w:vAlign w:val="center"/>
          </w:tcPr>
          <w:p>
            <w:pPr>
              <w:spacing w:line="440" w:lineRule="exact"/>
              <w:jc w:val="center"/>
              <w:rPr>
                <w:rFonts w:ascii="宋体" w:hAnsi="宋体" w:eastAsia="宋体" w:cs="宋体"/>
                <w:color w:val="auto"/>
                <w:szCs w:val="21"/>
              </w:rPr>
            </w:pPr>
          </w:p>
        </w:tc>
        <w:tc>
          <w:tcPr>
            <w:tcW w:w="1615" w:type="dxa"/>
            <w:vMerge w:val="continue"/>
            <w:tcBorders>
              <w:top w:val="single" w:color="auto" w:sz="6" w:space="0"/>
              <w:left w:val="single" w:color="auto" w:sz="6" w:space="0"/>
              <w:bottom w:val="single" w:color="auto" w:sz="12" w:space="0"/>
              <w:right w:val="single" w:color="auto" w:sz="12" w:space="0"/>
            </w:tcBorders>
            <w:vAlign w:val="center"/>
          </w:tcPr>
          <w:p>
            <w:pPr>
              <w:widowControl/>
              <w:jc w:val="left"/>
              <w:rPr>
                <w:rFonts w:ascii="宋体" w:hAnsi="宋体" w:eastAsia="宋体" w:cs="宋体"/>
                <w:color w:val="auto"/>
                <w:szCs w:val="21"/>
              </w:rPr>
            </w:pPr>
          </w:p>
        </w:tc>
      </w:tr>
    </w:tbl>
    <w:p>
      <w:pPr>
        <w:spacing w:line="320" w:lineRule="exact"/>
        <w:rPr>
          <w:rFonts w:hint="eastAsia" w:ascii="宋体" w:hAnsi="宋体" w:eastAsia="宋体" w:cs="宋体"/>
          <w:color w:val="auto"/>
        </w:rPr>
      </w:pPr>
      <w:r>
        <w:rPr>
          <w:rFonts w:hint="eastAsia" w:ascii="宋体" w:hAnsi="宋体" w:eastAsia="宋体" w:cs="宋体"/>
          <w:color w:val="auto"/>
        </w:rPr>
        <w:t>注：</w:t>
      </w:r>
    </w:p>
    <w:p>
      <w:pPr>
        <w:spacing w:line="320" w:lineRule="exact"/>
        <w:ind w:firstLine="420" w:firstLineChars="200"/>
        <w:rPr>
          <w:rFonts w:hint="eastAsia" w:ascii="宋体" w:hAnsi="宋体" w:eastAsia="宋体" w:cs="宋体"/>
          <w:color w:val="auto"/>
        </w:rPr>
      </w:pPr>
      <w:r>
        <w:rPr>
          <w:rFonts w:hint="eastAsia" w:ascii="宋体" w:hAnsi="宋体" w:eastAsia="宋体" w:cs="宋体"/>
          <w:color w:val="auto"/>
        </w:rPr>
        <w:t>1、同一项目对多人有资格审查要求的，应分别填写本数据表。</w:t>
      </w:r>
    </w:p>
    <w:p>
      <w:pPr>
        <w:spacing w:line="320" w:lineRule="exact"/>
        <w:ind w:firstLine="420" w:firstLineChars="200"/>
        <w:rPr>
          <w:rFonts w:hint="eastAsia" w:ascii="宋体" w:hAnsi="宋体" w:eastAsia="宋体" w:cs="宋体"/>
          <w:color w:val="auto"/>
        </w:rPr>
      </w:pPr>
      <w:r>
        <w:rPr>
          <w:rFonts w:hint="eastAsia" w:ascii="宋体" w:hAnsi="宋体" w:eastAsia="宋体" w:cs="宋体"/>
          <w:color w:val="auto"/>
        </w:rPr>
        <w:t>2、以上数据以相关证明材料为准。</w:t>
      </w:r>
    </w:p>
    <w:p>
      <w:pPr>
        <w:spacing w:line="320" w:lineRule="exact"/>
        <w:ind w:firstLine="420" w:firstLineChars="200"/>
        <w:rPr>
          <w:color w:val="auto"/>
        </w:rPr>
      </w:pPr>
      <w:r>
        <w:rPr>
          <w:rFonts w:hint="eastAsia" w:ascii="宋体" w:hAnsi="宋体" w:eastAsia="宋体" w:cs="宋体"/>
          <w:color w:val="auto"/>
        </w:rPr>
        <w:t>3、证明材料名称指：中标通知书或合同协议书或质量证明文件，上述资料未体现人员姓名、任职及业绩规模的，还须提供项目发包人或项目所在地设区市行业主管部门或项目质量监督部门出具的证明材料）</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8"/>
      <w:numFmt w:val="decimal"/>
      <w:lvlText w:val="(%1)"/>
      <w:lvlJc w:val="left"/>
      <w:pPr>
        <w:ind w:left="588"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269" w:hanging="318"/>
      </w:pPr>
      <w:rPr>
        <w:rFonts w:hint="default"/>
        <w:lang w:val="zh-CN" w:eastAsia="zh-CN" w:bidi="zh-CN"/>
      </w:rPr>
    </w:lvl>
    <w:lvl w:ilvl="2" w:tentative="0">
      <w:start w:val="0"/>
      <w:numFmt w:val="bullet"/>
      <w:lvlText w:val="•"/>
      <w:lvlJc w:val="left"/>
      <w:pPr>
        <w:ind w:left="1958" w:hanging="318"/>
      </w:pPr>
      <w:rPr>
        <w:rFonts w:hint="default"/>
        <w:lang w:val="zh-CN" w:eastAsia="zh-CN" w:bidi="zh-CN"/>
      </w:rPr>
    </w:lvl>
    <w:lvl w:ilvl="3" w:tentative="0">
      <w:start w:val="0"/>
      <w:numFmt w:val="bullet"/>
      <w:lvlText w:val="•"/>
      <w:lvlJc w:val="left"/>
      <w:pPr>
        <w:ind w:left="2647" w:hanging="318"/>
      </w:pPr>
      <w:rPr>
        <w:rFonts w:hint="default"/>
        <w:lang w:val="zh-CN" w:eastAsia="zh-CN" w:bidi="zh-CN"/>
      </w:rPr>
    </w:lvl>
    <w:lvl w:ilvl="4" w:tentative="0">
      <w:start w:val="0"/>
      <w:numFmt w:val="bullet"/>
      <w:lvlText w:val="•"/>
      <w:lvlJc w:val="left"/>
      <w:pPr>
        <w:ind w:left="3337" w:hanging="318"/>
      </w:pPr>
      <w:rPr>
        <w:rFonts w:hint="default"/>
        <w:lang w:val="zh-CN" w:eastAsia="zh-CN" w:bidi="zh-CN"/>
      </w:rPr>
    </w:lvl>
    <w:lvl w:ilvl="5" w:tentative="0">
      <w:start w:val="0"/>
      <w:numFmt w:val="bullet"/>
      <w:lvlText w:val="•"/>
      <w:lvlJc w:val="left"/>
      <w:pPr>
        <w:ind w:left="4026" w:hanging="318"/>
      </w:pPr>
      <w:rPr>
        <w:rFonts w:hint="default"/>
        <w:lang w:val="zh-CN" w:eastAsia="zh-CN" w:bidi="zh-CN"/>
      </w:rPr>
    </w:lvl>
    <w:lvl w:ilvl="6" w:tentative="0">
      <w:start w:val="0"/>
      <w:numFmt w:val="bullet"/>
      <w:lvlText w:val="•"/>
      <w:lvlJc w:val="left"/>
      <w:pPr>
        <w:ind w:left="4715" w:hanging="318"/>
      </w:pPr>
      <w:rPr>
        <w:rFonts w:hint="default"/>
        <w:lang w:val="zh-CN" w:eastAsia="zh-CN" w:bidi="zh-CN"/>
      </w:rPr>
    </w:lvl>
    <w:lvl w:ilvl="7" w:tentative="0">
      <w:start w:val="0"/>
      <w:numFmt w:val="bullet"/>
      <w:lvlText w:val="•"/>
      <w:lvlJc w:val="left"/>
      <w:pPr>
        <w:ind w:left="5404" w:hanging="318"/>
      </w:pPr>
      <w:rPr>
        <w:rFonts w:hint="default"/>
        <w:lang w:val="zh-CN" w:eastAsia="zh-CN" w:bidi="zh-CN"/>
      </w:rPr>
    </w:lvl>
    <w:lvl w:ilvl="8" w:tentative="0">
      <w:start w:val="0"/>
      <w:numFmt w:val="bullet"/>
      <w:lvlText w:val="•"/>
      <w:lvlJc w:val="left"/>
      <w:pPr>
        <w:ind w:left="6094" w:hanging="318"/>
      </w:pPr>
      <w:rPr>
        <w:rFonts w:hint="default"/>
        <w:lang w:val="zh-CN" w:eastAsia="zh-CN" w:bidi="zh-CN"/>
      </w:rPr>
    </w:lvl>
  </w:abstractNum>
  <w:abstractNum w:abstractNumId="1">
    <w:nsid w:val="9288B902"/>
    <w:multiLevelType w:val="multilevel"/>
    <w:tmpl w:val="9288B902"/>
    <w:lvl w:ilvl="0" w:tentative="0">
      <w:start w:val="1"/>
      <w:numFmt w:val="decimal"/>
      <w:lvlText w:val="(%1)"/>
      <w:lvlJc w:val="left"/>
      <w:pPr>
        <w:ind w:left="588"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269" w:hanging="318"/>
      </w:pPr>
      <w:rPr>
        <w:rFonts w:hint="default"/>
        <w:lang w:val="zh-CN" w:eastAsia="zh-CN" w:bidi="zh-CN"/>
      </w:rPr>
    </w:lvl>
    <w:lvl w:ilvl="2" w:tentative="0">
      <w:start w:val="0"/>
      <w:numFmt w:val="bullet"/>
      <w:lvlText w:val="•"/>
      <w:lvlJc w:val="left"/>
      <w:pPr>
        <w:ind w:left="1958" w:hanging="318"/>
      </w:pPr>
      <w:rPr>
        <w:rFonts w:hint="default"/>
        <w:lang w:val="zh-CN" w:eastAsia="zh-CN" w:bidi="zh-CN"/>
      </w:rPr>
    </w:lvl>
    <w:lvl w:ilvl="3" w:tentative="0">
      <w:start w:val="0"/>
      <w:numFmt w:val="bullet"/>
      <w:lvlText w:val="•"/>
      <w:lvlJc w:val="left"/>
      <w:pPr>
        <w:ind w:left="2647" w:hanging="318"/>
      </w:pPr>
      <w:rPr>
        <w:rFonts w:hint="default"/>
        <w:lang w:val="zh-CN" w:eastAsia="zh-CN" w:bidi="zh-CN"/>
      </w:rPr>
    </w:lvl>
    <w:lvl w:ilvl="4" w:tentative="0">
      <w:start w:val="0"/>
      <w:numFmt w:val="bullet"/>
      <w:lvlText w:val="•"/>
      <w:lvlJc w:val="left"/>
      <w:pPr>
        <w:ind w:left="3337" w:hanging="318"/>
      </w:pPr>
      <w:rPr>
        <w:rFonts w:hint="default"/>
        <w:lang w:val="zh-CN" w:eastAsia="zh-CN" w:bidi="zh-CN"/>
      </w:rPr>
    </w:lvl>
    <w:lvl w:ilvl="5" w:tentative="0">
      <w:start w:val="0"/>
      <w:numFmt w:val="bullet"/>
      <w:lvlText w:val="•"/>
      <w:lvlJc w:val="left"/>
      <w:pPr>
        <w:ind w:left="4026" w:hanging="318"/>
      </w:pPr>
      <w:rPr>
        <w:rFonts w:hint="default"/>
        <w:lang w:val="zh-CN" w:eastAsia="zh-CN" w:bidi="zh-CN"/>
      </w:rPr>
    </w:lvl>
    <w:lvl w:ilvl="6" w:tentative="0">
      <w:start w:val="0"/>
      <w:numFmt w:val="bullet"/>
      <w:lvlText w:val="•"/>
      <w:lvlJc w:val="left"/>
      <w:pPr>
        <w:ind w:left="4715" w:hanging="318"/>
      </w:pPr>
      <w:rPr>
        <w:rFonts w:hint="default"/>
        <w:lang w:val="zh-CN" w:eastAsia="zh-CN" w:bidi="zh-CN"/>
      </w:rPr>
    </w:lvl>
    <w:lvl w:ilvl="7" w:tentative="0">
      <w:start w:val="0"/>
      <w:numFmt w:val="bullet"/>
      <w:lvlText w:val="•"/>
      <w:lvlJc w:val="left"/>
      <w:pPr>
        <w:ind w:left="5404" w:hanging="318"/>
      </w:pPr>
      <w:rPr>
        <w:rFonts w:hint="default"/>
        <w:lang w:val="zh-CN" w:eastAsia="zh-CN" w:bidi="zh-CN"/>
      </w:rPr>
    </w:lvl>
    <w:lvl w:ilvl="8" w:tentative="0">
      <w:start w:val="0"/>
      <w:numFmt w:val="bullet"/>
      <w:lvlText w:val="•"/>
      <w:lvlJc w:val="left"/>
      <w:pPr>
        <w:ind w:left="6094" w:hanging="318"/>
      </w:pPr>
      <w:rPr>
        <w:rFonts w:hint="default"/>
        <w:lang w:val="zh-CN" w:eastAsia="zh-CN" w:bidi="zh-CN"/>
      </w:rPr>
    </w:lvl>
  </w:abstractNum>
  <w:abstractNum w:abstractNumId="2">
    <w:nsid w:val="DDDA987A"/>
    <w:multiLevelType w:val="singleLevel"/>
    <w:tmpl w:val="DDDA987A"/>
    <w:lvl w:ilvl="0" w:tentative="0">
      <w:start w:val="1"/>
      <w:numFmt w:val="chineseCounting"/>
      <w:suff w:val="nothing"/>
      <w:lvlText w:val="%1、"/>
      <w:lvlJc w:val="left"/>
      <w:rPr>
        <w:rFonts w:hint="eastAsia"/>
      </w:rPr>
    </w:lvl>
  </w:abstractNum>
  <w:abstractNum w:abstractNumId="3">
    <w:nsid w:val="FFFFFF80"/>
    <w:multiLevelType w:val="singleLevel"/>
    <w:tmpl w:val="FFFFFF80"/>
    <w:lvl w:ilvl="0" w:tentative="0">
      <w:start w:val="1"/>
      <w:numFmt w:val="bullet"/>
      <w:pStyle w:val="28"/>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FFFFFF83"/>
    <w:multiLevelType w:val="singleLevel"/>
    <w:tmpl w:val="FFFFFF83"/>
    <w:lvl w:ilvl="0" w:tentative="0">
      <w:start w:val="1"/>
      <w:numFmt w:val="bullet"/>
      <w:pStyle w:val="24"/>
      <w:lvlText w:val=""/>
      <w:lvlJc w:val="left"/>
      <w:pPr>
        <w:tabs>
          <w:tab w:val="left" w:pos="780"/>
        </w:tabs>
        <w:ind w:left="780" w:hanging="360"/>
      </w:pPr>
      <w:rPr>
        <w:rFonts w:hint="default" w:ascii="Wingdings" w:hAnsi="Wingdings"/>
      </w:rPr>
    </w:lvl>
  </w:abstractNum>
  <w:abstractNum w:abstractNumId="7">
    <w:nsid w:val="FFFFFF89"/>
    <w:multiLevelType w:val="singleLevel"/>
    <w:tmpl w:val="FFFFFF89"/>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8">
    <w:nsid w:val="00000026"/>
    <w:multiLevelType w:val="multilevel"/>
    <w:tmpl w:val="00000026"/>
    <w:lvl w:ilvl="0" w:tentative="0">
      <w:start w:val="1"/>
      <w:numFmt w:val="none"/>
      <w:pStyle w:val="159"/>
      <w:lvlText w:val="%1"/>
      <w:lvlJc w:val="left"/>
      <w:pPr>
        <w:tabs>
          <w:tab w:val="left" w:pos="360"/>
        </w:tabs>
        <w:ind w:left="0" w:firstLine="0"/>
      </w:pPr>
    </w:lvl>
    <w:lvl w:ilvl="1" w:tentative="0">
      <w:start w:val="1"/>
      <w:numFmt w:val="none"/>
      <w:lvlRestart w:val="0"/>
      <w:lvlText w:val="%1"/>
      <w:lvlJc w:val="left"/>
      <w:pPr>
        <w:tabs>
          <w:tab w:val="left" w:pos="360"/>
        </w:tabs>
        <w:ind w:left="0" w:firstLine="0"/>
      </w:pPr>
    </w:lvl>
    <w:lvl w:ilvl="2" w:tentative="0">
      <w:start w:val="1"/>
      <w:numFmt w:val="none"/>
      <w:lvlRestart w:val="0"/>
      <w:lvlText w:val="%1"/>
      <w:lvlJc w:val="left"/>
      <w:pPr>
        <w:tabs>
          <w:tab w:val="left" w:pos="360"/>
        </w:tabs>
        <w:ind w:left="0" w:firstLine="0"/>
      </w:pPr>
    </w:lvl>
    <w:lvl w:ilvl="3" w:tentative="0">
      <w:start w:val="1"/>
      <w:numFmt w:val="none"/>
      <w:lvlRestart w:val="0"/>
      <w:lvlText w:val="%1"/>
      <w:lvlJc w:val="left"/>
      <w:pPr>
        <w:tabs>
          <w:tab w:val="left" w:pos="360"/>
        </w:tabs>
        <w:ind w:left="0" w:firstLine="0"/>
      </w:pPr>
    </w:lvl>
    <w:lvl w:ilvl="4" w:tentative="0">
      <w:start w:val="1"/>
      <w:numFmt w:val="none"/>
      <w:lvlRestart w:val="0"/>
      <w:lvlText w:val="%1"/>
      <w:lvlJc w:val="left"/>
      <w:pPr>
        <w:tabs>
          <w:tab w:val="left" w:pos="360"/>
        </w:tabs>
        <w:ind w:left="0" w:firstLine="0"/>
      </w:pPr>
    </w:lvl>
    <w:lvl w:ilvl="5" w:tentative="0">
      <w:start w:val="1"/>
      <w:numFmt w:val="none"/>
      <w:lvlRestart w:val="0"/>
      <w:lvlText w:val="%1"/>
      <w:lvlJc w:val="left"/>
      <w:pPr>
        <w:tabs>
          <w:tab w:val="left" w:pos="360"/>
        </w:tabs>
        <w:ind w:left="0" w:firstLine="0"/>
      </w:pPr>
    </w:lvl>
    <w:lvl w:ilvl="6" w:tentative="0">
      <w:start w:val="1"/>
      <w:numFmt w:val="none"/>
      <w:lvlRestart w:val="0"/>
      <w:lvlText w:val="%1"/>
      <w:lvlJc w:val="left"/>
      <w:pPr>
        <w:tabs>
          <w:tab w:val="left" w:pos="360"/>
        </w:tabs>
        <w:ind w:left="0" w:firstLine="0"/>
      </w:pPr>
    </w:lvl>
    <w:lvl w:ilvl="7" w:tentative="0">
      <w:start w:val="1"/>
      <w:numFmt w:val="none"/>
      <w:lvlRestart w:val="0"/>
      <w:lvlText w:val="%1"/>
      <w:lvlJc w:val="left"/>
      <w:pPr>
        <w:tabs>
          <w:tab w:val="left" w:pos="360"/>
        </w:tabs>
        <w:ind w:left="0" w:firstLine="0"/>
      </w:pPr>
    </w:lvl>
    <w:lvl w:ilvl="8" w:tentative="0">
      <w:start w:val="1"/>
      <w:numFmt w:val="none"/>
      <w:lvlRestart w:val="0"/>
      <w:lvlText w:val="%1"/>
      <w:lvlJc w:val="left"/>
      <w:pPr>
        <w:tabs>
          <w:tab w:val="left" w:pos="360"/>
        </w:tabs>
        <w:ind w:left="0" w:firstLine="0"/>
      </w:pPr>
    </w:lvl>
  </w:abstractNum>
  <w:abstractNum w:abstractNumId="9">
    <w:nsid w:val="02F112FE"/>
    <w:multiLevelType w:val="multilevel"/>
    <w:tmpl w:val="02F112FE"/>
    <w:lvl w:ilvl="0" w:tentative="0">
      <w:start w:val="1"/>
      <w:numFmt w:val="decimal"/>
      <w:lvlText w:val="（%1）"/>
      <w:lvlJc w:val="left"/>
      <w:pPr>
        <w:tabs>
          <w:tab w:val="left" w:pos="1575"/>
        </w:tabs>
        <w:ind w:left="1575" w:hanging="720"/>
      </w:pPr>
    </w:lvl>
    <w:lvl w:ilvl="1" w:tentative="0">
      <w:start w:val="1"/>
      <w:numFmt w:val="lowerLetter"/>
      <w:pStyle w:val="110"/>
      <w:lvlText w:val="%2)"/>
      <w:lvlJc w:val="left"/>
      <w:pPr>
        <w:tabs>
          <w:tab w:val="left" w:pos="1695"/>
        </w:tabs>
        <w:ind w:left="1695" w:hanging="420"/>
      </w:pPr>
    </w:lvl>
    <w:lvl w:ilvl="2" w:tentative="0">
      <w:start w:val="1"/>
      <w:numFmt w:val="lowerRoman"/>
      <w:pStyle w:val="121"/>
      <w:lvlText w:val="%3."/>
      <w:lvlJc w:val="right"/>
      <w:pPr>
        <w:tabs>
          <w:tab w:val="left" w:pos="2115"/>
        </w:tabs>
        <w:ind w:left="2115" w:hanging="420"/>
      </w:pPr>
    </w:lvl>
    <w:lvl w:ilvl="3" w:tentative="0">
      <w:start w:val="1"/>
      <w:numFmt w:val="decimal"/>
      <w:pStyle w:val="130"/>
      <w:lvlText w:val="%4."/>
      <w:lvlJc w:val="left"/>
      <w:pPr>
        <w:tabs>
          <w:tab w:val="left" w:pos="2535"/>
        </w:tabs>
        <w:ind w:left="2535" w:hanging="420"/>
      </w:pPr>
    </w:lvl>
    <w:lvl w:ilvl="4" w:tentative="0">
      <w:start w:val="1"/>
      <w:numFmt w:val="lowerLetter"/>
      <w:pStyle w:val="224"/>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abstractNum w:abstractNumId="10">
    <w:nsid w:val="063B2C10"/>
    <w:multiLevelType w:val="multilevel"/>
    <w:tmpl w:val="063B2C10"/>
    <w:lvl w:ilvl="0" w:tentative="0">
      <w:start w:val="1"/>
      <w:numFmt w:val="decimal"/>
      <w:pStyle w:val="143"/>
      <w:lvlText w:val="（%1）"/>
      <w:lvlJc w:val="left"/>
      <w:pPr>
        <w:tabs>
          <w:tab w:val="left" w:pos="720"/>
        </w:tabs>
        <w:ind w:left="720" w:hanging="720"/>
      </w:pPr>
    </w:lvl>
    <w:lvl w:ilvl="1" w:tentative="0">
      <w:start w:val="1"/>
      <w:numFmt w:val="upperLetter"/>
      <w:lvlText w:val="%2．"/>
      <w:lvlJc w:val="left"/>
      <w:pPr>
        <w:tabs>
          <w:tab w:val="left" w:pos="780"/>
        </w:tabs>
        <w:ind w:left="78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04FE10D"/>
    <w:multiLevelType w:val="singleLevel"/>
    <w:tmpl w:val="104FE10D"/>
    <w:lvl w:ilvl="0" w:tentative="0">
      <w:start w:val="1"/>
      <w:numFmt w:val="chineseCounting"/>
      <w:suff w:val="nothing"/>
      <w:lvlText w:val="%1、"/>
      <w:lvlJc w:val="left"/>
      <w:rPr>
        <w:rFonts w:hint="eastAsia"/>
      </w:rPr>
    </w:lvl>
  </w:abstractNum>
  <w:abstractNum w:abstractNumId="12">
    <w:nsid w:val="39A0D9AC"/>
    <w:multiLevelType w:val="multilevel"/>
    <w:tmpl w:val="39A0D9AC"/>
    <w:lvl w:ilvl="0" w:tentative="0">
      <w:start w:val="5"/>
      <w:numFmt w:val="decimal"/>
      <w:lvlText w:val="(%1)"/>
      <w:lvlJc w:val="left"/>
      <w:pPr>
        <w:ind w:left="588"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269" w:hanging="318"/>
      </w:pPr>
      <w:rPr>
        <w:rFonts w:hint="default"/>
        <w:lang w:val="zh-CN" w:eastAsia="zh-CN" w:bidi="zh-CN"/>
      </w:rPr>
    </w:lvl>
    <w:lvl w:ilvl="2" w:tentative="0">
      <w:start w:val="0"/>
      <w:numFmt w:val="bullet"/>
      <w:lvlText w:val="•"/>
      <w:lvlJc w:val="left"/>
      <w:pPr>
        <w:ind w:left="1958" w:hanging="318"/>
      </w:pPr>
      <w:rPr>
        <w:rFonts w:hint="default"/>
        <w:lang w:val="zh-CN" w:eastAsia="zh-CN" w:bidi="zh-CN"/>
      </w:rPr>
    </w:lvl>
    <w:lvl w:ilvl="3" w:tentative="0">
      <w:start w:val="0"/>
      <w:numFmt w:val="bullet"/>
      <w:lvlText w:val="•"/>
      <w:lvlJc w:val="left"/>
      <w:pPr>
        <w:ind w:left="2647" w:hanging="318"/>
      </w:pPr>
      <w:rPr>
        <w:rFonts w:hint="default"/>
        <w:lang w:val="zh-CN" w:eastAsia="zh-CN" w:bidi="zh-CN"/>
      </w:rPr>
    </w:lvl>
    <w:lvl w:ilvl="4" w:tentative="0">
      <w:start w:val="0"/>
      <w:numFmt w:val="bullet"/>
      <w:lvlText w:val="•"/>
      <w:lvlJc w:val="left"/>
      <w:pPr>
        <w:ind w:left="3337" w:hanging="318"/>
      </w:pPr>
      <w:rPr>
        <w:rFonts w:hint="default"/>
        <w:lang w:val="zh-CN" w:eastAsia="zh-CN" w:bidi="zh-CN"/>
      </w:rPr>
    </w:lvl>
    <w:lvl w:ilvl="5" w:tentative="0">
      <w:start w:val="0"/>
      <w:numFmt w:val="bullet"/>
      <w:lvlText w:val="•"/>
      <w:lvlJc w:val="left"/>
      <w:pPr>
        <w:ind w:left="4026" w:hanging="318"/>
      </w:pPr>
      <w:rPr>
        <w:rFonts w:hint="default"/>
        <w:lang w:val="zh-CN" w:eastAsia="zh-CN" w:bidi="zh-CN"/>
      </w:rPr>
    </w:lvl>
    <w:lvl w:ilvl="6" w:tentative="0">
      <w:start w:val="0"/>
      <w:numFmt w:val="bullet"/>
      <w:lvlText w:val="•"/>
      <w:lvlJc w:val="left"/>
      <w:pPr>
        <w:ind w:left="4715" w:hanging="318"/>
      </w:pPr>
      <w:rPr>
        <w:rFonts w:hint="default"/>
        <w:lang w:val="zh-CN" w:eastAsia="zh-CN" w:bidi="zh-CN"/>
      </w:rPr>
    </w:lvl>
    <w:lvl w:ilvl="7" w:tentative="0">
      <w:start w:val="0"/>
      <w:numFmt w:val="bullet"/>
      <w:lvlText w:val="•"/>
      <w:lvlJc w:val="left"/>
      <w:pPr>
        <w:ind w:left="5404" w:hanging="318"/>
      </w:pPr>
      <w:rPr>
        <w:rFonts w:hint="default"/>
        <w:lang w:val="zh-CN" w:eastAsia="zh-CN" w:bidi="zh-CN"/>
      </w:rPr>
    </w:lvl>
    <w:lvl w:ilvl="8" w:tentative="0">
      <w:start w:val="0"/>
      <w:numFmt w:val="bullet"/>
      <w:lvlText w:val="•"/>
      <w:lvlJc w:val="left"/>
      <w:pPr>
        <w:ind w:left="6094" w:hanging="318"/>
      </w:pPr>
      <w:rPr>
        <w:rFonts w:hint="default"/>
        <w:lang w:val="zh-CN" w:eastAsia="zh-CN" w:bidi="zh-CN"/>
      </w:rPr>
    </w:lvl>
  </w:abstractNum>
  <w:abstractNum w:abstractNumId="13">
    <w:nsid w:val="58DA5A1D"/>
    <w:multiLevelType w:val="multilevel"/>
    <w:tmpl w:val="58DA5A1D"/>
    <w:lvl w:ilvl="0" w:tentative="0">
      <w:start w:val="1"/>
      <w:numFmt w:val="decimal"/>
      <w:pStyle w:val="106"/>
      <w:lvlText w:val="（%1）"/>
      <w:lvlJc w:val="left"/>
      <w:pPr>
        <w:tabs>
          <w:tab w:val="left" w:pos="1575"/>
        </w:tabs>
        <w:ind w:left="1575" w:hanging="720"/>
      </w:pPr>
    </w:lvl>
    <w:lvl w:ilvl="1" w:tentative="0">
      <w:start w:val="1"/>
      <w:numFmt w:val="lowerLetter"/>
      <w:lvlText w:val="%2)"/>
      <w:lvlJc w:val="left"/>
      <w:pPr>
        <w:tabs>
          <w:tab w:val="left" w:pos="1695"/>
        </w:tabs>
        <w:ind w:left="1695" w:hanging="420"/>
      </w:p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num w:numId="1">
    <w:abstractNumId w:val="4"/>
  </w:num>
  <w:num w:numId="2">
    <w:abstractNumId w:val="7"/>
  </w:num>
  <w:num w:numId="3">
    <w:abstractNumId w:val="5"/>
  </w:num>
  <w:num w:numId="4">
    <w:abstractNumId w:val="6"/>
  </w:num>
  <w:num w:numId="5">
    <w:abstractNumId w:val="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2"/>
  </w:num>
  <w:num w:numId="12">
    <w:abstractNumId w:val="0"/>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ECB"/>
    <w:rsid w:val="007D7CB3"/>
    <w:rsid w:val="00E24ECB"/>
    <w:rsid w:val="00E4027E"/>
    <w:rsid w:val="04EE160D"/>
    <w:rsid w:val="062C0CE5"/>
    <w:rsid w:val="073B269D"/>
    <w:rsid w:val="0AC15997"/>
    <w:rsid w:val="0B505CBD"/>
    <w:rsid w:val="0CE04F1E"/>
    <w:rsid w:val="0D2B718A"/>
    <w:rsid w:val="0EDF507E"/>
    <w:rsid w:val="10920294"/>
    <w:rsid w:val="109A00C2"/>
    <w:rsid w:val="111827CC"/>
    <w:rsid w:val="114B2E7E"/>
    <w:rsid w:val="117F13DB"/>
    <w:rsid w:val="11B5138A"/>
    <w:rsid w:val="1328040A"/>
    <w:rsid w:val="132E69D5"/>
    <w:rsid w:val="169F0BEC"/>
    <w:rsid w:val="170362B8"/>
    <w:rsid w:val="19383080"/>
    <w:rsid w:val="19E12E65"/>
    <w:rsid w:val="1B971B09"/>
    <w:rsid w:val="1BA5238A"/>
    <w:rsid w:val="1DED1EA1"/>
    <w:rsid w:val="1E41538A"/>
    <w:rsid w:val="20467C8F"/>
    <w:rsid w:val="233537B7"/>
    <w:rsid w:val="236F6F26"/>
    <w:rsid w:val="23F16DBA"/>
    <w:rsid w:val="24D21499"/>
    <w:rsid w:val="2F623F76"/>
    <w:rsid w:val="30277894"/>
    <w:rsid w:val="312F66E2"/>
    <w:rsid w:val="31E67EB2"/>
    <w:rsid w:val="32892BA9"/>
    <w:rsid w:val="35D62F0D"/>
    <w:rsid w:val="361D2143"/>
    <w:rsid w:val="37282991"/>
    <w:rsid w:val="373D7603"/>
    <w:rsid w:val="381C7965"/>
    <w:rsid w:val="38490C94"/>
    <w:rsid w:val="3BE82818"/>
    <w:rsid w:val="3CAC35C8"/>
    <w:rsid w:val="40414974"/>
    <w:rsid w:val="40771DB5"/>
    <w:rsid w:val="46040F36"/>
    <w:rsid w:val="473544C1"/>
    <w:rsid w:val="47A279EA"/>
    <w:rsid w:val="49860435"/>
    <w:rsid w:val="49F17FF2"/>
    <w:rsid w:val="4A9918F4"/>
    <w:rsid w:val="4ADF7CBF"/>
    <w:rsid w:val="4B0C4E7C"/>
    <w:rsid w:val="4DA726B5"/>
    <w:rsid w:val="4E006BB3"/>
    <w:rsid w:val="50030044"/>
    <w:rsid w:val="50650E08"/>
    <w:rsid w:val="507F41B7"/>
    <w:rsid w:val="52115F72"/>
    <w:rsid w:val="539B4F50"/>
    <w:rsid w:val="55F03676"/>
    <w:rsid w:val="588458CC"/>
    <w:rsid w:val="59BD0F46"/>
    <w:rsid w:val="5C14054B"/>
    <w:rsid w:val="5EBA66ED"/>
    <w:rsid w:val="646E13F3"/>
    <w:rsid w:val="64BA11AA"/>
    <w:rsid w:val="6576626E"/>
    <w:rsid w:val="687C7085"/>
    <w:rsid w:val="68A20164"/>
    <w:rsid w:val="68BB3BAB"/>
    <w:rsid w:val="697A6C0A"/>
    <w:rsid w:val="6A625232"/>
    <w:rsid w:val="6B216B2F"/>
    <w:rsid w:val="6B830F30"/>
    <w:rsid w:val="6CF05404"/>
    <w:rsid w:val="6CFD0E3A"/>
    <w:rsid w:val="6E9633A5"/>
    <w:rsid w:val="6F504D5D"/>
    <w:rsid w:val="74263DFA"/>
    <w:rsid w:val="751C2D78"/>
    <w:rsid w:val="76D32796"/>
    <w:rsid w:val="78BF2E87"/>
    <w:rsid w:val="7C67124A"/>
    <w:rsid w:val="7D2B1120"/>
    <w:rsid w:val="7EDC6DAB"/>
    <w:rsid w:val="7FB62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0" w:name="Normal Indent"/>
    <w:lsdException w:qFormat="1" w:uiPriority="0"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uiPriority="99" w:name="page number"/>
    <w:lsdException w:qFormat="1" w:uiPriority="0" w:name="endnote reference"/>
    <w:lsdException w:qFormat="1" w:uiPriority="0" w:name="endnote text"/>
    <w:lsdException w:uiPriority="99" w:name="table of authorities"/>
    <w:lsdException w:uiPriority="99" w:name="macro"/>
    <w:lsdException w:uiPriority="99" w:name="toa heading"/>
    <w:lsdException w:qFormat="1" w:uiPriority="0" w:name="List"/>
    <w:lsdException w:qFormat="1" w:uiPriority="0" w:name="List Bullet"/>
    <w:lsdException w:uiPriority="99" w:name="List Number"/>
    <w:lsdException w:uiPriority="99" w:name="List 2"/>
    <w:lsdException w:uiPriority="99" w:name="List 3"/>
    <w:lsdException w:uiPriority="99" w:name="List 4"/>
    <w:lsdException w:uiPriority="99" w:name="List 5"/>
    <w:lsdException w:qFormat="1" w:uiPriority="0" w:name="List Bullet 2"/>
    <w:lsdException w:qFormat="1" w:uiPriority="0" w:name="List Bullet 3"/>
    <w:lsdException w:qFormat="1" w:uiPriority="0" w:name="List Bullet 4"/>
    <w:lsdException w:qFormat="1" w:uiPriority="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name="Salutation"/>
    <w:lsdException w:qFormat="1" w:uiPriority="0" w:name="Date"/>
    <w:lsdException w:qFormat="1" w:uiPriority="0" w:name="Body Text First Indent"/>
    <w:lsdException w:qFormat="1" w:uiPriority="0"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99" w:name="Hyperlink"/>
    <w:lsdException w:qFormat="1" w:uiPriority="0" w:name="FollowedHyperlink"/>
    <w:lsdException w:qFormat="1" w:unhideWhenUsed="0" w:uiPriority="0" w:semiHidden="0" w:name="Strong"/>
    <w:lsdException w:qFormat="1" w:unhideWhenUsed="0" w:uiPriority="0" w:semiHidden="0" w:name="Emphasis"/>
    <w:lsdException w:qFormat="1" w:uiPriority="0"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Times New Roman" w:eastAsiaTheme="minorEastAsia"/>
      <w:kern w:val="2"/>
      <w:sz w:val="21"/>
      <w:szCs w:val="24"/>
      <w:lang w:val="en-US" w:eastAsia="zh-CN" w:bidi="ar-SA"/>
    </w:rPr>
  </w:style>
  <w:style w:type="paragraph" w:styleId="3">
    <w:name w:val="heading 1"/>
    <w:basedOn w:val="1"/>
    <w:next w:val="1"/>
    <w:link w:val="65"/>
    <w:qFormat/>
    <w:uiPriority w:val="0"/>
    <w:pPr>
      <w:keepNext/>
      <w:keepLines/>
      <w:spacing w:before="340" w:after="330" w:line="576" w:lineRule="auto"/>
      <w:outlineLvl w:val="0"/>
    </w:pPr>
    <w:rPr>
      <w:rFonts w:eastAsia="宋体" w:cs="宋体"/>
      <w:b/>
      <w:bCs/>
      <w:kern w:val="44"/>
      <w:sz w:val="44"/>
      <w:szCs w:val="44"/>
    </w:rPr>
  </w:style>
  <w:style w:type="paragraph" w:styleId="4">
    <w:name w:val="heading 2"/>
    <w:basedOn w:val="1"/>
    <w:next w:val="1"/>
    <w:link w:val="66"/>
    <w:semiHidden/>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6"/>
    <w:link w:val="67"/>
    <w:unhideWhenUsed/>
    <w:qFormat/>
    <w:uiPriority w:val="0"/>
    <w:pPr>
      <w:keepNext/>
      <w:keepLines/>
      <w:spacing w:before="260" w:after="260" w:line="415" w:lineRule="auto"/>
      <w:outlineLvl w:val="2"/>
    </w:pPr>
    <w:rPr>
      <w:rFonts w:eastAsia="宋体" w:cs="宋体"/>
      <w:b/>
      <w:bCs/>
      <w:sz w:val="32"/>
      <w:szCs w:val="32"/>
    </w:rPr>
  </w:style>
  <w:style w:type="paragraph" w:styleId="7">
    <w:name w:val="heading 4"/>
    <w:basedOn w:val="1"/>
    <w:next w:val="1"/>
    <w:link w:val="68"/>
    <w:semiHidden/>
    <w:unhideWhenUsed/>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link w:val="69"/>
    <w:semiHidden/>
    <w:unhideWhenUsed/>
    <w:qFormat/>
    <w:uiPriority w:val="0"/>
    <w:pPr>
      <w:keepNext/>
      <w:keepLines/>
      <w:spacing w:before="280" w:after="290" w:line="374" w:lineRule="auto"/>
      <w:outlineLvl w:val="4"/>
    </w:pPr>
    <w:rPr>
      <w:rFonts w:eastAsia="宋体" w:cs="宋体"/>
      <w:bCs/>
      <w:color w:val="000000"/>
      <w:sz w:val="32"/>
      <w:szCs w:val="28"/>
    </w:rPr>
  </w:style>
  <w:style w:type="paragraph" w:styleId="9">
    <w:name w:val="heading 6"/>
    <w:basedOn w:val="1"/>
    <w:next w:val="1"/>
    <w:link w:val="70"/>
    <w:semiHidden/>
    <w:unhideWhenUsed/>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10">
    <w:name w:val="heading 7"/>
    <w:basedOn w:val="1"/>
    <w:next w:val="1"/>
    <w:link w:val="71"/>
    <w:semiHidden/>
    <w:unhideWhenUsed/>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1">
    <w:name w:val="heading 8"/>
    <w:basedOn w:val="1"/>
    <w:next w:val="1"/>
    <w:link w:val="72"/>
    <w:semiHidden/>
    <w:unhideWhenUsed/>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2">
    <w:name w:val="heading 9"/>
    <w:basedOn w:val="1"/>
    <w:next w:val="1"/>
    <w:link w:val="73"/>
    <w:semiHidden/>
    <w:unhideWhenUsed/>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4"/>
    <w:unhideWhenUsed/>
    <w:qFormat/>
    <w:uiPriority w:val="0"/>
    <w:pPr>
      <w:spacing w:after="120"/>
    </w:pPr>
  </w:style>
  <w:style w:type="paragraph" w:styleId="6">
    <w:name w:val="Normal Indent"/>
    <w:basedOn w:val="1"/>
    <w:link w:val="75"/>
    <w:semiHidden/>
    <w:unhideWhenUsed/>
    <w:qFormat/>
    <w:uiPriority w:val="0"/>
    <w:pPr>
      <w:ind w:firstLine="420" w:firstLineChars="200"/>
    </w:pPr>
    <w:rPr>
      <w:rFonts w:asciiTheme="minorHAnsi" w:hAnsiTheme="minorHAnsi" w:cstheme="minorBidi"/>
    </w:rPr>
  </w:style>
  <w:style w:type="paragraph" w:styleId="13">
    <w:name w:val="toc 7"/>
    <w:basedOn w:val="1"/>
    <w:next w:val="1"/>
    <w:semiHidden/>
    <w:unhideWhenUsed/>
    <w:qFormat/>
    <w:uiPriority w:val="39"/>
    <w:pPr>
      <w:ind w:left="1260"/>
      <w:jc w:val="left"/>
    </w:pPr>
    <w:rPr>
      <w:szCs w:val="21"/>
    </w:rPr>
  </w:style>
  <w:style w:type="paragraph" w:styleId="14">
    <w:name w:val="List Bullet 4"/>
    <w:basedOn w:val="1"/>
    <w:semiHidden/>
    <w:unhideWhenUsed/>
    <w:qFormat/>
    <w:uiPriority w:val="0"/>
    <w:pPr>
      <w:numPr>
        <w:ilvl w:val="0"/>
        <w:numId w:val="1"/>
      </w:numPr>
    </w:pPr>
  </w:style>
  <w:style w:type="paragraph" w:styleId="15">
    <w:name w:val="caption"/>
    <w:basedOn w:val="1"/>
    <w:next w:val="1"/>
    <w:semiHidden/>
    <w:unhideWhenUsed/>
    <w:qFormat/>
    <w:uiPriority w:val="0"/>
    <w:rPr>
      <w:rFonts w:ascii="Arial" w:hAnsi="Arial" w:eastAsia="黑体" w:cs="Arial"/>
      <w:sz w:val="20"/>
      <w:szCs w:val="20"/>
    </w:rPr>
  </w:style>
  <w:style w:type="paragraph" w:styleId="16">
    <w:name w:val="List Bullet"/>
    <w:basedOn w:val="1"/>
    <w:semiHidden/>
    <w:unhideWhenUsed/>
    <w:qFormat/>
    <w:uiPriority w:val="0"/>
    <w:pPr>
      <w:numPr>
        <w:ilvl w:val="0"/>
        <w:numId w:val="2"/>
      </w:numPr>
    </w:pPr>
  </w:style>
  <w:style w:type="paragraph" w:styleId="17">
    <w:name w:val="Document Map"/>
    <w:basedOn w:val="1"/>
    <w:link w:val="90"/>
    <w:semiHidden/>
    <w:unhideWhenUsed/>
    <w:qFormat/>
    <w:uiPriority w:val="0"/>
    <w:pPr>
      <w:shd w:val="clear" w:color="auto" w:fill="000080"/>
    </w:pPr>
  </w:style>
  <w:style w:type="paragraph" w:styleId="18">
    <w:name w:val="annotation text"/>
    <w:basedOn w:val="1"/>
    <w:link w:val="77"/>
    <w:semiHidden/>
    <w:unhideWhenUsed/>
    <w:qFormat/>
    <w:uiPriority w:val="0"/>
    <w:pPr>
      <w:jc w:val="left"/>
    </w:pPr>
  </w:style>
  <w:style w:type="paragraph" w:styleId="19">
    <w:name w:val="Salutation"/>
    <w:basedOn w:val="1"/>
    <w:next w:val="1"/>
    <w:link w:val="82"/>
    <w:semiHidden/>
    <w:unhideWhenUsed/>
    <w:qFormat/>
    <w:uiPriority w:val="0"/>
    <w:rPr>
      <w:rFonts w:ascii="宋体"/>
      <w:sz w:val="24"/>
      <w:szCs w:val="20"/>
    </w:rPr>
  </w:style>
  <w:style w:type="paragraph" w:styleId="20">
    <w:name w:val="Body Text 3"/>
    <w:basedOn w:val="1"/>
    <w:link w:val="87"/>
    <w:semiHidden/>
    <w:unhideWhenUsed/>
    <w:qFormat/>
    <w:uiPriority w:val="0"/>
    <w:rPr>
      <w:rFonts w:ascii="宋体"/>
      <w:sz w:val="24"/>
      <w:szCs w:val="20"/>
    </w:rPr>
  </w:style>
  <w:style w:type="paragraph" w:styleId="21">
    <w:name w:val="List Bullet 3"/>
    <w:basedOn w:val="1"/>
    <w:semiHidden/>
    <w:unhideWhenUsed/>
    <w:qFormat/>
    <w:uiPriority w:val="0"/>
    <w:pPr>
      <w:numPr>
        <w:ilvl w:val="0"/>
        <w:numId w:val="3"/>
      </w:numPr>
    </w:pPr>
  </w:style>
  <w:style w:type="paragraph" w:styleId="22">
    <w:name w:val="Body Text Indent"/>
    <w:basedOn w:val="1"/>
    <w:link w:val="81"/>
    <w:semiHidden/>
    <w:unhideWhenUsed/>
    <w:qFormat/>
    <w:uiPriority w:val="0"/>
    <w:pPr>
      <w:spacing w:after="120"/>
      <w:ind w:left="420" w:leftChars="200"/>
    </w:pPr>
  </w:style>
  <w:style w:type="paragraph" w:styleId="23">
    <w:name w:val="Block Text"/>
    <w:basedOn w:val="1"/>
    <w:semiHidden/>
    <w:unhideWhenUsed/>
    <w:qFormat/>
    <w:uiPriority w:val="0"/>
    <w:pPr>
      <w:spacing w:line="240" w:lineRule="exact"/>
      <w:ind w:left="240" w:leftChars="240" w:right="292" w:rightChars="292" w:firstLine="473"/>
    </w:pPr>
    <w:rPr>
      <w:rFonts w:ascii="宋体"/>
      <w:szCs w:val="20"/>
    </w:rPr>
  </w:style>
  <w:style w:type="paragraph" w:styleId="24">
    <w:name w:val="List Bullet 2"/>
    <w:basedOn w:val="1"/>
    <w:semiHidden/>
    <w:unhideWhenUsed/>
    <w:qFormat/>
    <w:uiPriority w:val="0"/>
    <w:pPr>
      <w:numPr>
        <w:ilvl w:val="0"/>
        <w:numId w:val="4"/>
      </w:numPr>
    </w:pPr>
  </w:style>
  <w:style w:type="paragraph" w:styleId="25">
    <w:name w:val="toc 5"/>
    <w:basedOn w:val="1"/>
    <w:next w:val="1"/>
    <w:semiHidden/>
    <w:unhideWhenUsed/>
    <w:qFormat/>
    <w:uiPriority w:val="39"/>
    <w:pPr>
      <w:ind w:left="840"/>
      <w:jc w:val="left"/>
    </w:pPr>
    <w:rPr>
      <w:szCs w:val="21"/>
    </w:rPr>
  </w:style>
  <w:style w:type="paragraph" w:styleId="26">
    <w:name w:val="toc 3"/>
    <w:basedOn w:val="1"/>
    <w:next w:val="1"/>
    <w:semiHidden/>
    <w:unhideWhenUsed/>
    <w:qFormat/>
    <w:uiPriority w:val="39"/>
    <w:pPr>
      <w:ind w:left="840" w:leftChars="400"/>
    </w:pPr>
  </w:style>
  <w:style w:type="paragraph" w:styleId="27">
    <w:name w:val="Plain Text"/>
    <w:basedOn w:val="1"/>
    <w:link w:val="91"/>
    <w:semiHidden/>
    <w:unhideWhenUsed/>
    <w:qFormat/>
    <w:uiPriority w:val="0"/>
    <w:rPr>
      <w:rFonts w:ascii="宋体" w:hAnsi="Courier New"/>
      <w:color w:val="000000"/>
      <w:szCs w:val="20"/>
    </w:rPr>
  </w:style>
  <w:style w:type="paragraph" w:styleId="28">
    <w:name w:val="List Bullet 5"/>
    <w:basedOn w:val="1"/>
    <w:semiHidden/>
    <w:unhideWhenUsed/>
    <w:qFormat/>
    <w:uiPriority w:val="0"/>
    <w:pPr>
      <w:numPr>
        <w:ilvl w:val="0"/>
        <w:numId w:val="5"/>
      </w:numPr>
    </w:pPr>
  </w:style>
  <w:style w:type="paragraph" w:styleId="29">
    <w:name w:val="toc 8"/>
    <w:basedOn w:val="1"/>
    <w:next w:val="1"/>
    <w:semiHidden/>
    <w:unhideWhenUsed/>
    <w:qFormat/>
    <w:uiPriority w:val="39"/>
    <w:pPr>
      <w:ind w:left="1470"/>
      <w:jc w:val="left"/>
    </w:pPr>
    <w:rPr>
      <w:szCs w:val="21"/>
    </w:rPr>
  </w:style>
  <w:style w:type="paragraph" w:styleId="30">
    <w:name w:val="Date"/>
    <w:basedOn w:val="1"/>
    <w:next w:val="1"/>
    <w:link w:val="83"/>
    <w:semiHidden/>
    <w:unhideWhenUsed/>
    <w:qFormat/>
    <w:uiPriority w:val="0"/>
    <w:pPr>
      <w:ind w:left="100" w:leftChars="2500"/>
    </w:pPr>
  </w:style>
  <w:style w:type="paragraph" w:styleId="31">
    <w:name w:val="Body Text Indent 2"/>
    <w:basedOn w:val="1"/>
    <w:link w:val="88"/>
    <w:semiHidden/>
    <w:unhideWhenUsed/>
    <w:qFormat/>
    <w:uiPriority w:val="0"/>
    <w:pPr>
      <w:ind w:firstLine="624"/>
    </w:pPr>
    <w:rPr>
      <w:rFonts w:ascii="仿宋_GB2312" w:eastAsia="仿宋_GB2312"/>
      <w:sz w:val="28"/>
    </w:rPr>
  </w:style>
  <w:style w:type="paragraph" w:styleId="32">
    <w:name w:val="endnote text"/>
    <w:basedOn w:val="1"/>
    <w:link w:val="78"/>
    <w:semiHidden/>
    <w:unhideWhenUsed/>
    <w:qFormat/>
    <w:uiPriority w:val="0"/>
    <w:pPr>
      <w:snapToGrid w:val="0"/>
      <w:jc w:val="left"/>
    </w:pPr>
  </w:style>
  <w:style w:type="paragraph" w:styleId="33">
    <w:name w:val="Balloon Text"/>
    <w:basedOn w:val="1"/>
    <w:link w:val="93"/>
    <w:semiHidden/>
    <w:unhideWhenUsed/>
    <w:qFormat/>
    <w:uiPriority w:val="0"/>
    <w:rPr>
      <w:sz w:val="18"/>
      <w:szCs w:val="18"/>
    </w:rPr>
  </w:style>
  <w:style w:type="paragraph" w:styleId="34">
    <w:name w:val="footer"/>
    <w:basedOn w:val="1"/>
    <w:link w:val="64"/>
    <w:unhideWhenUsed/>
    <w:qFormat/>
    <w:uiPriority w:val="0"/>
    <w:pPr>
      <w:tabs>
        <w:tab w:val="center" w:pos="4513"/>
        <w:tab w:val="right" w:pos="9026"/>
      </w:tabs>
      <w:snapToGrid w:val="0"/>
      <w:jc w:val="left"/>
    </w:pPr>
    <w:rPr>
      <w:sz w:val="18"/>
      <w:szCs w:val="18"/>
    </w:rPr>
  </w:style>
  <w:style w:type="paragraph" w:styleId="35">
    <w:name w:val="header"/>
    <w:basedOn w:val="1"/>
    <w:link w:val="63"/>
    <w:unhideWhenUsed/>
    <w:qFormat/>
    <w:uiPriority w:val="0"/>
    <w:pPr>
      <w:pBdr>
        <w:bottom w:val="single" w:color="auto" w:sz="6" w:space="1"/>
      </w:pBdr>
      <w:tabs>
        <w:tab w:val="center" w:pos="4513"/>
        <w:tab w:val="right" w:pos="9026"/>
      </w:tabs>
      <w:snapToGrid w:val="0"/>
      <w:jc w:val="center"/>
    </w:pPr>
    <w:rPr>
      <w:sz w:val="18"/>
      <w:szCs w:val="18"/>
    </w:rPr>
  </w:style>
  <w:style w:type="paragraph" w:styleId="36">
    <w:name w:val="toc 1"/>
    <w:basedOn w:val="1"/>
    <w:next w:val="1"/>
    <w:semiHidden/>
    <w:unhideWhenUsed/>
    <w:qFormat/>
    <w:uiPriority w:val="39"/>
  </w:style>
  <w:style w:type="paragraph" w:styleId="37">
    <w:name w:val="toc 4"/>
    <w:basedOn w:val="1"/>
    <w:next w:val="1"/>
    <w:semiHidden/>
    <w:unhideWhenUsed/>
    <w:qFormat/>
    <w:uiPriority w:val="39"/>
    <w:pPr>
      <w:ind w:left="630"/>
      <w:jc w:val="left"/>
    </w:pPr>
    <w:rPr>
      <w:szCs w:val="21"/>
    </w:rPr>
  </w:style>
  <w:style w:type="paragraph" w:styleId="38">
    <w:name w:val="List"/>
    <w:basedOn w:val="1"/>
    <w:semiHidden/>
    <w:unhideWhenUsed/>
    <w:qFormat/>
    <w:uiPriority w:val="0"/>
    <w:pPr>
      <w:spacing w:line="360" w:lineRule="auto"/>
      <w:ind w:left="-271" w:right="-108" w:firstLine="163"/>
      <w:jc w:val="center"/>
    </w:pPr>
    <w:rPr>
      <w:rFonts w:ascii="宋体"/>
      <w:kern w:val="28"/>
      <w:sz w:val="24"/>
      <w:szCs w:val="20"/>
    </w:rPr>
  </w:style>
  <w:style w:type="paragraph" w:styleId="39">
    <w:name w:val="footnote text"/>
    <w:basedOn w:val="1"/>
    <w:link w:val="76"/>
    <w:semiHidden/>
    <w:unhideWhenUsed/>
    <w:qFormat/>
    <w:uiPriority w:val="0"/>
    <w:pPr>
      <w:snapToGrid w:val="0"/>
      <w:jc w:val="left"/>
    </w:pPr>
    <w:rPr>
      <w:sz w:val="18"/>
      <w:szCs w:val="18"/>
    </w:rPr>
  </w:style>
  <w:style w:type="paragraph" w:styleId="40">
    <w:name w:val="toc 6"/>
    <w:basedOn w:val="1"/>
    <w:next w:val="1"/>
    <w:semiHidden/>
    <w:unhideWhenUsed/>
    <w:qFormat/>
    <w:uiPriority w:val="39"/>
    <w:pPr>
      <w:ind w:left="1050"/>
      <w:jc w:val="left"/>
    </w:pPr>
    <w:rPr>
      <w:szCs w:val="21"/>
    </w:rPr>
  </w:style>
  <w:style w:type="paragraph" w:styleId="41">
    <w:name w:val="Body Text Indent 3"/>
    <w:basedOn w:val="1"/>
    <w:link w:val="89"/>
    <w:semiHidden/>
    <w:unhideWhenUsed/>
    <w:qFormat/>
    <w:uiPriority w:val="0"/>
    <w:pPr>
      <w:spacing w:after="120"/>
      <w:ind w:left="420" w:leftChars="200"/>
    </w:pPr>
    <w:rPr>
      <w:sz w:val="16"/>
      <w:szCs w:val="16"/>
    </w:rPr>
  </w:style>
  <w:style w:type="paragraph" w:styleId="42">
    <w:name w:val="toc 2"/>
    <w:basedOn w:val="1"/>
    <w:next w:val="1"/>
    <w:semiHidden/>
    <w:unhideWhenUsed/>
    <w:qFormat/>
    <w:uiPriority w:val="39"/>
    <w:pPr>
      <w:ind w:left="420" w:leftChars="200"/>
    </w:pPr>
  </w:style>
  <w:style w:type="paragraph" w:styleId="43">
    <w:name w:val="toc 9"/>
    <w:basedOn w:val="1"/>
    <w:next w:val="1"/>
    <w:semiHidden/>
    <w:unhideWhenUsed/>
    <w:qFormat/>
    <w:uiPriority w:val="39"/>
    <w:pPr>
      <w:ind w:left="1680"/>
      <w:jc w:val="left"/>
    </w:pPr>
    <w:rPr>
      <w:szCs w:val="21"/>
    </w:rPr>
  </w:style>
  <w:style w:type="paragraph" w:styleId="44">
    <w:name w:val="Body Text 2"/>
    <w:basedOn w:val="1"/>
    <w:link w:val="86"/>
    <w:semiHidden/>
    <w:unhideWhenUsed/>
    <w:qFormat/>
    <w:uiPriority w:val="0"/>
    <w:rPr>
      <w:rFonts w:ascii="宋体" w:hAnsi="宋体"/>
      <w:sz w:val="28"/>
    </w:rPr>
  </w:style>
  <w:style w:type="paragraph" w:styleId="45">
    <w:name w:val="HTML Preformatted"/>
    <w:basedOn w:val="1"/>
    <w:link w:val="74"/>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46">
    <w:name w:val="Normal (Web)"/>
    <w:basedOn w:val="1"/>
    <w:semiHidden/>
    <w:unhideWhenUsed/>
    <w:qFormat/>
    <w:uiPriority w:val="0"/>
    <w:pPr>
      <w:widowControl/>
      <w:spacing w:before="100" w:beforeAutospacing="1" w:after="100" w:afterAutospacing="1"/>
      <w:jc w:val="left"/>
    </w:pPr>
    <w:rPr>
      <w:rFonts w:ascii="ˎ̥" w:hAnsi="ˎ̥"/>
      <w:color w:val="000000"/>
      <w:kern w:val="0"/>
      <w:sz w:val="18"/>
      <w:szCs w:val="20"/>
    </w:rPr>
  </w:style>
  <w:style w:type="paragraph" w:styleId="47">
    <w:name w:val="index 1"/>
    <w:basedOn w:val="1"/>
    <w:next w:val="1"/>
    <w:semiHidden/>
    <w:unhideWhenUsed/>
    <w:qFormat/>
    <w:uiPriority w:val="0"/>
    <w:pPr>
      <w:spacing w:line="220" w:lineRule="exact"/>
      <w:jc w:val="center"/>
    </w:pPr>
    <w:rPr>
      <w:rFonts w:ascii="仿宋_GB2312" w:eastAsia="仿宋_GB2312"/>
      <w:szCs w:val="21"/>
    </w:rPr>
  </w:style>
  <w:style w:type="paragraph" w:styleId="48">
    <w:name w:val="Title"/>
    <w:basedOn w:val="1"/>
    <w:link w:val="79"/>
    <w:qFormat/>
    <w:uiPriority w:val="0"/>
    <w:pPr>
      <w:adjustRightInd w:val="0"/>
      <w:spacing w:before="240" w:after="60" w:line="420" w:lineRule="atLeast"/>
      <w:jc w:val="center"/>
      <w:outlineLvl w:val="0"/>
    </w:pPr>
    <w:rPr>
      <w:rFonts w:ascii="Arial" w:hAnsi="Arial"/>
      <w:b/>
      <w:kern w:val="0"/>
      <w:sz w:val="32"/>
      <w:szCs w:val="20"/>
    </w:rPr>
  </w:style>
  <w:style w:type="paragraph" w:styleId="49">
    <w:name w:val="annotation subject"/>
    <w:basedOn w:val="18"/>
    <w:next w:val="18"/>
    <w:link w:val="92"/>
    <w:semiHidden/>
    <w:unhideWhenUsed/>
    <w:qFormat/>
    <w:uiPriority w:val="0"/>
    <w:rPr>
      <w:b/>
    </w:rPr>
  </w:style>
  <w:style w:type="paragraph" w:styleId="50">
    <w:name w:val="Body Text First Indent"/>
    <w:basedOn w:val="2"/>
    <w:link w:val="84"/>
    <w:semiHidden/>
    <w:unhideWhenUsed/>
    <w:qFormat/>
    <w:uiPriority w:val="0"/>
    <w:pPr>
      <w:snapToGrid w:val="0"/>
      <w:ind w:firstLine="100" w:firstLineChars="100"/>
    </w:pPr>
    <w:rPr>
      <w:rFonts w:ascii="宋体"/>
      <w:spacing w:val="-6"/>
    </w:rPr>
  </w:style>
  <w:style w:type="paragraph" w:styleId="51">
    <w:name w:val="Body Text First Indent 2"/>
    <w:basedOn w:val="22"/>
    <w:link w:val="85"/>
    <w:semiHidden/>
    <w:unhideWhenUsed/>
    <w:qFormat/>
    <w:uiPriority w:val="0"/>
    <w:pPr>
      <w:ind w:firstLine="420" w:firstLineChars="200"/>
    </w:pPr>
  </w:style>
  <w:style w:type="table" w:styleId="53">
    <w:name w:val="Table Grid"/>
    <w:basedOn w:val="52"/>
    <w:qFormat/>
    <w:uiPriority w:val="0"/>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qFormat/>
    <w:uiPriority w:val="0"/>
    <w:rPr>
      <w:b/>
    </w:rPr>
  </w:style>
  <w:style w:type="character" w:styleId="56">
    <w:name w:val="endnote reference"/>
    <w:semiHidden/>
    <w:unhideWhenUsed/>
    <w:qFormat/>
    <w:uiPriority w:val="0"/>
    <w:rPr>
      <w:vertAlign w:val="superscript"/>
    </w:rPr>
  </w:style>
  <w:style w:type="character" w:styleId="57">
    <w:name w:val="FollowedHyperlink"/>
    <w:semiHidden/>
    <w:unhideWhenUsed/>
    <w:qFormat/>
    <w:uiPriority w:val="0"/>
    <w:rPr>
      <w:color w:val="800080"/>
      <w:u w:val="single"/>
    </w:rPr>
  </w:style>
  <w:style w:type="character" w:styleId="58">
    <w:name w:val="Emphasis"/>
    <w:qFormat/>
    <w:uiPriority w:val="0"/>
    <w:rPr>
      <w:color w:val="CC0033"/>
    </w:rPr>
  </w:style>
  <w:style w:type="character" w:styleId="59">
    <w:name w:val="Hyperlink"/>
    <w:basedOn w:val="54"/>
    <w:semiHidden/>
    <w:unhideWhenUsed/>
    <w:qFormat/>
    <w:uiPriority w:val="99"/>
    <w:rPr>
      <w:color w:val="0000FF"/>
      <w:u w:val="single"/>
    </w:rPr>
  </w:style>
  <w:style w:type="character" w:styleId="60">
    <w:name w:val="annotation reference"/>
    <w:semiHidden/>
    <w:unhideWhenUsed/>
    <w:qFormat/>
    <w:uiPriority w:val="0"/>
    <w:rPr>
      <w:sz w:val="21"/>
      <w:szCs w:val="21"/>
    </w:rPr>
  </w:style>
  <w:style w:type="character" w:styleId="61">
    <w:name w:val="footnote reference"/>
    <w:semiHidden/>
    <w:unhideWhenUsed/>
    <w:qFormat/>
    <w:uiPriority w:val="0"/>
    <w:rPr>
      <w:vertAlign w:val="superscript"/>
    </w:rPr>
  </w:style>
  <w:style w:type="paragraph" w:customStyle="1" w:styleId="62">
    <w:name w:val="p0"/>
    <w:basedOn w:val="1"/>
    <w:qFormat/>
    <w:uiPriority w:val="0"/>
    <w:pPr>
      <w:widowControl/>
    </w:pPr>
    <w:rPr>
      <w:kern w:val="0"/>
      <w:szCs w:val="21"/>
    </w:rPr>
  </w:style>
  <w:style w:type="character" w:customStyle="1" w:styleId="63">
    <w:name w:val="页眉 Char"/>
    <w:basedOn w:val="54"/>
    <w:link w:val="35"/>
    <w:qFormat/>
    <w:uiPriority w:val="0"/>
    <w:rPr>
      <w:sz w:val="18"/>
      <w:szCs w:val="18"/>
    </w:rPr>
  </w:style>
  <w:style w:type="character" w:customStyle="1" w:styleId="64">
    <w:name w:val="页脚 Char"/>
    <w:basedOn w:val="54"/>
    <w:link w:val="34"/>
    <w:qFormat/>
    <w:uiPriority w:val="0"/>
    <w:rPr>
      <w:sz w:val="18"/>
      <w:szCs w:val="18"/>
    </w:rPr>
  </w:style>
  <w:style w:type="character" w:customStyle="1" w:styleId="65">
    <w:name w:val="标题 1 Char"/>
    <w:basedOn w:val="54"/>
    <w:link w:val="3"/>
    <w:qFormat/>
    <w:uiPriority w:val="0"/>
    <w:rPr>
      <w:rFonts w:ascii="Calibri" w:hAnsi="Calibri" w:eastAsia="宋体" w:cs="宋体"/>
      <w:b/>
      <w:bCs/>
      <w:kern w:val="44"/>
      <w:sz w:val="44"/>
      <w:szCs w:val="44"/>
    </w:rPr>
  </w:style>
  <w:style w:type="character" w:customStyle="1" w:styleId="66">
    <w:name w:val="标题 2 Char"/>
    <w:basedOn w:val="54"/>
    <w:link w:val="4"/>
    <w:semiHidden/>
    <w:qFormat/>
    <w:uiPriority w:val="0"/>
    <w:rPr>
      <w:rFonts w:ascii="Arial" w:hAnsi="Arial" w:eastAsia="黑体" w:cs="Times New Roman"/>
      <w:b/>
      <w:bCs/>
      <w:sz w:val="32"/>
      <w:szCs w:val="32"/>
    </w:rPr>
  </w:style>
  <w:style w:type="character" w:customStyle="1" w:styleId="67">
    <w:name w:val="标题 3 Char"/>
    <w:basedOn w:val="54"/>
    <w:link w:val="5"/>
    <w:qFormat/>
    <w:uiPriority w:val="0"/>
    <w:rPr>
      <w:rFonts w:ascii="Calibri" w:hAnsi="Calibri" w:eastAsia="宋体" w:cs="宋体"/>
      <w:b/>
      <w:bCs/>
      <w:sz w:val="32"/>
      <w:szCs w:val="32"/>
    </w:rPr>
  </w:style>
  <w:style w:type="character" w:customStyle="1" w:styleId="68">
    <w:name w:val="标题 4 Char"/>
    <w:basedOn w:val="54"/>
    <w:link w:val="7"/>
    <w:semiHidden/>
    <w:qFormat/>
    <w:uiPriority w:val="0"/>
    <w:rPr>
      <w:rFonts w:ascii="Arial" w:hAnsi="Arial" w:eastAsia="黑体" w:cs="Times New Roman"/>
      <w:b/>
      <w:bCs/>
      <w:sz w:val="28"/>
      <w:szCs w:val="28"/>
    </w:rPr>
  </w:style>
  <w:style w:type="character" w:customStyle="1" w:styleId="69">
    <w:name w:val="标题 5 Char"/>
    <w:basedOn w:val="54"/>
    <w:link w:val="8"/>
    <w:semiHidden/>
    <w:qFormat/>
    <w:uiPriority w:val="0"/>
    <w:rPr>
      <w:rFonts w:ascii="Calibri" w:hAnsi="Calibri" w:eastAsia="宋体" w:cs="宋体"/>
      <w:bCs/>
      <w:color w:val="000000"/>
      <w:sz w:val="32"/>
      <w:szCs w:val="28"/>
    </w:rPr>
  </w:style>
  <w:style w:type="character" w:customStyle="1" w:styleId="70">
    <w:name w:val="标题 6 Char"/>
    <w:basedOn w:val="54"/>
    <w:link w:val="9"/>
    <w:semiHidden/>
    <w:qFormat/>
    <w:uiPriority w:val="0"/>
    <w:rPr>
      <w:rFonts w:ascii="Arial" w:hAnsi="Arial" w:eastAsia="黑体" w:cs="Times New Roman"/>
      <w:b/>
      <w:bCs/>
      <w:kern w:val="0"/>
      <w:sz w:val="24"/>
      <w:szCs w:val="24"/>
    </w:rPr>
  </w:style>
  <w:style w:type="character" w:customStyle="1" w:styleId="71">
    <w:name w:val="标题 7 Char"/>
    <w:basedOn w:val="54"/>
    <w:link w:val="10"/>
    <w:semiHidden/>
    <w:qFormat/>
    <w:uiPriority w:val="0"/>
    <w:rPr>
      <w:rFonts w:ascii="Calibri" w:hAnsi="Calibri" w:cs="Times New Roman"/>
      <w:b/>
      <w:bCs/>
      <w:kern w:val="0"/>
      <w:sz w:val="24"/>
      <w:szCs w:val="24"/>
    </w:rPr>
  </w:style>
  <w:style w:type="character" w:customStyle="1" w:styleId="72">
    <w:name w:val="标题 8 Char"/>
    <w:basedOn w:val="54"/>
    <w:link w:val="11"/>
    <w:semiHidden/>
    <w:qFormat/>
    <w:uiPriority w:val="0"/>
    <w:rPr>
      <w:rFonts w:ascii="Arial" w:hAnsi="Arial" w:eastAsia="黑体" w:cs="Times New Roman"/>
      <w:kern w:val="0"/>
      <w:sz w:val="24"/>
      <w:szCs w:val="24"/>
    </w:rPr>
  </w:style>
  <w:style w:type="character" w:customStyle="1" w:styleId="73">
    <w:name w:val="标题 9 Char"/>
    <w:basedOn w:val="54"/>
    <w:link w:val="12"/>
    <w:semiHidden/>
    <w:qFormat/>
    <w:uiPriority w:val="0"/>
    <w:rPr>
      <w:rFonts w:ascii="Arial" w:hAnsi="Arial" w:eastAsia="黑体" w:cs="Times New Roman"/>
      <w:kern w:val="0"/>
      <w:szCs w:val="21"/>
    </w:rPr>
  </w:style>
  <w:style w:type="character" w:customStyle="1" w:styleId="74">
    <w:name w:val="HTML 预设格式 Char"/>
    <w:basedOn w:val="54"/>
    <w:link w:val="45"/>
    <w:semiHidden/>
    <w:qFormat/>
    <w:uiPriority w:val="0"/>
    <w:rPr>
      <w:rFonts w:ascii="Courier New" w:hAnsi="Courier New" w:cs="Courier New"/>
      <w:sz w:val="20"/>
      <w:szCs w:val="20"/>
    </w:rPr>
  </w:style>
  <w:style w:type="character" w:customStyle="1" w:styleId="75">
    <w:name w:val="正文缩进 Char"/>
    <w:link w:val="6"/>
    <w:semiHidden/>
    <w:qFormat/>
    <w:locked/>
    <w:uiPriority w:val="0"/>
    <w:rPr>
      <w:szCs w:val="24"/>
    </w:rPr>
  </w:style>
  <w:style w:type="character" w:customStyle="1" w:styleId="76">
    <w:name w:val="脚注文本 Char"/>
    <w:basedOn w:val="54"/>
    <w:link w:val="39"/>
    <w:semiHidden/>
    <w:qFormat/>
    <w:uiPriority w:val="0"/>
    <w:rPr>
      <w:rFonts w:ascii="Calibri" w:hAnsi="Calibri" w:cs="Times New Roman"/>
      <w:sz w:val="18"/>
      <w:szCs w:val="18"/>
    </w:rPr>
  </w:style>
  <w:style w:type="character" w:customStyle="1" w:styleId="77">
    <w:name w:val="批注文字 Char"/>
    <w:basedOn w:val="54"/>
    <w:link w:val="18"/>
    <w:semiHidden/>
    <w:qFormat/>
    <w:uiPriority w:val="0"/>
    <w:rPr>
      <w:rFonts w:ascii="Calibri" w:hAnsi="Calibri" w:cs="Times New Roman"/>
      <w:szCs w:val="24"/>
    </w:rPr>
  </w:style>
  <w:style w:type="character" w:customStyle="1" w:styleId="78">
    <w:name w:val="尾注文本 Char"/>
    <w:basedOn w:val="54"/>
    <w:link w:val="32"/>
    <w:semiHidden/>
    <w:qFormat/>
    <w:uiPriority w:val="0"/>
    <w:rPr>
      <w:rFonts w:ascii="Calibri" w:hAnsi="Calibri" w:cs="Times New Roman"/>
      <w:szCs w:val="24"/>
    </w:rPr>
  </w:style>
  <w:style w:type="character" w:customStyle="1" w:styleId="79">
    <w:name w:val="标题 Char"/>
    <w:basedOn w:val="54"/>
    <w:link w:val="48"/>
    <w:qFormat/>
    <w:uiPriority w:val="0"/>
    <w:rPr>
      <w:rFonts w:ascii="Arial" w:hAnsi="Arial" w:cs="Times New Roman"/>
      <w:b/>
      <w:kern w:val="0"/>
      <w:sz w:val="32"/>
      <w:szCs w:val="20"/>
    </w:rPr>
  </w:style>
  <w:style w:type="character" w:customStyle="1" w:styleId="80">
    <w:name w:val="正文文本 Char"/>
    <w:basedOn w:val="54"/>
    <w:semiHidden/>
    <w:qFormat/>
    <w:uiPriority w:val="0"/>
    <w:rPr>
      <w:rFonts w:ascii="Calibri" w:hAnsi="Calibri" w:cs="Times New Roman"/>
      <w:szCs w:val="24"/>
    </w:rPr>
  </w:style>
  <w:style w:type="character" w:customStyle="1" w:styleId="81">
    <w:name w:val="正文文本缩进 Char"/>
    <w:basedOn w:val="54"/>
    <w:link w:val="22"/>
    <w:semiHidden/>
    <w:qFormat/>
    <w:uiPriority w:val="0"/>
    <w:rPr>
      <w:rFonts w:ascii="Calibri" w:hAnsi="Calibri" w:cs="Times New Roman"/>
      <w:szCs w:val="24"/>
    </w:rPr>
  </w:style>
  <w:style w:type="character" w:customStyle="1" w:styleId="82">
    <w:name w:val="称呼 Char"/>
    <w:basedOn w:val="54"/>
    <w:link w:val="19"/>
    <w:semiHidden/>
    <w:qFormat/>
    <w:uiPriority w:val="0"/>
    <w:rPr>
      <w:rFonts w:ascii="宋体" w:hAnsi="Calibri" w:cs="Times New Roman"/>
      <w:sz w:val="24"/>
      <w:szCs w:val="20"/>
    </w:rPr>
  </w:style>
  <w:style w:type="character" w:customStyle="1" w:styleId="83">
    <w:name w:val="日期 Char"/>
    <w:basedOn w:val="54"/>
    <w:link w:val="30"/>
    <w:semiHidden/>
    <w:qFormat/>
    <w:uiPriority w:val="0"/>
    <w:rPr>
      <w:rFonts w:ascii="Calibri" w:hAnsi="Calibri" w:cs="Times New Roman"/>
      <w:szCs w:val="24"/>
    </w:rPr>
  </w:style>
  <w:style w:type="character" w:customStyle="1" w:styleId="84">
    <w:name w:val="正文首行缩进 Char"/>
    <w:basedOn w:val="80"/>
    <w:link w:val="50"/>
    <w:semiHidden/>
    <w:qFormat/>
    <w:uiPriority w:val="0"/>
    <w:rPr>
      <w:rFonts w:ascii="宋体" w:hAnsi="Calibri" w:cs="Times New Roman"/>
      <w:spacing w:val="-6"/>
      <w:szCs w:val="24"/>
    </w:rPr>
  </w:style>
  <w:style w:type="character" w:customStyle="1" w:styleId="85">
    <w:name w:val="正文首行缩进 2 Char"/>
    <w:basedOn w:val="81"/>
    <w:link w:val="51"/>
    <w:semiHidden/>
    <w:qFormat/>
    <w:uiPriority w:val="0"/>
    <w:rPr>
      <w:rFonts w:ascii="Calibri" w:hAnsi="Calibri" w:cs="Times New Roman"/>
      <w:szCs w:val="24"/>
    </w:rPr>
  </w:style>
  <w:style w:type="character" w:customStyle="1" w:styleId="86">
    <w:name w:val="正文文本 2 Char"/>
    <w:basedOn w:val="54"/>
    <w:link w:val="44"/>
    <w:semiHidden/>
    <w:qFormat/>
    <w:uiPriority w:val="0"/>
    <w:rPr>
      <w:rFonts w:ascii="宋体" w:hAnsi="宋体" w:cs="Times New Roman"/>
      <w:sz w:val="28"/>
      <w:szCs w:val="24"/>
    </w:rPr>
  </w:style>
  <w:style w:type="character" w:customStyle="1" w:styleId="87">
    <w:name w:val="正文文本 3 Char"/>
    <w:basedOn w:val="54"/>
    <w:link w:val="20"/>
    <w:semiHidden/>
    <w:qFormat/>
    <w:uiPriority w:val="0"/>
    <w:rPr>
      <w:rFonts w:ascii="宋体" w:hAnsi="Calibri" w:cs="Times New Roman"/>
      <w:sz w:val="24"/>
      <w:szCs w:val="20"/>
    </w:rPr>
  </w:style>
  <w:style w:type="character" w:customStyle="1" w:styleId="88">
    <w:name w:val="正文文本缩进 2 Char"/>
    <w:basedOn w:val="54"/>
    <w:link w:val="31"/>
    <w:semiHidden/>
    <w:qFormat/>
    <w:uiPriority w:val="0"/>
    <w:rPr>
      <w:rFonts w:ascii="仿宋_GB2312" w:hAnsi="Calibri" w:eastAsia="仿宋_GB2312" w:cs="Times New Roman"/>
      <w:sz w:val="28"/>
      <w:szCs w:val="24"/>
    </w:rPr>
  </w:style>
  <w:style w:type="character" w:customStyle="1" w:styleId="89">
    <w:name w:val="正文文本缩进 3 Char"/>
    <w:basedOn w:val="54"/>
    <w:link w:val="41"/>
    <w:semiHidden/>
    <w:qFormat/>
    <w:uiPriority w:val="0"/>
    <w:rPr>
      <w:rFonts w:ascii="Calibri" w:hAnsi="Calibri" w:cs="Times New Roman"/>
      <w:sz w:val="16"/>
      <w:szCs w:val="16"/>
    </w:rPr>
  </w:style>
  <w:style w:type="character" w:customStyle="1" w:styleId="90">
    <w:name w:val="文档结构图 Char"/>
    <w:basedOn w:val="54"/>
    <w:link w:val="17"/>
    <w:semiHidden/>
    <w:qFormat/>
    <w:uiPriority w:val="0"/>
    <w:rPr>
      <w:rFonts w:ascii="Calibri" w:hAnsi="Calibri" w:cs="Times New Roman"/>
      <w:szCs w:val="24"/>
      <w:shd w:val="clear" w:color="auto" w:fill="000080"/>
    </w:rPr>
  </w:style>
  <w:style w:type="character" w:customStyle="1" w:styleId="91">
    <w:name w:val="纯文本 Char"/>
    <w:basedOn w:val="54"/>
    <w:link w:val="27"/>
    <w:semiHidden/>
    <w:qFormat/>
    <w:uiPriority w:val="0"/>
    <w:rPr>
      <w:rFonts w:ascii="宋体" w:hAnsi="Courier New" w:cs="Times New Roman"/>
      <w:color w:val="000000"/>
      <w:szCs w:val="20"/>
    </w:rPr>
  </w:style>
  <w:style w:type="character" w:customStyle="1" w:styleId="92">
    <w:name w:val="批注主题 Char"/>
    <w:basedOn w:val="77"/>
    <w:link w:val="49"/>
    <w:semiHidden/>
    <w:qFormat/>
    <w:uiPriority w:val="0"/>
    <w:rPr>
      <w:rFonts w:ascii="Calibri" w:hAnsi="Calibri" w:cs="Times New Roman"/>
      <w:b/>
      <w:szCs w:val="24"/>
    </w:rPr>
  </w:style>
  <w:style w:type="character" w:customStyle="1" w:styleId="93">
    <w:name w:val="批注框文本 Char"/>
    <w:basedOn w:val="54"/>
    <w:link w:val="33"/>
    <w:semiHidden/>
    <w:qFormat/>
    <w:uiPriority w:val="0"/>
    <w:rPr>
      <w:rFonts w:ascii="Calibri" w:hAnsi="Calibri" w:cs="Times New Roman"/>
      <w:sz w:val="18"/>
      <w:szCs w:val="18"/>
    </w:rPr>
  </w:style>
  <w:style w:type="character" w:customStyle="1" w:styleId="94">
    <w:name w:val="无间隔 Char"/>
    <w:link w:val="95"/>
    <w:qFormat/>
    <w:locked/>
    <w:uiPriority w:val="1"/>
    <w:rPr>
      <w:sz w:val="22"/>
    </w:rPr>
  </w:style>
  <w:style w:type="paragraph" w:styleId="95">
    <w:name w:val="No Spacing"/>
    <w:link w:val="94"/>
    <w:qFormat/>
    <w:uiPriority w:val="1"/>
    <w:rPr>
      <w:rFonts w:asciiTheme="minorHAnsi" w:hAnsiTheme="minorHAnsi" w:eastAsiaTheme="minorEastAsia" w:cstheme="minorBidi"/>
      <w:kern w:val="2"/>
      <w:sz w:val="22"/>
      <w:szCs w:val="22"/>
      <w:lang w:val="en-US" w:eastAsia="zh-CN" w:bidi="ar-SA"/>
    </w:rPr>
  </w:style>
  <w:style w:type="paragraph" w:styleId="96">
    <w:name w:val="List Paragraph"/>
    <w:basedOn w:val="1"/>
    <w:qFormat/>
    <w:uiPriority w:val="0"/>
    <w:pPr>
      <w:ind w:firstLine="200" w:firstLineChars="200"/>
    </w:pPr>
    <w:rPr>
      <w:szCs w:val="22"/>
    </w:rPr>
  </w:style>
  <w:style w:type="paragraph" w:customStyle="1" w:styleId="97">
    <w:name w:val="TOC Heading"/>
    <w:basedOn w:val="3"/>
    <w:next w:val="1"/>
    <w:semiHidden/>
    <w:unhideWhenUsed/>
    <w:qFormat/>
    <w:uiPriority w:val="0"/>
    <w:pPr>
      <w:widowControl/>
      <w:spacing w:before="480" w:after="0" w:line="276" w:lineRule="auto"/>
      <w:jc w:val="left"/>
      <w:outlineLvl w:val="9"/>
    </w:pPr>
    <w:rPr>
      <w:rFonts w:ascii="Cambria" w:hAnsi="Cambria" w:cs="Times New Roman"/>
      <w:color w:val="365F91"/>
      <w:kern w:val="0"/>
      <w:sz w:val="28"/>
      <w:szCs w:val="28"/>
    </w:rPr>
  </w:style>
  <w:style w:type="paragraph" w:customStyle="1" w:styleId="98">
    <w:name w:val="目次、索引正文"/>
    <w:qFormat/>
    <w:uiPriority w:val="0"/>
    <w:pPr>
      <w:spacing w:line="320" w:lineRule="exact"/>
      <w:jc w:val="both"/>
    </w:pPr>
    <w:rPr>
      <w:rFonts w:ascii="宋体" w:hAnsi="Calibri" w:cs="Times New Roman" w:eastAsiaTheme="minorEastAsia"/>
      <w:kern w:val="0"/>
      <w:sz w:val="21"/>
      <w:szCs w:val="20"/>
      <w:lang w:val="en-US" w:eastAsia="zh-CN" w:bidi="ar-SA"/>
    </w:rPr>
  </w:style>
  <w:style w:type="paragraph" w:customStyle="1" w:styleId="99">
    <w:name w:val="正文A"/>
    <w:qFormat/>
    <w:uiPriority w:val="0"/>
    <w:pPr>
      <w:tabs>
        <w:tab w:val="left" w:pos="0"/>
      </w:tabs>
      <w:adjustRightInd w:val="0"/>
      <w:snapToGrid w:val="0"/>
      <w:spacing w:line="360" w:lineRule="auto"/>
      <w:ind w:firstLine="200" w:firstLineChars="200"/>
      <w:jc w:val="both"/>
    </w:pPr>
    <w:rPr>
      <w:rFonts w:ascii="Calibri" w:hAnsi="Calibri" w:cs="Times New Roman" w:eastAsiaTheme="minorEastAsia"/>
      <w:kern w:val="0"/>
      <w:sz w:val="24"/>
      <w:szCs w:val="20"/>
      <w:lang w:val="en-US" w:eastAsia="zh-CN" w:bidi="ar-SA"/>
    </w:rPr>
  </w:style>
  <w:style w:type="paragraph" w:customStyle="1" w:styleId="100">
    <w:name w:val="style1"/>
    <w:basedOn w:val="1"/>
    <w:qFormat/>
    <w:uiPriority w:val="0"/>
    <w:pPr>
      <w:widowControl/>
      <w:spacing w:before="100" w:beforeAutospacing="1" w:after="100" w:afterAutospacing="1" w:line="432" w:lineRule="auto"/>
      <w:jc w:val="left"/>
    </w:pPr>
    <w:rPr>
      <w:rFonts w:ascii="宋体" w:cs="宋体"/>
      <w:kern w:val="0"/>
      <w:sz w:val="27"/>
      <w:szCs w:val="27"/>
    </w:rPr>
  </w:style>
  <w:style w:type="paragraph" w:customStyle="1" w:styleId="101">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02">
    <w:name w:val="Char1 Char Char Char Char Char Char Char Char Char Char Char"/>
    <w:basedOn w:val="1"/>
    <w:qFormat/>
    <w:uiPriority w:val="0"/>
    <w:pPr>
      <w:pageBreakBefore/>
      <w:tabs>
        <w:tab w:val="left" w:pos="432"/>
      </w:tabs>
      <w:ind w:left="432" w:hanging="432"/>
    </w:pPr>
  </w:style>
  <w:style w:type="paragraph" w:customStyle="1" w:styleId="103">
    <w:name w:val="样式 标题 3 + (中文) 黑体 小四 非加粗 段前: 7.8 磅 段后: 0 磅 行距: 固定值 20 磅"/>
    <w:basedOn w:val="5"/>
    <w:qFormat/>
    <w:uiPriority w:val="0"/>
    <w:pPr>
      <w:spacing w:before="0" w:after="0" w:line="400" w:lineRule="exact"/>
    </w:pPr>
    <w:rPr>
      <w:rFonts w:eastAsia="黑体"/>
      <w:b w:val="0"/>
      <w:bCs w:val="0"/>
      <w:sz w:val="24"/>
      <w:szCs w:val="20"/>
    </w:rPr>
  </w:style>
  <w:style w:type="paragraph" w:customStyle="1" w:styleId="104">
    <w:name w:val="表格"/>
    <w:basedOn w:val="1"/>
    <w:qFormat/>
    <w:uiPriority w:val="0"/>
    <w:pPr>
      <w:jc w:val="center"/>
    </w:pPr>
    <w:rPr>
      <w:rFonts w:ascii="华文细黑" w:hAnsi="华文细黑"/>
      <w:kern w:val="0"/>
      <w:szCs w:val="20"/>
    </w:rPr>
  </w:style>
  <w:style w:type="paragraph" w:customStyle="1" w:styleId="105">
    <w:name w:val="段"/>
    <w:qFormat/>
    <w:uiPriority w:val="0"/>
    <w:pPr>
      <w:autoSpaceDE w:val="0"/>
      <w:autoSpaceDN w:val="0"/>
      <w:ind w:firstLine="200" w:firstLineChars="200"/>
      <w:jc w:val="both"/>
    </w:pPr>
    <w:rPr>
      <w:rFonts w:ascii="宋体" w:hAnsi="Calibri" w:cs="Times New Roman" w:eastAsiaTheme="minorEastAsia"/>
      <w:kern w:val="0"/>
      <w:sz w:val="21"/>
      <w:szCs w:val="20"/>
      <w:lang w:val="en-US" w:eastAsia="zh-CN" w:bidi="ar-SA"/>
    </w:rPr>
  </w:style>
  <w:style w:type="paragraph" w:customStyle="1" w:styleId="106">
    <w:name w:val="附录图标题"/>
    <w:next w:val="105"/>
    <w:qFormat/>
    <w:uiPriority w:val="0"/>
    <w:pPr>
      <w:numPr>
        <w:ilvl w:val="0"/>
        <w:numId w:val="6"/>
      </w:numPr>
      <w:tabs>
        <w:tab w:val="left" w:pos="360"/>
      </w:tabs>
      <w:jc w:val="center"/>
    </w:pPr>
    <w:rPr>
      <w:rFonts w:ascii="黑体" w:hAnsi="Calibri" w:eastAsia="黑体" w:cs="Times New Roman"/>
      <w:kern w:val="0"/>
      <w:sz w:val="21"/>
      <w:szCs w:val="20"/>
      <w:lang w:val="en-US" w:eastAsia="zh-CN" w:bidi="ar-SA"/>
    </w:rPr>
  </w:style>
  <w:style w:type="paragraph" w:customStyle="1" w:styleId="107">
    <w:name w:val="纯文本1"/>
    <w:basedOn w:val="1"/>
    <w:qFormat/>
    <w:uiPriority w:val="0"/>
    <w:pPr>
      <w:adjustRightInd w:val="0"/>
    </w:pPr>
    <w:rPr>
      <w:rFonts w:ascii="宋体"/>
      <w:szCs w:val="20"/>
    </w:rPr>
  </w:style>
  <w:style w:type="paragraph" w:customStyle="1" w:styleId="108">
    <w:name w:val="一级条标题"/>
    <w:next w:val="1"/>
    <w:qFormat/>
    <w:uiPriority w:val="0"/>
    <w:pPr>
      <w:tabs>
        <w:tab w:val="left" w:pos="0"/>
      </w:tabs>
      <w:ind w:left="420"/>
      <w:outlineLvl w:val="2"/>
    </w:pPr>
    <w:rPr>
      <w:rFonts w:ascii="Calibri" w:hAnsi="Calibri" w:eastAsia="黑体" w:cs="Times New Roman"/>
      <w:kern w:val="0"/>
      <w:sz w:val="21"/>
      <w:szCs w:val="20"/>
      <w:lang w:val="en-US" w:eastAsia="zh-CN" w:bidi="ar-SA"/>
    </w:rPr>
  </w:style>
  <w:style w:type="paragraph" w:customStyle="1" w:styleId="109">
    <w:name w:val="样式 标题 2H2Title22级 + 居中"/>
    <w:basedOn w:val="4"/>
    <w:qFormat/>
    <w:uiPriority w:val="0"/>
    <w:pPr>
      <w:spacing w:line="412" w:lineRule="auto"/>
      <w:jc w:val="center"/>
    </w:pPr>
    <w:rPr>
      <w:rFonts w:cs="宋体"/>
      <w:sz w:val="36"/>
      <w:szCs w:val="20"/>
    </w:rPr>
  </w:style>
  <w:style w:type="paragraph" w:customStyle="1" w:styleId="110">
    <w:name w:val="附录一级条标题"/>
    <w:basedOn w:val="1"/>
    <w:next w:val="105"/>
    <w:qFormat/>
    <w:uiPriority w:val="0"/>
    <w:pPr>
      <w:widowControl/>
      <w:numPr>
        <w:ilvl w:val="1"/>
        <w:numId w:val="7"/>
      </w:numPr>
      <w:wordWrap w:val="0"/>
      <w:overflowPunct w:val="0"/>
      <w:autoSpaceDE w:val="0"/>
      <w:autoSpaceDN w:val="0"/>
      <w:outlineLvl w:val="2"/>
    </w:pPr>
    <w:rPr>
      <w:rFonts w:ascii="黑体" w:eastAsia="黑体"/>
      <w:kern w:val="21"/>
      <w:szCs w:val="20"/>
    </w:rPr>
  </w:style>
  <w:style w:type="paragraph" w:customStyle="1" w:styleId="111">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12">
    <w:name w:val="Char Char Char Char Char Char3 Char Char Char Char Char Char Char"/>
    <w:basedOn w:val="1"/>
    <w:next w:val="1"/>
    <w:qFormat/>
    <w:uiPriority w:val="0"/>
    <w:rPr>
      <w:rFonts w:eastAsia="黑体"/>
      <w:sz w:val="28"/>
    </w:rPr>
  </w:style>
  <w:style w:type="paragraph" w:customStyle="1" w:styleId="113">
    <w:name w:val="Char3"/>
    <w:basedOn w:val="1"/>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eastAsia="en-GB"/>
    </w:rPr>
  </w:style>
  <w:style w:type="paragraph" w:customStyle="1" w:styleId="114">
    <w:name w:val="样式2"/>
    <w:basedOn w:val="1"/>
    <w:qFormat/>
    <w:uiPriority w:val="0"/>
    <w:pPr>
      <w:spacing w:line="360" w:lineRule="auto"/>
      <w:jc w:val="center"/>
    </w:pPr>
    <w:rPr>
      <w:rFonts w:ascii="黑体" w:eastAsia="黑体"/>
      <w:emboss/>
      <w:color w:val="FFFFFF"/>
      <w:sz w:val="44"/>
      <w:szCs w:val="20"/>
    </w:rPr>
  </w:style>
  <w:style w:type="paragraph" w:customStyle="1" w:styleId="115">
    <w:name w:val="Char"/>
    <w:basedOn w:val="17"/>
    <w:qFormat/>
    <w:uiPriority w:val="0"/>
    <w:rPr>
      <w:rFonts w:ascii="Tahoma" w:hAnsi="Tahoma"/>
      <w:sz w:val="24"/>
    </w:rPr>
  </w:style>
  <w:style w:type="paragraph" w:customStyle="1" w:styleId="116">
    <w:name w:val="图表脚注"/>
    <w:next w:val="1"/>
    <w:qFormat/>
    <w:uiPriority w:val="0"/>
    <w:pPr>
      <w:ind w:left="300" w:leftChars="200" w:hanging="100" w:hangingChars="100"/>
      <w:jc w:val="both"/>
    </w:pPr>
    <w:rPr>
      <w:rFonts w:ascii="宋体" w:hAnsi="Calibri" w:cs="Times New Roman" w:eastAsiaTheme="minorEastAsia"/>
      <w:kern w:val="0"/>
      <w:sz w:val="18"/>
      <w:szCs w:val="20"/>
      <w:lang w:val="en-US" w:eastAsia="zh-CN" w:bidi="ar-SA"/>
    </w:rPr>
  </w:style>
  <w:style w:type="paragraph" w:customStyle="1" w:styleId="117">
    <w:name w:val="标准书眉_偶数页"/>
    <w:basedOn w:val="1"/>
    <w:next w:val="1"/>
    <w:qFormat/>
    <w:uiPriority w:val="0"/>
    <w:pPr>
      <w:widowControl/>
      <w:tabs>
        <w:tab w:val="left" w:pos="0"/>
        <w:tab w:val="center" w:pos="4154"/>
        <w:tab w:val="right" w:pos="8306"/>
      </w:tabs>
      <w:spacing w:after="120"/>
      <w:jc w:val="left"/>
    </w:pPr>
    <w:rPr>
      <w:kern w:val="0"/>
      <w:szCs w:val="20"/>
    </w:rPr>
  </w:style>
  <w:style w:type="paragraph" w:customStyle="1" w:styleId="11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9">
    <w:name w:val="前言、引言标题"/>
    <w:next w:val="1"/>
    <w:qFormat/>
    <w:uiPriority w:val="0"/>
    <w:pPr>
      <w:shd w:val="clear" w:color="auto" w:fill="FFFFFF"/>
      <w:tabs>
        <w:tab w:val="left" w:pos="0"/>
      </w:tabs>
      <w:spacing w:before="640" w:after="560"/>
      <w:jc w:val="center"/>
      <w:outlineLvl w:val="0"/>
    </w:pPr>
    <w:rPr>
      <w:rFonts w:ascii="黑体" w:hAnsi="Calibri" w:eastAsia="黑体" w:cs="Times New Roman"/>
      <w:kern w:val="0"/>
      <w:sz w:val="32"/>
      <w:szCs w:val="20"/>
      <w:lang w:val="en-US" w:eastAsia="zh-CN" w:bidi="ar-SA"/>
    </w:rPr>
  </w:style>
  <w:style w:type="paragraph" w:customStyle="1" w:styleId="120">
    <w:name w:val="封面标准文稿编辑信息"/>
    <w:qFormat/>
    <w:uiPriority w:val="0"/>
    <w:pPr>
      <w:spacing w:before="180" w:line="180" w:lineRule="exact"/>
      <w:jc w:val="center"/>
    </w:pPr>
    <w:rPr>
      <w:rFonts w:ascii="宋体" w:hAnsi="Calibri" w:cs="Times New Roman" w:eastAsiaTheme="minorEastAsia"/>
      <w:kern w:val="0"/>
      <w:sz w:val="21"/>
      <w:szCs w:val="20"/>
      <w:lang w:val="en-US" w:eastAsia="zh-CN" w:bidi="ar-SA"/>
    </w:rPr>
  </w:style>
  <w:style w:type="paragraph" w:customStyle="1" w:styleId="121">
    <w:name w:val="附录二级条标题"/>
    <w:basedOn w:val="110"/>
    <w:next w:val="105"/>
    <w:qFormat/>
    <w:uiPriority w:val="0"/>
    <w:pPr>
      <w:numPr>
        <w:ilvl w:val="2"/>
      </w:numPr>
      <w:tabs>
        <w:tab w:val="left" w:pos="2115"/>
      </w:tabs>
      <w:outlineLvl w:val="3"/>
    </w:pPr>
  </w:style>
  <w:style w:type="paragraph" w:customStyle="1" w:styleId="122">
    <w:name w:val="样式3"/>
    <w:basedOn w:val="36"/>
    <w:qFormat/>
    <w:uiPriority w:val="0"/>
    <w:pPr>
      <w:tabs>
        <w:tab w:val="left" w:pos="480"/>
        <w:tab w:val="right" w:leader="dot" w:pos="9028"/>
      </w:tabs>
      <w:spacing w:before="120"/>
      <w:jc w:val="left"/>
    </w:pPr>
    <w:rPr>
      <w:rFonts w:ascii="宋体"/>
      <w:color w:val="FF0000"/>
      <w:spacing w:val="12"/>
      <w:sz w:val="32"/>
      <w:szCs w:val="20"/>
    </w:rPr>
  </w:style>
  <w:style w:type="paragraph" w:customStyle="1" w:styleId="12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b w:val="0"/>
      <w:bCs w:val="0"/>
      <w:sz w:val="32"/>
      <w:szCs w:val="20"/>
    </w:rPr>
  </w:style>
  <w:style w:type="paragraph" w:customStyle="1" w:styleId="124">
    <w:name w:val="zbggmain"/>
    <w:basedOn w:val="1"/>
    <w:qFormat/>
    <w:uiPriority w:val="0"/>
    <w:pPr>
      <w:widowControl/>
      <w:spacing w:before="100" w:beforeAutospacing="1" w:after="100" w:afterAutospacing="1" w:line="360" w:lineRule="auto"/>
      <w:jc w:val="left"/>
    </w:pPr>
    <w:rPr>
      <w:rFonts w:ascii="ˎ̥" w:hAnsi="ˎ̥"/>
      <w:color w:val="000000"/>
      <w:kern w:val="0"/>
      <w:sz w:val="24"/>
      <w:szCs w:val="20"/>
    </w:rPr>
  </w:style>
  <w:style w:type="paragraph" w:customStyle="1" w:styleId="125">
    <w:name w:val="字元 字元 Char Char"/>
    <w:basedOn w:val="17"/>
    <w:qFormat/>
    <w:uiPriority w:val="0"/>
    <w:pPr>
      <w:adjustRightInd w:val="0"/>
      <w:spacing w:line="436" w:lineRule="exact"/>
      <w:ind w:left="357"/>
      <w:jc w:val="left"/>
      <w:outlineLvl w:val="3"/>
    </w:pPr>
    <w:rPr>
      <w:rFonts w:ascii="Tahoma" w:hAnsi="Tahoma"/>
      <w:b/>
      <w:sz w:val="24"/>
    </w:rPr>
  </w:style>
  <w:style w:type="paragraph" w:customStyle="1" w:styleId="126">
    <w:name w:val="xl45"/>
    <w:basedOn w:val="1"/>
    <w:qFormat/>
    <w:uiPriority w:val="0"/>
    <w:pPr>
      <w:widowControl/>
      <w:spacing w:before="100" w:beforeAutospacing="1" w:after="100" w:afterAutospacing="1"/>
      <w:jc w:val="center"/>
    </w:pPr>
    <w:rPr>
      <w:rFonts w:ascii="宋体"/>
      <w:kern w:val="0"/>
      <w:sz w:val="20"/>
      <w:szCs w:val="20"/>
    </w:rPr>
  </w:style>
  <w:style w:type="paragraph" w:customStyle="1" w:styleId="127">
    <w:name w:val="样式 四号 居中"/>
    <w:basedOn w:val="1"/>
    <w:qFormat/>
    <w:uiPriority w:val="0"/>
    <w:rPr>
      <w:rFonts w:cs="宋体"/>
      <w:sz w:val="24"/>
    </w:rPr>
  </w:style>
  <w:style w:type="paragraph" w:customStyle="1" w:styleId="128">
    <w:name w:val="样式 (西文) 华文细黑 小四 左侧:  0.92 厘米 行距: 多倍行距 1.3 字行"/>
    <w:basedOn w:val="1"/>
    <w:qFormat/>
    <w:uiPriority w:val="0"/>
    <w:pPr>
      <w:spacing w:line="312" w:lineRule="auto"/>
      <w:ind w:firstLine="200" w:firstLineChars="200"/>
    </w:pPr>
    <w:rPr>
      <w:rFonts w:ascii="华文细黑" w:hAnsi="华文细黑"/>
      <w:sz w:val="24"/>
      <w:szCs w:val="20"/>
    </w:rPr>
  </w:style>
  <w:style w:type="paragraph" w:customStyle="1" w:styleId="129">
    <w:name w:val="标准书眉_奇数页"/>
    <w:next w:val="1"/>
    <w:qFormat/>
    <w:uiPriority w:val="0"/>
    <w:pPr>
      <w:tabs>
        <w:tab w:val="center" w:pos="4154"/>
        <w:tab w:val="right" w:pos="8306"/>
      </w:tabs>
      <w:spacing w:after="120"/>
      <w:jc w:val="right"/>
    </w:pPr>
    <w:rPr>
      <w:rFonts w:ascii="Calibri" w:hAnsi="Calibri" w:cs="Times New Roman" w:eastAsiaTheme="minorEastAsia"/>
      <w:kern w:val="0"/>
      <w:sz w:val="21"/>
      <w:szCs w:val="20"/>
      <w:lang w:val="en-US" w:eastAsia="zh-CN" w:bidi="ar-SA"/>
    </w:rPr>
  </w:style>
  <w:style w:type="paragraph" w:customStyle="1" w:styleId="130">
    <w:name w:val="附录三级条标题"/>
    <w:basedOn w:val="121"/>
    <w:next w:val="105"/>
    <w:qFormat/>
    <w:uiPriority w:val="0"/>
    <w:pPr>
      <w:numPr>
        <w:ilvl w:val="3"/>
      </w:numPr>
      <w:tabs>
        <w:tab w:val="left" w:pos="2535"/>
      </w:tabs>
      <w:outlineLvl w:val="4"/>
    </w:pPr>
  </w:style>
  <w:style w:type="paragraph" w:customStyle="1" w:styleId="131">
    <w:name w:val="封面标准名称"/>
    <w:qFormat/>
    <w:uiPriority w:val="0"/>
    <w:pPr>
      <w:framePr w:w="9638" w:h="6917" w:wrap="around" w:vAnchor="margin" w:hAnchor="margin" w:xAlign="center" w:y="5955" w:anchorLock="1"/>
      <w:widowControl w:val="0"/>
      <w:spacing w:line="680" w:lineRule="exact"/>
      <w:jc w:val="center"/>
    </w:pPr>
    <w:rPr>
      <w:rFonts w:ascii="黑体" w:hAnsi="Calibri" w:eastAsia="黑体" w:cs="Times New Roman"/>
      <w:kern w:val="0"/>
      <w:sz w:val="52"/>
      <w:szCs w:val="20"/>
      <w:lang w:val="en-US" w:eastAsia="zh-CN" w:bidi="ar-SA"/>
    </w:rPr>
  </w:style>
  <w:style w:type="paragraph" w:customStyle="1" w:styleId="132">
    <w:name w:val="Char Char Char Char Char Char Char Char Char Char Char Char Char Char Char Char Char Char Char"/>
    <w:basedOn w:val="1"/>
    <w:qFormat/>
    <w:uiPriority w:val="0"/>
    <w:pPr>
      <w:spacing w:line="360" w:lineRule="auto"/>
      <w:ind w:firstLine="200" w:firstLineChars="200"/>
    </w:pPr>
    <w:rPr>
      <w:rFonts w:ascii="宋体" w:cs="宋体"/>
      <w:sz w:val="24"/>
    </w:rPr>
  </w:style>
  <w:style w:type="paragraph" w:customStyle="1" w:styleId="133">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134">
    <w:name w:val="Char Char"/>
    <w:basedOn w:val="1"/>
    <w:qFormat/>
    <w:uiPriority w:val="0"/>
    <w:rPr>
      <w:rFonts w:ascii="Tahoma" w:hAnsi="Tahoma"/>
      <w:sz w:val="24"/>
      <w:szCs w:val="20"/>
    </w:rPr>
  </w:style>
  <w:style w:type="paragraph" w:customStyle="1" w:styleId="135">
    <w:name w:val="1.3"/>
    <w:basedOn w:val="1"/>
    <w:qFormat/>
    <w:uiPriority w:val="0"/>
    <w:pPr>
      <w:spacing w:line="560" w:lineRule="exact"/>
      <w:ind w:firstLine="573"/>
    </w:pPr>
    <w:rPr>
      <w:rFonts w:ascii="仿宋_GB2312" w:eastAsia="仿宋_GB2312"/>
      <w:sz w:val="24"/>
      <w:szCs w:val="20"/>
    </w:rPr>
  </w:style>
  <w:style w:type="paragraph" w:customStyle="1" w:styleId="136">
    <w:name w:val="表文C"/>
    <w:basedOn w:val="1"/>
    <w:qFormat/>
    <w:uiPriority w:val="0"/>
    <w:pPr>
      <w:widowControl/>
      <w:tabs>
        <w:tab w:val="left" w:pos="0"/>
      </w:tabs>
      <w:adjustRightInd w:val="0"/>
      <w:snapToGrid w:val="0"/>
      <w:jc w:val="center"/>
    </w:pPr>
    <w:rPr>
      <w:kern w:val="0"/>
      <w:szCs w:val="20"/>
    </w:rPr>
  </w:style>
  <w:style w:type="paragraph" w:customStyle="1" w:styleId="137">
    <w:name w:val="pa-1"/>
    <w:basedOn w:val="1"/>
    <w:qFormat/>
    <w:uiPriority w:val="0"/>
    <w:pPr>
      <w:widowControl/>
      <w:spacing w:line="360" w:lineRule="atLeast"/>
      <w:ind w:firstLine="420"/>
    </w:pPr>
    <w:rPr>
      <w:rFonts w:ascii="宋体" w:cs="宋体"/>
      <w:kern w:val="0"/>
      <w:sz w:val="24"/>
    </w:rPr>
  </w:style>
  <w:style w:type="paragraph" w:customStyle="1" w:styleId="13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kern w:val="0"/>
      <w:sz w:val="24"/>
    </w:rPr>
  </w:style>
  <w:style w:type="paragraph" w:customStyle="1" w:styleId="13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40">
    <w:name w:val="正文文本 21"/>
    <w:basedOn w:val="1"/>
    <w:qFormat/>
    <w:uiPriority w:val="0"/>
    <w:pPr>
      <w:autoSpaceDE w:val="0"/>
      <w:autoSpaceDN w:val="0"/>
      <w:adjustRightInd w:val="0"/>
      <w:spacing w:line="380" w:lineRule="atLeast"/>
    </w:pPr>
    <w:rPr>
      <w:spacing w:val="10"/>
      <w:kern w:val="0"/>
      <w:sz w:val="24"/>
      <w:szCs w:val="20"/>
    </w:rPr>
  </w:style>
  <w:style w:type="paragraph" w:customStyle="1" w:styleId="141">
    <w:name w:val="正文2"/>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142">
    <w:name w:val="Table Paragraph"/>
    <w:basedOn w:val="1"/>
    <w:qFormat/>
    <w:uiPriority w:val="0"/>
    <w:pPr>
      <w:autoSpaceDE w:val="0"/>
      <w:autoSpaceDN w:val="0"/>
      <w:adjustRightInd w:val="0"/>
      <w:jc w:val="left"/>
    </w:pPr>
    <w:rPr>
      <w:kern w:val="0"/>
      <w:sz w:val="24"/>
    </w:rPr>
  </w:style>
  <w:style w:type="paragraph" w:customStyle="1" w:styleId="143">
    <w:name w:val="附录表标题"/>
    <w:next w:val="105"/>
    <w:qFormat/>
    <w:uiPriority w:val="0"/>
    <w:pPr>
      <w:numPr>
        <w:ilvl w:val="0"/>
        <w:numId w:val="8"/>
      </w:numPr>
      <w:tabs>
        <w:tab w:val="left" w:pos="360"/>
      </w:tabs>
      <w:jc w:val="center"/>
    </w:pPr>
    <w:rPr>
      <w:rFonts w:ascii="黑体" w:hAnsi="Calibri" w:eastAsia="黑体" w:cs="Times New Roman"/>
      <w:kern w:val="21"/>
      <w:sz w:val="21"/>
      <w:szCs w:val="20"/>
      <w:lang w:val="en-US" w:eastAsia="zh-CN" w:bidi="ar-SA"/>
    </w:rPr>
  </w:style>
  <w:style w:type="paragraph" w:customStyle="1" w:styleId="144">
    <w:name w:val="默认段落字体 Para Char Char Char Char"/>
    <w:basedOn w:val="1"/>
    <w:qFormat/>
    <w:uiPriority w:val="0"/>
  </w:style>
  <w:style w:type="paragraph" w:customStyle="1" w:styleId="145">
    <w:name w:val="正文表标题"/>
    <w:next w:val="105"/>
    <w:qFormat/>
    <w:uiPriority w:val="0"/>
    <w:pPr>
      <w:tabs>
        <w:tab w:val="left" w:pos="1575"/>
      </w:tabs>
      <w:ind w:left="1575" w:hanging="720"/>
      <w:jc w:val="center"/>
    </w:pPr>
    <w:rPr>
      <w:rFonts w:ascii="黑体" w:hAnsi="Calibri" w:eastAsia="黑体" w:cs="Times New Roman"/>
      <w:kern w:val="0"/>
      <w:sz w:val="21"/>
      <w:szCs w:val="20"/>
      <w:lang w:val="en-US" w:eastAsia="zh-CN" w:bidi="ar-SA"/>
    </w:rPr>
  </w:style>
  <w:style w:type="paragraph" w:customStyle="1" w:styleId="146">
    <w:name w:val="样式1"/>
    <w:basedOn w:val="1"/>
    <w:qFormat/>
    <w:uiPriority w:val="0"/>
    <w:pPr>
      <w:spacing w:line="600" w:lineRule="exact"/>
      <w:jc w:val="center"/>
    </w:pPr>
    <w:rPr>
      <w:rFonts w:eastAsia="黑体"/>
      <w:w w:val="150"/>
      <w:sz w:val="52"/>
    </w:rPr>
  </w:style>
  <w:style w:type="paragraph" w:customStyle="1" w:styleId="147">
    <w:name w:val="1"/>
    <w:basedOn w:val="1"/>
    <w:next w:val="1"/>
    <w:qFormat/>
    <w:uiPriority w:val="0"/>
  </w:style>
  <w:style w:type="paragraph" w:customStyle="1" w:styleId="148">
    <w:name w:val="封面一致性程度标识"/>
    <w:qFormat/>
    <w:uiPriority w:val="0"/>
    <w:pPr>
      <w:spacing w:before="440" w:line="400" w:lineRule="exact"/>
      <w:jc w:val="center"/>
    </w:pPr>
    <w:rPr>
      <w:rFonts w:ascii="宋体" w:hAnsi="Calibri" w:cs="Times New Roman" w:eastAsiaTheme="minorEastAsia"/>
      <w:kern w:val="0"/>
      <w:sz w:val="28"/>
      <w:szCs w:val="20"/>
      <w:lang w:val="en-US" w:eastAsia="zh-CN" w:bidi="ar-SA"/>
    </w:rPr>
  </w:style>
  <w:style w:type="paragraph" w:customStyle="1" w:styleId="149">
    <w:name w:val="图表样式"/>
    <w:basedOn w:val="1"/>
    <w:qFormat/>
    <w:uiPriority w:val="0"/>
    <w:pPr>
      <w:adjustRightInd w:val="0"/>
      <w:jc w:val="center"/>
    </w:pPr>
    <w:rPr>
      <w:kern w:val="0"/>
      <w:sz w:val="24"/>
      <w:szCs w:val="20"/>
    </w:rPr>
  </w:style>
  <w:style w:type="paragraph" w:customStyle="1" w:styleId="150">
    <w:name w:val="表标题1 Char Char"/>
    <w:basedOn w:val="1"/>
    <w:qFormat/>
    <w:uiPriority w:val="0"/>
    <w:pPr>
      <w:adjustRightInd w:val="0"/>
      <w:snapToGrid w:val="0"/>
      <w:spacing w:line="240" w:lineRule="atLeast"/>
      <w:ind w:firstLine="942" w:firstLineChars="942"/>
    </w:pPr>
    <w:rPr>
      <w:rFonts w:ascii="宋体"/>
      <w:b/>
      <w:kern w:val="0"/>
      <w:sz w:val="28"/>
      <w:szCs w:val="20"/>
    </w:rPr>
  </w:style>
  <w:style w:type="paragraph" w:customStyle="1" w:styleId="151">
    <w:name w:val="封面标准英文名称"/>
    <w:qFormat/>
    <w:uiPriority w:val="0"/>
    <w:pPr>
      <w:widowControl w:val="0"/>
      <w:spacing w:before="370" w:line="400" w:lineRule="exact"/>
      <w:jc w:val="center"/>
    </w:pPr>
    <w:rPr>
      <w:rFonts w:ascii="Calibri" w:hAnsi="Calibri" w:cs="Times New Roman" w:eastAsiaTheme="minorEastAsia"/>
      <w:kern w:val="0"/>
      <w:sz w:val="28"/>
      <w:szCs w:val="20"/>
      <w:lang w:val="en-US" w:eastAsia="zh-CN" w:bidi="ar-SA"/>
    </w:rPr>
  </w:style>
  <w:style w:type="paragraph" w:customStyle="1" w:styleId="152">
    <w:name w:val="表名A"/>
    <w:basedOn w:val="1"/>
    <w:qFormat/>
    <w:uiPriority w:val="0"/>
    <w:pPr>
      <w:widowControl/>
      <w:tabs>
        <w:tab w:val="left" w:pos="0"/>
      </w:tabs>
      <w:adjustRightInd w:val="0"/>
      <w:snapToGrid w:val="0"/>
      <w:spacing w:beforeLines="80"/>
      <w:jc w:val="center"/>
    </w:pPr>
    <w:rPr>
      <w:b/>
      <w:kern w:val="0"/>
      <w:szCs w:val="20"/>
    </w:rPr>
  </w:style>
  <w:style w:type="paragraph" w:customStyle="1" w:styleId="153">
    <w:name w:val="实施日期"/>
    <w:basedOn w:val="1"/>
    <w:qFormat/>
    <w:uiPriority w:val="0"/>
    <w:pPr>
      <w:framePr w:w="4000" w:h="473" w:vSpace="180" w:wrap="around" w:vAnchor="margin" w:hAnchor="margin" w:xAlign="right" w:y="13511" w:anchorLock="1"/>
      <w:widowControl/>
      <w:jc w:val="right"/>
    </w:pPr>
    <w:rPr>
      <w:rFonts w:eastAsia="黑体"/>
      <w:kern w:val="0"/>
      <w:sz w:val="28"/>
      <w:szCs w:val="20"/>
    </w:rPr>
  </w:style>
  <w:style w:type="paragraph" w:customStyle="1" w:styleId="154">
    <w:name w:val="章标题"/>
    <w:next w:val="1"/>
    <w:qFormat/>
    <w:uiPriority w:val="0"/>
    <w:pPr>
      <w:tabs>
        <w:tab w:val="left" w:pos="0"/>
      </w:tabs>
      <w:spacing w:beforeLines="50"/>
      <w:jc w:val="both"/>
      <w:outlineLvl w:val="1"/>
    </w:pPr>
    <w:rPr>
      <w:rFonts w:ascii="黑体" w:hAnsi="Calibri" w:eastAsia="黑体" w:cs="Times New Roman"/>
      <w:kern w:val="0"/>
      <w:sz w:val="21"/>
      <w:szCs w:val="20"/>
      <w:lang w:val="en-US" w:eastAsia="zh-CN" w:bidi="ar-SA"/>
    </w:rPr>
  </w:style>
  <w:style w:type="paragraph" w:customStyle="1" w:styleId="155">
    <w:name w:val="表格文字"/>
    <w:basedOn w:val="1"/>
    <w:qFormat/>
    <w:uiPriority w:val="0"/>
    <w:pPr>
      <w:adjustRightInd w:val="0"/>
      <w:spacing w:line="420" w:lineRule="atLeast"/>
      <w:jc w:val="left"/>
    </w:pPr>
    <w:rPr>
      <w:kern w:val="0"/>
      <w:szCs w:val="20"/>
    </w:rPr>
  </w:style>
  <w:style w:type="paragraph" w:customStyle="1" w:styleId="156">
    <w:name w:val="Char Char Char Char Char Char Char"/>
    <w:basedOn w:val="1"/>
    <w:qFormat/>
    <w:uiPriority w:val="0"/>
    <w:rPr>
      <w:szCs w:val="20"/>
    </w:rPr>
  </w:style>
  <w:style w:type="paragraph" w:customStyle="1" w:styleId="157">
    <w:name w:val="Default"/>
    <w:qFormat/>
    <w:uiPriority w:val="0"/>
    <w:pPr>
      <w:widowControl w:val="0"/>
      <w:autoSpaceDE w:val="0"/>
      <w:autoSpaceDN w:val="0"/>
      <w:adjustRightInd w:val="0"/>
    </w:pPr>
    <w:rPr>
      <w:rFonts w:ascii="宋体" w:hAnsi="Calibri" w:cs="宋体" w:eastAsiaTheme="minorEastAsia"/>
      <w:color w:val="000000"/>
      <w:kern w:val="0"/>
      <w:sz w:val="24"/>
      <w:szCs w:val="24"/>
      <w:lang w:val="en-US" w:eastAsia="zh-CN" w:bidi="ar-SA"/>
    </w:rPr>
  </w:style>
  <w:style w:type="paragraph" w:customStyle="1" w:styleId="158">
    <w:name w:val="样式 标题 4 + 段前: 6 磅 段后: 0 磅 行距: 单倍行距"/>
    <w:basedOn w:val="7"/>
    <w:qFormat/>
    <w:uiPriority w:val="0"/>
    <w:pPr>
      <w:spacing w:before="0" w:after="0" w:line="240" w:lineRule="auto"/>
    </w:pPr>
    <w:rPr>
      <w:rFonts w:ascii="宋体" w:hAnsi="宋体" w:cs="宋体"/>
      <w:sz w:val="21"/>
      <w:szCs w:val="21"/>
    </w:rPr>
  </w:style>
  <w:style w:type="paragraph" w:customStyle="1" w:styleId="159">
    <w:name w:val="目次、标准名称标题"/>
    <w:basedOn w:val="119"/>
    <w:next w:val="105"/>
    <w:qFormat/>
    <w:uiPriority w:val="0"/>
    <w:pPr>
      <w:numPr>
        <w:ilvl w:val="0"/>
        <w:numId w:val="9"/>
      </w:numPr>
      <w:spacing w:line="460" w:lineRule="exact"/>
    </w:pPr>
  </w:style>
  <w:style w:type="paragraph" w:customStyle="1" w:styleId="160">
    <w:name w:val="正文1"/>
    <w:basedOn w:val="1"/>
    <w:qFormat/>
    <w:uiPriority w:val="0"/>
    <w:pPr>
      <w:snapToGrid w:val="0"/>
      <w:spacing w:line="500" w:lineRule="atLeast"/>
      <w:ind w:firstLine="539"/>
    </w:pPr>
    <w:rPr>
      <w:rFonts w:ascii="宋体"/>
      <w:spacing w:val="14"/>
      <w:sz w:val="24"/>
      <w:szCs w:val="20"/>
    </w:rPr>
  </w:style>
  <w:style w:type="character" w:customStyle="1" w:styleId="161">
    <w:name w:val="Char Char22"/>
    <w:qFormat/>
    <w:uiPriority w:val="0"/>
    <w:rPr>
      <w:rFonts w:hint="default" w:ascii="Arial" w:hAnsi="Arial" w:eastAsia="黑体" w:cs="Arial"/>
      <w:b/>
      <w:kern w:val="2"/>
      <w:sz w:val="24"/>
    </w:rPr>
  </w:style>
  <w:style w:type="character" w:customStyle="1" w:styleId="162">
    <w:name w:val="at_1"/>
    <w:basedOn w:val="54"/>
    <w:qFormat/>
    <w:uiPriority w:val="0"/>
  </w:style>
  <w:style w:type="character" w:customStyle="1" w:styleId="163">
    <w:name w:val="脚注文本 Char1"/>
    <w:qFormat/>
    <w:uiPriority w:val="0"/>
    <w:rPr>
      <w:kern w:val="2"/>
      <w:sz w:val="18"/>
      <w:szCs w:val="18"/>
    </w:rPr>
  </w:style>
  <w:style w:type="character" w:customStyle="1" w:styleId="164">
    <w:name w:val="u21"/>
    <w:qFormat/>
    <w:uiPriority w:val="0"/>
    <w:rPr>
      <w:rFonts w:hint="default" w:ascii="ˎ̥" w:hAnsi="ˎ̥"/>
      <w:sz w:val="18"/>
      <w:szCs w:val="18"/>
    </w:rPr>
  </w:style>
  <w:style w:type="character" w:customStyle="1" w:styleId="165">
    <w:name w:val="正文缩进 字符"/>
    <w:qFormat/>
    <w:uiPriority w:val="0"/>
    <w:rPr>
      <w:kern w:val="2"/>
      <w:sz w:val="21"/>
      <w:szCs w:val="24"/>
    </w:rPr>
  </w:style>
  <w:style w:type="character" w:customStyle="1" w:styleId="166">
    <w:name w:val="large1"/>
    <w:qFormat/>
    <w:uiPriority w:val="0"/>
    <w:rPr>
      <w:rFonts w:hint="eastAsia" w:ascii="宋体" w:hAnsi="宋体" w:eastAsia="宋体"/>
      <w:sz w:val="21"/>
    </w:rPr>
  </w:style>
  <w:style w:type="character" w:customStyle="1" w:styleId="167">
    <w:name w:val="样式 (中文) 仿宋_GB2312 四号 下划线"/>
    <w:qFormat/>
    <w:uiPriority w:val="0"/>
    <w:rPr>
      <w:rFonts w:hint="eastAsia" w:ascii="仿宋_GB2312" w:eastAsia="仿宋_GB2312"/>
      <w:sz w:val="28"/>
      <w:u w:val="single"/>
    </w:rPr>
  </w:style>
  <w:style w:type="character" w:customStyle="1" w:styleId="168">
    <w:name w:val="(C+F1) Char Char"/>
    <w:qFormat/>
    <w:uiPriority w:val="0"/>
    <w:rPr>
      <w:b/>
      <w:kern w:val="44"/>
      <w:sz w:val="44"/>
    </w:rPr>
  </w:style>
  <w:style w:type="character" w:customStyle="1" w:styleId="169">
    <w:name w:val="t"/>
    <w:basedOn w:val="54"/>
    <w:qFormat/>
    <w:uiPriority w:val="0"/>
  </w:style>
  <w:style w:type="character" w:customStyle="1" w:styleId="170">
    <w:name w:val="Char Char18"/>
    <w:qFormat/>
    <w:uiPriority w:val="0"/>
    <w:rPr>
      <w:rFonts w:hint="default" w:ascii="Arial" w:hAnsi="Arial" w:eastAsia="黑体" w:cs="Arial"/>
      <w:b/>
      <w:bCs/>
      <w:kern w:val="2"/>
      <w:sz w:val="28"/>
      <w:szCs w:val="28"/>
      <w:lang w:val="en-US" w:eastAsia="zh-CN" w:bidi="ar-SA"/>
    </w:rPr>
  </w:style>
  <w:style w:type="character" w:customStyle="1" w:styleId="171">
    <w:name w:val="lawer1"/>
    <w:qFormat/>
    <w:uiPriority w:val="0"/>
    <w:rPr>
      <w:rFonts w:hint="default" w:ascii="Verdana" w:hAnsi="Verdana"/>
      <w:color w:val="666666"/>
      <w:sz w:val="18"/>
      <w:szCs w:val="18"/>
      <w:u w:val="none"/>
    </w:rPr>
  </w:style>
  <w:style w:type="character" w:customStyle="1" w:styleId="172">
    <w:name w:val="ca-01"/>
    <w:qFormat/>
    <w:uiPriority w:val="0"/>
    <w:rPr>
      <w:rFonts w:hint="eastAsia" w:ascii="楷体_GB2312" w:eastAsia="楷体_GB2312"/>
      <w:color w:val="000000"/>
      <w:sz w:val="21"/>
      <w:szCs w:val="21"/>
    </w:rPr>
  </w:style>
  <w:style w:type="character" w:customStyle="1" w:styleId="173">
    <w:name w:val="apple-converted-space"/>
    <w:basedOn w:val="54"/>
    <w:qFormat/>
    <w:uiPriority w:val="0"/>
  </w:style>
  <w:style w:type="character" w:customStyle="1" w:styleId="174">
    <w:name w:val="123"/>
    <w:basedOn w:val="54"/>
    <w:qFormat/>
    <w:uiPriority w:val="0"/>
  </w:style>
  <w:style w:type="character" w:customStyle="1" w:styleId="175">
    <w:name w:val="Char Char19"/>
    <w:qFormat/>
    <w:uiPriority w:val="0"/>
    <w:rPr>
      <w:rFonts w:hint="eastAsia" w:ascii="宋体" w:hAnsi="宋体" w:eastAsia="宋体"/>
      <w:b/>
      <w:bCs/>
      <w:kern w:val="2"/>
      <w:sz w:val="32"/>
      <w:szCs w:val="32"/>
      <w:lang w:val="en-US" w:eastAsia="zh-CN" w:bidi="ar-SA"/>
    </w:rPr>
  </w:style>
  <w:style w:type="character" w:customStyle="1" w:styleId="176">
    <w:name w:val="EmailStyle67"/>
    <w:qFormat/>
    <w:uiPriority w:val="0"/>
    <w:rPr>
      <w:rFonts w:hint="default" w:ascii="Arial" w:hAnsi="Arial" w:eastAsia="宋体" w:cs="Arial"/>
      <w:color w:val="auto"/>
      <w:sz w:val="20"/>
      <w:lang w:bidi="ar-SA"/>
    </w:rPr>
  </w:style>
  <w:style w:type="character" w:customStyle="1" w:styleId="177">
    <w:name w:val="Char Char20"/>
    <w:qFormat/>
    <w:uiPriority w:val="0"/>
    <w:rPr>
      <w:rFonts w:hint="default" w:ascii="Arial" w:hAnsi="Arial" w:eastAsia="黑体" w:cs="Arial"/>
      <w:b/>
      <w:bCs/>
      <w:kern w:val="2"/>
      <w:sz w:val="32"/>
      <w:szCs w:val="32"/>
      <w:lang w:val="en-US" w:eastAsia="zh-CN" w:bidi="ar-SA"/>
    </w:rPr>
  </w:style>
  <w:style w:type="character" w:customStyle="1" w:styleId="178">
    <w:name w:val="标题 2 Char1"/>
    <w:qFormat/>
    <w:uiPriority w:val="0"/>
    <w:rPr>
      <w:rFonts w:hint="default" w:ascii="Arial" w:hAnsi="Arial" w:eastAsia="黑体" w:cs="Times New Roman"/>
      <w:b/>
      <w:bCs/>
      <w:sz w:val="32"/>
      <w:szCs w:val="32"/>
    </w:rPr>
  </w:style>
  <w:style w:type="character" w:customStyle="1" w:styleId="179">
    <w:name w:val="table-xiayou"/>
    <w:basedOn w:val="54"/>
    <w:qFormat/>
    <w:uiPriority w:val="0"/>
  </w:style>
  <w:style w:type="character" w:customStyle="1" w:styleId="180">
    <w:name w:val="px14"/>
    <w:basedOn w:val="54"/>
    <w:qFormat/>
    <w:uiPriority w:val="0"/>
  </w:style>
  <w:style w:type="character" w:customStyle="1" w:styleId="181">
    <w:name w:val="个人答复风格"/>
    <w:qFormat/>
    <w:uiPriority w:val="0"/>
    <w:rPr>
      <w:rFonts w:hint="default" w:ascii="Arial" w:hAnsi="Arial" w:eastAsia="宋体" w:cs="Arial"/>
      <w:color w:val="auto"/>
      <w:sz w:val="20"/>
    </w:rPr>
  </w:style>
  <w:style w:type="character" w:customStyle="1" w:styleId="182">
    <w:name w:val="at_0"/>
    <w:basedOn w:val="54"/>
    <w:qFormat/>
    <w:uiPriority w:val="0"/>
  </w:style>
  <w:style w:type="character" w:customStyle="1" w:styleId="183">
    <w:name w:val="标题 Char1"/>
    <w:qFormat/>
    <w:uiPriority w:val="0"/>
    <w:rPr>
      <w:rFonts w:hint="default" w:ascii="Cambria" w:hAnsi="Cambria" w:eastAsia="宋体" w:cs="Times New Roman"/>
      <w:b/>
      <w:bCs/>
      <w:sz w:val="32"/>
      <w:szCs w:val="32"/>
      <w:lang w:bidi="ar-SA"/>
    </w:rPr>
  </w:style>
  <w:style w:type="character" w:customStyle="1" w:styleId="184">
    <w:name w:val="样式 四号"/>
    <w:qFormat/>
    <w:uiPriority w:val="0"/>
    <w:rPr>
      <w:sz w:val="24"/>
      <w:szCs w:val="24"/>
    </w:rPr>
  </w:style>
  <w:style w:type="character" w:customStyle="1" w:styleId="185">
    <w:name w:val="普通文字 Char1"/>
    <w:qFormat/>
    <w:uiPriority w:val="0"/>
    <w:rPr>
      <w:rFonts w:hint="eastAsia" w:ascii="宋体" w:hAnsi="宋体" w:eastAsia="宋体"/>
      <w:kern w:val="2"/>
      <w:sz w:val="21"/>
    </w:rPr>
  </w:style>
  <w:style w:type="character" w:customStyle="1" w:styleId="186">
    <w:name w:val="style11"/>
    <w:qFormat/>
    <w:uiPriority w:val="0"/>
    <w:rPr>
      <w:color w:val="003399"/>
      <w:sz w:val="20"/>
      <w:szCs w:val="20"/>
    </w:rPr>
  </w:style>
  <w:style w:type="character" w:customStyle="1" w:styleId="187">
    <w:name w:val="正文缩进 Char1"/>
    <w:qFormat/>
    <w:uiPriority w:val="0"/>
    <w:rPr>
      <w:rFonts w:hint="eastAsia" w:ascii="宋体" w:hAnsi="宋体" w:eastAsia="宋体"/>
      <w:kern w:val="2"/>
      <w:sz w:val="21"/>
      <w:szCs w:val="24"/>
      <w:lang w:val="en-US" w:eastAsia="zh-CN" w:bidi="ar-SA"/>
    </w:rPr>
  </w:style>
  <w:style w:type="character" w:customStyle="1" w:styleId="188">
    <w:name w:val="Char Char24"/>
    <w:qFormat/>
    <w:uiPriority w:val="0"/>
    <w:rPr>
      <w:rFonts w:hint="default" w:ascii="Arial" w:hAnsi="Arial" w:eastAsia="黑体" w:cs="Arial"/>
      <w:b/>
      <w:kern w:val="2"/>
      <w:sz w:val="28"/>
    </w:rPr>
  </w:style>
  <w:style w:type="character" w:customStyle="1" w:styleId="189">
    <w:name w:val="页眉 Char1"/>
    <w:qFormat/>
    <w:uiPriority w:val="0"/>
    <w:rPr>
      <w:rFonts w:hint="default" w:ascii="Times New Roman" w:hAnsi="Times New Roman" w:eastAsia="宋体" w:cs="Times New Roman"/>
      <w:sz w:val="18"/>
      <w:szCs w:val="18"/>
    </w:rPr>
  </w:style>
  <w:style w:type="character" w:customStyle="1" w:styleId="190">
    <w:name w:val="个人撰写风格"/>
    <w:qFormat/>
    <w:uiPriority w:val="0"/>
    <w:rPr>
      <w:rFonts w:hint="default" w:ascii="Arial" w:hAnsi="Arial" w:eastAsia="宋体" w:cs="Arial"/>
      <w:color w:val="auto"/>
      <w:sz w:val="20"/>
    </w:rPr>
  </w:style>
  <w:style w:type="character" w:customStyle="1" w:styleId="191">
    <w:name w:val="apple-style-span"/>
    <w:qFormat/>
    <w:uiPriority w:val="0"/>
  </w:style>
  <w:style w:type="character" w:customStyle="1" w:styleId="192">
    <w:name w:val="font161"/>
    <w:qFormat/>
    <w:uiPriority w:val="0"/>
    <w:rPr>
      <w:b/>
      <w:bCs/>
      <w:sz w:val="32"/>
      <w:szCs w:val="32"/>
    </w:rPr>
  </w:style>
  <w:style w:type="character" w:customStyle="1" w:styleId="193">
    <w:name w:val="zbggmain style9"/>
    <w:basedOn w:val="54"/>
    <w:qFormat/>
    <w:uiPriority w:val="0"/>
  </w:style>
  <w:style w:type="character" w:customStyle="1" w:styleId="194">
    <w:name w:val="Plain Text Char"/>
    <w:qFormat/>
    <w:uiPriority w:val="0"/>
    <w:rPr>
      <w:rFonts w:hint="eastAsia" w:ascii="宋体" w:hAnsi="宋体" w:eastAsia="宋体" w:cs="Times New Roman"/>
      <w:kern w:val="2"/>
      <w:sz w:val="21"/>
      <w:lang w:bidi="ar-SA"/>
    </w:rPr>
  </w:style>
  <w:style w:type="character" w:customStyle="1" w:styleId="195">
    <w:name w:val="intext1"/>
    <w:qFormat/>
    <w:uiPriority w:val="0"/>
    <w:rPr>
      <w:rFonts w:hint="default" w:ascii="Verdana" w:hAnsi="Verdana"/>
      <w:color w:val="000000"/>
      <w:sz w:val="18"/>
      <w:szCs w:val="18"/>
    </w:rPr>
  </w:style>
  <w:style w:type="character" w:customStyle="1" w:styleId="196">
    <w:name w:val="c lh15"/>
    <w:basedOn w:val="54"/>
    <w:qFormat/>
    <w:uiPriority w:val="0"/>
  </w:style>
  <w:style w:type="character" w:customStyle="1" w:styleId="197">
    <w:name w:val="EmailStyle65"/>
    <w:qFormat/>
    <w:uiPriority w:val="0"/>
    <w:rPr>
      <w:rFonts w:hint="default" w:ascii="Arial" w:hAnsi="Arial" w:eastAsia="宋体" w:cs="Arial"/>
      <w:color w:val="auto"/>
      <w:sz w:val="20"/>
      <w:lang w:bidi="ar-SA"/>
    </w:rPr>
  </w:style>
  <w:style w:type="character" w:customStyle="1" w:styleId="198">
    <w:name w:val="(C+F3) Char"/>
    <w:qFormat/>
    <w:uiPriority w:val="0"/>
    <w:rPr>
      <w:rFonts w:hint="eastAsia" w:ascii="黑体" w:hAnsi="黑体" w:eastAsia="黑体"/>
      <w:spacing w:val="8"/>
      <w:sz w:val="24"/>
    </w:rPr>
  </w:style>
  <w:style w:type="character" w:customStyle="1" w:styleId="199">
    <w:name w:val="content"/>
    <w:basedOn w:val="54"/>
    <w:qFormat/>
    <w:uiPriority w:val="0"/>
  </w:style>
  <w:style w:type="character" w:customStyle="1" w:styleId="200">
    <w:name w:val="正文文本缩进 3 Char1"/>
    <w:basedOn w:val="54"/>
    <w:semiHidden/>
    <w:qFormat/>
    <w:uiPriority w:val="0"/>
    <w:rPr>
      <w:kern w:val="2"/>
      <w:sz w:val="16"/>
      <w:szCs w:val="16"/>
    </w:rPr>
  </w:style>
  <w:style w:type="character" w:customStyle="1" w:styleId="201">
    <w:name w:val="页眉 Char2"/>
    <w:basedOn w:val="54"/>
    <w:semiHidden/>
    <w:qFormat/>
    <w:uiPriority w:val="0"/>
    <w:rPr>
      <w:kern w:val="2"/>
      <w:sz w:val="18"/>
      <w:szCs w:val="18"/>
    </w:rPr>
  </w:style>
  <w:style w:type="character" w:customStyle="1" w:styleId="202">
    <w:name w:val="批注文字 Char1"/>
    <w:basedOn w:val="54"/>
    <w:semiHidden/>
    <w:qFormat/>
    <w:uiPriority w:val="0"/>
    <w:rPr>
      <w:kern w:val="2"/>
      <w:sz w:val="21"/>
      <w:szCs w:val="24"/>
    </w:rPr>
  </w:style>
  <w:style w:type="character" w:customStyle="1" w:styleId="203">
    <w:name w:val="脚注文本 Char2"/>
    <w:basedOn w:val="54"/>
    <w:semiHidden/>
    <w:qFormat/>
    <w:uiPriority w:val="0"/>
    <w:rPr>
      <w:kern w:val="2"/>
      <w:sz w:val="18"/>
      <w:szCs w:val="18"/>
    </w:rPr>
  </w:style>
  <w:style w:type="character" w:customStyle="1" w:styleId="204">
    <w:name w:val="日期 Char1"/>
    <w:basedOn w:val="54"/>
    <w:semiHidden/>
    <w:qFormat/>
    <w:uiPriority w:val="0"/>
    <w:rPr>
      <w:kern w:val="2"/>
      <w:sz w:val="21"/>
      <w:szCs w:val="24"/>
    </w:rPr>
  </w:style>
  <w:style w:type="character" w:customStyle="1" w:styleId="205">
    <w:name w:val="正文文本 2 Char1"/>
    <w:basedOn w:val="54"/>
    <w:semiHidden/>
    <w:qFormat/>
    <w:uiPriority w:val="0"/>
    <w:rPr>
      <w:kern w:val="2"/>
      <w:sz w:val="21"/>
      <w:szCs w:val="24"/>
    </w:rPr>
  </w:style>
  <w:style w:type="character" w:customStyle="1" w:styleId="206">
    <w:name w:val="尾注文本 Char1"/>
    <w:basedOn w:val="54"/>
    <w:semiHidden/>
    <w:qFormat/>
    <w:uiPriority w:val="0"/>
    <w:rPr>
      <w:kern w:val="2"/>
      <w:sz w:val="21"/>
      <w:szCs w:val="24"/>
    </w:rPr>
  </w:style>
  <w:style w:type="character" w:customStyle="1" w:styleId="207">
    <w:name w:val="正文文本缩进 Char1"/>
    <w:basedOn w:val="54"/>
    <w:semiHidden/>
    <w:qFormat/>
    <w:uiPriority w:val="0"/>
    <w:rPr>
      <w:kern w:val="2"/>
      <w:sz w:val="21"/>
      <w:szCs w:val="24"/>
    </w:rPr>
  </w:style>
  <w:style w:type="character" w:customStyle="1" w:styleId="208">
    <w:name w:val="正文文本 3 Char1"/>
    <w:basedOn w:val="54"/>
    <w:semiHidden/>
    <w:qFormat/>
    <w:uiPriority w:val="0"/>
    <w:rPr>
      <w:kern w:val="2"/>
      <w:sz w:val="16"/>
      <w:szCs w:val="16"/>
    </w:rPr>
  </w:style>
  <w:style w:type="character" w:customStyle="1" w:styleId="209">
    <w:name w:val="批注主题 Char1"/>
    <w:basedOn w:val="202"/>
    <w:semiHidden/>
    <w:qFormat/>
    <w:uiPriority w:val="0"/>
    <w:rPr>
      <w:b/>
      <w:bCs/>
      <w:kern w:val="2"/>
      <w:sz w:val="21"/>
      <w:szCs w:val="24"/>
    </w:rPr>
  </w:style>
  <w:style w:type="character" w:customStyle="1" w:styleId="210">
    <w:name w:val="正文文本缩进 2 Char1"/>
    <w:basedOn w:val="54"/>
    <w:semiHidden/>
    <w:qFormat/>
    <w:uiPriority w:val="0"/>
    <w:rPr>
      <w:kern w:val="2"/>
      <w:sz w:val="21"/>
      <w:szCs w:val="24"/>
    </w:rPr>
  </w:style>
  <w:style w:type="character" w:customStyle="1" w:styleId="211">
    <w:name w:val="纯文本 Char1"/>
    <w:basedOn w:val="54"/>
    <w:semiHidden/>
    <w:qFormat/>
    <w:uiPriority w:val="0"/>
    <w:rPr>
      <w:rFonts w:hint="eastAsia" w:ascii="宋体" w:hAnsi="Courier New" w:eastAsia="宋体" w:cs="Courier New"/>
      <w:kern w:val="2"/>
      <w:sz w:val="21"/>
      <w:szCs w:val="21"/>
    </w:rPr>
  </w:style>
  <w:style w:type="character" w:customStyle="1" w:styleId="212">
    <w:name w:val="文档结构图 Char1"/>
    <w:basedOn w:val="54"/>
    <w:semiHidden/>
    <w:qFormat/>
    <w:uiPriority w:val="0"/>
    <w:rPr>
      <w:rFonts w:hint="eastAsia" w:ascii="宋体" w:hAnsi="宋体" w:eastAsia="宋体"/>
      <w:kern w:val="2"/>
      <w:sz w:val="18"/>
      <w:szCs w:val="18"/>
    </w:rPr>
  </w:style>
  <w:style w:type="character" w:customStyle="1" w:styleId="213">
    <w:name w:val="称呼 Char1"/>
    <w:basedOn w:val="54"/>
    <w:semiHidden/>
    <w:qFormat/>
    <w:uiPriority w:val="0"/>
    <w:rPr>
      <w:kern w:val="2"/>
      <w:sz w:val="21"/>
      <w:szCs w:val="24"/>
    </w:rPr>
  </w:style>
  <w:style w:type="character" w:customStyle="1" w:styleId="214">
    <w:name w:val="正文文本 Char1"/>
    <w:basedOn w:val="54"/>
    <w:link w:val="2"/>
    <w:qFormat/>
    <w:locked/>
    <w:uiPriority w:val="0"/>
    <w:rPr>
      <w:rFonts w:ascii="Calibri" w:hAnsi="Calibri" w:cs="Times New Roman"/>
      <w:szCs w:val="24"/>
    </w:rPr>
  </w:style>
  <w:style w:type="character" w:customStyle="1" w:styleId="215">
    <w:name w:val="正文首行缩进 Char1"/>
    <w:basedOn w:val="214"/>
    <w:semiHidden/>
    <w:qFormat/>
    <w:uiPriority w:val="0"/>
    <w:rPr>
      <w:rFonts w:ascii="Calibri" w:hAnsi="Calibri" w:cs="Times New Roman"/>
      <w:szCs w:val="24"/>
    </w:rPr>
  </w:style>
  <w:style w:type="character" w:customStyle="1" w:styleId="216">
    <w:name w:val="页脚 Char1"/>
    <w:basedOn w:val="54"/>
    <w:semiHidden/>
    <w:qFormat/>
    <w:uiPriority w:val="0"/>
    <w:rPr>
      <w:kern w:val="2"/>
      <w:sz w:val="18"/>
      <w:szCs w:val="18"/>
    </w:rPr>
  </w:style>
  <w:style w:type="character" w:customStyle="1" w:styleId="217">
    <w:name w:val="批注框文本 Char1"/>
    <w:basedOn w:val="54"/>
    <w:semiHidden/>
    <w:qFormat/>
    <w:uiPriority w:val="0"/>
    <w:rPr>
      <w:kern w:val="2"/>
      <w:sz w:val="18"/>
      <w:szCs w:val="18"/>
    </w:rPr>
  </w:style>
  <w:style w:type="character" w:customStyle="1" w:styleId="218">
    <w:name w:val="HTML 预设格式 Char1"/>
    <w:basedOn w:val="54"/>
    <w:semiHidden/>
    <w:qFormat/>
    <w:uiPriority w:val="0"/>
    <w:rPr>
      <w:rFonts w:hint="default" w:ascii="Courier New" w:hAnsi="Courier New" w:cs="Courier New"/>
      <w:kern w:val="2"/>
    </w:rPr>
  </w:style>
  <w:style w:type="character" w:customStyle="1" w:styleId="219">
    <w:name w:val="标题 Char2"/>
    <w:basedOn w:val="54"/>
    <w:qFormat/>
    <w:uiPriority w:val="0"/>
    <w:rPr>
      <w:rFonts w:hint="default" w:eastAsia="宋体" w:asciiTheme="majorHAnsi" w:hAnsiTheme="majorHAnsi" w:cstheme="majorBidi"/>
      <w:b/>
      <w:bCs/>
      <w:kern w:val="2"/>
      <w:sz w:val="32"/>
      <w:szCs w:val="32"/>
    </w:rPr>
  </w:style>
  <w:style w:type="paragraph" w:customStyle="1" w:styleId="220">
    <w:name w:val="二级条标题"/>
    <w:basedOn w:val="108"/>
    <w:next w:val="1"/>
    <w:qFormat/>
    <w:uiPriority w:val="0"/>
    <w:pPr>
      <w:outlineLvl w:val="3"/>
    </w:pPr>
  </w:style>
  <w:style w:type="paragraph" w:customStyle="1" w:styleId="221">
    <w:name w:val="三级条标题"/>
    <w:basedOn w:val="220"/>
    <w:next w:val="1"/>
    <w:qFormat/>
    <w:uiPriority w:val="0"/>
    <w:pPr>
      <w:outlineLvl w:val="4"/>
    </w:pPr>
  </w:style>
  <w:style w:type="paragraph" w:customStyle="1" w:styleId="222">
    <w:name w:val="四级条标题"/>
    <w:basedOn w:val="221"/>
    <w:next w:val="1"/>
    <w:qFormat/>
    <w:uiPriority w:val="0"/>
    <w:pPr>
      <w:outlineLvl w:val="5"/>
    </w:pPr>
  </w:style>
  <w:style w:type="paragraph" w:customStyle="1" w:styleId="223">
    <w:name w:val="五级条标题"/>
    <w:basedOn w:val="222"/>
    <w:next w:val="1"/>
    <w:qFormat/>
    <w:uiPriority w:val="0"/>
    <w:pPr>
      <w:ind w:left="0"/>
      <w:outlineLvl w:val="6"/>
    </w:pPr>
  </w:style>
  <w:style w:type="paragraph" w:customStyle="1" w:styleId="224">
    <w:name w:val="附录四级条标题"/>
    <w:basedOn w:val="130"/>
    <w:next w:val="105"/>
    <w:qFormat/>
    <w:uiPriority w:val="0"/>
    <w:pPr>
      <w:numPr>
        <w:ilvl w:val="4"/>
      </w:numPr>
      <w:tabs>
        <w:tab w:val="left" w:pos="2955"/>
      </w:tabs>
      <w:ind w:left="374"/>
      <w:outlineLvl w:val="5"/>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112</Pages>
  <Words>12794</Words>
  <Characters>72926</Characters>
  <Lines>607</Lines>
  <Paragraphs>171</Paragraphs>
  <TotalTime>23</TotalTime>
  <ScaleCrop>false</ScaleCrop>
  <LinksUpToDate>false</LinksUpToDate>
  <CharactersWithSpaces>85549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2019-12-27T03:14:00Z</dcterms:created>
  <dc:creator>Administrator</dc:creator>
  <cp:lastModifiedBy>噗嗤噗嗤饿</cp:lastModifiedBy>
  <cp:lastPrinted>2021-04-08T00:14:00Z</cp:lastPrinted>
  <dcterms:modified xsi:type="dcterms:W3CDTF">2021-04-09T00:18:36Z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CA43638AF2964FA5A7596B0E81F6867A</vt:lpwstr>
  </property>
</Properties>
</file>